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48" w:rsidRDefault="005D254F">
      <w:pPr>
        <w:spacing w:line="360" w:lineRule="exact"/>
        <w:rPr>
          <w:rFonts w:ascii="黑体" w:eastAsia="黑体" w:hint="eastAsia"/>
          <w:color w:val="000000" w:themeColor="text1"/>
          <w:spacing w:val="56"/>
          <w:sz w:val="28"/>
          <w:szCs w:val="28"/>
        </w:rPr>
      </w:pPr>
      <w:r>
        <w:rPr>
          <w:rFonts w:ascii="黑体" w:eastAsia="黑体" w:hint="eastAsia"/>
          <w:color w:val="000000" w:themeColor="text1"/>
          <w:sz w:val="28"/>
          <w:szCs w:val="28"/>
        </w:rPr>
        <w:t>附件2</w:t>
      </w:r>
    </w:p>
    <w:p w:rsidR="00050D48" w:rsidRDefault="00050D48">
      <w:pPr>
        <w:pStyle w:val="a5"/>
      </w:pPr>
    </w:p>
    <w:p w:rsidR="00050D48" w:rsidRDefault="005D254F">
      <w:pPr>
        <w:spacing w:line="560" w:lineRule="exact"/>
        <w:jc w:val="center"/>
        <w:rPr>
          <w:rFonts w:ascii="方正小标宋简体" w:eastAsia="方正小标宋简体" w:hAnsi="方正小标宋简体" w:cs="方正小标宋简体"/>
          <w:bCs/>
          <w:color w:val="000000" w:themeColor="text1"/>
          <w:spacing w:val="-17"/>
          <w:sz w:val="36"/>
          <w:szCs w:val="36"/>
        </w:rPr>
      </w:pPr>
      <w:r>
        <w:rPr>
          <w:rFonts w:ascii="方正小标宋简体" w:eastAsia="方正小标宋简体" w:hAnsi="方正小标宋简体" w:cs="方正小标宋简体" w:hint="eastAsia"/>
          <w:bCs/>
          <w:color w:val="000000" w:themeColor="text1"/>
          <w:spacing w:val="-17"/>
          <w:sz w:val="36"/>
          <w:szCs w:val="36"/>
        </w:rPr>
        <w:t>《门头沟区“十四五”时期民政事业规划》</w:t>
      </w:r>
      <w:r w:rsidR="00EB0E5B">
        <w:rPr>
          <w:rFonts w:ascii="方正小标宋简体" w:eastAsia="方正小标宋简体" w:hAnsi="方正小标宋简体" w:cs="方正小标宋简体" w:hint="eastAsia"/>
          <w:bCs/>
          <w:color w:val="000000" w:themeColor="text1"/>
          <w:spacing w:val="-17"/>
          <w:sz w:val="36"/>
          <w:szCs w:val="36"/>
        </w:rPr>
        <w:t>的</w:t>
      </w:r>
      <w:r>
        <w:rPr>
          <w:rFonts w:ascii="方正小标宋简体" w:eastAsia="方正小标宋简体" w:hAnsi="方正小标宋简体" w:cs="方正小标宋简体" w:hint="eastAsia"/>
          <w:bCs/>
          <w:color w:val="000000" w:themeColor="text1"/>
          <w:spacing w:val="-17"/>
          <w:sz w:val="36"/>
          <w:szCs w:val="36"/>
        </w:rPr>
        <w:t>起草说明</w:t>
      </w:r>
    </w:p>
    <w:p w:rsidR="005D254F" w:rsidRDefault="005D254F">
      <w:pPr>
        <w:spacing w:line="560" w:lineRule="exact"/>
        <w:ind w:firstLineChars="200" w:firstLine="640"/>
        <w:rPr>
          <w:rFonts w:ascii="仿宋_GB2312" w:eastAsia="仿宋_GB2312" w:hAnsi="仿宋_GB2312" w:cs="仿宋_GB2312"/>
          <w:color w:val="000000" w:themeColor="text1"/>
          <w:sz w:val="32"/>
          <w:szCs w:val="32"/>
        </w:rPr>
      </w:pPr>
    </w:p>
    <w:p w:rsidR="00050D48" w:rsidRDefault="002A3412">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一、背景情况</w:t>
      </w:r>
    </w:p>
    <w:p w:rsidR="00050D48" w:rsidRDefault="002A341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规划以习近平新时代中国特色社会主义思想为指导，以习近平总书记对民政工作的重要指示、重要论述为根本遵循，全面贯彻党的十八大以来历次中央全会精神，依据《北京市“十四五”时期民政事业发展规划》《北京市门头沟区国民经济和社会发展第十四个五年规划和二〇三五年远景目标纲要》等有关文件精神，落实“生态立区、文化兴区、科技强区”发展战略，提出“十四五”时期门头沟区民政事业发展的总体要求、具体指标、重点任务和保障措施，是统筹推进未来五年本区民政公共服务发展和改革的综合性、指导性文件，是制定实施各项社会政策、编制民政公共服务工作计划的重要依据。</w:t>
      </w:r>
    </w:p>
    <w:p w:rsidR="00050D48" w:rsidRDefault="002A3412">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二、起草过程</w:t>
      </w:r>
    </w:p>
    <w:p w:rsidR="00050D48" w:rsidRDefault="002A3412">
      <w:pPr>
        <w:spacing w:line="560" w:lineRule="exact"/>
        <w:ind w:firstLineChars="200" w:firstLine="640"/>
        <w:rPr>
          <w:rFonts w:ascii="黑体" w:eastAsia="黑体" w:hAnsi="黑体" w:cs="黑体"/>
          <w:color w:val="000000" w:themeColor="text1"/>
          <w:sz w:val="32"/>
          <w:szCs w:val="32"/>
        </w:rPr>
      </w:pPr>
      <w:r>
        <w:rPr>
          <w:rFonts w:ascii="仿宋_GB2312" w:eastAsia="仿宋_GB2312" w:hAnsi="仿宋_GB2312" w:cs="仿宋_GB2312" w:hint="eastAsia"/>
          <w:color w:val="000000" w:themeColor="text1"/>
          <w:sz w:val="32"/>
          <w:szCs w:val="32"/>
        </w:rPr>
        <w:t>《门头沟区“十四五”时期民政事业规划（报审稿）》已向相关单位征求意见并修改完善，经局内专题会研究和局长办公会、党工委会审议通过，并报请分管区领导同意，现提交区政府常务会审议。</w:t>
      </w:r>
    </w:p>
    <w:p w:rsidR="00050D48" w:rsidRDefault="002A3412">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三、主要内容</w:t>
      </w:r>
    </w:p>
    <w:p w:rsidR="00050D48" w:rsidRDefault="002A3412">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（一）建设适应全面小康社会的基本民生保障体系</w:t>
      </w:r>
    </w:p>
    <w:p w:rsidR="00050D48" w:rsidRDefault="002A3412">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1.健全分层分类共同富裕基础上的困难群众救助体系。</w:t>
      </w:r>
      <w:r>
        <w:rPr>
          <w:rFonts w:ascii="仿宋_GB2312" w:eastAsia="仿宋_GB2312" w:hAnsi="仿宋" w:cs="仿宋" w:hint="eastAsia"/>
          <w:bCs/>
          <w:color w:val="000000" w:themeColor="text1"/>
          <w:sz w:val="32"/>
          <w:szCs w:val="32"/>
        </w:rPr>
        <w:t>不断</w:t>
      </w:r>
      <w:r>
        <w:rPr>
          <w:rFonts w:ascii="仿宋_GB2312" w:eastAsia="仿宋_GB2312" w:hAnsi="仿宋" w:cs="仿宋" w:hint="eastAsia"/>
          <w:bCs/>
          <w:color w:val="000000" w:themeColor="text1"/>
          <w:sz w:val="32"/>
          <w:szCs w:val="32"/>
        </w:rPr>
        <w:lastRenderedPageBreak/>
        <w:t>健全社会救助制度，适时修订本区社会救助相关政策，进一步简化救助流程，降低救助门槛；持续创新社会救助工作机制，完善社会救助协调联动机制，健全“物质+服务”救助模式；继续完善社会救助服务体系，深化“放管服”改革，推进街道（镇）建立困难群众救助服务所；持续提高“弱有所扶”工作水平，解决人员配备不齐、区域性发展不平衡等问题，加强购买服务；不断壮大慈善事业，搭建慈善资源供需对接平台。</w:t>
      </w:r>
    </w:p>
    <w:p w:rsidR="00050D48" w:rsidRDefault="002A3412">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2.构建多元化、多层次、多样性的养老服务体系。</w:t>
      </w:r>
      <w:r>
        <w:rPr>
          <w:rFonts w:ascii="仿宋_GB2312" w:eastAsia="仿宋_GB2312" w:hAnsi="仿宋" w:cs="仿宋" w:hint="eastAsia"/>
          <w:bCs/>
          <w:color w:val="000000" w:themeColor="text1"/>
          <w:sz w:val="32"/>
          <w:szCs w:val="32"/>
        </w:rPr>
        <w:t>健全完善养老服务体系，打造“3+1+N”居家养老模式，加强养老照料中心和养老驿站、老年餐桌建设；构建多层次养老服务联合体，构建以养老照料中心为中心，以社区养老驿站、养老照护床位和老年餐桌为平台，社会资源积极参与的养老服务联合体；强化养老设施建设，提升老龄化应对能力，力争在两至三年内达到全市平均水平，2025年实现养老机构床位数每千人7.0张。</w:t>
      </w:r>
    </w:p>
    <w:p w:rsidR="00050D48" w:rsidRDefault="002A3412">
      <w:pPr>
        <w:snapToGrid w:val="0"/>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3.完善残疾人服务体系。</w:t>
      </w:r>
      <w:r>
        <w:rPr>
          <w:rFonts w:ascii="仿宋_GB2312" w:eastAsia="仿宋_GB2312" w:hAnsi="仿宋" w:cs="仿宋" w:hint="eastAsia"/>
          <w:bCs/>
          <w:color w:val="000000" w:themeColor="text1"/>
          <w:sz w:val="32"/>
          <w:szCs w:val="32"/>
        </w:rPr>
        <w:t>加强残疾人福利服务支持体系建设，扎实推进困难残疾人生活补贴和重度残疾人护理补贴发放工作；持续推进残疾人服务机构设施建设，完善温馨家园建设，试点“温馨家园”与“养老服务驿站”的服务共享；加大残疾人就业帮扶力度，推动制定残疾人就业补贴制度和重度残疾人亲属照护补贴制度；大力推进无障碍环境建设，持续推进区、街道（镇）和社区（村）三级社会福利机构无障碍环境建设。</w:t>
      </w:r>
    </w:p>
    <w:p w:rsidR="00050D48" w:rsidRDefault="002A3412">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 w:cs="仿宋" w:hint="eastAsia"/>
          <w:b/>
          <w:color w:val="000000" w:themeColor="text1"/>
          <w:sz w:val="32"/>
          <w:szCs w:val="32"/>
        </w:rPr>
        <w:t>4.加强儿童福利保护体系建设。</w:t>
      </w:r>
      <w:r>
        <w:rPr>
          <w:rFonts w:ascii="仿宋_GB2312" w:eastAsia="仿宋_GB2312" w:hAnsi="仿宋" w:cs="仿宋" w:hint="eastAsia"/>
          <w:bCs/>
          <w:color w:val="000000" w:themeColor="text1"/>
          <w:sz w:val="32"/>
          <w:szCs w:val="32"/>
        </w:rPr>
        <w:t>健全儿童福利保护体制，推</w:t>
      </w:r>
      <w:r>
        <w:rPr>
          <w:rFonts w:ascii="仿宋_GB2312" w:eastAsia="仿宋_GB2312" w:hAnsi="仿宋" w:cs="仿宋" w:hint="eastAsia"/>
          <w:bCs/>
          <w:color w:val="000000" w:themeColor="text1"/>
          <w:sz w:val="32"/>
          <w:szCs w:val="32"/>
        </w:rPr>
        <w:lastRenderedPageBreak/>
        <w:t>动儿童福利保护工作的高位统筹，调整完善未成年人保护工作协调机制；完善儿童福利保护制度，健全困境儿童分类保障制度，完善补贴标准增长机制，促进家庭寄养规范化；健全监护监督和关爱保护体系，探索由属地担任监护人，委托区儿童福利院养育的救助模式；开展“护苗行动”。</w:t>
      </w:r>
    </w:p>
    <w:p w:rsidR="00050D48" w:rsidRDefault="002A3412">
      <w:pPr>
        <w:spacing w:line="56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（二）建设便捷高效的基层社会治理体系</w:t>
      </w:r>
    </w:p>
    <w:p w:rsidR="00050D48" w:rsidRDefault="002A3412">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1.深化社区治理服务创新，完善社会治理体系。</w:t>
      </w:r>
      <w:r>
        <w:rPr>
          <w:rFonts w:ascii="仿宋_GB2312" w:eastAsia="仿宋_GB2312" w:hAnsi="仿宋" w:cs="仿宋" w:hint="eastAsia"/>
          <w:bCs/>
          <w:color w:val="000000" w:themeColor="text1"/>
          <w:sz w:val="32"/>
          <w:szCs w:val="32"/>
        </w:rPr>
        <w:t>加强制度建设，建立“门头沟区新时代社会体系创新实践基地”；深化“街乡吹哨、部门报到”工作；制定完善门头沟区社会动员工作指导性文件，创新社会动员方式；关心关爱社区干部，进一步为基层减负。</w:t>
      </w:r>
    </w:p>
    <w:p w:rsidR="00050D48" w:rsidRDefault="002A3412">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2.加强社会组织培育管理，完善社会组织服务体系。</w:t>
      </w:r>
      <w:r>
        <w:rPr>
          <w:rFonts w:ascii="仿宋_GB2312" w:eastAsia="仿宋_GB2312" w:hAnsi="仿宋" w:cs="仿宋" w:hint="eastAsia"/>
          <w:bCs/>
          <w:color w:val="000000" w:themeColor="text1"/>
          <w:sz w:val="32"/>
          <w:szCs w:val="32"/>
        </w:rPr>
        <w:t>落实培育发展社区社会组织专项行动实施方案，构建三级社会工作服务体系；完善社会组织内部治理和日常管理，加强社会组织信用监管，完善社会组织信用管理系统；完善区级社会组织培育孵化体系，举办社会组织服务绿水青山创新发展公益汇；健全“枢纽型”社会组织工作体系，推动基本公共服务项目向农村社区延伸；推进街道（镇）、园区等党群服务场所和社会动员场所建设，设置商务楼宇社会工作站。</w:t>
      </w:r>
    </w:p>
    <w:p w:rsidR="00050D48" w:rsidRDefault="002A3412">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3.建立多元参与格局，促进社会工作发展。</w:t>
      </w:r>
      <w:proofErr w:type="gramStart"/>
      <w:r>
        <w:rPr>
          <w:rFonts w:ascii="仿宋_GB2312" w:eastAsia="仿宋_GB2312" w:hAnsi="仿宋" w:cs="仿宋" w:hint="eastAsia"/>
          <w:bCs/>
          <w:color w:val="000000" w:themeColor="text1"/>
          <w:sz w:val="32"/>
          <w:szCs w:val="32"/>
        </w:rPr>
        <w:t>完善社</w:t>
      </w:r>
      <w:proofErr w:type="gramEnd"/>
      <w:r>
        <w:rPr>
          <w:rFonts w:ascii="仿宋_GB2312" w:eastAsia="仿宋_GB2312" w:hAnsi="仿宋" w:cs="仿宋" w:hint="eastAsia"/>
          <w:bCs/>
          <w:color w:val="000000" w:themeColor="text1"/>
          <w:sz w:val="32"/>
          <w:szCs w:val="32"/>
        </w:rPr>
        <w:t>工人才队伍建设体制机制，实施社会工作“优才计划”；引导和建立以提供群众满意的专业化服务为中心的社会工作人才梯队；扩大街道</w:t>
      </w:r>
      <w:r>
        <w:rPr>
          <w:rFonts w:ascii="仿宋_GB2312" w:eastAsia="仿宋_GB2312" w:hAnsi="仿宋" w:cs="仿宋" w:hint="eastAsia"/>
          <w:bCs/>
          <w:color w:val="000000" w:themeColor="text1"/>
          <w:sz w:val="32"/>
          <w:szCs w:val="32"/>
        </w:rPr>
        <w:lastRenderedPageBreak/>
        <w:t>（镇）层面的社会工作服务平台（社工站）建设。</w:t>
      </w:r>
    </w:p>
    <w:p w:rsidR="00050D48" w:rsidRDefault="002A3412">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4.健全志愿服务工作体系，推动志愿服务发展。</w:t>
      </w:r>
      <w:r>
        <w:rPr>
          <w:rFonts w:ascii="仿宋_GB2312" w:eastAsia="仿宋_GB2312" w:hAnsi="仿宋" w:cs="仿宋" w:hint="eastAsia"/>
          <w:bCs/>
          <w:color w:val="000000" w:themeColor="text1"/>
          <w:sz w:val="32"/>
          <w:szCs w:val="32"/>
        </w:rPr>
        <w:t>大力发展志愿服务，建立“银龄伙伴”等服务平台，打造“门头沟热心人”品牌；优化志愿服务招募机制，构建多元化志愿者激励体系；发挥“幸福时间银行”等公益平台优势，推动志愿服务常态化；健全社会心理服务体系，将心理服务纳入基本公共服务体系，健全社会心理服务体系和危机干预机制。</w:t>
      </w:r>
    </w:p>
    <w:p w:rsidR="00050D48" w:rsidRDefault="002A3412">
      <w:pPr>
        <w:spacing w:line="560" w:lineRule="exact"/>
        <w:ind w:firstLineChars="200" w:firstLine="640"/>
        <w:rPr>
          <w:rFonts w:ascii="仿宋_GB2312" w:eastAsia="仿宋_GB2312" w:hAnsi="仿宋" w:cs="仿宋"/>
          <w:b/>
          <w:color w:val="000000" w:themeColor="text1"/>
          <w:sz w:val="32"/>
          <w:szCs w:val="32"/>
        </w:rPr>
      </w:pPr>
      <w:r>
        <w:rPr>
          <w:rFonts w:ascii="楷体_GB2312" w:eastAsia="楷体_GB2312" w:hAnsi="楷体_GB2312" w:cs="楷体_GB2312" w:hint="eastAsia"/>
          <w:color w:val="000000" w:themeColor="text1"/>
          <w:sz w:val="32"/>
          <w:szCs w:val="32"/>
        </w:rPr>
        <w:t>（三）打造优质</w:t>
      </w:r>
      <w:proofErr w:type="gramStart"/>
      <w:r>
        <w:rPr>
          <w:rFonts w:ascii="楷体_GB2312" w:eastAsia="楷体_GB2312" w:hAnsi="楷体_GB2312" w:cs="楷体_GB2312" w:hint="eastAsia"/>
          <w:color w:val="000000" w:themeColor="text1"/>
          <w:sz w:val="32"/>
          <w:szCs w:val="32"/>
        </w:rPr>
        <w:t>均衡可</w:t>
      </w:r>
      <w:proofErr w:type="gramEnd"/>
      <w:r>
        <w:rPr>
          <w:rFonts w:ascii="楷体_GB2312" w:eastAsia="楷体_GB2312" w:hAnsi="楷体_GB2312" w:cs="楷体_GB2312" w:hint="eastAsia"/>
          <w:color w:val="000000" w:themeColor="text1"/>
          <w:sz w:val="32"/>
          <w:szCs w:val="32"/>
        </w:rPr>
        <w:t>及的民政公共服务体系</w:t>
      </w:r>
    </w:p>
    <w:p w:rsidR="00050D48" w:rsidRDefault="002A3412">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1.深化婚姻登记管理服务改革，完善婚姻登记便民服务体系。</w:t>
      </w:r>
      <w:r>
        <w:rPr>
          <w:rFonts w:ascii="仿宋_GB2312" w:eastAsia="仿宋_GB2312" w:hAnsi="仿宋" w:cs="仿宋" w:hint="eastAsia"/>
          <w:bCs/>
          <w:color w:val="000000" w:themeColor="text1"/>
          <w:sz w:val="32"/>
          <w:szCs w:val="32"/>
        </w:rPr>
        <w:t>规范婚姻登记服务流程，完善婚姻登记预约服务制度，搭建婚姻家庭健康咨询和危机干预平台；加强婚姻登记服务人才建设，规范婚姻家庭服务市场，实施“幸福护航”暖心行动；指导街道（镇）发挥居民（村民）自治作用，提升婚姻登记信息化水平。</w:t>
      </w:r>
    </w:p>
    <w:p w:rsidR="00050D48" w:rsidRDefault="002A3412">
      <w:pPr>
        <w:spacing w:line="560" w:lineRule="exact"/>
        <w:ind w:firstLineChars="200" w:firstLine="643"/>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2.深化殡葬服务管理改革，构建节地生态的现代殡葬服务格局。</w:t>
      </w:r>
      <w:r>
        <w:rPr>
          <w:rFonts w:ascii="仿宋_GB2312" w:eastAsia="仿宋_GB2312" w:hAnsi="仿宋" w:cs="仿宋" w:hint="eastAsia"/>
          <w:bCs/>
          <w:color w:val="000000" w:themeColor="text1"/>
          <w:sz w:val="32"/>
          <w:szCs w:val="32"/>
        </w:rPr>
        <w:t>健全殡葬服务供给、殡葬市场监管、殡葬服务移风易俗等关键制度；健全殡葬服务监管体系，</w:t>
      </w:r>
      <w:proofErr w:type="gramStart"/>
      <w:r>
        <w:rPr>
          <w:rFonts w:ascii="仿宋_GB2312" w:eastAsia="仿宋_GB2312" w:hAnsi="仿宋" w:cs="仿宋" w:hint="eastAsia"/>
          <w:bCs/>
          <w:color w:val="000000" w:themeColor="text1"/>
          <w:sz w:val="32"/>
          <w:szCs w:val="32"/>
        </w:rPr>
        <w:t>完善部门</w:t>
      </w:r>
      <w:proofErr w:type="gramEnd"/>
      <w:r>
        <w:rPr>
          <w:rFonts w:ascii="仿宋_GB2312" w:eastAsia="仿宋_GB2312" w:hAnsi="仿宋" w:cs="仿宋" w:hint="eastAsia"/>
          <w:bCs/>
          <w:color w:val="000000" w:themeColor="text1"/>
          <w:sz w:val="32"/>
          <w:szCs w:val="32"/>
        </w:rPr>
        <w:t>协同联动监管机制；依托民政特有的红色资源优势和数字经济新技术，打造沉浸式文化体验园。</w:t>
      </w:r>
    </w:p>
    <w:p w:rsidR="00050D48" w:rsidRDefault="002A3412">
      <w:pPr>
        <w:spacing w:line="560" w:lineRule="exact"/>
        <w:ind w:firstLineChars="200" w:firstLine="643"/>
        <w:outlineLvl w:val="0"/>
        <w:rPr>
          <w:rFonts w:ascii="楷体_GB2312" w:eastAsia="楷体_GB2312" w:hAnsi="楷体_GB2312" w:cs="楷体_GB2312"/>
          <w:color w:val="000000" w:themeColor="text1"/>
          <w:sz w:val="32"/>
          <w:szCs w:val="32"/>
        </w:rPr>
      </w:pPr>
      <w:r>
        <w:rPr>
          <w:rFonts w:ascii="仿宋_GB2312" w:eastAsia="仿宋_GB2312" w:hAnsi="仿宋" w:cs="仿宋" w:hint="eastAsia"/>
          <w:b/>
          <w:color w:val="000000" w:themeColor="text1"/>
          <w:sz w:val="32"/>
          <w:szCs w:val="32"/>
        </w:rPr>
        <w:t>3.推进社会组织管理体制改革，建立中国特色社会组织管理新体制。</w:t>
      </w:r>
      <w:r>
        <w:rPr>
          <w:rFonts w:ascii="仿宋_GB2312" w:eastAsia="仿宋_GB2312" w:hAnsi="仿宋" w:cs="仿宋" w:hint="eastAsia"/>
          <w:bCs/>
          <w:color w:val="000000" w:themeColor="text1"/>
          <w:sz w:val="32"/>
          <w:szCs w:val="32"/>
        </w:rPr>
        <w:t>推动社会组织党建工作，实现社会组织党的组织和党的工作全覆盖；强化社会组织登记审查，建立社会组织的退出机制；探索区级社会组织管理制度设计，创新社会组织监管评估机制。</w:t>
      </w:r>
    </w:p>
    <w:p w:rsidR="00050D48" w:rsidRDefault="002A3412">
      <w:pPr>
        <w:spacing w:line="560" w:lineRule="exact"/>
        <w:ind w:firstLineChars="200" w:firstLine="640"/>
        <w:outlineLvl w:val="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sz w:val="32"/>
          <w:szCs w:val="32"/>
        </w:rPr>
        <w:lastRenderedPageBreak/>
        <w:t>（四）建设强有力的民政科技支撑体系</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1.建设智慧民政。</w:t>
      </w:r>
      <w:r>
        <w:rPr>
          <w:rFonts w:ascii="仿宋_GB2312" w:eastAsia="仿宋_GB2312" w:hAnsi="仿宋" w:cs="仿宋" w:hint="eastAsia"/>
          <w:bCs/>
          <w:color w:val="000000" w:themeColor="text1"/>
          <w:sz w:val="32"/>
          <w:szCs w:val="32"/>
        </w:rPr>
        <w:t>发挥现代信息技术优势，加强民政业务管理信息系统建设；引导居民运用网站、</w:t>
      </w:r>
      <w:proofErr w:type="gramStart"/>
      <w:r>
        <w:rPr>
          <w:rFonts w:ascii="仿宋_GB2312" w:eastAsia="仿宋_GB2312" w:hAnsi="仿宋" w:cs="仿宋" w:hint="eastAsia"/>
          <w:bCs/>
          <w:color w:val="000000" w:themeColor="text1"/>
          <w:sz w:val="32"/>
          <w:szCs w:val="32"/>
        </w:rPr>
        <w:t>微信等</w:t>
      </w:r>
      <w:proofErr w:type="gramEnd"/>
      <w:r>
        <w:rPr>
          <w:rFonts w:ascii="仿宋_GB2312" w:eastAsia="仿宋_GB2312" w:hAnsi="仿宋" w:cs="仿宋" w:hint="eastAsia"/>
          <w:bCs/>
          <w:color w:val="000000" w:themeColor="text1"/>
          <w:sz w:val="32"/>
          <w:szCs w:val="32"/>
        </w:rPr>
        <w:t>信息化手段参与社区服务，通过网络参与社区事务；实施“互联网+民政服务”计划，加快推进“智慧社区”建设。</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2.推进养老“大数据”建设。</w:t>
      </w:r>
      <w:r>
        <w:rPr>
          <w:rFonts w:ascii="仿宋_GB2312" w:eastAsia="仿宋_GB2312" w:hAnsi="仿宋" w:cs="仿宋" w:hint="eastAsia"/>
          <w:bCs/>
          <w:color w:val="000000" w:themeColor="text1"/>
          <w:sz w:val="32"/>
          <w:szCs w:val="32"/>
        </w:rPr>
        <w:t>建立养老资源的“大数据”，精准识别服务对象；提供“互联网+养老服务”养老服务模式，打造“一网一线</w:t>
      </w:r>
      <w:proofErr w:type="gramStart"/>
      <w:r>
        <w:rPr>
          <w:rFonts w:ascii="仿宋_GB2312" w:eastAsia="仿宋_GB2312" w:hAnsi="仿宋" w:cs="仿宋" w:hint="eastAsia"/>
          <w:bCs/>
          <w:color w:val="000000" w:themeColor="text1"/>
          <w:sz w:val="32"/>
          <w:szCs w:val="32"/>
        </w:rPr>
        <w:t>一</w:t>
      </w:r>
      <w:proofErr w:type="gramEnd"/>
      <w:r>
        <w:rPr>
          <w:rFonts w:ascii="仿宋_GB2312" w:eastAsia="仿宋_GB2312" w:hAnsi="仿宋" w:cs="仿宋" w:hint="eastAsia"/>
          <w:bCs/>
          <w:color w:val="000000" w:themeColor="text1"/>
          <w:sz w:val="32"/>
          <w:szCs w:val="32"/>
        </w:rPr>
        <w:t>手机”的智慧养老综合服务平台；应用智能终端、信息系统、APP应用、</w:t>
      </w:r>
      <w:proofErr w:type="gramStart"/>
      <w:r>
        <w:rPr>
          <w:rFonts w:ascii="仿宋_GB2312" w:eastAsia="仿宋_GB2312" w:hAnsi="仿宋" w:cs="仿宋" w:hint="eastAsia"/>
          <w:bCs/>
          <w:color w:val="000000" w:themeColor="text1"/>
          <w:sz w:val="32"/>
          <w:szCs w:val="32"/>
        </w:rPr>
        <w:t>微信公众号</w:t>
      </w:r>
      <w:proofErr w:type="gramEnd"/>
      <w:r>
        <w:rPr>
          <w:rFonts w:ascii="仿宋_GB2312" w:eastAsia="仿宋_GB2312" w:hAnsi="仿宋" w:cs="仿宋" w:hint="eastAsia"/>
          <w:bCs/>
          <w:color w:val="000000" w:themeColor="text1"/>
          <w:sz w:val="32"/>
          <w:szCs w:val="32"/>
        </w:rPr>
        <w:t>等，建设虚拟养老院。</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3.加强民政基础设施建设。</w:t>
      </w:r>
      <w:r>
        <w:rPr>
          <w:rFonts w:ascii="仿宋_GB2312" w:eastAsia="仿宋_GB2312" w:hAnsi="仿宋" w:cs="仿宋" w:hint="eastAsia"/>
          <w:bCs/>
          <w:color w:val="000000" w:themeColor="text1"/>
          <w:sz w:val="32"/>
          <w:szCs w:val="32"/>
        </w:rPr>
        <w:t>加强设施建设总体统筹，完善设施建设统筹协调管理体系，推动民政设施建设</w:t>
      </w:r>
      <w:proofErr w:type="gramStart"/>
      <w:r>
        <w:rPr>
          <w:rFonts w:ascii="仿宋_GB2312" w:eastAsia="仿宋_GB2312" w:hAnsi="仿宋" w:cs="仿宋" w:hint="eastAsia"/>
          <w:bCs/>
          <w:color w:val="000000" w:themeColor="text1"/>
          <w:sz w:val="32"/>
          <w:szCs w:val="32"/>
        </w:rPr>
        <w:t>落图落细</w:t>
      </w:r>
      <w:proofErr w:type="gramEnd"/>
      <w:r>
        <w:rPr>
          <w:rFonts w:ascii="仿宋_GB2312" w:eastAsia="仿宋_GB2312" w:hAnsi="仿宋" w:cs="仿宋" w:hint="eastAsia"/>
          <w:bCs/>
          <w:color w:val="000000" w:themeColor="text1"/>
          <w:sz w:val="32"/>
          <w:szCs w:val="32"/>
        </w:rPr>
        <w:t>；优化设施建设布局，建立健全纵向统筹服务需求，横向覆盖“十大领域”的设施建设布局；推进区级基础设施建设，2025年，达成市级建设规划的目标。</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4.提升社会治理科学水平。</w:t>
      </w:r>
      <w:r>
        <w:rPr>
          <w:rFonts w:ascii="仿宋_GB2312" w:eastAsia="仿宋_GB2312" w:hAnsi="仿宋" w:cs="仿宋" w:hint="eastAsia"/>
          <w:bCs/>
          <w:color w:val="000000" w:themeColor="text1"/>
          <w:sz w:val="32"/>
          <w:szCs w:val="32"/>
        </w:rPr>
        <w:t>探索形成大数据平台支撑基层业务开展的工作机制，不断优化基层治理模式；完善网格化服务管理信息平台建设，提高人、地、物、事、组织的智能化管理水平；推动“智慧社区”建设，配合做好社区治理“一库两平台”建设，提升社区工作效能；推进社区物联网建设，</w:t>
      </w:r>
      <w:proofErr w:type="gramStart"/>
      <w:r>
        <w:rPr>
          <w:rFonts w:ascii="仿宋_GB2312" w:eastAsia="仿宋_GB2312" w:hAnsi="仿宋" w:cs="仿宋" w:hint="eastAsia"/>
          <w:bCs/>
          <w:color w:val="000000" w:themeColor="text1"/>
          <w:sz w:val="32"/>
          <w:szCs w:val="32"/>
        </w:rPr>
        <w:t>培育线</w:t>
      </w:r>
      <w:proofErr w:type="gramEnd"/>
      <w:r>
        <w:rPr>
          <w:rFonts w:ascii="仿宋_GB2312" w:eastAsia="仿宋_GB2312" w:hAnsi="仿宋" w:cs="仿宋" w:hint="eastAsia"/>
          <w:bCs/>
          <w:color w:val="000000" w:themeColor="text1"/>
          <w:sz w:val="32"/>
          <w:szCs w:val="32"/>
        </w:rPr>
        <w:t>上线下有机融合的社区服务新模式，推动社区互动常态化、智能化。</w:t>
      </w:r>
    </w:p>
    <w:p w:rsidR="00050D48" w:rsidRDefault="002A3412">
      <w:pPr>
        <w:spacing w:line="560" w:lineRule="exact"/>
        <w:ind w:firstLineChars="200" w:firstLine="640"/>
        <w:outlineLvl w:val="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sz w:val="32"/>
          <w:szCs w:val="32"/>
        </w:rPr>
        <w:t>（五）完善新型民政监管体系</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1.健全管理制度。</w:t>
      </w:r>
      <w:r>
        <w:rPr>
          <w:rFonts w:ascii="仿宋_GB2312" w:eastAsia="仿宋_GB2312" w:hAnsi="仿宋" w:cs="仿宋" w:hint="eastAsia"/>
          <w:bCs/>
          <w:color w:val="000000" w:themeColor="text1"/>
          <w:sz w:val="32"/>
          <w:szCs w:val="32"/>
        </w:rPr>
        <w:t>依法监督，加强事中事后监管；推行法律</w:t>
      </w:r>
      <w:r>
        <w:rPr>
          <w:rFonts w:ascii="仿宋_GB2312" w:eastAsia="仿宋_GB2312" w:hAnsi="仿宋" w:cs="仿宋" w:hint="eastAsia"/>
          <w:bCs/>
          <w:color w:val="000000" w:themeColor="text1"/>
          <w:sz w:val="32"/>
          <w:szCs w:val="32"/>
        </w:rPr>
        <w:lastRenderedPageBreak/>
        <w:t>顾问制度，引导群众办事依法、遇事找法、解决问题用法、化解矛盾靠法；强化底线思维，完善风险管理制度机制，实现风险管理全覆盖。</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2.创新监管形式。</w:t>
      </w:r>
      <w:r>
        <w:rPr>
          <w:rFonts w:ascii="仿宋_GB2312" w:eastAsia="仿宋_GB2312" w:hAnsi="仿宋" w:cs="仿宋" w:hint="eastAsia"/>
          <w:bCs/>
          <w:color w:val="000000" w:themeColor="text1"/>
          <w:sz w:val="32"/>
          <w:szCs w:val="32"/>
        </w:rPr>
        <w:t>健全完善综合监管体制，推进社会组织制度化、精细化、专业化监管；构建信息化监管、信用监管、第三方监管、政务公开等紧密结合的新型监管体系；畅通信息渠道，加强群众监督，建立群众信息反馈机制。</w:t>
      </w:r>
    </w:p>
    <w:p w:rsidR="00050D48" w:rsidRDefault="002A3412">
      <w:pPr>
        <w:spacing w:line="560" w:lineRule="exact"/>
        <w:ind w:firstLineChars="200" w:firstLine="643"/>
        <w:outlineLvl w:val="0"/>
        <w:rPr>
          <w:rFonts w:ascii="仿宋_GB2312" w:eastAsia="仿宋_GB2312" w:hAnsi="仿宋" w:cs="仿宋"/>
          <w:bCs/>
          <w:color w:val="000000" w:themeColor="text1"/>
          <w:sz w:val="32"/>
          <w:szCs w:val="32"/>
        </w:rPr>
      </w:pPr>
      <w:r>
        <w:rPr>
          <w:rFonts w:ascii="仿宋_GB2312" w:eastAsia="仿宋_GB2312" w:hAnsi="仿宋" w:cs="仿宋" w:hint="eastAsia"/>
          <w:b/>
          <w:color w:val="000000" w:themeColor="text1"/>
          <w:sz w:val="32"/>
          <w:szCs w:val="32"/>
        </w:rPr>
        <w:t>3.压实责任主体。</w:t>
      </w:r>
      <w:r>
        <w:rPr>
          <w:rFonts w:ascii="仿宋_GB2312" w:eastAsia="仿宋_GB2312" w:hAnsi="仿宋" w:cs="仿宋" w:hint="eastAsia"/>
          <w:bCs/>
          <w:color w:val="000000" w:themeColor="text1"/>
          <w:sz w:val="32"/>
          <w:szCs w:val="32"/>
        </w:rPr>
        <w:t>完善依法行政考核指标体系，民政工作纳入相关单位（部门）和干部绩效考核体系；制定部门实施计划，细化工作任务，分解进度指标，明确责任单位和进度要求，加强监督检查。</w:t>
      </w:r>
    </w:p>
    <w:p w:rsidR="00050D48" w:rsidRDefault="002A3412">
      <w:pPr>
        <w:spacing w:line="560" w:lineRule="exact"/>
        <w:jc w:val="center"/>
        <w:rPr>
          <w:rFonts w:ascii="楷体_GB2312" w:eastAsia="楷体_GB2312" w:hAnsi="楷体_GB2312" w:cs="楷体_GB2312"/>
          <w:color w:val="000000" w:themeColor="text1"/>
          <w:sz w:val="32"/>
          <w:szCs w:val="32"/>
        </w:rPr>
      </w:pPr>
      <w:r>
        <w:rPr>
          <w:rFonts w:ascii="仿宋_GB2312" w:eastAsia="仿宋_GB2312" w:hAnsi="仿宋_GB2312" w:cs="仿宋_GB2312" w:hint="eastAsia"/>
          <w:b/>
          <w:sz w:val="28"/>
          <w:szCs w:val="28"/>
        </w:rPr>
        <w:t>“十四五”时期门头沟区民政事业发展主要指标</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005"/>
        <w:gridCol w:w="750"/>
        <w:gridCol w:w="4459"/>
        <w:gridCol w:w="1022"/>
      </w:tblGrid>
      <w:tr w:rsidR="00050D48">
        <w:trPr>
          <w:trHeight w:val="492"/>
          <w:jc w:val="center"/>
        </w:trPr>
        <w:tc>
          <w:tcPr>
            <w:tcW w:w="1487" w:type="dxa"/>
            <w:gridSpan w:val="2"/>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领域</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459"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指  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2025年</w:t>
            </w:r>
          </w:p>
        </w:tc>
      </w:tr>
      <w:tr w:rsidR="00050D48">
        <w:trPr>
          <w:trHeight w:val="492"/>
          <w:jc w:val="center"/>
        </w:trPr>
        <w:tc>
          <w:tcPr>
            <w:tcW w:w="482"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基本民生保障</w:t>
            </w:r>
          </w:p>
        </w:tc>
        <w:tc>
          <w:tcPr>
            <w:tcW w:w="1005"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社会</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救助</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459" w:type="dxa"/>
            <w:vAlign w:val="center"/>
          </w:tcPr>
          <w:p w:rsidR="00050D48" w:rsidRDefault="002A3412">
            <w:pPr>
              <w:jc w:val="left"/>
              <w:rPr>
                <w:rFonts w:ascii="仿宋_GB2312" w:eastAsia="仿宋_GB2312" w:hAnsi="仿宋_GB2312" w:cs="仿宋_GB2312"/>
                <w:sz w:val="24"/>
              </w:rPr>
            </w:pPr>
            <w:r>
              <w:rPr>
                <w:rFonts w:ascii="仿宋_GB2312" w:eastAsia="仿宋_GB2312" w:hAnsi="仿宋_GB2312" w:cs="仿宋_GB2312" w:hint="eastAsia"/>
                <w:sz w:val="24"/>
              </w:rPr>
              <w:t>有集中供养需求的特困对象集中供养率（%）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050D48">
        <w:trPr>
          <w:trHeight w:val="90"/>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接济</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救助</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459" w:type="dxa"/>
            <w:vAlign w:val="center"/>
          </w:tcPr>
          <w:p w:rsidR="00050D48" w:rsidRDefault="002A3412">
            <w:pPr>
              <w:jc w:val="left"/>
              <w:rPr>
                <w:rFonts w:ascii="仿宋_GB2312" w:eastAsia="仿宋_GB2312" w:hAnsi="仿宋_GB2312" w:cs="仿宋_GB2312"/>
                <w:sz w:val="24"/>
              </w:rPr>
            </w:pPr>
            <w:r>
              <w:rPr>
                <w:rFonts w:ascii="仿宋_GB2312" w:eastAsia="仿宋_GB2312" w:hAnsi="仿宋_GB2312" w:cs="仿宋_GB2312" w:hint="eastAsia"/>
                <w:sz w:val="24"/>
              </w:rPr>
              <w:t>临时救助和长期照料总床位数（张）※</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≥50</w:t>
            </w:r>
          </w:p>
        </w:tc>
      </w:tr>
      <w:tr w:rsidR="00050D48">
        <w:trPr>
          <w:trHeight w:val="3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养老</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每千名常住人口养老床位数（张）</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050D48">
        <w:trPr>
          <w:trHeight w:val="4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建成运营街道乡镇养老照料中心数量（家）※</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050D48">
        <w:trPr>
          <w:trHeight w:val="380"/>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建成运营社区养老服务驿站（家）※</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≥36</w:t>
            </w:r>
          </w:p>
        </w:tc>
      </w:tr>
      <w:tr w:rsidR="00050D48">
        <w:trPr>
          <w:trHeight w:val="33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万名老年人拥有养老护理员数（名）</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≥40</w:t>
            </w:r>
          </w:p>
        </w:tc>
      </w:tr>
      <w:tr w:rsidR="00050D48">
        <w:trPr>
          <w:trHeight w:val="342"/>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残疾人</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福利</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区级精神卫生福利床位数（张）※</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050D48">
        <w:trPr>
          <w:trHeight w:val="90"/>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开展精神障碍社区康复服务的街道乡镇占比（%）</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≥80</w:t>
            </w:r>
          </w:p>
        </w:tc>
      </w:tr>
      <w:tr w:rsidR="00050D48">
        <w:trPr>
          <w:trHeight w:val="472"/>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儿童</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福利</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社会散居孤儿供养标准与人均消费支出比值</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≥0.6</w:t>
            </w:r>
          </w:p>
        </w:tc>
      </w:tr>
      <w:tr w:rsidR="00050D48">
        <w:trPr>
          <w:trHeight w:val="42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每万人户籍儿童机构床位数（张）※</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050D48">
        <w:trPr>
          <w:trHeight w:val="3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区级儿童福利机构数量（所）※</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050D48">
        <w:trPr>
          <w:trHeight w:val="495"/>
          <w:jc w:val="center"/>
        </w:trPr>
        <w:tc>
          <w:tcPr>
            <w:tcW w:w="482"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基层社会治理</w:t>
            </w: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城乡</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社区</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治理</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社区书记工作室示范点（</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050D48">
        <w:trPr>
          <w:trHeight w:val="4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4459" w:type="dxa"/>
            <w:vAlign w:val="center"/>
          </w:tcPr>
          <w:p w:rsidR="00050D48" w:rsidRDefault="002A3412">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社区居民委员会直接选举和户代表选举比例（%）</w:t>
            </w:r>
            <w:r>
              <w:rPr>
                <w:rFonts w:ascii="仿宋_GB2312" w:eastAsia="仿宋_GB2312" w:hAnsi="仿宋_GB2312" w:cs="仿宋_GB2312" w:hint="eastAsia"/>
                <w:sz w:val="24"/>
              </w:rPr>
              <w:t>※</w:t>
            </w:r>
          </w:p>
        </w:tc>
        <w:tc>
          <w:tcPr>
            <w:tcW w:w="1022" w:type="dxa"/>
            <w:vAlign w:val="center"/>
          </w:tcPr>
          <w:p w:rsidR="00050D48" w:rsidRDefault="002A3412">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80</w:t>
            </w:r>
          </w:p>
        </w:tc>
      </w:tr>
      <w:tr w:rsidR="00050D48">
        <w:trPr>
          <w:trHeight w:val="4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城乡社区楼门</w:t>
            </w:r>
            <w:proofErr w:type="gramStart"/>
            <w:r>
              <w:rPr>
                <w:rFonts w:ascii="仿宋_GB2312" w:eastAsia="仿宋_GB2312" w:hAnsi="仿宋_GB2312" w:cs="仿宋_GB2312" w:hint="eastAsia"/>
                <w:sz w:val="24"/>
              </w:rPr>
              <w:t>院治理</w:t>
            </w:r>
            <w:proofErr w:type="gramEnd"/>
            <w:r>
              <w:rPr>
                <w:rFonts w:ascii="仿宋_GB2312" w:eastAsia="仿宋_GB2312" w:hAnsi="仿宋_GB2312" w:cs="仿宋_GB2312" w:hint="eastAsia"/>
                <w:sz w:val="24"/>
              </w:rPr>
              <w:t>示范点（</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≥50</w:t>
            </w:r>
          </w:p>
        </w:tc>
      </w:tr>
      <w:tr w:rsidR="00050D48">
        <w:trPr>
          <w:trHeight w:val="4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459" w:type="dxa"/>
            <w:vAlign w:val="center"/>
          </w:tcPr>
          <w:p w:rsidR="00050D48" w:rsidRDefault="002A3412">
            <w:pPr>
              <w:widowControl/>
              <w:rPr>
                <w:rFonts w:ascii="仿宋_GB2312" w:eastAsia="仿宋_GB2312" w:hAnsi="仿宋_GB2312" w:cs="仿宋_GB2312"/>
                <w:kern w:val="0"/>
                <w:sz w:val="24"/>
              </w:rPr>
            </w:pPr>
            <w:r>
              <w:rPr>
                <w:rFonts w:ascii="仿宋_GB2312" w:eastAsia="仿宋_GB2312" w:hAnsi="仿宋_GB2312" w:cs="仿宋_GB2312" w:hint="eastAsia"/>
                <w:kern w:val="0"/>
                <w:sz w:val="24"/>
              </w:rPr>
              <w:t>每个社区的社区工作者本社区化率（%）</w:t>
            </w:r>
          </w:p>
        </w:tc>
        <w:tc>
          <w:tcPr>
            <w:tcW w:w="1022" w:type="dxa"/>
            <w:vAlign w:val="center"/>
          </w:tcPr>
          <w:p w:rsidR="00050D48" w:rsidRDefault="002A3412">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p>
        </w:tc>
      </w:tr>
      <w:tr w:rsidR="00050D48">
        <w:trPr>
          <w:trHeight w:val="33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实施村（居）委会建制转化调整（</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050D48">
        <w:trPr>
          <w:trHeight w:val="380"/>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社会</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组织</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4459" w:type="dxa"/>
            <w:vAlign w:val="center"/>
          </w:tcPr>
          <w:p w:rsidR="00050D48" w:rsidRDefault="002A3412">
            <w:pPr>
              <w:jc w:val="left"/>
              <w:rPr>
                <w:rFonts w:ascii="仿宋_GB2312" w:eastAsia="仿宋_GB2312" w:hAnsi="仿宋_GB2312" w:cs="仿宋_GB2312"/>
                <w:sz w:val="24"/>
              </w:rPr>
            </w:pPr>
            <w:r>
              <w:rPr>
                <w:rFonts w:ascii="仿宋_GB2312" w:eastAsia="仿宋_GB2312" w:hAnsi="仿宋_GB2312" w:cs="仿宋_GB2312" w:hint="eastAsia"/>
                <w:sz w:val="24"/>
              </w:rPr>
              <w:t>街乡级社会组织联合会覆盖率（%）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050D48">
        <w:trPr>
          <w:trHeight w:val="410"/>
          <w:jc w:val="center"/>
        </w:trPr>
        <w:tc>
          <w:tcPr>
            <w:tcW w:w="482" w:type="dxa"/>
            <w:vMerge/>
            <w:vAlign w:val="center"/>
          </w:tcPr>
          <w:p w:rsidR="00050D48" w:rsidRDefault="00050D48">
            <w:pPr>
              <w:jc w:val="center"/>
              <w:rPr>
                <w:rFonts w:ascii="仿宋_GB2312" w:eastAsia="仿宋_GB2312" w:hAnsi="仿宋_GB2312" w:cs="仿宋_GB2312"/>
                <w:sz w:val="24"/>
                <w:highlight w:val="yellow"/>
              </w:rPr>
            </w:pPr>
          </w:p>
        </w:tc>
        <w:tc>
          <w:tcPr>
            <w:tcW w:w="1005" w:type="dxa"/>
            <w:vMerge/>
            <w:vAlign w:val="center"/>
          </w:tcPr>
          <w:p w:rsidR="00050D48" w:rsidRDefault="00050D48">
            <w:pPr>
              <w:jc w:val="center"/>
              <w:rPr>
                <w:rFonts w:ascii="仿宋_GB2312" w:eastAsia="仿宋_GB2312" w:hAnsi="仿宋_GB2312" w:cs="仿宋_GB2312"/>
                <w:sz w:val="24"/>
                <w:highlight w:val="yellow"/>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社区社会组织数量（家）</w:t>
            </w:r>
          </w:p>
        </w:tc>
        <w:tc>
          <w:tcPr>
            <w:tcW w:w="1022"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≥3000</w:t>
            </w:r>
          </w:p>
        </w:tc>
      </w:tr>
      <w:tr w:rsidR="00050D48">
        <w:trPr>
          <w:trHeight w:val="37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社会</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工作</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社会工作专业服务机构（家）</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050D48">
        <w:trPr>
          <w:trHeight w:val="41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社会工作专业人才总量（人）</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≥1300</w:t>
            </w:r>
          </w:p>
        </w:tc>
      </w:tr>
      <w:tr w:rsidR="00050D48">
        <w:trPr>
          <w:trHeight w:val="55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获得社会工作者职业水平证书的专业人才（人）</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≥350</w:t>
            </w:r>
          </w:p>
        </w:tc>
      </w:tr>
      <w:tr w:rsidR="00050D48">
        <w:trPr>
          <w:trHeight w:val="55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志愿</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志愿服务站点在社区综合服务设施中的覆盖率（%）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050D48">
        <w:trPr>
          <w:trHeight w:val="495"/>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实名注册志愿者占常住人口的比例（%）</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21</w:t>
            </w:r>
          </w:p>
        </w:tc>
      </w:tr>
      <w:tr w:rsidR="00050D48">
        <w:trPr>
          <w:trHeight w:val="410"/>
          <w:jc w:val="center"/>
        </w:trPr>
        <w:tc>
          <w:tcPr>
            <w:tcW w:w="482"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基本社会服务</w:t>
            </w:r>
          </w:p>
        </w:tc>
        <w:tc>
          <w:tcPr>
            <w:tcW w:w="1005"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婚姻</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5A级婚姻登记机关※</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050D48">
        <w:trPr>
          <w:trHeight w:val="417"/>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殡葬</w:t>
            </w:r>
          </w:p>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服务</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节地生态安葬率（%）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≥60</w:t>
            </w:r>
          </w:p>
        </w:tc>
      </w:tr>
      <w:tr w:rsidR="00050D48">
        <w:trPr>
          <w:trHeight w:val="372"/>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公益性公墓乡镇服务覆盖率（%）※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≥80</w:t>
            </w:r>
          </w:p>
        </w:tc>
      </w:tr>
      <w:tr w:rsidR="00050D48">
        <w:trPr>
          <w:trHeight w:val="417"/>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慈善事业发展</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基层慈善服务站点对社区覆盖率（%）※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050D48">
        <w:trPr>
          <w:trHeight w:val="387"/>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restart"/>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社会心理服务</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社会心理服务覆盖社区村比例（%）</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≥80</w:t>
            </w:r>
          </w:p>
        </w:tc>
      </w:tr>
      <w:tr w:rsidR="00050D48">
        <w:trPr>
          <w:trHeight w:val="372"/>
          <w:jc w:val="center"/>
        </w:trPr>
        <w:tc>
          <w:tcPr>
            <w:tcW w:w="482" w:type="dxa"/>
            <w:vMerge/>
            <w:vAlign w:val="center"/>
          </w:tcPr>
          <w:p w:rsidR="00050D48" w:rsidRDefault="00050D48">
            <w:pPr>
              <w:jc w:val="center"/>
              <w:rPr>
                <w:rFonts w:ascii="仿宋_GB2312" w:eastAsia="仿宋_GB2312" w:hAnsi="仿宋_GB2312" w:cs="仿宋_GB2312"/>
                <w:sz w:val="24"/>
              </w:rPr>
            </w:pPr>
          </w:p>
        </w:tc>
        <w:tc>
          <w:tcPr>
            <w:tcW w:w="1005" w:type="dxa"/>
            <w:vMerge/>
            <w:vAlign w:val="center"/>
          </w:tcPr>
          <w:p w:rsidR="00050D48" w:rsidRDefault="00050D48">
            <w:pPr>
              <w:jc w:val="center"/>
              <w:rPr>
                <w:rFonts w:ascii="仿宋_GB2312" w:eastAsia="仿宋_GB2312" w:hAnsi="仿宋_GB2312" w:cs="仿宋_GB2312"/>
                <w:sz w:val="24"/>
              </w:rPr>
            </w:pP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29</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建成社会心理服务中心/站数量（</w:t>
            </w:r>
            <w:proofErr w:type="gramStart"/>
            <w:r>
              <w:rPr>
                <w:rFonts w:ascii="仿宋_GB2312" w:eastAsia="仿宋_GB2312" w:hAnsi="仿宋_GB2312" w:cs="仿宋_GB2312" w:hint="eastAsia"/>
                <w:sz w:val="24"/>
              </w:rPr>
              <w:t>个</w:t>
            </w:r>
            <w:proofErr w:type="gramEnd"/>
            <w:r>
              <w:rPr>
                <w:rFonts w:ascii="仿宋_GB2312" w:eastAsia="仿宋_GB2312" w:hAnsi="仿宋_GB2312" w:cs="仿宋_GB2312" w:hint="eastAsia"/>
                <w:sz w:val="24"/>
              </w:rPr>
              <w:t>）</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050D48">
        <w:trPr>
          <w:trHeight w:val="372"/>
          <w:jc w:val="center"/>
        </w:trPr>
        <w:tc>
          <w:tcPr>
            <w:tcW w:w="1487" w:type="dxa"/>
            <w:gridSpan w:val="2"/>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基础保障</w:t>
            </w:r>
          </w:p>
        </w:tc>
        <w:tc>
          <w:tcPr>
            <w:tcW w:w="750"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4459" w:type="dxa"/>
            <w:vAlign w:val="center"/>
          </w:tcPr>
          <w:p w:rsidR="00050D48" w:rsidRDefault="002A3412">
            <w:pPr>
              <w:rPr>
                <w:rFonts w:ascii="仿宋_GB2312" w:eastAsia="仿宋_GB2312" w:hAnsi="仿宋_GB2312" w:cs="仿宋_GB2312"/>
                <w:sz w:val="24"/>
              </w:rPr>
            </w:pPr>
            <w:r>
              <w:rPr>
                <w:rFonts w:ascii="仿宋_GB2312" w:eastAsia="仿宋_GB2312" w:hAnsi="仿宋_GB2312" w:cs="仿宋_GB2312" w:hint="eastAsia"/>
                <w:sz w:val="24"/>
              </w:rPr>
              <w:t>社会建设和民政领域政务服务事项网上办理率（%）</w:t>
            </w:r>
          </w:p>
        </w:tc>
        <w:tc>
          <w:tcPr>
            <w:tcW w:w="1022" w:type="dxa"/>
            <w:vAlign w:val="center"/>
          </w:tcPr>
          <w:p w:rsidR="00050D48" w:rsidRDefault="002A3412">
            <w:pPr>
              <w:jc w:val="center"/>
              <w:rPr>
                <w:rFonts w:ascii="仿宋_GB2312" w:eastAsia="仿宋_GB2312" w:hAnsi="仿宋_GB2312" w:cs="仿宋_GB2312"/>
                <w:sz w:val="24"/>
              </w:rPr>
            </w:pPr>
            <w:r>
              <w:rPr>
                <w:rFonts w:ascii="仿宋_GB2312" w:eastAsia="仿宋_GB2312" w:hAnsi="仿宋_GB2312" w:cs="仿宋_GB2312" w:hint="eastAsia"/>
                <w:sz w:val="24"/>
              </w:rPr>
              <w:t>95</w:t>
            </w:r>
          </w:p>
        </w:tc>
      </w:tr>
    </w:tbl>
    <w:p w:rsidR="00050D48" w:rsidRDefault="002A3412">
      <w:pPr>
        <w:spacing w:line="560" w:lineRule="exact"/>
        <w:ind w:firstLineChars="200" w:firstLine="480"/>
        <w:jc w:val="left"/>
        <w:rPr>
          <w:rFonts w:ascii="黑体" w:eastAsia="黑体" w:hAnsi="黑体" w:cs="黑体"/>
          <w:color w:val="000000" w:themeColor="text1"/>
          <w:sz w:val="32"/>
          <w:szCs w:val="32"/>
        </w:rPr>
      </w:pPr>
      <w:r>
        <w:rPr>
          <w:rFonts w:ascii="仿宋_GB2312" w:eastAsia="仿宋_GB2312" w:hAnsi="仿宋_GB2312" w:cs="仿宋_GB2312" w:hint="eastAsia"/>
          <w:sz w:val="24"/>
        </w:rPr>
        <w:t>备注：上表中带“※”的指标均为约束性指标，其它指标均为预期性指标。</w:t>
      </w:r>
    </w:p>
    <w:p w:rsidR="00050D48" w:rsidRDefault="002A3412">
      <w:pPr>
        <w:spacing w:line="58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（六）保障措施</w:t>
      </w:r>
    </w:p>
    <w:p w:rsidR="00050D48" w:rsidRDefault="002A34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1.加强政治建设。</w:t>
      </w:r>
      <w:r>
        <w:rPr>
          <w:rFonts w:ascii="仿宋_GB2312" w:eastAsia="仿宋_GB2312" w:hAnsi="仿宋_GB2312" w:cs="仿宋_GB2312" w:hint="eastAsia"/>
          <w:sz w:val="32"/>
          <w:szCs w:val="32"/>
        </w:rPr>
        <w:t>增强“四个意识”，坚定“四个自信”，做到“两个维护”，为实施规划提供坚强的政治保证；坚持党建引领，加强领导班子建设，推动党的建设与业务发展深度融合；做</w:t>
      </w:r>
      <w:r>
        <w:rPr>
          <w:rFonts w:ascii="仿宋_GB2312" w:eastAsia="仿宋_GB2312" w:hAnsi="仿宋_GB2312" w:cs="仿宋_GB2312" w:hint="eastAsia"/>
          <w:sz w:val="32"/>
          <w:szCs w:val="32"/>
        </w:rPr>
        <w:lastRenderedPageBreak/>
        <w:t>好本规划与市规划提出的战略思路和主要目标的衔接，做好重要指标任务的分解和落实；贯彻落实全面从</w:t>
      </w:r>
      <w:proofErr w:type="gramStart"/>
      <w:r>
        <w:rPr>
          <w:rFonts w:ascii="仿宋_GB2312" w:eastAsia="仿宋_GB2312" w:hAnsi="仿宋_GB2312" w:cs="仿宋_GB2312" w:hint="eastAsia"/>
          <w:sz w:val="32"/>
          <w:szCs w:val="32"/>
        </w:rPr>
        <w:t>严管党</w:t>
      </w:r>
      <w:proofErr w:type="gramEnd"/>
      <w:r>
        <w:rPr>
          <w:rFonts w:ascii="仿宋_GB2312" w:eastAsia="仿宋_GB2312" w:hAnsi="仿宋_GB2312" w:cs="仿宋_GB2312" w:hint="eastAsia"/>
          <w:sz w:val="32"/>
          <w:szCs w:val="32"/>
        </w:rPr>
        <w:t>治党要求，建立和落实工作责任制。</w:t>
      </w:r>
    </w:p>
    <w:p w:rsidR="00050D48" w:rsidRDefault="002A34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2.提供资金保障。</w:t>
      </w:r>
      <w:r>
        <w:rPr>
          <w:rFonts w:ascii="仿宋_GB2312" w:eastAsia="仿宋_GB2312" w:hAnsi="仿宋_GB2312" w:cs="仿宋_GB2312" w:hint="eastAsia"/>
          <w:sz w:val="32"/>
          <w:szCs w:val="32"/>
        </w:rPr>
        <w:t>创新多渠道、多形式的民政工作经费投入和使用机制，拓展资金来源；发挥财政资金的引导作用，吸纳撬动社会资金投入民政和社会福利领域；开发创新型、便民型的投资项目，实现以项目带动投资；加强民政经费使用管理，加大政府购买服务力度，提高资金使用效能。</w:t>
      </w:r>
    </w:p>
    <w:p w:rsidR="00050D48" w:rsidRDefault="002A34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3.加强人才队伍建设。</w:t>
      </w:r>
      <w:r>
        <w:rPr>
          <w:rFonts w:ascii="仿宋_GB2312" w:eastAsia="仿宋_GB2312" w:hAnsi="仿宋_GB2312" w:cs="仿宋_GB2312" w:hint="eastAsia"/>
          <w:sz w:val="32"/>
          <w:szCs w:val="32"/>
        </w:rPr>
        <w:t>坚持党管人才，推动专业化、职业化发展，打破体制机制束缚；对内设机构及所属事业单位进行调整归并和重组优化；统筹规划体系建设，加强事业发展的人才支撑；实施关心关爱人才的制度机制，健全</w:t>
      </w:r>
      <w:proofErr w:type="gramStart"/>
      <w:r>
        <w:rPr>
          <w:rFonts w:ascii="仿宋_GB2312" w:eastAsia="仿宋_GB2312" w:hAnsi="仿宋_GB2312" w:cs="仿宋_GB2312" w:hint="eastAsia"/>
          <w:sz w:val="32"/>
          <w:szCs w:val="32"/>
        </w:rPr>
        <w:t>完善推</w:t>
      </w:r>
      <w:proofErr w:type="gramEnd"/>
      <w:r>
        <w:rPr>
          <w:rFonts w:ascii="仿宋_GB2312" w:eastAsia="仿宋_GB2312" w:hAnsi="仿宋_GB2312" w:cs="仿宋_GB2312" w:hint="eastAsia"/>
          <w:sz w:val="32"/>
          <w:szCs w:val="32"/>
        </w:rPr>
        <w:t>树典型等制度。</w:t>
      </w:r>
    </w:p>
    <w:p w:rsidR="00050D48" w:rsidRDefault="002A34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4.完善基层能力建设。</w:t>
      </w:r>
      <w:r>
        <w:rPr>
          <w:rFonts w:ascii="仿宋_GB2312" w:eastAsia="仿宋_GB2312" w:hAnsi="仿宋_GB2312" w:cs="仿宋_GB2312" w:hint="eastAsia"/>
          <w:sz w:val="32"/>
          <w:szCs w:val="32"/>
        </w:rPr>
        <w:t>坚持重心下移、资源下沉，把人、财、物引向基层；多渠道解决基层工作经费，引导社会组织、慈善机构链接社会资金支持基层民政服务；升级基层民政软硬件条件，规范完善服务内容和标准。</w:t>
      </w:r>
    </w:p>
    <w:p w:rsidR="00050D48" w:rsidRDefault="002A34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5.统筹民政领域发展与安全。</w:t>
      </w:r>
      <w:r>
        <w:rPr>
          <w:rFonts w:ascii="仿宋_GB2312" w:eastAsia="仿宋_GB2312" w:hAnsi="仿宋_GB2312" w:cs="仿宋_GB2312" w:hint="eastAsia"/>
          <w:sz w:val="32"/>
          <w:szCs w:val="32"/>
        </w:rPr>
        <w:t>坚持以人民为中心，切实强化底线思维；严格落实安全生产责任制，切实做到党政同责、一岗双责、齐抓共管、失职追责；</w:t>
      </w:r>
      <w:proofErr w:type="gramStart"/>
      <w:r>
        <w:rPr>
          <w:rFonts w:ascii="仿宋_GB2312" w:eastAsia="仿宋_GB2312" w:hAnsi="仿宋_GB2312" w:cs="仿宋_GB2312" w:hint="eastAsia"/>
          <w:sz w:val="32"/>
          <w:szCs w:val="32"/>
        </w:rPr>
        <w:t>完善全</w:t>
      </w:r>
      <w:proofErr w:type="gramEnd"/>
      <w:r>
        <w:rPr>
          <w:rFonts w:ascii="仿宋_GB2312" w:eastAsia="仿宋_GB2312" w:hAnsi="仿宋_GB2312" w:cs="仿宋_GB2312" w:hint="eastAsia"/>
          <w:sz w:val="32"/>
          <w:szCs w:val="32"/>
        </w:rPr>
        <w:t>口径风险隐患排查治理机制，健全安全生产应急处置工作体系；坚持常态化精准防控和局部应急处置有机结合。</w:t>
      </w:r>
    </w:p>
    <w:p w:rsidR="00050D48" w:rsidRDefault="002A3412">
      <w:pPr>
        <w:spacing w:line="560" w:lineRule="exact"/>
        <w:ind w:firstLineChars="200" w:firstLine="643"/>
        <w:rPr>
          <w:rFonts w:ascii="黑体" w:eastAsia="黑体" w:hAnsi="黑体" w:cs="黑体"/>
          <w:color w:val="000000" w:themeColor="text1"/>
          <w:sz w:val="32"/>
          <w:szCs w:val="32"/>
        </w:rPr>
      </w:pPr>
      <w:r>
        <w:rPr>
          <w:rFonts w:ascii="仿宋_GB2312" w:eastAsia="仿宋_GB2312" w:hAnsi="仿宋_GB2312" w:cs="仿宋_GB2312" w:hint="eastAsia"/>
          <w:b/>
          <w:bCs/>
          <w:sz w:val="32"/>
          <w:szCs w:val="32"/>
        </w:rPr>
        <w:t>6.完善规划实施机制。</w:t>
      </w:r>
      <w:r>
        <w:rPr>
          <w:rFonts w:ascii="仿宋_GB2312" w:eastAsia="仿宋_GB2312" w:hAnsi="仿宋_GB2312" w:cs="仿宋_GB2312" w:hint="eastAsia"/>
          <w:sz w:val="32"/>
          <w:szCs w:val="32"/>
        </w:rPr>
        <w:t>坚持自我评估与第三方评估相结合；</w:t>
      </w:r>
      <w:r>
        <w:rPr>
          <w:rFonts w:ascii="仿宋_GB2312" w:eastAsia="仿宋_GB2312" w:hAnsi="仿宋_GB2312" w:cs="仿宋_GB2312" w:hint="eastAsia"/>
          <w:sz w:val="32"/>
          <w:szCs w:val="32"/>
        </w:rPr>
        <w:lastRenderedPageBreak/>
        <w:t>逐级明确责任主体、实施进度要求；完善责任追究机制，定期开展督促检查，严肃追究问责，强化规划实施的刚性约束；健全宣传报道机制，跟踪报道重点项目进展情况，汇聚推动事业发展的正能量。</w:t>
      </w:r>
    </w:p>
    <w:sectPr w:rsidR="00050D48" w:rsidSect="00050D48">
      <w:headerReference w:type="default" r:id="rId7"/>
      <w:footerReference w:type="default" r:id="rId8"/>
      <w:pgSz w:w="11900" w:h="16840"/>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A0" w:rsidRDefault="00565FA0" w:rsidP="00050D48">
      <w:r>
        <w:separator/>
      </w:r>
    </w:p>
  </w:endnote>
  <w:endnote w:type="continuationSeparator" w:id="0">
    <w:p w:rsidR="00565FA0" w:rsidRDefault="00565FA0" w:rsidP="00050D4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00"/>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48" w:rsidRDefault="008A1DAF">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50D48" w:rsidRDefault="008A1DAF">
                <w:pPr>
                  <w:pStyle w:val="a7"/>
                  <w:rPr>
                    <w:rFonts w:ascii="仿宋_GB2312" w:eastAsia="仿宋_GB2312" w:hAnsi="仿宋_GB2312" w:cs="仿宋_GB2312"/>
                    <w:sz w:val="21"/>
                    <w:szCs w:val="32"/>
                  </w:rPr>
                </w:pPr>
                <w:r>
                  <w:rPr>
                    <w:rFonts w:ascii="仿宋_GB2312" w:eastAsia="仿宋_GB2312" w:hAnsi="仿宋_GB2312" w:cs="仿宋_GB2312" w:hint="eastAsia"/>
                    <w:sz w:val="21"/>
                    <w:szCs w:val="32"/>
                  </w:rPr>
                  <w:fldChar w:fldCharType="begin"/>
                </w:r>
                <w:r w:rsidR="002A3412">
                  <w:rPr>
                    <w:rFonts w:ascii="仿宋_GB2312" w:eastAsia="仿宋_GB2312" w:hAnsi="仿宋_GB2312" w:cs="仿宋_GB2312" w:hint="eastAsia"/>
                    <w:sz w:val="21"/>
                    <w:szCs w:val="32"/>
                  </w:rPr>
                  <w:instrText xml:space="preserve"> PAGE  \* MERGEFORMAT </w:instrText>
                </w:r>
                <w:r>
                  <w:rPr>
                    <w:rFonts w:ascii="仿宋_GB2312" w:eastAsia="仿宋_GB2312" w:hAnsi="仿宋_GB2312" w:cs="仿宋_GB2312" w:hint="eastAsia"/>
                    <w:sz w:val="21"/>
                    <w:szCs w:val="32"/>
                  </w:rPr>
                  <w:fldChar w:fldCharType="separate"/>
                </w:r>
                <w:r w:rsidR="00EB0E5B">
                  <w:rPr>
                    <w:rFonts w:ascii="仿宋_GB2312" w:eastAsia="仿宋_GB2312" w:hAnsi="仿宋_GB2312" w:cs="仿宋_GB2312"/>
                    <w:noProof/>
                    <w:sz w:val="21"/>
                    <w:szCs w:val="32"/>
                  </w:rPr>
                  <w:t>1</w:t>
                </w:r>
                <w:r>
                  <w:rPr>
                    <w:rFonts w:ascii="仿宋_GB2312" w:eastAsia="仿宋_GB2312" w:hAnsi="仿宋_GB2312" w:cs="仿宋_GB2312" w:hint="eastAsia"/>
                    <w:sz w:val="21"/>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A0" w:rsidRDefault="00565FA0" w:rsidP="00050D48">
      <w:r>
        <w:separator/>
      </w:r>
    </w:p>
  </w:footnote>
  <w:footnote w:type="continuationSeparator" w:id="0">
    <w:p w:rsidR="00565FA0" w:rsidRDefault="00565FA0" w:rsidP="00050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48" w:rsidRDefault="00050D4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62D"/>
    <w:rsid w:val="EDEFC6EC"/>
    <w:rsid w:val="00050D48"/>
    <w:rsid w:val="001E3E4C"/>
    <w:rsid w:val="002414D4"/>
    <w:rsid w:val="0026762D"/>
    <w:rsid w:val="002A2CA8"/>
    <w:rsid w:val="002A3412"/>
    <w:rsid w:val="003423DC"/>
    <w:rsid w:val="00377E6F"/>
    <w:rsid w:val="00400A61"/>
    <w:rsid w:val="0052267D"/>
    <w:rsid w:val="00526C4D"/>
    <w:rsid w:val="0056547E"/>
    <w:rsid w:val="00565FA0"/>
    <w:rsid w:val="005849F7"/>
    <w:rsid w:val="005D254F"/>
    <w:rsid w:val="00646B5C"/>
    <w:rsid w:val="007308E2"/>
    <w:rsid w:val="00795579"/>
    <w:rsid w:val="007A793C"/>
    <w:rsid w:val="007D10B6"/>
    <w:rsid w:val="008A1DAF"/>
    <w:rsid w:val="008B35AC"/>
    <w:rsid w:val="00916CA3"/>
    <w:rsid w:val="00AA282C"/>
    <w:rsid w:val="00B51FBF"/>
    <w:rsid w:val="00D4071E"/>
    <w:rsid w:val="00EB0E5B"/>
    <w:rsid w:val="00EC15DD"/>
    <w:rsid w:val="00F60850"/>
    <w:rsid w:val="00F658CC"/>
    <w:rsid w:val="00FA61EB"/>
    <w:rsid w:val="00FA6228"/>
    <w:rsid w:val="01393085"/>
    <w:rsid w:val="020D27DE"/>
    <w:rsid w:val="02431864"/>
    <w:rsid w:val="02473724"/>
    <w:rsid w:val="026B46A5"/>
    <w:rsid w:val="028E76B6"/>
    <w:rsid w:val="02C22903"/>
    <w:rsid w:val="02E524E5"/>
    <w:rsid w:val="02F30C0A"/>
    <w:rsid w:val="0335711E"/>
    <w:rsid w:val="033C3367"/>
    <w:rsid w:val="03507C05"/>
    <w:rsid w:val="03CE68FA"/>
    <w:rsid w:val="042D3D18"/>
    <w:rsid w:val="04492FAE"/>
    <w:rsid w:val="048D5C16"/>
    <w:rsid w:val="0539545D"/>
    <w:rsid w:val="056F4FCB"/>
    <w:rsid w:val="062D7D70"/>
    <w:rsid w:val="06374D78"/>
    <w:rsid w:val="063A55EC"/>
    <w:rsid w:val="06BA2C8C"/>
    <w:rsid w:val="06CA0E6E"/>
    <w:rsid w:val="071464E3"/>
    <w:rsid w:val="07686F10"/>
    <w:rsid w:val="07CB6445"/>
    <w:rsid w:val="095A373B"/>
    <w:rsid w:val="099826A4"/>
    <w:rsid w:val="09B47EB2"/>
    <w:rsid w:val="09BE425B"/>
    <w:rsid w:val="09D02148"/>
    <w:rsid w:val="0A4E2392"/>
    <w:rsid w:val="0AAC1113"/>
    <w:rsid w:val="0AE22C92"/>
    <w:rsid w:val="0B494E7A"/>
    <w:rsid w:val="0B641A5B"/>
    <w:rsid w:val="0B9F294D"/>
    <w:rsid w:val="0BEB4D74"/>
    <w:rsid w:val="0C2204F3"/>
    <w:rsid w:val="0C4E4BCE"/>
    <w:rsid w:val="0C555481"/>
    <w:rsid w:val="0C58254A"/>
    <w:rsid w:val="0C5F0AB7"/>
    <w:rsid w:val="0C6C6455"/>
    <w:rsid w:val="0C8506CE"/>
    <w:rsid w:val="0D3700C3"/>
    <w:rsid w:val="0DA20C61"/>
    <w:rsid w:val="0DE04BD9"/>
    <w:rsid w:val="0E004203"/>
    <w:rsid w:val="0E323A19"/>
    <w:rsid w:val="0F0E542E"/>
    <w:rsid w:val="0F4E741B"/>
    <w:rsid w:val="0F586100"/>
    <w:rsid w:val="0F870361"/>
    <w:rsid w:val="0FF77CAC"/>
    <w:rsid w:val="0FF929E5"/>
    <w:rsid w:val="104C2430"/>
    <w:rsid w:val="107F6AC7"/>
    <w:rsid w:val="10A637CD"/>
    <w:rsid w:val="10BE0C2D"/>
    <w:rsid w:val="10E61113"/>
    <w:rsid w:val="11A860FC"/>
    <w:rsid w:val="11EC4897"/>
    <w:rsid w:val="11FB3BAE"/>
    <w:rsid w:val="123803DA"/>
    <w:rsid w:val="13901A4A"/>
    <w:rsid w:val="13D30E9E"/>
    <w:rsid w:val="13F704AD"/>
    <w:rsid w:val="1431104F"/>
    <w:rsid w:val="14B915C1"/>
    <w:rsid w:val="14EF351A"/>
    <w:rsid w:val="150875F1"/>
    <w:rsid w:val="15503D2D"/>
    <w:rsid w:val="15D47A50"/>
    <w:rsid w:val="15F22EBA"/>
    <w:rsid w:val="16206FC3"/>
    <w:rsid w:val="1644478F"/>
    <w:rsid w:val="16B43ACE"/>
    <w:rsid w:val="17B80317"/>
    <w:rsid w:val="17FD373D"/>
    <w:rsid w:val="184B20B1"/>
    <w:rsid w:val="18991FAE"/>
    <w:rsid w:val="18F12D3A"/>
    <w:rsid w:val="192B49A3"/>
    <w:rsid w:val="196A7460"/>
    <w:rsid w:val="198147FF"/>
    <w:rsid w:val="198E79BA"/>
    <w:rsid w:val="19A33612"/>
    <w:rsid w:val="19A40786"/>
    <w:rsid w:val="1A2C499D"/>
    <w:rsid w:val="1A6470F7"/>
    <w:rsid w:val="1A8A32DA"/>
    <w:rsid w:val="1AD95CCD"/>
    <w:rsid w:val="1AEC311A"/>
    <w:rsid w:val="1BBF6D32"/>
    <w:rsid w:val="1BD76FE0"/>
    <w:rsid w:val="1C4D409C"/>
    <w:rsid w:val="1C520E80"/>
    <w:rsid w:val="1CB11553"/>
    <w:rsid w:val="1D0C028C"/>
    <w:rsid w:val="1D8E40E7"/>
    <w:rsid w:val="1D9172C5"/>
    <w:rsid w:val="1DC00D58"/>
    <w:rsid w:val="1DEC5DF1"/>
    <w:rsid w:val="1DF0182A"/>
    <w:rsid w:val="1E404163"/>
    <w:rsid w:val="1E9F7A6C"/>
    <w:rsid w:val="1EE0418E"/>
    <w:rsid w:val="1EFA68B2"/>
    <w:rsid w:val="1EFE1036"/>
    <w:rsid w:val="1F0B3A21"/>
    <w:rsid w:val="1FA55669"/>
    <w:rsid w:val="1FF7610F"/>
    <w:rsid w:val="203E0B99"/>
    <w:rsid w:val="20617FFF"/>
    <w:rsid w:val="20A002CE"/>
    <w:rsid w:val="20B54E90"/>
    <w:rsid w:val="20D47169"/>
    <w:rsid w:val="20F20189"/>
    <w:rsid w:val="216E5FE8"/>
    <w:rsid w:val="227C6E4D"/>
    <w:rsid w:val="22EF667E"/>
    <w:rsid w:val="2333052C"/>
    <w:rsid w:val="23353F34"/>
    <w:rsid w:val="238F0F99"/>
    <w:rsid w:val="23AC231B"/>
    <w:rsid w:val="24322993"/>
    <w:rsid w:val="245673C2"/>
    <w:rsid w:val="249F06E1"/>
    <w:rsid w:val="24A73822"/>
    <w:rsid w:val="24C565A9"/>
    <w:rsid w:val="25396253"/>
    <w:rsid w:val="2554547A"/>
    <w:rsid w:val="25921824"/>
    <w:rsid w:val="26041258"/>
    <w:rsid w:val="26094650"/>
    <w:rsid w:val="262034B9"/>
    <w:rsid w:val="263A46E1"/>
    <w:rsid w:val="26501809"/>
    <w:rsid w:val="27750A86"/>
    <w:rsid w:val="27752414"/>
    <w:rsid w:val="2792235B"/>
    <w:rsid w:val="27B02D0E"/>
    <w:rsid w:val="27E27857"/>
    <w:rsid w:val="280C4ECD"/>
    <w:rsid w:val="284B718F"/>
    <w:rsid w:val="287B14AA"/>
    <w:rsid w:val="289A61A7"/>
    <w:rsid w:val="28BF481A"/>
    <w:rsid w:val="28E94228"/>
    <w:rsid w:val="2913514C"/>
    <w:rsid w:val="297D0571"/>
    <w:rsid w:val="29B54FEE"/>
    <w:rsid w:val="29C714A3"/>
    <w:rsid w:val="2A672B4F"/>
    <w:rsid w:val="2A76640F"/>
    <w:rsid w:val="2AB00407"/>
    <w:rsid w:val="2ACB0B6E"/>
    <w:rsid w:val="2B3435E4"/>
    <w:rsid w:val="2C4A65A9"/>
    <w:rsid w:val="2CCE0ED5"/>
    <w:rsid w:val="2E017DC1"/>
    <w:rsid w:val="2EFC2C0F"/>
    <w:rsid w:val="2F9E5FA3"/>
    <w:rsid w:val="2FB12EFF"/>
    <w:rsid w:val="2FBA6634"/>
    <w:rsid w:val="2FD73901"/>
    <w:rsid w:val="301A5025"/>
    <w:rsid w:val="302F1BC9"/>
    <w:rsid w:val="303E2B32"/>
    <w:rsid w:val="313A0226"/>
    <w:rsid w:val="315B4ED5"/>
    <w:rsid w:val="315C0068"/>
    <w:rsid w:val="31FA2148"/>
    <w:rsid w:val="32300855"/>
    <w:rsid w:val="32D33716"/>
    <w:rsid w:val="32DE6AEA"/>
    <w:rsid w:val="32DF3905"/>
    <w:rsid w:val="333A5091"/>
    <w:rsid w:val="34190362"/>
    <w:rsid w:val="35CB6614"/>
    <w:rsid w:val="360A0CC8"/>
    <w:rsid w:val="365560AB"/>
    <w:rsid w:val="365A00A4"/>
    <w:rsid w:val="36880468"/>
    <w:rsid w:val="368E119A"/>
    <w:rsid w:val="36A24493"/>
    <w:rsid w:val="37403BAD"/>
    <w:rsid w:val="37577CFA"/>
    <w:rsid w:val="37764E62"/>
    <w:rsid w:val="37E54A09"/>
    <w:rsid w:val="381C1733"/>
    <w:rsid w:val="38351FDB"/>
    <w:rsid w:val="38511082"/>
    <w:rsid w:val="388C0835"/>
    <w:rsid w:val="38941E44"/>
    <w:rsid w:val="389A072F"/>
    <w:rsid w:val="38D544D2"/>
    <w:rsid w:val="391169DB"/>
    <w:rsid w:val="391F48DE"/>
    <w:rsid w:val="39234A2C"/>
    <w:rsid w:val="39316948"/>
    <w:rsid w:val="394208B3"/>
    <w:rsid w:val="39A73120"/>
    <w:rsid w:val="39D6375E"/>
    <w:rsid w:val="39F21871"/>
    <w:rsid w:val="3A483833"/>
    <w:rsid w:val="3A8E7C12"/>
    <w:rsid w:val="3A92253B"/>
    <w:rsid w:val="3ACD464C"/>
    <w:rsid w:val="3AD770ED"/>
    <w:rsid w:val="3B0A23E1"/>
    <w:rsid w:val="3B0D4977"/>
    <w:rsid w:val="3B133346"/>
    <w:rsid w:val="3B365B15"/>
    <w:rsid w:val="3B594EB3"/>
    <w:rsid w:val="3B895C51"/>
    <w:rsid w:val="3BA94DDA"/>
    <w:rsid w:val="3C2F5A85"/>
    <w:rsid w:val="3C951A3E"/>
    <w:rsid w:val="3C9B6FE1"/>
    <w:rsid w:val="3CBC0E9A"/>
    <w:rsid w:val="3CD5500F"/>
    <w:rsid w:val="3CEC6921"/>
    <w:rsid w:val="3DA53113"/>
    <w:rsid w:val="3DC53420"/>
    <w:rsid w:val="3E9F6BB4"/>
    <w:rsid w:val="3F3F2CDA"/>
    <w:rsid w:val="3F620087"/>
    <w:rsid w:val="3FA5600E"/>
    <w:rsid w:val="406C60C2"/>
    <w:rsid w:val="408C482D"/>
    <w:rsid w:val="40957B6F"/>
    <w:rsid w:val="40C7690A"/>
    <w:rsid w:val="40E7504C"/>
    <w:rsid w:val="40F24180"/>
    <w:rsid w:val="411F61B5"/>
    <w:rsid w:val="412050D6"/>
    <w:rsid w:val="413C5906"/>
    <w:rsid w:val="415E3256"/>
    <w:rsid w:val="416543DF"/>
    <w:rsid w:val="41861E2A"/>
    <w:rsid w:val="42135A61"/>
    <w:rsid w:val="428529D7"/>
    <w:rsid w:val="43150DA9"/>
    <w:rsid w:val="432B4CDB"/>
    <w:rsid w:val="43384B5D"/>
    <w:rsid w:val="43AC78EF"/>
    <w:rsid w:val="43CC3B67"/>
    <w:rsid w:val="442F4929"/>
    <w:rsid w:val="4475252B"/>
    <w:rsid w:val="44D7473B"/>
    <w:rsid w:val="45946E0B"/>
    <w:rsid w:val="46176160"/>
    <w:rsid w:val="46355BE0"/>
    <w:rsid w:val="46550B20"/>
    <w:rsid w:val="46875BAA"/>
    <w:rsid w:val="46DC3789"/>
    <w:rsid w:val="47287E78"/>
    <w:rsid w:val="473C6073"/>
    <w:rsid w:val="476836D5"/>
    <w:rsid w:val="47717D7E"/>
    <w:rsid w:val="47753D3C"/>
    <w:rsid w:val="47F05BB0"/>
    <w:rsid w:val="48017E6F"/>
    <w:rsid w:val="48AC04A0"/>
    <w:rsid w:val="490C6FB5"/>
    <w:rsid w:val="496B2776"/>
    <w:rsid w:val="49A01757"/>
    <w:rsid w:val="49A56621"/>
    <w:rsid w:val="49AE25D7"/>
    <w:rsid w:val="4A095239"/>
    <w:rsid w:val="4A53000B"/>
    <w:rsid w:val="4A534AC0"/>
    <w:rsid w:val="4AC63936"/>
    <w:rsid w:val="4AD672FD"/>
    <w:rsid w:val="4AF26418"/>
    <w:rsid w:val="4B7F5E95"/>
    <w:rsid w:val="4B9451F7"/>
    <w:rsid w:val="4BAD143A"/>
    <w:rsid w:val="4BF73B96"/>
    <w:rsid w:val="4BFC3283"/>
    <w:rsid w:val="4C1D4C33"/>
    <w:rsid w:val="4C405947"/>
    <w:rsid w:val="4CE11BCD"/>
    <w:rsid w:val="4CE66724"/>
    <w:rsid w:val="4D5F58DD"/>
    <w:rsid w:val="4D8307AC"/>
    <w:rsid w:val="4DE907FF"/>
    <w:rsid w:val="4EFD61AB"/>
    <w:rsid w:val="4F8079C3"/>
    <w:rsid w:val="4F8857DC"/>
    <w:rsid w:val="4F972400"/>
    <w:rsid w:val="4FA10D07"/>
    <w:rsid w:val="4FCC0047"/>
    <w:rsid w:val="50505353"/>
    <w:rsid w:val="50A20F11"/>
    <w:rsid w:val="50EF0D23"/>
    <w:rsid w:val="50F427ED"/>
    <w:rsid w:val="5108357F"/>
    <w:rsid w:val="513A2175"/>
    <w:rsid w:val="517B0DFA"/>
    <w:rsid w:val="518B1AF1"/>
    <w:rsid w:val="519E6AE1"/>
    <w:rsid w:val="51EF297C"/>
    <w:rsid w:val="521F72B1"/>
    <w:rsid w:val="526D11CE"/>
    <w:rsid w:val="52BF4724"/>
    <w:rsid w:val="52E34F26"/>
    <w:rsid w:val="52EA1613"/>
    <w:rsid w:val="53023B19"/>
    <w:rsid w:val="530315CC"/>
    <w:rsid w:val="532027A1"/>
    <w:rsid w:val="53665CFD"/>
    <w:rsid w:val="53730188"/>
    <w:rsid w:val="53E848B5"/>
    <w:rsid w:val="549C214D"/>
    <w:rsid w:val="54A2700C"/>
    <w:rsid w:val="55BB25D7"/>
    <w:rsid w:val="5636741B"/>
    <w:rsid w:val="56863987"/>
    <w:rsid w:val="57116216"/>
    <w:rsid w:val="57253EBB"/>
    <w:rsid w:val="57480C8C"/>
    <w:rsid w:val="57783338"/>
    <w:rsid w:val="579E01E8"/>
    <w:rsid w:val="57A879E1"/>
    <w:rsid w:val="580C511C"/>
    <w:rsid w:val="58364C0A"/>
    <w:rsid w:val="58BB24BA"/>
    <w:rsid w:val="58F9336B"/>
    <w:rsid w:val="5923338D"/>
    <w:rsid w:val="594103FE"/>
    <w:rsid w:val="59BE5826"/>
    <w:rsid w:val="59C903AC"/>
    <w:rsid w:val="5A0B1AFB"/>
    <w:rsid w:val="5A555F79"/>
    <w:rsid w:val="5AC5316E"/>
    <w:rsid w:val="5B5E4C66"/>
    <w:rsid w:val="5B835C9F"/>
    <w:rsid w:val="5BAD67C2"/>
    <w:rsid w:val="5BB216A4"/>
    <w:rsid w:val="5BE958E8"/>
    <w:rsid w:val="5C230071"/>
    <w:rsid w:val="5C2F1851"/>
    <w:rsid w:val="5D1132AE"/>
    <w:rsid w:val="5DE12522"/>
    <w:rsid w:val="5DE729FB"/>
    <w:rsid w:val="5E15102C"/>
    <w:rsid w:val="5E8821EA"/>
    <w:rsid w:val="5E9B5211"/>
    <w:rsid w:val="5E9B6F17"/>
    <w:rsid w:val="5EB85711"/>
    <w:rsid w:val="5EE368CD"/>
    <w:rsid w:val="5EEC7732"/>
    <w:rsid w:val="5F984A68"/>
    <w:rsid w:val="5FBF39A1"/>
    <w:rsid w:val="60052AB2"/>
    <w:rsid w:val="615A3FBB"/>
    <w:rsid w:val="61810A9B"/>
    <w:rsid w:val="624D069B"/>
    <w:rsid w:val="624F1CFB"/>
    <w:rsid w:val="629F3813"/>
    <w:rsid w:val="62CB686D"/>
    <w:rsid w:val="62FD536F"/>
    <w:rsid w:val="63420DA8"/>
    <w:rsid w:val="641E6823"/>
    <w:rsid w:val="648F60EA"/>
    <w:rsid w:val="64A47E50"/>
    <w:rsid w:val="64E30B54"/>
    <w:rsid w:val="6535041B"/>
    <w:rsid w:val="65B7141E"/>
    <w:rsid w:val="66080B7F"/>
    <w:rsid w:val="66236572"/>
    <w:rsid w:val="66287AC2"/>
    <w:rsid w:val="667D4FE3"/>
    <w:rsid w:val="66A274E3"/>
    <w:rsid w:val="66AF4D77"/>
    <w:rsid w:val="66B66C23"/>
    <w:rsid w:val="66DC2D29"/>
    <w:rsid w:val="66F27E4E"/>
    <w:rsid w:val="67692374"/>
    <w:rsid w:val="677069A6"/>
    <w:rsid w:val="6788747A"/>
    <w:rsid w:val="67BC3AEE"/>
    <w:rsid w:val="67D2390A"/>
    <w:rsid w:val="680167F2"/>
    <w:rsid w:val="68753D8F"/>
    <w:rsid w:val="688A7381"/>
    <w:rsid w:val="68BD681D"/>
    <w:rsid w:val="68CE6E31"/>
    <w:rsid w:val="69402E08"/>
    <w:rsid w:val="696222B3"/>
    <w:rsid w:val="69754F0F"/>
    <w:rsid w:val="69771AD9"/>
    <w:rsid w:val="69A63738"/>
    <w:rsid w:val="69D2071A"/>
    <w:rsid w:val="69ED301C"/>
    <w:rsid w:val="69F2768F"/>
    <w:rsid w:val="6AF61E8E"/>
    <w:rsid w:val="6CEA1ED1"/>
    <w:rsid w:val="6CF75D69"/>
    <w:rsid w:val="6CFE27F4"/>
    <w:rsid w:val="6DBF4E0E"/>
    <w:rsid w:val="6DF26B96"/>
    <w:rsid w:val="6DFB41DF"/>
    <w:rsid w:val="6E0D7BAB"/>
    <w:rsid w:val="6E5215D1"/>
    <w:rsid w:val="6E73709E"/>
    <w:rsid w:val="6E9433EA"/>
    <w:rsid w:val="6FFD00EB"/>
    <w:rsid w:val="70527A07"/>
    <w:rsid w:val="70577B9D"/>
    <w:rsid w:val="70791058"/>
    <w:rsid w:val="7079145C"/>
    <w:rsid w:val="70E913C7"/>
    <w:rsid w:val="713025AB"/>
    <w:rsid w:val="71305692"/>
    <w:rsid w:val="71BE6F65"/>
    <w:rsid w:val="71EF2480"/>
    <w:rsid w:val="7272477A"/>
    <w:rsid w:val="728A3483"/>
    <w:rsid w:val="73024D3F"/>
    <w:rsid w:val="732C403A"/>
    <w:rsid w:val="735B3D8A"/>
    <w:rsid w:val="735F276C"/>
    <w:rsid w:val="738B5FC8"/>
    <w:rsid w:val="738E38AB"/>
    <w:rsid w:val="73A73A62"/>
    <w:rsid w:val="741330DB"/>
    <w:rsid w:val="74776515"/>
    <w:rsid w:val="74BC421F"/>
    <w:rsid w:val="74C86747"/>
    <w:rsid w:val="74F059B2"/>
    <w:rsid w:val="756F0FE8"/>
    <w:rsid w:val="75714711"/>
    <w:rsid w:val="75893BE2"/>
    <w:rsid w:val="75BF526C"/>
    <w:rsid w:val="75D074D4"/>
    <w:rsid w:val="7625788A"/>
    <w:rsid w:val="7667108E"/>
    <w:rsid w:val="76CD01E7"/>
    <w:rsid w:val="76FF2570"/>
    <w:rsid w:val="77171A0D"/>
    <w:rsid w:val="77306BA0"/>
    <w:rsid w:val="783C1582"/>
    <w:rsid w:val="785E7DE6"/>
    <w:rsid w:val="787200F7"/>
    <w:rsid w:val="78C748F1"/>
    <w:rsid w:val="78D26A31"/>
    <w:rsid w:val="78DB6681"/>
    <w:rsid w:val="79B6367C"/>
    <w:rsid w:val="79E36D48"/>
    <w:rsid w:val="79EF350E"/>
    <w:rsid w:val="79F2263F"/>
    <w:rsid w:val="79F55F74"/>
    <w:rsid w:val="7A0E1383"/>
    <w:rsid w:val="7A3C6215"/>
    <w:rsid w:val="7A740CA9"/>
    <w:rsid w:val="7B6B3165"/>
    <w:rsid w:val="7B7B2532"/>
    <w:rsid w:val="7BA64ECC"/>
    <w:rsid w:val="7BB756E4"/>
    <w:rsid w:val="7BDE06D2"/>
    <w:rsid w:val="7C550463"/>
    <w:rsid w:val="7CFF249A"/>
    <w:rsid w:val="7D167BB0"/>
    <w:rsid w:val="7D2111DF"/>
    <w:rsid w:val="7D6C69E5"/>
    <w:rsid w:val="7D7631CF"/>
    <w:rsid w:val="7E0F7ECD"/>
    <w:rsid w:val="7E1E4FAA"/>
    <w:rsid w:val="7E39619D"/>
    <w:rsid w:val="7E555641"/>
    <w:rsid w:val="7EC545BF"/>
    <w:rsid w:val="7EE724D5"/>
    <w:rsid w:val="7FDA2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0D48"/>
    <w:pPr>
      <w:widowControl w:val="0"/>
      <w:jc w:val="both"/>
    </w:pPr>
    <w:rPr>
      <w:kern w:val="2"/>
      <w:sz w:val="21"/>
      <w:szCs w:val="24"/>
    </w:rPr>
  </w:style>
  <w:style w:type="paragraph" w:styleId="2">
    <w:name w:val="heading 2"/>
    <w:basedOn w:val="a"/>
    <w:next w:val="a"/>
    <w:unhideWhenUsed/>
    <w:qFormat/>
    <w:rsid w:val="00050D48"/>
    <w:pPr>
      <w:keepNext/>
      <w:keepLines/>
      <w:spacing w:line="560" w:lineRule="exact"/>
      <w:ind w:firstLineChars="200" w:firstLine="200"/>
      <w:outlineLvl w:val="1"/>
    </w:pPr>
    <w:rPr>
      <w:rFonts w:ascii="等线 Light" w:eastAsia="楷体_GB2312" w:hAnsi="等线 Light"/>
      <w:bCs/>
      <w:kern w:val="0"/>
      <w:sz w:val="32"/>
      <w:szCs w:val="32"/>
    </w:rPr>
  </w:style>
  <w:style w:type="paragraph" w:styleId="3">
    <w:name w:val="heading 3"/>
    <w:basedOn w:val="a"/>
    <w:next w:val="a"/>
    <w:uiPriority w:val="9"/>
    <w:qFormat/>
    <w:rsid w:val="00050D48"/>
    <w:pPr>
      <w:keepNext/>
      <w:keepLines/>
      <w:spacing w:before="260" w:after="260"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rsid w:val="00050D48"/>
    <w:pPr>
      <w:spacing w:before="240" w:after="60"/>
      <w:jc w:val="center"/>
      <w:outlineLvl w:val="0"/>
    </w:pPr>
    <w:rPr>
      <w:rFonts w:ascii="Cambria" w:hAnsi="Cambria"/>
      <w:b/>
      <w:bCs/>
      <w:sz w:val="32"/>
      <w:szCs w:val="32"/>
    </w:rPr>
  </w:style>
  <w:style w:type="paragraph" w:styleId="a4">
    <w:name w:val="Normal Indent"/>
    <w:basedOn w:val="a"/>
    <w:uiPriority w:val="99"/>
    <w:unhideWhenUsed/>
    <w:qFormat/>
    <w:rsid w:val="00050D48"/>
    <w:pPr>
      <w:ind w:firstLine="420"/>
    </w:pPr>
    <w:rPr>
      <w:szCs w:val="20"/>
    </w:rPr>
  </w:style>
  <w:style w:type="paragraph" w:styleId="a5">
    <w:name w:val="Body Text"/>
    <w:basedOn w:val="a"/>
    <w:next w:val="11"/>
    <w:uiPriority w:val="99"/>
    <w:unhideWhenUsed/>
    <w:qFormat/>
    <w:rsid w:val="00050D48"/>
    <w:pPr>
      <w:spacing w:line="300" w:lineRule="atLeast"/>
      <w:jc w:val="center"/>
    </w:pPr>
    <w:rPr>
      <w:rFonts w:ascii="Times New Roman" w:eastAsia="Times New Roman" w:hAnsi="Times New Roman" w:cs="Times New Roman"/>
      <w:color w:val="000000"/>
      <w:sz w:val="44"/>
      <w:szCs w:val="20"/>
    </w:rPr>
  </w:style>
  <w:style w:type="paragraph" w:customStyle="1" w:styleId="11">
    <w:name w:val="目录 11"/>
    <w:next w:val="a"/>
    <w:qFormat/>
    <w:rsid w:val="00050D48"/>
    <w:pPr>
      <w:wordWrap w:val="0"/>
      <w:jc w:val="both"/>
    </w:pPr>
    <w:rPr>
      <w:rFonts w:ascii="Calibri" w:eastAsia="宋体" w:hAnsi="Calibri" w:cs="Times New Roman"/>
      <w:sz w:val="21"/>
      <w:szCs w:val="22"/>
    </w:rPr>
  </w:style>
  <w:style w:type="paragraph" w:styleId="a6">
    <w:name w:val="Plain Text"/>
    <w:next w:val="9"/>
    <w:qFormat/>
    <w:rsid w:val="00050D48"/>
    <w:pPr>
      <w:widowControl w:val="0"/>
      <w:suppressAutoHyphens/>
      <w:jc w:val="both"/>
    </w:pPr>
    <w:rPr>
      <w:rFonts w:ascii="宋体" w:eastAsia="宋体" w:hAnsi="Courier New" w:cs="Times New Roman"/>
      <w:kern w:val="2"/>
      <w:sz w:val="21"/>
      <w:szCs w:val="24"/>
    </w:rPr>
  </w:style>
  <w:style w:type="paragraph" w:styleId="9">
    <w:name w:val="index 9"/>
    <w:next w:val="a"/>
    <w:uiPriority w:val="99"/>
    <w:qFormat/>
    <w:rsid w:val="00050D48"/>
    <w:pPr>
      <w:widowControl w:val="0"/>
      <w:suppressAutoHyphens/>
      <w:ind w:left="3360"/>
      <w:jc w:val="both"/>
    </w:pPr>
    <w:rPr>
      <w:rFonts w:ascii="Calibri" w:eastAsia="宋体" w:hAnsi="Calibri" w:cs="Calibri"/>
      <w:kern w:val="2"/>
      <w:sz w:val="21"/>
      <w:szCs w:val="24"/>
    </w:rPr>
  </w:style>
  <w:style w:type="paragraph" w:styleId="a7">
    <w:name w:val="footer"/>
    <w:basedOn w:val="a"/>
    <w:uiPriority w:val="99"/>
    <w:unhideWhenUsed/>
    <w:qFormat/>
    <w:rsid w:val="00050D48"/>
    <w:pPr>
      <w:tabs>
        <w:tab w:val="center" w:pos="4153"/>
        <w:tab w:val="right" w:pos="8306"/>
      </w:tabs>
      <w:snapToGrid w:val="0"/>
      <w:jc w:val="left"/>
    </w:pPr>
    <w:rPr>
      <w:sz w:val="18"/>
    </w:rPr>
  </w:style>
  <w:style w:type="paragraph" w:styleId="a8">
    <w:name w:val="header"/>
    <w:basedOn w:val="a"/>
    <w:uiPriority w:val="99"/>
    <w:unhideWhenUsed/>
    <w:qFormat/>
    <w:rsid w:val="00050D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05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iPriority w:val="99"/>
    <w:unhideWhenUsed/>
    <w:qFormat/>
    <w:rsid w:val="00050D48"/>
    <w:pPr>
      <w:widowControl/>
      <w:spacing w:before="100" w:beforeAutospacing="1" w:after="100" w:afterAutospacing="1"/>
      <w:jc w:val="left"/>
    </w:pPr>
    <w:rPr>
      <w:rFonts w:ascii="宋体" w:hAnsi="宋体" w:cs="宋体"/>
      <w:kern w:val="0"/>
      <w:sz w:val="24"/>
    </w:rPr>
  </w:style>
  <w:style w:type="table" w:styleId="aa">
    <w:name w:val="Table Grid"/>
    <w:basedOn w:val="a2"/>
    <w:qFormat/>
    <w:rsid w:val="00050D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qFormat/>
    <w:rsid w:val="00050D48"/>
    <w:rPr>
      <w:rFonts w:ascii="仿宋" w:eastAsia="仿宋" w:hAnsi="仿宋" w:cs="仿宋" w:hint="default"/>
      <w:color w:val="000000"/>
      <w:sz w:val="28"/>
      <w:szCs w:val="28"/>
      <w:u w:val="none"/>
    </w:rPr>
  </w:style>
  <w:style w:type="paragraph" w:customStyle="1" w:styleId="ab">
    <w:name w:val="默认"/>
    <w:qFormat/>
    <w:rsid w:val="00050D48"/>
    <w:rPr>
      <w:rFonts w:ascii="Helvetica" w:eastAsia="Arial Unicode MS" w:hAnsi="Helvetica" w:cs="Arial Unicode MS"/>
      <w:color w:val="000000"/>
      <w:sz w:val="22"/>
      <w:szCs w:val="22"/>
      <w:lang w:val="zh-CN"/>
    </w:rPr>
  </w:style>
  <w:style w:type="paragraph" w:customStyle="1" w:styleId="p0">
    <w:name w:val="p0"/>
    <w:basedOn w:val="a"/>
    <w:uiPriority w:val="99"/>
    <w:rsid w:val="00050D48"/>
    <w:pPr>
      <w:widowControl/>
    </w:pPr>
    <w:rPr>
      <w:rFonts w:cs="Times New Roman"/>
      <w:kern w:val="0"/>
      <w:szCs w:val="21"/>
    </w:rPr>
  </w:style>
  <w:style w:type="paragraph" w:customStyle="1" w:styleId="ac">
    <w:name w:val="样式一"/>
    <w:basedOn w:val="a"/>
    <w:rsid w:val="00050D48"/>
    <w:pPr>
      <w:spacing w:before="435" w:after="217" w:line="600" w:lineRule="exact"/>
      <w:jc w:val="center"/>
    </w:pPr>
    <w:rPr>
      <w:rFonts w:ascii="黑体" w:eastAsia="黑体" w:hAnsi="黑体" w:cs="宋体"/>
      <w:szCs w:val="20"/>
    </w:rPr>
  </w:style>
  <w:style w:type="character" w:customStyle="1" w:styleId="ad">
    <w:name w:val="样式三 字符"/>
    <w:link w:val="ae"/>
    <w:qFormat/>
    <w:rsid w:val="00050D48"/>
    <w:rPr>
      <w:rFonts w:ascii="楷体_GB2312" w:eastAsia="楷体_GB2312" w:hAnsi="仿宋_GB2312" w:cs="Times New Roman"/>
      <w:bCs/>
    </w:rPr>
  </w:style>
  <w:style w:type="paragraph" w:customStyle="1" w:styleId="ae">
    <w:name w:val="样式三"/>
    <w:basedOn w:val="a"/>
    <w:next w:val="a"/>
    <w:link w:val="ad"/>
    <w:qFormat/>
    <w:rsid w:val="00050D48"/>
    <w:pPr>
      <w:overflowPunct w:val="0"/>
      <w:adjustRightInd w:val="0"/>
      <w:snapToGrid w:val="0"/>
      <w:spacing w:line="600" w:lineRule="exact"/>
      <w:ind w:firstLineChars="200" w:firstLine="640"/>
    </w:pPr>
    <w:rPr>
      <w:rFonts w:ascii="楷体_GB2312" w:eastAsia="楷体_GB2312" w:hAnsi="仿宋_GB2312" w:cs="Times New Roman"/>
      <w:bCs/>
    </w:rPr>
  </w:style>
  <w:style w:type="paragraph" w:customStyle="1" w:styleId="A-">
    <w:name w:val="A-正文"/>
    <w:basedOn w:val="a"/>
    <w:qFormat/>
    <w:rsid w:val="00050D48"/>
    <w:pPr>
      <w:spacing w:line="580" w:lineRule="exact"/>
      <w:ind w:firstLineChars="200" w:firstLine="600"/>
    </w:pPr>
    <w:rPr>
      <w:rFonts w:ascii="仿宋_GB2312" w:eastAsia="仿宋_GB2312"/>
      <w:sz w:val="30"/>
      <w:szCs w:val="30"/>
    </w:rPr>
  </w:style>
  <w:style w:type="paragraph" w:customStyle="1" w:styleId="af">
    <w:name w:val="样式二 大"/>
    <w:basedOn w:val="a"/>
    <w:qFormat/>
    <w:rsid w:val="00050D48"/>
    <w:pPr>
      <w:spacing w:line="600" w:lineRule="exact"/>
      <w:ind w:firstLineChars="200" w:firstLine="640"/>
    </w:pPr>
    <w:rPr>
      <w:rFonts w:ascii="黑体" w:eastAsia="黑体" w:hAnsi="黑体" w:cs="宋体"/>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702</Words>
  <Characters>4004</Characters>
  <Application>Microsoft Office Word</Application>
  <DocSecurity>0</DocSecurity>
  <Lines>33</Lines>
  <Paragraphs>9</Paragraphs>
  <ScaleCrop>false</ScaleCrop>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cp:lastModifiedBy>
  <cp:revision>3</cp:revision>
  <cp:lastPrinted>2022-03-16T07:13:00Z</cp:lastPrinted>
  <dcterms:created xsi:type="dcterms:W3CDTF">2023-02-01T01:30:00Z</dcterms:created>
  <dcterms:modified xsi:type="dcterms:W3CDTF">2023-02-01T01:38:00Z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039302448F9744D1A80D236E927212B2</vt:lpwstr>
  </property>
</Properties>
</file>