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DC" w:rsidRDefault="0012632F">
      <w:pPr>
        <w:spacing w:line="360" w:lineRule="exact"/>
        <w:rPr>
          <w:rFonts w:ascii="黑体" w:eastAsia="黑体" w:hint="eastAsia"/>
          <w:color w:val="000000" w:themeColor="text1"/>
          <w:spacing w:val="56"/>
          <w:sz w:val="28"/>
          <w:szCs w:val="28"/>
        </w:rPr>
      </w:pPr>
      <w:r>
        <w:rPr>
          <w:rFonts w:ascii="黑体" w:eastAsia="黑体" w:hint="eastAsia"/>
          <w:color w:val="000000" w:themeColor="text1"/>
          <w:sz w:val="28"/>
          <w:szCs w:val="28"/>
        </w:rPr>
        <w:t>附件2</w:t>
      </w:r>
    </w:p>
    <w:p w:rsidR="00007ADC" w:rsidRDefault="00007ADC">
      <w:pPr>
        <w:pStyle w:val="a5"/>
      </w:pPr>
    </w:p>
    <w:p w:rsidR="00007ADC" w:rsidRDefault="00DD069C">
      <w:pPr>
        <w:spacing w:line="560" w:lineRule="exact"/>
        <w:jc w:val="center"/>
        <w:rPr>
          <w:rFonts w:ascii="方正小标宋简体" w:eastAsia="方正小标宋简体" w:hAnsi="方正小标宋简体" w:cs="方正小标宋简体"/>
          <w:bCs/>
          <w:color w:val="000000" w:themeColor="text1"/>
          <w:spacing w:val="-17"/>
          <w:sz w:val="36"/>
          <w:szCs w:val="36"/>
        </w:rPr>
      </w:pPr>
      <w:r>
        <w:rPr>
          <w:rFonts w:ascii="方正小标宋简体" w:eastAsia="方正小标宋简体" w:hAnsi="方正小标宋简体" w:cs="方正小标宋简体" w:hint="eastAsia"/>
          <w:bCs/>
          <w:color w:val="000000" w:themeColor="text1"/>
          <w:spacing w:val="-17"/>
          <w:sz w:val="36"/>
          <w:szCs w:val="36"/>
        </w:rPr>
        <w:t>《门头沟区“十四五”时期社会治理规划》</w:t>
      </w:r>
      <w:r w:rsidR="00DF5264">
        <w:rPr>
          <w:rFonts w:ascii="方正小标宋简体" w:eastAsia="方正小标宋简体" w:hAnsi="方正小标宋简体" w:cs="方正小标宋简体" w:hint="eastAsia"/>
          <w:bCs/>
          <w:color w:val="000000" w:themeColor="text1"/>
          <w:spacing w:val="-17"/>
          <w:sz w:val="36"/>
          <w:szCs w:val="36"/>
        </w:rPr>
        <w:t>的</w:t>
      </w:r>
      <w:r w:rsidR="0012632F">
        <w:rPr>
          <w:rFonts w:ascii="方正小标宋简体" w:eastAsia="方正小标宋简体" w:hAnsi="方正小标宋简体" w:cs="方正小标宋简体" w:hint="eastAsia"/>
          <w:bCs/>
          <w:color w:val="000000" w:themeColor="text1"/>
          <w:spacing w:val="-17"/>
          <w:sz w:val="36"/>
          <w:szCs w:val="36"/>
        </w:rPr>
        <w:t>起草说明</w:t>
      </w:r>
    </w:p>
    <w:p w:rsidR="00007ADC" w:rsidRDefault="00007ADC">
      <w:pPr>
        <w:spacing w:line="560" w:lineRule="exact"/>
        <w:ind w:firstLineChars="200" w:firstLine="640"/>
        <w:rPr>
          <w:rFonts w:ascii="仿宋_GB2312" w:eastAsia="仿宋_GB2312" w:hAnsi="仿宋_GB2312" w:cs="仿宋_GB2312"/>
          <w:color w:val="000000" w:themeColor="text1"/>
          <w:sz w:val="32"/>
          <w:szCs w:val="32"/>
        </w:rPr>
      </w:pPr>
    </w:p>
    <w:p w:rsidR="00007ADC" w:rsidRDefault="00DD069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一、背景情况</w:t>
      </w:r>
    </w:p>
    <w:p w:rsidR="00007ADC" w:rsidRDefault="00DD069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规划以习近平新时代中国特色社会主义思想为指导，全面贯彻党的十八大以来历次中央全会精神，依据北京市委市政府《中共北京市委贯彻〈中共中央关于坚持和完善中国特色社会主义制度、推进国家治理体系和治理能力现代化若干重大问题的决定〉的实施意见》《北京市“十四五”时期社会治理规划》《北京市门头沟区国民经济和社会发展第十四个五年规划和二〇三五年远景目标纲要》等有关文件精神，落实“生态立区、文化兴区、科技强区”发展战略，提出“十四五”时期门头沟区社会治理的总体要求、具体指标、重点任务和保障措施，是门头沟区“十四五”时期加强和创新社会治理、着力深化社会体制改革、全面加强社会建设的发展蓝图和行动纲领。</w:t>
      </w:r>
    </w:p>
    <w:p w:rsidR="00007ADC" w:rsidRDefault="00DD069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二、起草过程</w:t>
      </w:r>
    </w:p>
    <w:p w:rsidR="00007ADC" w:rsidRDefault="00DD069C">
      <w:pPr>
        <w:spacing w:line="560" w:lineRule="exact"/>
        <w:ind w:firstLineChars="200" w:firstLine="640"/>
        <w:rPr>
          <w:rFonts w:ascii="黑体" w:eastAsia="黑体" w:hAnsi="黑体" w:cs="黑体"/>
          <w:color w:val="000000" w:themeColor="text1"/>
          <w:sz w:val="32"/>
          <w:szCs w:val="32"/>
        </w:rPr>
      </w:pPr>
      <w:r>
        <w:rPr>
          <w:rFonts w:ascii="仿宋_GB2312" w:eastAsia="仿宋_GB2312" w:hAnsi="仿宋_GB2312" w:cs="仿宋_GB2312" w:hint="eastAsia"/>
          <w:color w:val="000000" w:themeColor="text1"/>
          <w:sz w:val="32"/>
          <w:szCs w:val="32"/>
        </w:rPr>
        <w:t>《门头沟区“十四五”时期社会治理规划（报审稿）》已向相关单位征求意见并修改完善，经局内专题会研究和局长办公会、党工委会审议通过，并报请分管区领导同意，现提交区政府常务会审议。</w:t>
      </w:r>
    </w:p>
    <w:p w:rsidR="00007ADC" w:rsidRDefault="00DD069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三、主要内容</w:t>
      </w:r>
    </w:p>
    <w:p w:rsidR="00007ADC" w:rsidRDefault="00DD069C">
      <w:pPr>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（一）完善社会治理体系，构建社会治理共同体</w:t>
      </w:r>
    </w:p>
    <w:p w:rsidR="00007ADC" w:rsidRDefault="00DD069C">
      <w:pPr>
        <w:snapToGrid w:val="0"/>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lastRenderedPageBreak/>
        <w:t>1.强化党的全面引领。</w:t>
      </w:r>
      <w:r>
        <w:rPr>
          <w:rFonts w:ascii="仿宋_GB2312" w:eastAsia="仿宋_GB2312" w:hAnsi="仿宋" w:cs="仿宋" w:hint="eastAsia"/>
          <w:bCs/>
          <w:color w:val="000000" w:themeColor="text1"/>
          <w:sz w:val="32"/>
          <w:szCs w:val="32"/>
        </w:rPr>
        <w:t>突出党建引领社会治理的体制优势；持续深化党建引领“吹哨报到”基层治理水平；做实区域化党建联动工作体系；强化基层治理中党领导的执行机制；动态保持社会组织</w:t>
      </w:r>
      <w:proofErr w:type="gramStart"/>
      <w:r>
        <w:rPr>
          <w:rFonts w:ascii="仿宋_GB2312" w:eastAsia="仿宋_GB2312" w:hAnsi="仿宋" w:cs="仿宋" w:hint="eastAsia"/>
          <w:bCs/>
          <w:color w:val="000000" w:themeColor="text1"/>
          <w:sz w:val="32"/>
          <w:szCs w:val="32"/>
        </w:rPr>
        <w:t>党建全</w:t>
      </w:r>
      <w:proofErr w:type="gramEnd"/>
      <w:r>
        <w:rPr>
          <w:rFonts w:ascii="仿宋_GB2312" w:eastAsia="仿宋_GB2312" w:hAnsi="仿宋" w:cs="仿宋" w:hint="eastAsia"/>
          <w:bCs/>
          <w:color w:val="000000" w:themeColor="text1"/>
          <w:sz w:val="32"/>
          <w:szCs w:val="32"/>
        </w:rPr>
        <w:t>覆盖。</w:t>
      </w:r>
    </w:p>
    <w:p w:rsidR="00007ADC" w:rsidRDefault="00DD069C">
      <w:pPr>
        <w:snapToGrid w:val="0"/>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2.优化治理体制机制。</w:t>
      </w:r>
      <w:r>
        <w:rPr>
          <w:rFonts w:ascii="仿宋_GB2312" w:eastAsia="仿宋_GB2312" w:hAnsi="仿宋" w:cs="仿宋" w:hint="eastAsia"/>
          <w:bCs/>
          <w:color w:val="000000" w:themeColor="text1"/>
          <w:sz w:val="32"/>
          <w:szCs w:val="32"/>
        </w:rPr>
        <w:t>优化顶层设计，完善制度安排，充分发挥我区社会建设工作领导小组作用，理顺区社会建设工作机构与街道的关系；健全治理体系，鼓励改革创新，打造区、街道（镇）、社区（村）上下贯通的社会治理工作体系，为基层留出探索空间。</w:t>
      </w:r>
    </w:p>
    <w:p w:rsidR="00007ADC" w:rsidRDefault="00DD069C">
      <w:pPr>
        <w:snapToGrid w:val="0"/>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3.明确各层治理重点。</w:t>
      </w:r>
      <w:r>
        <w:rPr>
          <w:rFonts w:ascii="仿宋_GB2312" w:eastAsia="仿宋_GB2312" w:hAnsi="仿宋" w:cs="仿宋" w:hint="eastAsia"/>
          <w:bCs/>
          <w:color w:val="000000" w:themeColor="text1"/>
          <w:sz w:val="32"/>
          <w:szCs w:val="32"/>
        </w:rPr>
        <w:t>区级层面重点做好政策集成和统筹协调，研究解决区域社会治理的重难点问题，补齐优质公共服务供给不足短板，破解社会矛盾外溢等难题；街道层面作为社会治理的主战场，切实发挥基础作用，落实社会服务、社会管理、社会动员工作部署；社区（村）层面主要做好居民动员，以服务社区居民为中心，解决居民身边服务和管理问题，提升社区服务能力。</w:t>
      </w:r>
    </w:p>
    <w:p w:rsidR="00007ADC" w:rsidRDefault="00DD069C">
      <w:pPr>
        <w:snapToGrid w:val="0"/>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4.深化基层体制改革。</w:t>
      </w:r>
      <w:r>
        <w:rPr>
          <w:rFonts w:ascii="仿宋_GB2312" w:eastAsia="仿宋_GB2312" w:hAnsi="仿宋" w:cs="仿宋" w:hint="eastAsia"/>
          <w:bCs/>
          <w:color w:val="000000" w:themeColor="text1"/>
          <w:sz w:val="32"/>
          <w:szCs w:val="32"/>
        </w:rPr>
        <w:t>向基层赋权，构建简约高效的街道（镇）管理体制；有序推进镇街转换，优化村居并行地区的治理工作衔接；整合基层力量，探索街区统筹治理模式。</w:t>
      </w:r>
    </w:p>
    <w:p w:rsidR="00007ADC" w:rsidRDefault="00DD069C">
      <w:pPr>
        <w:spacing w:line="560" w:lineRule="exact"/>
        <w:ind w:firstLineChars="200" w:firstLine="643"/>
        <w:rPr>
          <w:rFonts w:ascii="楷体_GB2312" w:eastAsia="楷体_GB2312" w:hAnsi="楷体_GB2312" w:cs="楷体_GB2312"/>
          <w:color w:val="000000" w:themeColor="text1"/>
          <w:sz w:val="32"/>
          <w:szCs w:val="32"/>
        </w:rPr>
      </w:pPr>
      <w:r>
        <w:rPr>
          <w:rFonts w:ascii="仿宋_GB2312" w:eastAsia="仿宋_GB2312" w:hAnsi="仿宋" w:cs="仿宋" w:hint="eastAsia"/>
          <w:b/>
          <w:color w:val="000000" w:themeColor="text1"/>
          <w:sz w:val="32"/>
          <w:szCs w:val="32"/>
        </w:rPr>
        <w:t>5.畅通社会参与渠道。</w:t>
      </w:r>
      <w:r>
        <w:rPr>
          <w:rFonts w:ascii="仿宋_GB2312" w:eastAsia="仿宋_GB2312" w:hAnsi="仿宋" w:cs="仿宋" w:hint="eastAsia"/>
          <w:bCs/>
          <w:color w:val="000000" w:themeColor="text1"/>
          <w:sz w:val="32"/>
          <w:szCs w:val="32"/>
        </w:rPr>
        <w:t xml:space="preserve">加快构建现代社会动员体制，制定完善门头沟区社会动员工作指导性文件，区级建立社会治理重大决策咨询机制和协商机制；创新社会动员方式；建立社会动员组织、激励和评价机制。  </w:t>
      </w:r>
    </w:p>
    <w:p w:rsidR="00007ADC" w:rsidRDefault="00DD069C">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6.完善各</w:t>
      </w:r>
      <w:proofErr w:type="gramStart"/>
      <w:r>
        <w:rPr>
          <w:rFonts w:ascii="仿宋_GB2312" w:eastAsia="仿宋_GB2312" w:hAnsi="仿宋" w:cs="仿宋" w:hint="eastAsia"/>
          <w:b/>
          <w:color w:val="000000" w:themeColor="text1"/>
          <w:sz w:val="32"/>
          <w:szCs w:val="32"/>
        </w:rPr>
        <w:t>类治理</w:t>
      </w:r>
      <w:proofErr w:type="gramEnd"/>
      <w:r>
        <w:rPr>
          <w:rFonts w:ascii="仿宋_GB2312" w:eastAsia="仿宋_GB2312" w:hAnsi="仿宋" w:cs="仿宋" w:hint="eastAsia"/>
          <w:b/>
          <w:color w:val="000000" w:themeColor="text1"/>
          <w:sz w:val="32"/>
          <w:szCs w:val="32"/>
        </w:rPr>
        <w:t>平台。</w:t>
      </w:r>
      <w:r>
        <w:rPr>
          <w:rFonts w:ascii="仿宋_GB2312" w:eastAsia="仿宋_GB2312" w:hAnsi="仿宋" w:cs="仿宋" w:hint="eastAsia"/>
          <w:bCs/>
          <w:color w:val="000000" w:themeColor="text1"/>
          <w:sz w:val="32"/>
          <w:szCs w:val="32"/>
        </w:rPr>
        <w:t>深化社区网格化管理，提高网格化运</w:t>
      </w:r>
      <w:r>
        <w:rPr>
          <w:rFonts w:ascii="仿宋_GB2312" w:eastAsia="仿宋_GB2312" w:hAnsi="仿宋" w:cs="仿宋" w:hint="eastAsia"/>
          <w:bCs/>
          <w:color w:val="000000" w:themeColor="text1"/>
          <w:sz w:val="32"/>
          <w:szCs w:val="32"/>
        </w:rPr>
        <w:lastRenderedPageBreak/>
        <w:t>行效率；健全“枢纽型”社会组织工作体系，探索特色区域的社会治理平台建设模式，促进公共服务项目向农村地区延伸，在大台街道与王平镇推进“一线四矿”社会工作服务站建设；创建商务楼宇社会治理协同平台。</w:t>
      </w:r>
    </w:p>
    <w:p w:rsidR="00007ADC" w:rsidRDefault="00DD069C">
      <w:pPr>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（二）提升社会治理能力，激发社会活力</w:t>
      </w:r>
    </w:p>
    <w:p w:rsidR="00007ADC" w:rsidRDefault="00DD069C">
      <w:pPr>
        <w:spacing w:line="560" w:lineRule="exact"/>
        <w:ind w:firstLineChars="200" w:firstLine="640"/>
        <w:rPr>
          <w:rFonts w:ascii="仿宋_GB2312" w:eastAsia="仿宋_GB2312" w:hAnsi="仿宋" w:cs="仿宋"/>
          <w:bCs/>
          <w:color w:val="000000" w:themeColor="text1"/>
          <w:sz w:val="32"/>
          <w:szCs w:val="32"/>
        </w:rPr>
      </w:pPr>
      <w:r>
        <w:rPr>
          <w:rFonts w:ascii="仿宋_GB2312" w:eastAsia="仿宋_GB2312" w:hAnsi="仿宋" w:cs="仿宋" w:hint="eastAsia"/>
          <w:bCs/>
          <w:color w:val="000000" w:themeColor="text1"/>
          <w:sz w:val="32"/>
          <w:szCs w:val="32"/>
        </w:rPr>
        <w:t>从党建效能提升、社会服务提质、社会安全保障、社会主体发展、社工人才培养、社区治理优化、社会文明促进、社会关系融合、完善法律保障、加强科技支撑十个方面明确任务，逐步实现社会治理能力现代化。</w:t>
      </w:r>
    </w:p>
    <w:p w:rsidR="00007ADC" w:rsidRDefault="00DD069C">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1.</w:t>
      </w:r>
      <w:proofErr w:type="gramStart"/>
      <w:r>
        <w:rPr>
          <w:rFonts w:ascii="仿宋_GB2312" w:eastAsia="仿宋_GB2312" w:hAnsi="仿宋" w:cs="仿宋" w:hint="eastAsia"/>
          <w:b/>
          <w:color w:val="000000" w:themeColor="text1"/>
          <w:sz w:val="32"/>
          <w:szCs w:val="32"/>
        </w:rPr>
        <w:t>深推党建</w:t>
      </w:r>
      <w:proofErr w:type="gramEnd"/>
      <w:r>
        <w:rPr>
          <w:rFonts w:ascii="仿宋_GB2312" w:eastAsia="仿宋_GB2312" w:hAnsi="仿宋" w:cs="仿宋" w:hint="eastAsia"/>
          <w:b/>
          <w:color w:val="000000" w:themeColor="text1"/>
          <w:sz w:val="32"/>
          <w:szCs w:val="32"/>
        </w:rPr>
        <w:t>引领，提升党建效能。</w:t>
      </w:r>
      <w:r>
        <w:rPr>
          <w:rFonts w:ascii="仿宋_GB2312" w:eastAsia="仿宋_GB2312" w:hAnsi="仿宋" w:cs="仿宋" w:hint="eastAsia"/>
          <w:bCs/>
          <w:color w:val="000000" w:themeColor="text1"/>
          <w:sz w:val="32"/>
          <w:szCs w:val="32"/>
        </w:rPr>
        <w:t>在区域化格局</w:t>
      </w:r>
      <w:proofErr w:type="gramStart"/>
      <w:r>
        <w:rPr>
          <w:rFonts w:ascii="仿宋_GB2312" w:eastAsia="仿宋_GB2312" w:hAnsi="仿宋" w:cs="仿宋" w:hint="eastAsia"/>
          <w:bCs/>
          <w:color w:val="000000" w:themeColor="text1"/>
          <w:sz w:val="32"/>
          <w:szCs w:val="32"/>
        </w:rPr>
        <w:t>中将党建</w:t>
      </w:r>
      <w:proofErr w:type="gramEnd"/>
      <w:r>
        <w:rPr>
          <w:rFonts w:ascii="仿宋_GB2312" w:eastAsia="仿宋_GB2312" w:hAnsi="仿宋" w:cs="仿宋" w:hint="eastAsia"/>
          <w:bCs/>
          <w:color w:val="000000" w:themeColor="text1"/>
          <w:sz w:val="32"/>
          <w:szCs w:val="32"/>
        </w:rPr>
        <w:t>与社会治理深度融合；强化重点区域、重点组织的党建工作，重点完善新农村建设成片推进区、新建连片居民区、企业集聚和外来流动人员集中的城乡结合部及近郊农村、工业园区和大型商贸区、商务楼宇、专业市场等功能区块和区域的党组织设置，狠抓互联网、律师、物业、快递等重点</w:t>
      </w:r>
      <w:proofErr w:type="gramStart"/>
      <w:r>
        <w:rPr>
          <w:rFonts w:ascii="仿宋_GB2312" w:eastAsia="仿宋_GB2312" w:hAnsi="仿宋" w:cs="仿宋" w:hint="eastAsia"/>
          <w:bCs/>
          <w:color w:val="000000" w:themeColor="text1"/>
          <w:sz w:val="32"/>
          <w:szCs w:val="32"/>
        </w:rPr>
        <w:t>行业党建</w:t>
      </w:r>
      <w:proofErr w:type="gramEnd"/>
      <w:r>
        <w:rPr>
          <w:rFonts w:ascii="仿宋_GB2312" w:eastAsia="仿宋_GB2312" w:hAnsi="仿宋" w:cs="仿宋" w:hint="eastAsia"/>
          <w:bCs/>
          <w:color w:val="000000" w:themeColor="text1"/>
          <w:sz w:val="32"/>
          <w:szCs w:val="32"/>
        </w:rPr>
        <w:t>工作；推动标准化建设与党建</w:t>
      </w:r>
      <w:proofErr w:type="gramStart"/>
      <w:r>
        <w:rPr>
          <w:rFonts w:ascii="仿宋_GB2312" w:eastAsia="仿宋_GB2312" w:hAnsi="仿宋" w:cs="仿宋" w:hint="eastAsia"/>
          <w:bCs/>
          <w:color w:val="000000" w:themeColor="text1"/>
          <w:sz w:val="32"/>
          <w:szCs w:val="32"/>
        </w:rPr>
        <w:t>效能双</w:t>
      </w:r>
      <w:proofErr w:type="gramEnd"/>
      <w:r>
        <w:rPr>
          <w:rFonts w:ascii="仿宋_GB2312" w:eastAsia="仿宋_GB2312" w:hAnsi="仿宋" w:cs="仿宋" w:hint="eastAsia"/>
          <w:bCs/>
          <w:color w:val="000000" w:themeColor="text1"/>
          <w:sz w:val="32"/>
          <w:szCs w:val="32"/>
        </w:rPr>
        <w:t>提升；实施社区党建能力提升行动；鼓励在社会治理领域实现党建工作不断创新。</w:t>
      </w:r>
    </w:p>
    <w:p w:rsidR="00007ADC" w:rsidRDefault="00DD069C">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2.坚持以人为本，改进服务质量。</w:t>
      </w:r>
      <w:r>
        <w:rPr>
          <w:rFonts w:ascii="仿宋_GB2312" w:eastAsia="仿宋_GB2312" w:hAnsi="仿宋" w:cs="仿宋" w:hint="eastAsia"/>
          <w:bCs/>
          <w:color w:val="000000" w:themeColor="text1"/>
          <w:sz w:val="32"/>
          <w:szCs w:val="32"/>
        </w:rPr>
        <w:t>完善基础性民生工程建设，优化社会服务体验；紧抓公共服务关键领域，推进基础服务向山区逐步延伸，推动服务供给主体和方式多元化，政策引导、资源支持等方面加强对</w:t>
      </w:r>
      <w:proofErr w:type="gramStart"/>
      <w:r>
        <w:rPr>
          <w:rFonts w:ascii="仿宋_GB2312" w:eastAsia="仿宋_GB2312" w:hAnsi="仿宋" w:cs="仿宋" w:hint="eastAsia"/>
          <w:bCs/>
          <w:color w:val="000000" w:themeColor="text1"/>
          <w:sz w:val="32"/>
          <w:szCs w:val="32"/>
        </w:rPr>
        <w:t>浅山区</w:t>
      </w:r>
      <w:proofErr w:type="gramEnd"/>
      <w:r>
        <w:rPr>
          <w:rFonts w:ascii="仿宋_GB2312" w:eastAsia="仿宋_GB2312" w:hAnsi="仿宋" w:cs="仿宋" w:hint="eastAsia"/>
          <w:bCs/>
          <w:color w:val="000000" w:themeColor="text1"/>
          <w:sz w:val="32"/>
          <w:szCs w:val="32"/>
        </w:rPr>
        <w:t>及深山区的社会服务供给，尤其在养老、医疗等群众最为关切的领域，探索政府、社会力量与群众共建共</w:t>
      </w:r>
      <w:r>
        <w:rPr>
          <w:rFonts w:ascii="仿宋_GB2312" w:eastAsia="仿宋_GB2312" w:hAnsi="仿宋" w:cs="仿宋" w:hint="eastAsia"/>
          <w:bCs/>
          <w:color w:val="000000" w:themeColor="text1"/>
          <w:sz w:val="32"/>
          <w:szCs w:val="32"/>
        </w:rPr>
        <w:lastRenderedPageBreak/>
        <w:t>享的山区服务模式，进一步将网格化管理平台向农村地区延伸；科技助力，持续完善城区社会服务体系。</w:t>
      </w:r>
    </w:p>
    <w:p w:rsidR="00007ADC" w:rsidRDefault="00DD069C">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3.筑牢安全底线，保障社会安全。</w:t>
      </w:r>
      <w:r>
        <w:rPr>
          <w:rFonts w:ascii="仿宋_GB2312" w:eastAsia="仿宋_GB2312" w:hAnsi="仿宋" w:cs="仿宋" w:hint="eastAsia"/>
          <w:bCs/>
          <w:color w:val="000000" w:themeColor="text1"/>
          <w:sz w:val="32"/>
          <w:szCs w:val="32"/>
        </w:rPr>
        <w:t>优化社会面常态化防控机制，提升公共安全防控水平；健全重大风险防范化解机制，提高应急管理能力；贯彻落实网络安全法和互联网领域法律法规，提升</w:t>
      </w:r>
      <w:proofErr w:type="gramStart"/>
      <w:r>
        <w:rPr>
          <w:rFonts w:ascii="仿宋_GB2312" w:eastAsia="仿宋_GB2312" w:hAnsi="仿宋" w:cs="仿宋" w:hint="eastAsia"/>
          <w:bCs/>
          <w:color w:val="000000" w:themeColor="text1"/>
          <w:sz w:val="32"/>
          <w:szCs w:val="32"/>
        </w:rPr>
        <w:t>管网治网法治</w:t>
      </w:r>
      <w:proofErr w:type="gramEnd"/>
      <w:r>
        <w:rPr>
          <w:rFonts w:ascii="仿宋_GB2312" w:eastAsia="仿宋_GB2312" w:hAnsi="仿宋" w:cs="仿宋" w:hint="eastAsia"/>
          <w:bCs/>
          <w:color w:val="000000" w:themeColor="text1"/>
          <w:sz w:val="32"/>
          <w:szCs w:val="32"/>
        </w:rPr>
        <w:t>化水平。</w:t>
      </w:r>
    </w:p>
    <w:p w:rsidR="00007ADC" w:rsidRDefault="00DD069C">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4.坚持社会协同，扩充治理主体。</w:t>
      </w:r>
      <w:r>
        <w:rPr>
          <w:rFonts w:ascii="仿宋_GB2312" w:eastAsia="仿宋_GB2312" w:hAnsi="仿宋" w:cs="仿宋" w:hint="eastAsia"/>
          <w:bCs/>
          <w:color w:val="000000" w:themeColor="text1"/>
          <w:sz w:val="32"/>
          <w:szCs w:val="32"/>
        </w:rPr>
        <w:t xml:space="preserve">拓宽社会组织培育方式，促进社会组织多样化发展，“十四五”末，街道（镇）社会组织孵化服务机构覆盖率达到70%以上，工作覆盖率达到100%；依据“限数量、促质量”原则推进社会组织管理，鼓励发展应急类社会组织，优先发展行业协会商会类以及社区类、社会服务类、公益慈善类社会组织，“十四五”期末，四类社会组织占全区社会组织总量的75%以上；探索社会组织落地生根的有效方式；创设制度环境，推动社会企业发展。 </w:t>
      </w:r>
    </w:p>
    <w:p w:rsidR="00007ADC" w:rsidRDefault="00DD069C">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5.坚持专业导向，培育社工人才。</w:t>
      </w:r>
      <w:r>
        <w:rPr>
          <w:rFonts w:ascii="仿宋_GB2312" w:eastAsia="仿宋_GB2312" w:hAnsi="仿宋" w:cs="仿宋" w:hint="eastAsia"/>
          <w:bCs/>
          <w:color w:val="000000" w:themeColor="text1"/>
          <w:sz w:val="32"/>
          <w:szCs w:val="32"/>
        </w:rPr>
        <w:t>建立</w:t>
      </w:r>
      <w:proofErr w:type="gramStart"/>
      <w:r>
        <w:rPr>
          <w:rFonts w:ascii="仿宋_GB2312" w:eastAsia="仿宋_GB2312" w:hAnsi="仿宋" w:cs="仿宋" w:hint="eastAsia"/>
          <w:bCs/>
          <w:color w:val="000000" w:themeColor="text1"/>
          <w:sz w:val="32"/>
          <w:szCs w:val="32"/>
        </w:rPr>
        <w:t>完善社</w:t>
      </w:r>
      <w:proofErr w:type="gramEnd"/>
      <w:r>
        <w:rPr>
          <w:rFonts w:ascii="仿宋_GB2312" w:eastAsia="仿宋_GB2312" w:hAnsi="仿宋" w:cs="仿宋" w:hint="eastAsia"/>
          <w:bCs/>
          <w:color w:val="000000" w:themeColor="text1"/>
          <w:sz w:val="32"/>
          <w:szCs w:val="32"/>
        </w:rPr>
        <w:t>工人才队伍选人用人机制；拓宽育人机制，多渠道提升社工人才队伍专业能力，通过在职培训、继续教育、学历教育等多种形式提升专业能力，实施社会工作“优才计划”，到“十四五”末，选拔培养不少于15名优秀社区社会工作专业人才；优化考评体系，打造专业人才梯队，扩大街道（镇）层面的社会工作服务平台（社工站）建设，设立专业社会工作岗位、配备专业社工人才，发挥区位优势，结合生态科技、绿色环保、文化旅游等产业特色，引导和鼓励高</w:t>
      </w:r>
      <w:r>
        <w:rPr>
          <w:rFonts w:ascii="仿宋_GB2312" w:eastAsia="仿宋_GB2312" w:hAnsi="仿宋" w:cs="仿宋" w:hint="eastAsia"/>
          <w:bCs/>
          <w:color w:val="000000" w:themeColor="text1"/>
          <w:sz w:val="32"/>
          <w:szCs w:val="32"/>
        </w:rPr>
        <w:lastRenderedPageBreak/>
        <w:t>校毕业生到门头沟区城乡社区就业创业，“十四五”期末，培育发展社会工作专业服务机构10家，社会工作专业人才总量达到1300人，其中获得社会工作者职业水平证书的专业人才不少于40%。</w:t>
      </w:r>
    </w:p>
    <w:p w:rsidR="00007ADC" w:rsidRDefault="00DD069C">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6.坚持基层优先，优化社区治理。</w:t>
      </w:r>
      <w:r>
        <w:rPr>
          <w:rFonts w:ascii="仿宋_GB2312" w:eastAsia="仿宋_GB2312" w:hAnsi="仿宋" w:cs="仿宋" w:hint="eastAsia"/>
          <w:bCs/>
          <w:color w:val="000000" w:themeColor="text1"/>
          <w:sz w:val="32"/>
          <w:szCs w:val="32"/>
        </w:rPr>
        <w:t>加快推进撤村建居，保障有序治理，调整街道社区规划，对符合条件的镇推进撤村建居工作，适应城市化管理要求，按照区委区政府要求做好行政区划调整相关工作；助力城市社区基层治理，减负增效，提高精细</w:t>
      </w:r>
      <w:proofErr w:type="gramStart"/>
      <w:r>
        <w:rPr>
          <w:rFonts w:ascii="仿宋_GB2312" w:eastAsia="仿宋_GB2312" w:hAnsi="仿宋" w:cs="仿宋" w:hint="eastAsia"/>
          <w:bCs/>
          <w:color w:val="000000" w:themeColor="text1"/>
          <w:sz w:val="32"/>
          <w:szCs w:val="32"/>
        </w:rPr>
        <w:t>化治理</w:t>
      </w:r>
      <w:proofErr w:type="gramEnd"/>
      <w:r>
        <w:rPr>
          <w:rFonts w:ascii="仿宋_GB2312" w:eastAsia="仿宋_GB2312" w:hAnsi="仿宋" w:cs="仿宋" w:hint="eastAsia"/>
          <w:bCs/>
          <w:color w:val="000000" w:themeColor="text1"/>
          <w:sz w:val="32"/>
          <w:szCs w:val="32"/>
        </w:rPr>
        <w:t>能力，以换届选举为契机，选“优治”班子，选优配强社区两委班子，加强社区民主自治，提升社区居委会选举中采取直接选举或户代表选举方式的比例，培育社区自治能力，聚焦社区治理难题，倡导居民通过小院议事厅、居民“微提案”等方式进行民主协商，深入实施《北京市物业管理条例》，不断增强街道、社区物业管理能力；创新乡村社区治理，</w:t>
      </w:r>
      <w:proofErr w:type="gramStart"/>
      <w:r>
        <w:rPr>
          <w:rFonts w:ascii="仿宋_GB2312" w:eastAsia="仿宋_GB2312" w:hAnsi="仿宋" w:cs="仿宋" w:hint="eastAsia"/>
          <w:bCs/>
          <w:color w:val="000000" w:themeColor="text1"/>
          <w:sz w:val="32"/>
          <w:szCs w:val="32"/>
        </w:rPr>
        <w:t>打造产治融合</w:t>
      </w:r>
      <w:proofErr w:type="gramEnd"/>
      <w:r>
        <w:rPr>
          <w:rFonts w:ascii="仿宋_GB2312" w:eastAsia="仿宋_GB2312" w:hAnsi="仿宋" w:cs="仿宋" w:hint="eastAsia"/>
          <w:bCs/>
          <w:color w:val="000000" w:themeColor="text1"/>
          <w:sz w:val="32"/>
          <w:szCs w:val="32"/>
        </w:rPr>
        <w:t>新格局，选优配强村“两委”领导班子，将乡村社区治理与美丽乡村建设、农村人居环境整治、村庄有机更新、传统村落文化保护与传承、</w:t>
      </w:r>
      <w:proofErr w:type="gramStart"/>
      <w:r>
        <w:rPr>
          <w:rFonts w:ascii="仿宋_GB2312" w:eastAsia="仿宋_GB2312" w:hAnsi="仿宋" w:cs="仿宋" w:hint="eastAsia"/>
          <w:bCs/>
          <w:color w:val="000000" w:themeColor="text1"/>
          <w:sz w:val="32"/>
          <w:szCs w:val="32"/>
        </w:rPr>
        <w:t>文旅产业</w:t>
      </w:r>
      <w:proofErr w:type="gramEnd"/>
      <w:r>
        <w:rPr>
          <w:rFonts w:ascii="仿宋_GB2312" w:eastAsia="仿宋_GB2312" w:hAnsi="仿宋" w:cs="仿宋" w:hint="eastAsia"/>
          <w:bCs/>
          <w:color w:val="000000" w:themeColor="text1"/>
          <w:sz w:val="32"/>
          <w:szCs w:val="32"/>
        </w:rPr>
        <w:t>等工作深度融合，培养村民参与社区治理的积极性和主动性，提升村民自治水平，建立农村专业社会工作队伍，推动村级社会工作服务站建设。</w:t>
      </w:r>
    </w:p>
    <w:p w:rsidR="00007ADC" w:rsidRDefault="00DD069C">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7.坚持示范带动，深化文明创建。</w:t>
      </w:r>
      <w:r>
        <w:rPr>
          <w:rFonts w:ascii="仿宋_GB2312" w:eastAsia="仿宋_GB2312" w:hAnsi="仿宋" w:cs="仿宋" w:hint="eastAsia"/>
          <w:bCs/>
          <w:color w:val="000000" w:themeColor="text1"/>
          <w:sz w:val="32"/>
          <w:szCs w:val="32"/>
        </w:rPr>
        <w:t>完善文明城区创建，推进新时代文明实践；立足生态宜居特色，精细化提升环境质量，</w:t>
      </w:r>
      <w:proofErr w:type="gramStart"/>
      <w:r>
        <w:rPr>
          <w:rFonts w:ascii="仿宋_GB2312" w:eastAsia="仿宋_GB2312" w:hAnsi="仿宋" w:cs="仿宋" w:hint="eastAsia"/>
          <w:bCs/>
          <w:color w:val="000000" w:themeColor="text1"/>
          <w:sz w:val="32"/>
          <w:szCs w:val="32"/>
        </w:rPr>
        <w:t>以创城为</w:t>
      </w:r>
      <w:proofErr w:type="gramEnd"/>
      <w:r>
        <w:rPr>
          <w:rFonts w:ascii="仿宋_GB2312" w:eastAsia="仿宋_GB2312" w:hAnsi="仿宋" w:cs="仿宋" w:hint="eastAsia"/>
          <w:bCs/>
          <w:color w:val="000000" w:themeColor="text1"/>
          <w:sz w:val="32"/>
          <w:szCs w:val="32"/>
        </w:rPr>
        <w:t>总牵引，一体化推进生活垃圾分类、物业管理与整治、文</w:t>
      </w:r>
      <w:r>
        <w:rPr>
          <w:rFonts w:ascii="仿宋_GB2312" w:eastAsia="仿宋_GB2312" w:hAnsi="仿宋" w:cs="仿宋" w:hint="eastAsia"/>
          <w:bCs/>
          <w:color w:val="000000" w:themeColor="text1"/>
          <w:sz w:val="32"/>
          <w:szCs w:val="32"/>
        </w:rPr>
        <w:lastRenderedPageBreak/>
        <w:t>明行为促进条例落实及爱国卫生运动，推动垃圾分类习惯养成，常态</w:t>
      </w:r>
      <w:proofErr w:type="gramStart"/>
      <w:r>
        <w:rPr>
          <w:rFonts w:ascii="仿宋_GB2312" w:eastAsia="仿宋_GB2312" w:hAnsi="仿宋" w:cs="仿宋" w:hint="eastAsia"/>
          <w:bCs/>
          <w:color w:val="000000" w:themeColor="text1"/>
          <w:sz w:val="32"/>
          <w:szCs w:val="32"/>
        </w:rPr>
        <w:t>化抓好</w:t>
      </w:r>
      <w:proofErr w:type="gramEnd"/>
      <w:r>
        <w:rPr>
          <w:rFonts w:ascii="仿宋_GB2312" w:eastAsia="仿宋_GB2312" w:hAnsi="仿宋" w:cs="仿宋" w:hint="eastAsia"/>
          <w:bCs/>
          <w:color w:val="000000" w:themeColor="text1"/>
          <w:sz w:val="32"/>
          <w:szCs w:val="32"/>
        </w:rPr>
        <w:t>背街小巷环境整治提升，围绕两大文化带建设，树立环境质量品牌，打造多个环境整治示范点；拓宽志愿服务领域，提升志愿服务意愿，建立“银龄伙伴”等志愿互动服务平台，着力打造“门头沟热心人”志愿服务品牌，到“十四五”末，实名注册志愿者人数不少于4万人；构筑诚信制度环境，推进慈善精神普及。</w:t>
      </w:r>
    </w:p>
    <w:p w:rsidR="00007ADC" w:rsidRDefault="00DD069C">
      <w:pPr>
        <w:spacing w:line="560" w:lineRule="exact"/>
        <w:ind w:firstLineChars="200" w:firstLine="643"/>
        <w:outlineLvl w:val="0"/>
        <w:rPr>
          <w:rFonts w:ascii="楷体_GB2312" w:eastAsia="楷体_GB2312" w:hAnsi="楷体_GB2312" w:cs="楷体_GB2312"/>
          <w:color w:val="000000" w:themeColor="text1"/>
          <w:sz w:val="32"/>
          <w:szCs w:val="32"/>
        </w:rPr>
      </w:pPr>
      <w:r>
        <w:rPr>
          <w:rFonts w:ascii="仿宋_GB2312" w:eastAsia="仿宋_GB2312" w:hAnsi="仿宋" w:cs="仿宋" w:hint="eastAsia"/>
          <w:b/>
          <w:color w:val="000000" w:themeColor="text1"/>
          <w:sz w:val="32"/>
          <w:szCs w:val="32"/>
        </w:rPr>
        <w:t>8.坚持需求导向，融合社会关系。</w:t>
      </w:r>
      <w:r>
        <w:rPr>
          <w:rFonts w:ascii="仿宋_GB2312" w:eastAsia="仿宋_GB2312" w:hAnsi="仿宋" w:cs="仿宋" w:hint="eastAsia"/>
          <w:bCs/>
          <w:color w:val="000000" w:themeColor="text1"/>
          <w:sz w:val="32"/>
          <w:szCs w:val="32"/>
        </w:rPr>
        <w:t>畅通社情民意沟通渠道，着力提升居民满意度，完善各镇（街）“七有”“五性”监测评价体系，深化“接诉即办”工作，开通网上12345，建立民生诉求库，健全完善矛盾纠纷多元化解机制，加强人民调解、行政调解、司法调解联动工作体系，加强人民调解员队伍建设；健全社会心理服务体系，</w:t>
      </w:r>
      <w:proofErr w:type="gramStart"/>
      <w:r>
        <w:rPr>
          <w:rFonts w:ascii="仿宋_GB2312" w:eastAsia="仿宋_GB2312" w:hAnsi="仿宋" w:cs="仿宋" w:hint="eastAsia"/>
          <w:bCs/>
          <w:color w:val="000000" w:themeColor="text1"/>
          <w:sz w:val="32"/>
          <w:szCs w:val="32"/>
        </w:rPr>
        <w:t>有效响应</w:t>
      </w:r>
      <w:proofErr w:type="gramEnd"/>
      <w:r>
        <w:rPr>
          <w:rFonts w:ascii="仿宋_GB2312" w:eastAsia="仿宋_GB2312" w:hAnsi="仿宋" w:cs="仿宋" w:hint="eastAsia"/>
          <w:bCs/>
          <w:color w:val="000000" w:themeColor="text1"/>
          <w:sz w:val="32"/>
          <w:szCs w:val="32"/>
        </w:rPr>
        <w:t>居民心理服务需求，到“十四五”末，实现镇（街）</w:t>
      </w:r>
      <w:proofErr w:type="gramStart"/>
      <w:r>
        <w:rPr>
          <w:rFonts w:ascii="仿宋_GB2312" w:eastAsia="仿宋_GB2312" w:hAnsi="仿宋" w:cs="仿宋" w:hint="eastAsia"/>
          <w:bCs/>
          <w:color w:val="000000" w:themeColor="text1"/>
          <w:sz w:val="32"/>
          <w:szCs w:val="32"/>
        </w:rPr>
        <w:t>级社会</w:t>
      </w:r>
      <w:proofErr w:type="gramEnd"/>
      <w:r>
        <w:rPr>
          <w:rFonts w:ascii="仿宋_GB2312" w:eastAsia="仿宋_GB2312" w:hAnsi="仿宋" w:cs="仿宋" w:hint="eastAsia"/>
          <w:bCs/>
          <w:color w:val="000000" w:themeColor="text1"/>
          <w:sz w:val="32"/>
          <w:szCs w:val="32"/>
        </w:rPr>
        <w:t>心理服务中心（站）全覆盖，推行政府购买社会心理服务的工作模式。</w:t>
      </w:r>
    </w:p>
    <w:p w:rsidR="00007ADC" w:rsidRDefault="00DD069C">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9.坚持依法治理，完善法治社会。</w:t>
      </w:r>
      <w:r>
        <w:rPr>
          <w:rFonts w:ascii="仿宋_GB2312" w:eastAsia="仿宋_GB2312" w:hAnsi="仿宋" w:cs="仿宋" w:hint="eastAsia"/>
          <w:bCs/>
          <w:color w:val="000000" w:themeColor="text1"/>
          <w:sz w:val="32"/>
          <w:szCs w:val="32"/>
        </w:rPr>
        <w:t>健全党领导的自治、法治、德治相结合的基层治理体系，完善居民公约、村规民约、行业规章、社会组织章程等社会规范建设，健全社区（村）道德评议机制，开展“最美门头沟人”等道德模范选树活动，继续开展道德银行、互助积分等活动；普法宣传常抓不懈，法律服务体系覆盖全域；依法治区，建设平安门头沟。</w:t>
      </w:r>
    </w:p>
    <w:p w:rsidR="00007ADC" w:rsidRDefault="00DD069C">
      <w:pPr>
        <w:spacing w:line="560" w:lineRule="exact"/>
        <w:ind w:firstLineChars="200" w:firstLine="643"/>
        <w:outlineLvl w:val="0"/>
      </w:pPr>
      <w:r>
        <w:rPr>
          <w:rFonts w:ascii="仿宋_GB2312" w:eastAsia="仿宋_GB2312" w:hAnsi="仿宋" w:cs="仿宋" w:hint="eastAsia"/>
          <w:b/>
          <w:color w:val="000000" w:themeColor="text1"/>
          <w:sz w:val="32"/>
          <w:szCs w:val="32"/>
        </w:rPr>
        <w:t>10.坚持科技支撑，提升智能水平。</w:t>
      </w:r>
      <w:r>
        <w:rPr>
          <w:rFonts w:ascii="仿宋_GB2312" w:eastAsia="仿宋_GB2312" w:hAnsi="仿宋" w:cs="仿宋" w:hint="eastAsia"/>
          <w:bCs/>
          <w:color w:val="000000" w:themeColor="text1"/>
          <w:sz w:val="32"/>
          <w:szCs w:val="32"/>
        </w:rPr>
        <w:t>建立社会治理大数据辅</w:t>
      </w:r>
      <w:r>
        <w:rPr>
          <w:rFonts w:ascii="仿宋_GB2312" w:eastAsia="仿宋_GB2312" w:hAnsi="仿宋" w:cs="仿宋" w:hint="eastAsia"/>
          <w:bCs/>
          <w:color w:val="000000" w:themeColor="text1"/>
          <w:sz w:val="32"/>
          <w:szCs w:val="32"/>
        </w:rPr>
        <w:lastRenderedPageBreak/>
        <w:t>助决策机制；加快社区管理智能化建设，依托“互联网+”，建立社区治理服务信息化平台，将社区居民、流动人口、房屋租赁等信息纳入平台，做到社区人、地、物、事、组织信息覆盖率100%，推动建立统一的社区居住码制度；完善社区网格化服务管理建设，社区自治管理与网格化服务管理相衔接，通过社区网站、社区</w:t>
      </w:r>
      <w:proofErr w:type="gramStart"/>
      <w:r>
        <w:rPr>
          <w:rFonts w:ascii="仿宋_GB2312" w:eastAsia="仿宋_GB2312" w:hAnsi="仿宋" w:cs="仿宋" w:hint="eastAsia"/>
          <w:bCs/>
          <w:color w:val="000000" w:themeColor="text1"/>
          <w:sz w:val="32"/>
          <w:szCs w:val="32"/>
        </w:rPr>
        <w:t>微博微信</w:t>
      </w:r>
      <w:proofErr w:type="gramEnd"/>
      <w:r>
        <w:rPr>
          <w:rFonts w:ascii="仿宋_GB2312" w:eastAsia="仿宋_GB2312" w:hAnsi="仿宋" w:cs="仿宋" w:hint="eastAsia"/>
          <w:bCs/>
          <w:color w:val="000000" w:themeColor="text1"/>
          <w:sz w:val="32"/>
          <w:szCs w:val="32"/>
        </w:rPr>
        <w:t xml:space="preserve">等载体，实现数据实时采集、智能监测预警，推广社区“微信群”体系建设，创新大数据支持下的“掌上社区”服务管理模式。 </w:t>
      </w:r>
    </w:p>
    <w:p w:rsidR="00007ADC" w:rsidRDefault="00DD069C">
      <w:pPr>
        <w:spacing w:line="560" w:lineRule="exact"/>
        <w:jc w:val="center"/>
        <w:rPr>
          <w:rFonts w:ascii="楷体_GB2312" w:eastAsia="楷体_GB2312" w:hAnsi="楷体_GB2312" w:cs="楷体_GB2312"/>
          <w:color w:val="000000" w:themeColor="text1"/>
          <w:sz w:val="32"/>
          <w:szCs w:val="32"/>
        </w:rPr>
      </w:pPr>
      <w:r>
        <w:rPr>
          <w:rFonts w:ascii="仿宋_GB2312" w:eastAsia="仿宋_GB2312" w:hAnsi="仿宋_GB2312" w:cs="仿宋_GB2312" w:hint="eastAsia"/>
          <w:b/>
          <w:sz w:val="28"/>
          <w:szCs w:val="28"/>
        </w:rPr>
        <w:t>“十四五”时期门头沟区社会治理发展主要指标</w:t>
      </w: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22"/>
        <w:gridCol w:w="5232"/>
        <w:gridCol w:w="992"/>
        <w:gridCol w:w="1170"/>
      </w:tblGrid>
      <w:tr w:rsidR="00007ADC">
        <w:trPr>
          <w:trHeight w:val="23"/>
          <w:jc w:val="center"/>
        </w:trPr>
        <w:tc>
          <w:tcPr>
            <w:tcW w:w="704"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类别</w:t>
            </w:r>
          </w:p>
        </w:tc>
        <w:tc>
          <w:tcPr>
            <w:tcW w:w="72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523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具体指标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目标</w:t>
            </w:r>
          </w:p>
        </w:tc>
        <w:tc>
          <w:tcPr>
            <w:tcW w:w="1170"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属性</w:t>
            </w:r>
          </w:p>
        </w:tc>
      </w:tr>
      <w:tr w:rsidR="00007ADC">
        <w:trPr>
          <w:trHeight w:val="23"/>
          <w:jc w:val="center"/>
        </w:trPr>
        <w:tc>
          <w:tcPr>
            <w:tcW w:w="704" w:type="dxa"/>
            <w:vMerge w:val="restart"/>
            <w:textDirection w:val="tbRlV"/>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党建引领</w:t>
            </w: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街道（镇）、社区（村）建立党建协调委员会比例（%）</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规模以上非公有制经济组织党组织覆盖率（%）</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社会组织党组织和党的工作覆盖率（%）</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党组织和在职党员社区“双报到”率（%）</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restart"/>
            <w:textDirection w:val="tbRlV"/>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社会服务</w:t>
            </w: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“七有”“五性”民生保障指数</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120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人均公共文化服务设施建筑面积（平方米）</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0.39</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物业服务覆盖率（%）</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≥90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建成社会心理服务中心/站数量（</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hint="eastAsia"/>
                <w:sz w:val="24"/>
                <w:szCs w:val="24"/>
              </w:rPr>
              <w:t>）</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社会工作专业服务机构（家）</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街道（镇）社会工作服务站覆盖率（%）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社会工作专业人才总量（人）</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城乡社区办公和服务用房面积达标率（%）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平均急救反应时间（分钟）</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&lt;12</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市民服务热线居民诉求解决率（%）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85</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restart"/>
            <w:textDirection w:val="tbRlV"/>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社会管理</w:t>
            </w: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群众安全感指数（%）</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食品安全抽检合格率（%）</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&gt;98.5</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企业劳动合同签订率（%）</w:t>
            </w:r>
          </w:p>
        </w:tc>
        <w:tc>
          <w:tcPr>
            <w:tcW w:w="99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90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5232" w:type="dxa"/>
            <w:vAlign w:val="center"/>
          </w:tcPr>
          <w:p w:rsidR="00007ADC" w:rsidRDefault="00DD069C">
            <w:pPr>
              <w:widowControl/>
              <w:spacing w:line="460" w:lineRule="exact"/>
              <w:rPr>
                <w:rFonts w:ascii="仿宋_GB2312" w:eastAsia="仿宋_GB2312" w:hAnsi="仿宋_GB2312" w:cs="仿宋_GB2312"/>
                <w:sz w:val="24"/>
              </w:rPr>
            </w:pPr>
            <w:r>
              <w:rPr>
                <w:rFonts w:ascii="仿宋_GB2312" w:eastAsia="仿宋_GB2312" w:hAnsi="仿宋_GB2312" w:cs="仿宋_GB2312" w:hint="eastAsia"/>
                <w:sz w:val="24"/>
              </w:rPr>
              <w:t>信访事项按期答复率（%）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≥95</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城市服务管理网格化体系覆盖率（%）</w:t>
            </w:r>
          </w:p>
        </w:tc>
        <w:tc>
          <w:tcPr>
            <w:tcW w:w="992" w:type="dxa"/>
            <w:vAlign w:val="center"/>
          </w:tcPr>
          <w:p w:rsidR="00007ADC" w:rsidRDefault="00DD069C">
            <w:pPr>
              <w:pStyle w:val="p0"/>
              <w:spacing w:line="460" w:lineRule="exact"/>
              <w:jc w:val="center"/>
              <w:rPr>
                <w:rFonts w:ascii="仿宋_GB2312" w:eastAsia="仿宋_GB2312" w:hAnsi="仿宋_GB2312" w:cs="仿宋_GB2312"/>
                <w:i/>
                <w:iCs/>
                <w:sz w:val="24"/>
                <w:szCs w:val="24"/>
              </w:rPr>
            </w:pPr>
            <w:r>
              <w:rPr>
                <w:rFonts w:ascii="仿宋_GB2312" w:eastAsia="仿宋_GB2312" w:hAnsi="仿宋_GB2312" w:cs="仿宋_GB2312" w:hint="eastAsia"/>
                <w:sz w:val="24"/>
                <w:szCs w:val="24"/>
              </w:rPr>
              <w:t>100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平安街道（镇）和平安社区（村）选评率（%）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80/90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社区居民委员会直接选举和户代表选举比例（%）</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每个社区的社区居委会人员本社区化率（%）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restart"/>
            <w:vAlign w:val="center"/>
          </w:tcPr>
          <w:p w:rsidR="00007ADC" w:rsidRDefault="00DD069C">
            <w:pPr>
              <w:pStyle w:val="p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w:t>
            </w:r>
          </w:p>
          <w:p w:rsidR="00007ADC" w:rsidRDefault="00DD069C">
            <w:pPr>
              <w:pStyle w:val="p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会</w:t>
            </w:r>
          </w:p>
          <w:p w:rsidR="00007ADC" w:rsidRDefault="00DD069C">
            <w:pPr>
              <w:pStyle w:val="p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动</w:t>
            </w:r>
          </w:p>
          <w:p w:rsidR="00007ADC" w:rsidRDefault="00DD069C">
            <w:pPr>
              <w:pStyle w:val="p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员</w:t>
            </w: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实名注册志愿者占常住人口的比例（%）</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全区社区社会组织数量（家）</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≥3000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业主委员会（物业管理委员会）组建率（%）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007ADC">
        <w:trPr>
          <w:cantSplit/>
          <w:trHeight w:val="340"/>
          <w:jc w:val="center"/>
        </w:trPr>
        <w:tc>
          <w:tcPr>
            <w:tcW w:w="704" w:type="dxa"/>
            <w:vMerge/>
            <w:textDirection w:val="tbRlV"/>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26</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规模以上企业年度社会责任报告发布率（%）</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中心城区绿色出行比例（%）</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76.5</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007ADC">
        <w:trPr>
          <w:cantSplit/>
          <w:trHeight w:val="340"/>
          <w:jc w:val="center"/>
        </w:trPr>
        <w:tc>
          <w:tcPr>
            <w:tcW w:w="704" w:type="dxa"/>
            <w:vMerge/>
            <w:vAlign w:val="center"/>
          </w:tcPr>
          <w:p w:rsidR="00007ADC" w:rsidRDefault="00007ADC">
            <w:pPr>
              <w:pStyle w:val="p0"/>
              <w:spacing w:line="460" w:lineRule="exact"/>
              <w:jc w:val="center"/>
              <w:rPr>
                <w:rFonts w:ascii="仿宋_GB2312" w:eastAsia="仿宋_GB2312" w:hAnsi="仿宋_GB2312" w:cs="仿宋_GB2312"/>
                <w:sz w:val="24"/>
                <w:szCs w:val="24"/>
              </w:rPr>
            </w:pPr>
          </w:p>
        </w:tc>
        <w:tc>
          <w:tcPr>
            <w:tcW w:w="722"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232" w:type="dxa"/>
            <w:vAlign w:val="center"/>
          </w:tcPr>
          <w:p w:rsidR="00007ADC" w:rsidRDefault="00DD069C">
            <w:pPr>
              <w:pStyle w:val="p0"/>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全国市</w:t>
            </w:r>
            <w:proofErr w:type="gramStart"/>
            <w:r>
              <w:rPr>
                <w:rFonts w:ascii="仿宋_GB2312" w:eastAsia="仿宋_GB2312" w:hAnsi="仿宋_GB2312" w:cs="仿宋_GB2312" w:hint="eastAsia"/>
                <w:sz w:val="24"/>
                <w:szCs w:val="24"/>
              </w:rPr>
              <w:t>域社会</w:t>
            </w:r>
            <w:proofErr w:type="gramEnd"/>
            <w:r>
              <w:rPr>
                <w:rFonts w:ascii="仿宋_GB2312" w:eastAsia="仿宋_GB2312" w:hAnsi="仿宋_GB2312" w:cs="仿宋_GB2312" w:hint="eastAsia"/>
                <w:sz w:val="24"/>
                <w:szCs w:val="24"/>
              </w:rPr>
              <w:t>治理现代化试点合格城市（区）</w:t>
            </w:r>
          </w:p>
        </w:tc>
        <w:tc>
          <w:tcPr>
            <w:tcW w:w="992" w:type="dxa"/>
            <w:vAlign w:val="center"/>
          </w:tcPr>
          <w:p w:rsidR="00007ADC" w:rsidRDefault="00DD069C">
            <w:pPr>
              <w:pStyle w:val="p0"/>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达标</w:t>
            </w:r>
          </w:p>
        </w:tc>
        <w:tc>
          <w:tcPr>
            <w:tcW w:w="1170" w:type="dxa"/>
            <w:vAlign w:val="center"/>
          </w:tcPr>
          <w:p w:rsidR="00007ADC" w:rsidRDefault="00DD069C">
            <w:pPr>
              <w:widowControl/>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bl>
    <w:p w:rsidR="00007ADC" w:rsidRDefault="00DD069C">
      <w:pPr>
        <w:spacing w:line="58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（三）保障措施</w:t>
      </w:r>
    </w:p>
    <w:p w:rsidR="00007ADC" w:rsidRDefault="00DD069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1.组织协调。</w:t>
      </w:r>
      <w:r>
        <w:rPr>
          <w:rFonts w:ascii="仿宋_GB2312" w:eastAsia="仿宋_GB2312" w:hAnsi="仿宋_GB2312" w:cs="仿宋_GB2312" w:hint="eastAsia"/>
          <w:sz w:val="32"/>
          <w:szCs w:val="32"/>
        </w:rPr>
        <w:t>区社会建设工作领导小组办公室统筹协调，完善相关工作协调机制；根据规划研究制订年度工作计划，细化分解规划目标和重点任务； 采取自查、督查、第三方评估等方式，开展年度和规划中期评估检查。</w:t>
      </w:r>
    </w:p>
    <w:p w:rsidR="00007ADC" w:rsidRDefault="00DD069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2.基础保障。</w:t>
      </w:r>
      <w:r>
        <w:rPr>
          <w:rFonts w:ascii="仿宋_GB2312" w:eastAsia="仿宋_GB2312" w:hAnsi="仿宋_GB2312" w:cs="仿宋_GB2312" w:hint="eastAsia"/>
          <w:sz w:val="32"/>
          <w:szCs w:val="32"/>
        </w:rPr>
        <w:t>建立并完善事权与财权相统一的社会治理财政投入保障机制；建立专项资金使用的项目化管理；制定支持社会治理发展的税收、补贴等优惠政策，引导社会资源积极投入社会发展服务领域；完善社会捐赠和社会互助的动员机制；探索建立社区工作者薪酬增长机制。</w:t>
      </w:r>
    </w:p>
    <w:p w:rsidR="00007ADC" w:rsidRDefault="00DD069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3.宣传引导。</w:t>
      </w:r>
      <w:r>
        <w:rPr>
          <w:rFonts w:ascii="仿宋_GB2312" w:eastAsia="仿宋_GB2312" w:hAnsi="仿宋_GB2312" w:cs="仿宋_GB2312" w:hint="eastAsia"/>
          <w:sz w:val="32"/>
          <w:szCs w:val="32"/>
        </w:rPr>
        <w:t xml:space="preserve">加大社会治理成果的宣传展示，形成全社会关心社会治理、参与社会治理的良好氛围；各级宣传、新闻出版广电部门和主流媒体要全面、系统宣传阐释习近平关于中国特色社会主义社会建设论述；搭建“互联网+社情民意”平台，发挥新媒体在社情民意表达、收集、沟通和反馈中的积极作用。 </w:t>
      </w:r>
    </w:p>
    <w:sectPr w:rsidR="00007ADC" w:rsidSect="00007ADC">
      <w:headerReference w:type="default" r:id="rId7"/>
      <w:footerReference w:type="default" r:id="rId8"/>
      <w:pgSz w:w="11900" w:h="16840"/>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A8" w:rsidRDefault="00D613A8" w:rsidP="00007ADC">
      <w:r>
        <w:separator/>
      </w:r>
    </w:p>
  </w:endnote>
  <w:endnote w:type="continuationSeparator" w:id="0">
    <w:p w:rsidR="00D613A8" w:rsidRDefault="00D613A8" w:rsidP="00007ADC">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00"/>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DC" w:rsidRDefault="007401AF">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07ADC" w:rsidRDefault="007401AF">
                <w:pPr>
                  <w:pStyle w:val="a7"/>
                  <w:rPr>
                    <w:rFonts w:ascii="仿宋_GB2312" w:eastAsia="仿宋_GB2312" w:hAnsi="仿宋_GB2312" w:cs="仿宋_GB2312"/>
                    <w:sz w:val="21"/>
                    <w:szCs w:val="32"/>
                  </w:rPr>
                </w:pPr>
                <w:r>
                  <w:rPr>
                    <w:rFonts w:ascii="仿宋_GB2312" w:eastAsia="仿宋_GB2312" w:hAnsi="仿宋_GB2312" w:cs="仿宋_GB2312" w:hint="eastAsia"/>
                    <w:sz w:val="21"/>
                    <w:szCs w:val="32"/>
                  </w:rPr>
                  <w:fldChar w:fldCharType="begin"/>
                </w:r>
                <w:r w:rsidR="00DD069C">
                  <w:rPr>
                    <w:rFonts w:ascii="仿宋_GB2312" w:eastAsia="仿宋_GB2312" w:hAnsi="仿宋_GB2312" w:cs="仿宋_GB2312" w:hint="eastAsia"/>
                    <w:sz w:val="21"/>
                    <w:szCs w:val="32"/>
                  </w:rPr>
                  <w:instrText xml:space="preserve"> PAGE  \* MERGEFORMAT </w:instrText>
                </w:r>
                <w:r>
                  <w:rPr>
                    <w:rFonts w:ascii="仿宋_GB2312" w:eastAsia="仿宋_GB2312" w:hAnsi="仿宋_GB2312" w:cs="仿宋_GB2312" w:hint="eastAsia"/>
                    <w:sz w:val="21"/>
                    <w:szCs w:val="32"/>
                  </w:rPr>
                  <w:fldChar w:fldCharType="separate"/>
                </w:r>
                <w:r w:rsidR="00DF5264">
                  <w:rPr>
                    <w:rFonts w:ascii="仿宋_GB2312" w:eastAsia="仿宋_GB2312" w:hAnsi="仿宋_GB2312" w:cs="仿宋_GB2312"/>
                    <w:noProof/>
                    <w:sz w:val="21"/>
                    <w:szCs w:val="32"/>
                  </w:rPr>
                  <w:t>1</w:t>
                </w:r>
                <w:r>
                  <w:rPr>
                    <w:rFonts w:ascii="仿宋_GB2312" w:eastAsia="仿宋_GB2312" w:hAnsi="仿宋_GB2312" w:cs="仿宋_GB2312" w:hint="eastAsia"/>
                    <w:sz w:val="21"/>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A8" w:rsidRDefault="00D613A8" w:rsidP="00007ADC">
      <w:r>
        <w:separator/>
      </w:r>
    </w:p>
  </w:footnote>
  <w:footnote w:type="continuationSeparator" w:id="0">
    <w:p w:rsidR="00D613A8" w:rsidRDefault="00D613A8" w:rsidP="00007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DC" w:rsidRDefault="00007ADC">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62D"/>
    <w:rsid w:val="EDEFC6EC"/>
    <w:rsid w:val="00007ADC"/>
    <w:rsid w:val="0012632F"/>
    <w:rsid w:val="001E3E4C"/>
    <w:rsid w:val="0026762D"/>
    <w:rsid w:val="002A2CA8"/>
    <w:rsid w:val="003423DC"/>
    <w:rsid w:val="00377E6F"/>
    <w:rsid w:val="0056547E"/>
    <w:rsid w:val="00646B5C"/>
    <w:rsid w:val="007308E2"/>
    <w:rsid w:val="007401AF"/>
    <w:rsid w:val="00795579"/>
    <w:rsid w:val="007A793C"/>
    <w:rsid w:val="007D10B6"/>
    <w:rsid w:val="008B35AC"/>
    <w:rsid w:val="00AA282C"/>
    <w:rsid w:val="00B51FBF"/>
    <w:rsid w:val="00D613A8"/>
    <w:rsid w:val="00DD069C"/>
    <w:rsid w:val="00DF5264"/>
    <w:rsid w:val="00EC15DD"/>
    <w:rsid w:val="00F60850"/>
    <w:rsid w:val="00FA61EB"/>
    <w:rsid w:val="01393085"/>
    <w:rsid w:val="020D27DE"/>
    <w:rsid w:val="02431864"/>
    <w:rsid w:val="02473724"/>
    <w:rsid w:val="026B46A5"/>
    <w:rsid w:val="028E76B6"/>
    <w:rsid w:val="02C22903"/>
    <w:rsid w:val="02E524E5"/>
    <w:rsid w:val="02F30C0A"/>
    <w:rsid w:val="0335711E"/>
    <w:rsid w:val="033C3367"/>
    <w:rsid w:val="03507C05"/>
    <w:rsid w:val="03CE68FA"/>
    <w:rsid w:val="04492FAE"/>
    <w:rsid w:val="048D5C16"/>
    <w:rsid w:val="0539545D"/>
    <w:rsid w:val="056F4FCB"/>
    <w:rsid w:val="062D7D70"/>
    <w:rsid w:val="06374D78"/>
    <w:rsid w:val="063A55EC"/>
    <w:rsid w:val="06BA2C8C"/>
    <w:rsid w:val="06CA0E6E"/>
    <w:rsid w:val="071464E3"/>
    <w:rsid w:val="07CB6445"/>
    <w:rsid w:val="095A373B"/>
    <w:rsid w:val="099826A4"/>
    <w:rsid w:val="09B47EB2"/>
    <w:rsid w:val="09BE425B"/>
    <w:rsid w:val="09D02148"/>
    <w:rsid w:val="0A4E2392"/>
    <w:rsid w:val="0AAC1113"/>
    <w:rsid w:val="0AE22C92"/>
    <w:rsid w:val="0B494E7A"/>
    <w:rsid w:val="0B9F294D"/>
    <w:rsid w:val="0BEB4D74"/>
    <w:rsid w:val="0C2204F3"/>
    <w:rsid w:val="0C4E4BCE"/>
    <w:rsid w:val="0C555481"/>
    <w:rsid w:val="0C58254A"/>
    <w:rsid w:val="0C5F0AB7"/>
    <w:rsid w:val="0C6C6455"/>
    <w:rsid w:val="0C8506CE"/>
    <w:rsid w:val="0D3700C3"/>
    <w:rsid w:val="0DA20C61"/>
    <w:rsid w:val="0DE04BD9"/>
    <w:rsid w:val="0E004203"/>
    <w:rsid w:val="0E323A19"/>
    <w:rsid w:val="0F0E542E"/>
    <w:rsid w:val="0F4E741B"/>
    <w:rsid w:val="0F586100"/>
    <w:rsid w:val="0F870361"/>
    <w:rsid w:val="0FF77CAC"/>
    <w:rsid w:val="0FF929E5"/>
    <w:rsid w:val="104C2430"/>
    <w:rsid w:val="107F6AC7"/>
    <w:rsid w:val="10A637CD"/>
    <w:rsid w:val="10BE0C2D"/>
    <w:rsid w:val="10E61113"/>
    <w:rsid w:val="11A860FC"/>
    <w:rsid w:val="11EC4897"/>
    <w:rsid w:val="11FB3BAE"/>
    <w:rsid w:val="123803DA"/>
    <w:rsid w:val="13901A4A"/>
    <w:rsid w:val="13D30E9E"/>
    <w:rsid w:val="13F704AD"/>
    <w:rsid w:val="1431104F"/>
    <w:rsid w:val="14B915C1"/>
    <w:rsid w:val="14EF351A"/>
    <w:rsid w:val="150875F1"/>
    <w:rsid w:val="151F4F2D"/>
    <w:rsid w:val="15503D2D"/>
    <w:rsid w:val="15D47A50"/>
    <w:rsid w:val="15F22EBA"/>
    <w:rsid w:val="16193657"/>
    <w:rsid w:val="16206FC3"/>
    <w:rsid w:val="1644478F"/>
    <w:rsid w:val="16865555"/>
    <w:rsid w:val="16B43ACE"/>
    <w:rsid w:val="17B80317"/>
    <w:rsid w:val="17FD373D"/>
    <w:rsid w:val="18991FAE"/>
    <w:rsid w:val="18F12D3A"/>
    <w:rsid w:val="192B49A3"/>
    <w:rsid w:val="196A7460"/>
    <w:rsid w:val="198147FF"/>
    <w:rsid w:val="198E79BA"/>
    <w:rsid w:val="19A33612"/>
    <w:rsid w:val="19A40786"/>
    <w:rsid w:val="1A2C499D"/>
    <w:rsid w:val="1A6470F7"/>
    <w:rsid w:val="1A8A32DA"/>
    <w:rsid w:val="1AD95CCD"/>
    <w:rsid w:val="1AEC311A"/>
    <w:rsid w:val="1BBF6D32"/>
    <w:rsid w:val="1BD76FE0"/>
    <w:rsid w:val="1C4D409C"/>
    <w:rsid w:val="1C520E80"/>
    <w:rsid w:val="1CB11553"/>
    <w:rsid w:val="1D0C028C"/>
    <w:rsid w:val="1D8E40E7"/>
    <w:rsid w:val="1D9172C5"/>
    <w:rsid w:val="1DC00D58"/>
    <w:rsid w:val="1DDE377E"/>
    <w:rsid w:val="1DEC5DF1"/>
    <w:rsid w:val="1DF0182A"/>
    <w:rsid w:val="1E9F7A6C"/>
    <w:rsid w:val="1EE0418E"/>
    <w:rsid w:val="1EFA68B2"/>
    <w:rsid w:val="1EFE1036"/>
    <w:rsid w:val="1F0B3A21"/>
    <w:rsid w:val="1FA55669"/>
    <w:rsid w:val="1FF7610F"/>
    <w:rsid w:val="203E0B99"/>
    <w:rsid w:val="20617FFF"/>
    <w:rsid w:val="209E0030"/>
    <w:rsid w:val="20A002CE"/>
    <w:rsid w:val="20B54E90"/>
    <w:rsid w:val="20D47169"/>
    <w:rsid w:val="20F20189"/>
    <w:rsid w:val="216E5FE8"/>
    <w:rsid w:val="227C6E4D"/>
    <w:rsid w:val="22EF667E"/>
    <w:rsid w:val="2333052C"/>
    <w:rsid w:val="238F0F99"/>
    <w:rsid w:val="23AC231B"/>
    <w:rsid w:val="24322993"/>
    <w:rsid w:val="245673C2"/>
    <w:rsid w:val="249F06E1"/>
    <w:rsid w:val="24A73822"/>
    <w:rsid w:val="24C565A9"/>
    <w:rsid w:val="25396253"/>
    <w:rsid w:val="2554547A"/>
    <w:rsid w:val="26041258"/>
    <w:rsid w:val="26094650"/>
    <w:rsid w:val="262034B9"/>
    <w:rsid w:val="263A46E1"/>
    <w:rsid w:val="26501809"/>
    <w:rsid w:val="27750A86"/>
    <w:rsid w:val="2792235B"/>
    <w:rsid w:val="27B02D0E"/>
    <w:rsid w:val="27E27857"/>
    <w:rsid w:val="280C4ECD"/>
    <w:rsid w:val="284B718F"/>
    <w:rsid w:val="287B14AA"/>
    <w:rsid w:val="289A61A7"/>
    <w:rsid w:val="28BF481A"/>
    <w:rsid w:val="28E94228"/>
    <w:rsid w:val="2913514C"/>
    <w:rsid w:val="297D0571"/>
    <w:rsid w:val="29B54FEE"/>
    <w:rsid w:val="29C714A3"/>
    <w:rsid w:val="2A672B4F"/>
    <w:rsid w:val="2A76640F"/>
    <w:rsid w:val="2AB00407"/>
    <w:rsid w:val="2ACB0B6E"/>
    <w:rsid w:val="2B3435E4"/>
    <w:rsid w:val="2C4A65A9"/>
    <w:rsid w:val="2CCE0ED5"/>
    <w:rsid w:val="2E017DC1"/>
    <w:rsid w:val="2E792CED"/>
    <w:rsid w:val="2EFC2C0F"/>
    <w:rsid w:val="2F9E5FA3"/>
    <w:rsid w:val="2FB12EFF"/>
    <w:rsid w:val="2FBA6634"/>
    <w:rsid w:val="2FD16FE3"/>
    <w:rsid w:val="2FD73901"/>
    <w:rsid w:val="2FF6776A"/>
    <w:rsid w:val="301A5025"/>
    <w:rsid w:val="302F1BC9"/>
    <w:rsid w:val="303E2B32"/>
    <w:rsid w:val="313A0226"/>
    <w:rsid w:val="315B4ED5"/>
    <w:rsid w:val="315C0068"/>
    <w:rsid w:val="31FA2148"/>
    <w:rsid w:val="32300855"/>
    <w:rsid w:val="32DE6AEA"/>
    <w:rsid w:val="32DF3905"/>
    <w:rsid w:val="333A5091"/>
    <w:rsid w:val="34190362"/>
    <w:rsid w:val="35CB6614"/>
    <w:rsid w:val="360A0CC8"/>
    <w:rsid w:val="365560AB"/>
    <w:rsid w:val="365A00A4"/>
    <w:rsid w:val="36880468"/>
    <w:rsid w:val="368E119A"/>
    <w:rsid w:val="36A24493"/>
    <w:rsid w:val="37577CFA"/>
    <w:rsid w:val="37764E62"/>
    <w:rsid w:val="37E54A09"/>
    <w:rsid w:val="381C1733"/>
    <w:rsid w:val="38351FDB"/>
    <w:rsid w:val="38511082"/>
    <w:rsid w:val="388C0835"/>
    <w:rsid w:val="38941E44"/>
    <w:rsid w:val="389A072F"/>
    <w:rsid w:val="389A2B1C"/>
    <w:rsid w:val="38D544D2"/>
    <w:rsid w:val="391169DB"/>
    <w:rsid w:val="391F48DE"/>
    <w:rsid w:val="39234A2C"/>
    <w:rsid w:val="39316948"/>
    <w:rsid w:val="394208B3"/>
    <w:rsid w:val="39A73120"/>
    <w:rsid w:val="39D6375E"/>
    <w:rsid w:val="39F21871"/>
    <w:rsid w:val="3A483833"/>
    <w:rsid w:val="3A8E7C12"/>
    <w:rsid w:val="3A92253B"/>
    <w:rsid w:val="3ACD464C"/>
    <w:rsid w:val="3AD770ED"/>
    <w:rsid w:val="3B0A23E1"/>
    <w:rsid w:val="3B0D4977"/>
    <w:rsid w:val="3B133346"/>
    <w:rsid w:val="3B365B15"/>
    <w:rsid w:val="3B594EB3"/>
    <w:rsid w:val="3B895C51"/>
    <w:rsid w:val="3BA94DDA"/>
    <w:rsid w:val="3C2F5A85"/>
    <w:rsid w:val="3C951A3E"/>
    <w:rsid w:val="3C9B6FE1"/>
    <w:rsid w:val="3CBC0E9A"/>
    <w:rsid w:val="3CBF6234"/>
    <w:rsid w:val="3CD5500F"/>
    <w:rsid w:val="3CEC6921"/>
    <w:rsid w:val="3DA53113"/>
    <w:rsid w:val="3E9F6BB4"/>
    <w:rsid w:val="3F3F2CDA"/>
    <w:rsid w:val="3F620087"/>
    <w:rsid w:val="3FA5600E"/>
    <w:rsid w:val="406C60C2"/>
    <w:rsid w:val="408C482D"/>
    <w:rsid w:val="40957B6F"/>
    <w:rsid w:val="40C7690A"/>
    <w:rsid w:val="40E7504C"/>
    <w:rsid w:val="40F24180"/>
    <w:rsid w:val="411F61B5"/>
    <w:rsid w:val="412050D6"/>
    <w:rsid w:val="413C5906"/>
    <w:rsid w:val="415E3256"/>
    <w:rsid w:val="416543DF"/>
    <w:rsid w:val="41861E2A"/>
    <w:rsid w:val="42135A61"/>
    <w:rsid w:val="43150DA9"/>
    <w:rsid w:val="432B4CDB"/>
    <w:rsid w:val="43384B5D"/>
    <w:rsid w:val="43AC78EF"/>
    <w:rsid w:val="43CC3B67"/>
    <w:rsid w:val="442F4929"/>
    <w:rsid w:val="4475252B"/>
    <w:rsid w:val="44D7473B"/>
    <w:rsid w:val="44D81581"/>
    <w:rsid w:val="45026391"/>
    <w:rsid w:val="45946E0B"/>
    <w:rsid w:val="46355BE0"/>
    <w:rsid w:val="46550B20"/>
    <w:rsid w:val="46875BAA"/>
    <w:rsid w:val="46DC3789"/>
    <w:rsid w:val="47287E78"/>
    <w:rsid w:val="473C6073"/>
    <w:rsid w:val="476836D5"/>
    <w:rsid w:val="47717D7E"/>
    <w:rsid w:val="47753D3C"/>
    <w:rsid w:val="47F05BB0"/>
    <w:rsid w:val="48017E6F"/>
    <w:rsid w:val="48AC04A0"/>
    <w:rsid w:val="496B2776"/>
    <w:rsid w:val="49A01757"/>
    <w:rsid w:val="49A56621"/>
    <w:rsid w:val="49AE25D7"/>
    <w:rsid w:val="4A095239"/>
    <w:rsid w:val="4A53000B"/>
    <w:rsid w:val="4A534AC0"/>
    <w:rsid w:val="4AC63936"/>
    <w:rsid w:val="4AF26418"/>
    <w:rsid w:val="4B7F5E95"/>
    <w:rsid w:val="4B9451F7"/>
    <w:rsid w:val="4BAD143A"/>
    <w:rsid w:val="4BF73B96"/>
    <w:rsid w:val="4BFC3283"/>
    <w:rsid w:val="4C1D4C33"/>
    <w:rsid w:val="4C405947"/>
    <w:rsid w:val="4CE11BCD"/>
    <w:rsid w:val="4CE66724"/>
    <w:rsid w:val="4D5F58DD"/>
    <w:rsid w:val="4D8307AC"/>
    <w:rsid w:val="4D8B19B3"/>
    <w:rsid w:val="4DE907FF"/>
    <w:rsid w:val="4EFD61AB"/>
    <w:rsid w:val="4F8079C3"/>
    <w:rsid w:val="4F8857DC"/>
    <w:rsid w:val="4F972400"/>
    <w:rsid w:val="4FA10D07"/>
    <w:rsid w:val="4FCC0047"/>
    <w:rsid w:val="50505353"/>
    <w:rsid w:val="50A20F11"/>
    <w:rsid w:val="50EF0D23"/>
    <w:rsid w:val="50F427ED"/>
    <w:rsid w:val="5108357F"/>
    <w:rsid w:val="51150C3A"/>
    <w:rsid w:val="513A2175"/>
    <w:rsid w:val="517B0DFA"/>
    <w:rsid w:val="519E6AE1"/>
    <w:rsid w:val="51EF297C"/>
    <w:rsid w:val="521F72B1"/>
    <w:rsid w:val="526D11CE"/>
    <w:rsid w:val="52BF4724"/>
    <w:rsid w:val="52D52D0F"/>
    <w:rsid w:val="52E34F26"/>
    <w:rsid w:val="52EA1613"/>
    <w:rsid w:val="53023B19"/>
    <w:rsid w:val="530315CC"/>
    <w:rsid w:val="532027A1"/>
    <w:rsid w:val="53665CFD"/>
    <w:rsid w:val="53730188"/>
    <w:rsid w:val="53E848B5"/>
    <w:rsid w:val="549C214D"/>
    <w:rsid w:val="54A2700C"/>
    <w:rsid w:val="54A94F5B"/>
    <w:rsid w:val="55BB25D7"/>
    <w:rsid w:val="55BE1064"/>
    <w:rsid w:val="57116216"/>
    <w:rsid w:val="57253EBB"/>
    <w:rsid w:val="57480C8C"/>
    <w:rsid w:val="57783338"/>
    <w:rsid w:val="579E01E8"/>
    <w:rsid w:val="57A879E1"/>
    <w:rsid w:val="580C511C"/>
    <w:rsid w:val="58364C0A"/>
    <w:rsid w:val="58BB24BA"/>
    <w:rsid w:val="58F9336B"/>
    <w:rsid w:val="5923338D"/>
    <w:rsid w:val="594103FE"/>
    <w:rsid w:val="59C903AC"/>
    <w:rsid w:val="5A0B1AFB"/>
    <w:rsid w:val="5A555F79"/>
    <w:rsid w:val="5AC5316E"/>
    <w:rsid w:val="5B5E4C66"/>
    <w:rsid w:val="5B835C9F"/>
    <w:rsid w:val="5BAD67C2"/>
    <w:rsid w:val="5BB216A4"/>
    <w:rsid w:val="5BE958E8"/>
    <w:rsid w:val="5C230071"/>
    <w:rsid w:val="5C2F1851"/>
    <w:rsid w:val="5D1132AE"/>
    <w:rsid w:val="5DCC5969"/>
    <w:rsid w:val="5DE12522"/>
    <w:rsid w:val="5DE729FB"/>
    <w:rsid w:val="5E15102C"/>
    <w:rsid w:val="5E8821EA"/>
    <w:rsid w:val="5E9B5211"/>
    <w:rsid w:val="5E9B6F17"/>
    <w:rsid w:val="5EB85711"/>
    <w:rsid w:val="5EC3405F"/>
    <w:rsid w:val="5EEC7732"/>
    <w:rsid w:val="5F984A68"/>
    <w:rsid w:val="60052AB2"/>
    <w:rsid w:val="615A3FBB"/>
    <w:rsid w:val="61810A9B"/>
    <w:rsid w:val="624D069B"/>
    <w:rsid w:val="624F1CFB"/>
    <w:rsid w:val="629F3813"/>
    <w:rsid w:val="62CB686D"/>
    <w:rsid w:val="62CF430A"/>
    <w:rsid w:val="62FD536F"/>
    <w:rsid w:val="63420DA8"/>
    <w:rsid w:val="641E6823"/>
    <w:rsid w:val="64284B4B"/>
    <w:rsid w:val="648F60EA"/>
    <w:rsid w:val="649D453A"/>
    <w:rsid w:val="64A47E50"/>
    <w:rsid w:val="64E30B54"/>
    <w:rsid w:val="6535041B"/>
    <w:rsid w:val="65B7141E"/>
    <w:rsid w:val="66080B7F"/>
    <w:rsid w:val="66236572"/>
    <w:rsid w:val="66287AC2"/>
    <w:rsid w:val="66480637"/>
    <w:rsid w:val="667D4FE3"/>
    <w:rsid w:val="66A274E3"/>
    <w:rsid w:val="66AF4D77"/>
    <w:rsid w:val="66B66C23"/>
    <w:rsid w:val="66DC2D29"/>
    <w:rsid w:val="66F27E4E"/>
    <w:rsid w:val="67692374"/>
    <w:rsid w:val="677069A6"/>
    <w:rsid w:val="6788747A"/>
    <w:rsid w:val="67BC3AEE"/>
    <w:rsid w:val="67D2390A"/>
    <w:rsid w:val="680167F2"/>
    <w:rsid w:val="682F249A"/>
    <w:rsid w:val="68753D8F"/>
    <w:rsid w:val="688A7381"/>
    <w:rsid w:val="68BD681D"/>
    <w:rsid w:val="68CE6E31"/>
    <w:rsid w:val="69402E08"/>
    <w:rsid w:val="696222B3"/>
    <w:rsid w:val="69754F0F"/>
    <w:rsid w:val="69771AD9"/>
    <w:rsid w:val="69A63738"/>
    <w:rsid w:val="69D2071A"/>
    <w:rsid w:val="69ED301C"/>
    <w:rsid w:val="69F2768F"/>
    <w:rsid w:val="6AF61E8E"/>
    <w:rsid w:val="6CEA1ED1"/>
    <w:rsid w:val="6CF75D69"/>
    <w:rsid w:val="6CFE27F4"/>
    <w:rsid w:val="6DBF4E0E"/>
    <w:rsid w:val="6DF26B96"/>
    <w:rsid w:val="6DFB41DF"/>
    <w:rsid w:val="6E0D7BAB"/>
    <w:rsid w:val="6E5215D1"/>
    <w:rsid w:val="6E73709E"/>
    <w:rsid w:val="6E9433EA"/>
    <w:rsid w:val="6FA04795"/>
    <w:rsid w:val="6FBE0344"/>
    <w:rsid w:val="6FFD00EB"/>
    <w:rsid w:val="70577B9D"/>
    <w:rsid w:val="70791058"/>
    <w:rsid w:val="70E913C7"/>
    <w:rsid w:val="713025AB"/>
    <w:rsid w:val="71305692"/>
    <w:rsid w:val="71BE6F65"/>
    <w:rsid w:val="71EF2480"/>
    <w:rsid w:val="7272477A"/>
    <w:rsid w:val="728A3483"/>
    <w:rsid w:val="73024D3F"/>
    <w:rsid w:val="735B3D8A"/>
    <w:rsid w:val="735F276C"/>
    <w:rsid w:val="738B5FC8"/>
    <w:rsid w:val="738E38AB"/>
    <w:rsid w:val="73A73A62"/>
    <w:rsid w:val="741330DB"/>
    <w:rsid w:val="74776515"/>
    <w:rsid w:val="74BC421F"/>
    <w:rsid w:val="74C86747"/>
    <w:rsid w:val="74F059B2"/>
    <w:rsid w:val="756F0FE8"/>
    <w:rsid w:val="75714711"/>
    <w:rsid w:val="75893BE2"/>
    <w:rsid w:val="75BF526C"/>
    <w:rsid w:val="75D074D4"/>
    <w:rsid w:val="7625788A"/>
    <w:rsid w:val="7667108E"/>
    <w:rsid w:val="76CD01E7"/>
    <w:rsid w:val="76FF2570"/>
    <w:rsid w:val="77171A0D"/>
    <w:rsid w:val="77306BA0"/>
    <w:rsid w:val="785E7DE6"/>
    <w:rsid w:val="787200F7"/>
    <w:rsid w:val="78D26A31"/>
    <w:rsid w:val="78DB6681"/>
    <w:rsid w:val="79B6367C"/>
    <w:rsid w:val="79E36D48"/>
    <w:rsid w:val="79EF350E"/>
    <w:rsid w:val="79F2263F"/>
    <w:rsid w:val="79F55F74"/>
    <w:rsid w:val="7A0E1383"/>
    <w:rsid w:val="7A3C6215"/>
    <w:rsid w:val="7A740CA9"/>
    <w:rsid w:val="7B6B3165"/>
    <w:rsid w:val="7B7B2532"/>
    <w:rsid w:val="7BA64ECC"/>
    <w:rsid w:val="7BB756E4"/>
    <w:rsid w:val="7BDE06D2"/>
    <w:rsid w:val="7CFF249A"/>
    <w:rsid w:val="7D167BB0"/>
    <w:rsid w:val="7D6C69E5"/>
    <w:rsid w:val="7D7631CF"/>
    <w:rsid w:val="7E1E4FAA"/>
    <w:rsid w:val="7E39619D"/>
    <w:rsid w:val="7E4675FB"/>
    <w:rsid w:val="7E555641"/>
    <w:rsid w:val="7E934D6D"/>
    <w:rsid w:val="7EC545BF"/>
    <w:rsid w:val="7EE724D5"/>
    <w:rsid w:val="7FDA2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semiHidden="0" w:uiPriority="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7ADC"/>
    <w:pPr>
      <w:widowControl w:val="0"/>
      <w:jc w:val="both"/>
    </w:pPr>
    <w:rPr>
      <w:kern w:val="2"/>
      <w:sz w:val="21"/>
      <w:szCs w:val="24"/>
    </w:rPr>
  </w:style>
  <w:style w:type="paragraph" w:styleId="1">
    <w:name w:val="heading 1"/>
    <w:basedOn w:val="a"/>
    <w:next w:val="a"/>
    <w:uiPriority w:val="9"/>
    <w:qFormat/>
    <w:rsid w:val="00007ADC"/>
    <w:pPr>
      <w:keepNext/>
      <w:keepLines/>
      <w:spacing w:before="340" w:after="330" w:line="578" w:lineRule="auto"/>
      <w:outlineLvl w:val="0"/>
    </w:pPr>
    <w:rPr>
      <w:rFonts w:cs="Times New Roman"/>
      <w:b/>
      <w:bCs/>
      <w:kern w:val="44"/>
      <w:sz w:val="44"/>
      <w:szCs w:val="44"/>
    </w:rPr>
  </w:style>
  <w:style w:type="paragraph" w:styleId="2">
    <w:name w:val="heading 2"/>
    <w:basedOn w:val="a"/>
    <w:next w:val="a"/>
    <w:unhideWhenUsed/>
    <w:qFormat/>
    <w:rsid w:val="00007ADC"/>
    <w:pPr>
      <w:keepNext/>
      <w:keepLines/>
      <w:spacing w:line="560" w:lineRule="exact"/>
      <w:ind w:firstLineChars="200" w:firstLine="200"/>
      <w:outlineLvl w:val="1"/>
    </w:pPr>
    <w:rPr>
      <w:rFonts w:ascii="等线 Light" w:eastAsia="楷体_GB2312" w:hAnsi="等线 Light"/>
      <w:bCs/>
      <w:kern w:val="0"/>
      <w:sz w:val="32"/>
      <w:szCs w:val="32"/>
    </w:rPr>
  </w:style>
  <w:style w:type="paragraph" w:styleId="3">
    <w:name w:val="heading 3"/>
    <w:basedOn w:val="a"/>
    <w:next w:val="a"/>
    <w:uiPriority w:val="9"/>
    <w:qFormat/>
    <w:rsid w:val="00007ADC"/>
    <w:pPr>
      <w:keepNext/>
      <w:keepLines/>
      <w:spacing w:before="260" w:after="260" w:line="413"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rsid w:val="00007ADC"/>
    <w:pPr>
      <w:spacing w:before="240" w:after="60"/>
      <w:jc w:val="center"/>
      <w:outlineLvl w:val="0"/>
    </w:pPr>
    <w:rPr>
      <w:rFonts w:ascii="Cambria" w:hAnsi="Cambria"/>
      <w:b/>
      <w:bCs/>
      <w:sz w:val="32"/>
      <w:szCs w:val="32"/>
    </w:rPr>
  </w:style>
  <w:style w:type="paragraph" w:styleId="a4">
    <w:name w:val="Normal Indent"/>
    <w:basedOn w:val="a"/>
    <w:uiPriority w:val="99"/>
    <w:unhideWhenUsed/>
    <w:qFormat/>
    <w:rsid w:val="00007ADC"/>
    <w:pPr>
      <w:ind w:firstLine="420"/>
    </w:pPr>
    <w:rPr>
      <w:szCs w:val="20"/>
    </w:rPr>
  </w:style>
  <w:style w:type="paragraph" w:styleId="a5">
    <w:name w:val="Body Text"/>
    <w:basedOn w:val="a"/>
    <w:next w:val="11"/>
    <w:uiPriority w:val="99"/>
    <w:unhideWhenUsed/>
    <w:qFormat/>
    <w:rsid w:val="00007ADC"/>
    <w:pPr>
      <w:spacing w:line="300" w:lineRule="atLeast"/>
      <w:jc w:val="center"/>
    </w:pPr>
    <w:rPr>
      <w:rFonts w:ascii="Times New Roman" w:eastAsia="Times New Roman" w:hAnsi="Times New Roman" w:cs="Times New Roman"/>
      <w:color w:val="000000"/>
      <w:sz w:val="44"/>
      <w:szCs w:val="20"/>
    </w:rPr>
  </w:style>
  <w:style w:type="paragraph" w:customStyle="1" w:styleId="11">
    <w:name w:val="目录 11"/>
    <w:next w:val="a"/>
    <w:qFormat/>
    <w:rsid w:val="00007ADC"/>
    <w:pPr>
      <w:wordWrap w:val="0"/>
      <w:jc w:val="both"/>
    </w:pPr>
    <w:rPr>
      <w:rFonts w:ascii="Calibri" w:eastAsia="宋体" w:hAnsi="Calibri" w:cs="Times New Roman"/>
      <w:sz w:val="21"/>
      <w:szCs w:val="22"/>
    </w:rPr>
  </w:style>
  <w:style w:type="paragraph" w:styleId="a6">
    <w:name w:val="Plain Text"/>
    <w:next w:val="9"/>
    <w:qFormat/>
    <w:rsid w:val="00007ADC"/>
    <w:pPr>
      <w:widowControl w:val="0"/>
      <w:suppressAutoHyphens/>
      <w:jc w:val="both"/>
    </w:pPr>
    <w:rPr>
      <w:rFonts w:ascii="宋体" w:eastAsia="宋体" w:hAnsi="Courier New" w:cs="Times New Roman"/>
      <w:kern w:val="2"/>
      <w:sz w:val="21"/>
      <w:szCs w:val="24"/>
    </w:rPr>
  </w:style>
  <w:style w:type="paragraph" w:styleId="9">
    <w:name w:val="index 9"/>
    <w:next w:val="a"/>
    <w:uiPriority w:val="99"/>
    <w:qFormat/>
    <w:rsid w:val="00007ADC"/>
    <w:pPr>
      <w:widowControl w:val="0"/>
      <w:suppressAutoHyphens/>
      <w:ind w:left="3360"/>
      <w:jc w:val="both"/>
    </w:pPr>
    <w:rPr>
      <w:rFonts w:ascii="Calibri" w:eastAsia="宋体" w:hAnsi="Calibri" w:cs="Calibri"/>
      <w:kern w:val="2"/>
      <w:sz w:val="21"/>
      <w:szCs w:val="24"/>
    </w:rPr>
  </w:style>
  <w:style w:type="paragraph" w:styleId="a7">
    <w:name w:val="footer"/>
    <w:basedOn w:val="a"/>
    <w:uiPriority w:val="99"/>
    <w:unhideWhenUsed/>
    <w:qFormat/>
    <w:rsid w:val="00007ADC"/>
    <w:pPr>
      <w:tabs>
        <w:tab w:val="center" w:pos="4153"/>
        <w:tab w:val="right" w:pos="8306"/>
      </w:tabs>
      <w:snapToGrid w:val="0"/>
      <w:jc w:val="left"/>
    </w:pPr>
    <w:rPr>
      <w:sz w:val="18"/>
    </w:rPr>
  </w:style>
  <w:style w:type="paragraph" w:styleId="a8">
    <w:name w:val="header"/>
    <w:basedOn w:val="a"/>
    <w:uiPriority w:val="99"/>
    <w:unhideWhenUsed/>
    <w:qFormat/>
    <w:rsid w:val="00007A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007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uiPriority w:val="99"/>
    <w:unhideWhenUsed/>
    <w:qFormat/>
    <w:rsid w:val="00007ADC"/>
    <w:pPr>
      <w:widowControl/>
      <w:spacing w:before="100" w:beforeAutospacing="1" w:after="100" w:afterAutospacing="1"/>
      <w:jc w:val="left"/>
    </w:pPr>
    <w:rPr>
      <w:rFonts w:ascii="宋体" w:hAnsi="宋体" w:cs="宋体"/>
      <w:kern w:val="0"/>
      <w:sz w:val="24"/>
    </w:rPr>
  </w:style>
  <w:style w:type="table" w:styleId="aa">
    <w:name w:val="Table Grid"/>
    <w:basedOn w:val="a2"/>
    <w:qFormat/>
    <w:rsid w:val="00007A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qFormat/>
    <w:rsid w:val="00007ADC"/>
    <w:rPr>
      <w:rFonts w:ascii="仿宋" w:eastAsia="仿宋" w:hAnsi="仿宋" w:cs="仿宋" w:hint="default"/>
      <w:color w:val="000000"/>
      <w:sz w:val="28"/>
      <w:szCs w:val="28"/>
      <w:u w:val="none"/>
    </w:rPr>
  </w:style>
  <w:style w:type="paragraph" w:customStyle="1" w:styleId="ab">
    <w:name w:val="默认"/>
    <w:qFormat/>
    <w:rsid w:val="00007ADC"/>
    <w:rPr>
      <w:rFonts w:ascii="Helvetica" w:eastAsia="Arial Unicode MS" w:hAnsi="Helvetica" w:cs="Arial Unicode MS"/>
      <w:color w:val="000000"/>
      <w:sz w:val="22"/>
      <w:szCs w:val="22"/>
      <w:lang w:val="zh-CN"/>
    </w:rPr>
  </w:style>
  <w:style w:type="paragraph" w:customStyle="1" w:styleId="p0">
    <w:name w:val="p0"/>
    <w:basedOn w:val="a"/>
    <w:uiPriority w:val="99"/>
    <w:qFormat/>
    <w:rsid w:val="00007ADC"/>
    <w:pPr>
      <w:widowControl/>
    </w:pPr>
    <w:rPr>
      <w:rFonts w:cs="Times New Roman"/>
      <w:kern w:val="0"/>
      <w:szCs w:val="21"/>
    </w:rPr>
  </w:style>
  <w:style w:type="paragraph" w:customStyle="1" w:styleId="ac">
    <w:name w:val="样式一"/>
    <w:basedOn w:val="a"/>
    <w:qFormat/>
    <w:rsid w:val="00007ADC"/>
    <w:pPr>
      <w:spacing w:before="435" w:after="217" w:line="600" w:lineRule="exact"/>
      <w:jc w:val="center"/>
    </w:pPr>
    <w:rPr>
      <w:rFonts w:ascii="黑体" w:eastAsia="黑体" w:hAnsi="黑体" w:cs="宋体"/>
      <w:szCs w:val="20"/>
    </w:rPr>
  </w:style>
  <w:style w:type="character" w:customStyle="1" w:styleId="ad">
    <w:name w:val="样式三 字符"/>
    <w:link w:val="ae"/>
    <w:qFormat/>
    <w:rsid w:val="00007ADC"/>
    <w:rPr>
      <w:rFonts w:ascii="楷体_GB2312" w:eastAsia="楷体_GB2312" w:hAnsi="仿宋_GB2312" w:cs="Times New Roman"/>
      <w:bCs/>
    </w:rPr>
  </w:style>
  <w:style w:type="paragraph" w:customStyle="1" w:styleId="ae">
    <w:name w:val="样式三"/>
    <w:basedOn w:val="a"/>
    <w:next w:val="a"/>
    <w:link w:val="ad"/>
    <w:qFormat/>
    <w:rsid w:val="00007ADC"/>
    <w:pPr>
      <w:overflowPunct w:val="0"/>
      <w:adjustRightInd w:val="0"/>
      <w:snapToGrid w:val="0"/>
      <w:spacing w:line="600" w:lineRule="exact"/>
      <w:ind w:firstLineChars="200" w:firstLine="640"/>
    </w:pPr>
    <w:rPr>
      <w:rFonts w:ascii="楷体_GB2312" w:eastAsia="楷体_GB2312" w:hAnsi="仿宋_GB2312" w:cs="Times New Roman"/>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717</Words>
  <Characters>4087</Characters>
  <Application>Microsoft Office Word</Application>
  <DocSecurity>0</DocSecurity>
  <Lines>34</Lines>
  <Paragraphs>9</Paragraphs>
  <ScaleCrop>false</ScaleCrop>
  <Company>Microsoft</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cp:lastModifiedBy>
  <cp:revision>3</cp:revision>
  <cp:lastPrinted>2022-03-16T07:13:00Z</cp:lastPrinted>
  <dcterms:created xsi:type="dcterms:W3CDTF">2023-02-01T01:26:00Z</dcterms:created>
  <dcterms:modified xsi:type="dcterms:W3CDTF">2023-02-01T01:38:00Z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039302448F9744D1A80D236E927212B2</vt:lpwstr>
  </property>
</Properties>
</file>