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topLinePunct w:val="0"/>
        <w:autoSpaceDE/>
        <w:autoSpaceDN/>
        <w:bidi w:val="0"/>
        <w:snapToGrid/>
        <w:spacing w:line="560" w:lineRule="exact"/>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val="en-US" w:eastAsia="zh-CN"/>
        </w:rPr>
        <w:t>门头沟区2023年</w:t>
      </w:r>
      <w:r>
        <w:rPr>
          <w:rFonts w:hint="eastAsia" w:ascii="方正小标宋简体" w:hAnsi="方正小标宋简体" w:eastAsia="方正小标宋简体" w:cs="方正小标宋简体"/>
          <w:sz w:val="44"/>
          <w:szCs w:val="44"/>
        </w:rPr>
        <w:t>全面优化营商环境</w:t>
      </w:r>
    </w:p>
    <w:p>
      <w:pPr>
        <w:keepNext w:val="0"/>
        <w:keepLines w:val="0"/>
        <w:pageBreakBefore w:val="0"/>
        <w:kinsoku/>
        <w:wordWrap/>
        <w:topLinePunct w:val="0"/>
        <w:autoSpaceDE/>
        <w:autoSpaceDN/>
        <w:bidi w:val="0"/>
        <w:snapToGrid/>
        <w:spacing w:line="560" w:lineRule="exact"/>
        <w:jc w:val="center"/>
        <w:textAlignment w:val="auto"/>
        <w:outlineLvl w:val="9"/>
        <w:rPr>
          <w:rFonts w:hint="eastAsia" w:ascii="仿宋_GB2312" w:hAnsi="仿宋_GB2312" w:eastAsia="方正小标宋简体" w:cs="仿宋_GB2312"/>
          <w:sz w:val="44"/>
          <w:szCs w:val="44"/>
          <w:lang w:eastAsia="zh-CN"/>
        </w:rPr>
      </w:pPr>
      <w:r>
        <w:rPr>
          <w:rFonts w:hint="eastAsia" w:ascii="方正小标宋简体" w:hAnsi="方正小标宋简体" w:eastAsia="方正小标宋简体" w:cs="方正小标宋简体"/>
          <w:sz w:val="44"/>
          <w:szCs w:val="44"/>
        </w:rPr>
        <w:t>助力</w:t>
      </w:r>
      <w:r>
        <w:rPr>
          <w:rFonts w:ascii="方正小标宋简体" w:hAnsi="方正小标宋简体" w:eastAsia="方正小标宋简体" w:cs="方正小标宋简体"/>
          <w:sz w:val="44"/>
          <w:szCs w:val="44"/>
        </w:rPr>
        <w:t>企业高质量发展</w:t>
      </w:r>
      <w:r>
        <w:rPr>
          <w:rFonts w:hint="eastAsia" w:ascii="方正小标宋简体" w:hAnsi="方正小标宋简体" w:eastAsia="方正小标宋简体" w:cs="方正小标宋简体"/>
          <w:sz w:val="44"/>
          <w:szCs w:val="44"/>
        </w:rPr>
        <w:t>实施方案</w:t>
      </w:r>
      <w:r>
        <w:rPr>
          <w:rFonts w:hint="eastAsia" w:ascii="方正小标宋简体" w:hAnsi="方正小标宋简体" w:eastAsia="方正小标宋简体" w:cs="方正小标宋简体"/>
          <w:sz w:val="44"/>
          <w:szCs w:val="44"/>
          <w:lang w:eastAsia="zh-CN"/>
        </w:rPr>
        <w:t>（征求意见稿）</w:t>
      </w:r>
    </w:p>
    <w:p>
      <w:pPr>
        <w:keepNext w:val="0"/>
        <w:keepLines w:val="0"/>
        <w:pageBreakBefore w:val="0"/>
        <w:kinsoku/>
        <w:wordWrap/>
        <w:topLinePunct w:val="0"/>
        <w:autoSpaceDE/>
        <w:autoSpaceDN/>
        <w:bidi w:val="0"/>
        <w:snapToGrid/>
        <w:spacing w:line="560" w:lineRule="exact"/>
        <w:ind w:firstLine="640" w:firstLineChars="200"/>
        <w:textAlignment w:val="auto"/>
        <w:outlineLvl w:val="9"/>
        <w:rPr>
          <w:rFonts w:ascii="仿宋_GB2312" w:hAnsi="仿宋_GB2312" w:eastAsia="仿宋_GB2312" w:cs="仿宋_GB2312"/>
          <w:sz w:val="32"/>
        </w:rPr>
      </w:pPr>
    </w:p>
    <w:p>
      <w:pPr>
        <w:keepNext w:val="0"/>
        <w:keepLines w:val="0"/>
        <w:pageBreakBefore w:val="0"/>
        <w:kinsoku/>
        <w:wordWrap/>
        <w:topLinePunct w:val="0"/>
        <w:autoSpaceDE/>
        <w:autoSpaceDN/>
        <w:bidi w:val="0"/>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为巩固夯实“营商环境年”建设成果，持续打造</w:t>
      </w:r>
      <w:r>
        <w:rPr>
          <w:rFonts w:hint="eastAsia" w:ascii="仿宋_GB2312" w:hAnsi="仿宋_GB2312" w:eastAsia="仿宋_GB2312" w:cs="仿宋_GB2312"/>
          <w:sz w:val="32"/>
          <w:szCs w:val="32"/>
        </w:rPr>
        <w:t>市场化</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法治化</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国际化</w:t>
      </w:r>
      <w:r>
        <w:rPr>
          <w:rFonts w:hint="eastAsia" w:ascii="仿宋_GB2312" w:hAnsi="仿宋_GB2312" w:eastAsia="仿宋_GB2312" w:cs="仿宋_GB2312"/>
          <w:sz w:val="32"/>
          <w:szCs w:val="32"/>
          <w:lang w:val="en-US" w:eastAsia="zh-CN"/>
        </w:rPr>
        <w:t>营商环境，</w:t>
      </w:r>
      <w:r>
        <w:rPr>
          <w:rFonts w:hint="eastAsia" w:ascii="仿宋_GB2312" w:hAnsi="仿宋_GB2312" w:eastAsia="仿宋_GB2312" w:cs="仿宋_GB2312"/>
          <w:sz w:val="32"/>
          <w:szCs w:val="32"/>
          <w:highlight w:val="none"/>
          <w:lang w:val="en-US" w:eastAsia="zh-CN"/>
        </w:rPr>
        <w:t>不断提升服务企业的速度、温度、安全度、便利度和发展度，</w:t>
      </w:r>
      <w:r>
        <w:rPr>
          <w:rFonts w:hint="eastAsia" w:ascii="仿宋_GB2312" w:hAnsi="仿宋_GB2312" w:eastAsia="仿宋_GB2312" w:cs="仿宋_GB2312"/>
          <w:sz w:val="32"/>
          <w:szCs w:val="32"/>
          <w:lang w:val="en-US" w:eastAsia="zh-CN"/>
        </w:rPr>
        <w:t>助力我区绿色转型高质量发展，按照《北京市全面优化营商环境助力企业高质量发展实施方案》要求</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结合区委区政府构建优质公共营商环境和产业营商环境部署</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力求破解制约产业培育和企业发展进程的堵点、难点、痛点问题，全面提升区域营商环境影响力和美誉度，</w:t>
      </w:r>
      <w:r>
        <w:rPr>
          <w:rFonts w:hint="eastAsia" w:ascii="仿宋_GB2312" w:hAnsi="仿宋_GB2312" w:eastAsia="仿宋_GB2312" w:cs="仿宋_GB2312"/>
          <w:sz w:val="32"/>
          <w:szCs w:val="32"/>
        </w:rPr>
        <w:t>制定本实施方案。</w:t>
      </w:r>
    </w:p>
    <w:p>
      <w:pPr>
        <w:keepNext w:val="0"/>
        <w:keepLines w:val="0"/>
        <w:pageBreakBefore w:val="0"/>
        <w:numPr>
          <w:ilvl w:val="-1"/>
          <w:numId w:val="0"/>
        </w:numPr>
        <w:kinsoku/>
        <w:wordWrap/>
        <w:topLinePunct w:val="0"/>
        <w:autoSpaceDE/>
        <w:autoSpaceDN/>
        <w:bidi w:val="0"/>
        <w:snapToGrid/>
        <w:spacing w:line="560" w:lineRule="exact"/>
        <w:ind w:firstLine="640" w:firstLineChars="200"/>
        <w:textAlignment w:val="auto"/>
        <w:outlineLvl w:val="9"/>
        <w:rPr>
          <w:rFonts w:hint="eastAsia" w:ascii="黑体" w:hAnsi="黑体" w:eastAsia="黑体" w:cs="黑体"/>
          <w:sz w:val="32"/>
          <w:szCs w:val="32"/>
        </w:rPr>
      </w:pPr>
      <w:r>
        <w:rPr>
          <w:rFonts w:hint="eastAsia" w:ascii="黑体" w:hAnsi="黑体" w:eastAsia="黑体" w:cs="黑体"/>
          <w:sz w:val="32"/>
          <w:szCs w:val="32"/>
          <w:lang w:eastAsia="zh-CN"/>
        </w:rPr>
        <w:t>一、</w:t>
      </w:r>
      <w:r>
        <w:rPr>
          <w:rFonts w:hint="eastAsia" w:ascii="黑体" w:hAnsi="黑体" w:eastAsia="黑体" w:cs="黑体"/>
          <w:sz w:val="32"/>
          <w:szCs w:val="32"/>
        </w:rPr>
        <w:t>总体要求</w:t>
      </w:r>
    </w:p>
    <w:p>
      <w:pPr>
        <w:keepNext w:val="0"/>
        <w:keepLines w:val="0"/>
        <w:pageBreakBefore w:val="0"/>
        <w:numPr>
          <w:ilvl w:val="0"/>
          <w:numId w:val="0"/>
        </w:numPr>
        <w:kinsoku/>
        <w:wordWrap/>
        <w:topLinePunct w:val="0"/>
        <w:autoSpaceDE/>
        <w:autoSpaceDN/>
        <w:bidi w:val="0"/>
        <w:snapToGrid/>
        <w:spacing w:line="560" w:lineRule="exact"/>
        <w:ind w:firstLine="640" w:firstLineChars="200"/>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sz w:val="32"/>
          <w:szCs w:val="32"/>
          <w:lang w:val="en-US" w:eastAsia="zh-CN"/>
        </w:rPr>
        <w:t>全面贯彻落实党的二十大精神，</w:t>
      </w:r>
      <w:r>
        <w:rPr>
          <w:rFonts w:hint="eastAsia" w:ascii="仿宋_GB2312" w:hAnsi="仿宋_GB2312" w:eastAsia="仿宋_GB2312" w:cs="仿宋_GB2312"/>
          <w:sz w:val="32"/>
          <w:szCs w:val="32"/>
        </w:rPr>
        <w:t>以习近平新时代中国特色社会主义思想为指导，</w:t>
      </w:r>
      <w:r>
        <w:rPr>
          <w:rFonts w:hint="eastAsia" w:ascii="仿宋_GB2312" w:hAnsi="仿宋_GB2312" w:eastAsia="仿宋_GB2312" w:cs="仿宋_GB2312"/>
          <w:sz w:val="32"/>
          <w:szCs w:val="32"/>
          <w:lang w:val="en-US" w:eastAsia="zh-CN"/>
        </w:rPr>
        <w:t>按照北京市委市政府营商环境6.0改革总体要求，把优化营商环境作为“一把手”工程和提高区域经济发展水平的重中之重狠抓落实，凝聚企业发展信心，提升</w:t>
      </w:r>
      <w:r>
        <w:rPr>
          <w:rFonts w:hint="eastAsia" w:ascii="仿宋_GB2312" w:hAnsi="仿宋_GB2312" w:eastAsia="仿宋_GB2312" w:cs="仿宋_GB2312"/>
          <w:sz w:val="32"/>
          <w:szCs w:val="32"/>
          <w:lang w:eastAsia="zh-CN"/>
        </w:rPr>
        <w:t>企业</w:t>
      </w:r>
      <w:r>
        <w:rPr>
          <w:rFonts w:hint="eastAsia" w:ascii="仿宋_GB2312" w:hAnsi="仿宋_GB2312" w:eastAsia="仿宋_GB2312" w:cs="仿宋_GB2312"/>
          <w:sz w:val="32"/>
          <w:szCs w:val="32"/>
          <w:lang w:val="en-US" w:eastAsia="zh-CN"/>
        </w:rPr>
        <w:t>幸福感、</w:t>
      </w:r>
      <w:r>
        <w:rPr>
          <w:rFonts w:hint="eastAsia" w:ascii="仿宋_GB2312" w:hAnsi="仿宋_GB2312" w:eastAsia="仿宋_GB2312" w:cs="仿宋_GB2312"/>
          <w:sz w:val="32"/>
          <w:szCs w:val="32"/>
        </w:rPr>
        <w:t>获得感</w:t>
      </w:r>
      <w:r>
        <w:rPr>
          <w:rFonts w:hint="eastAsia" w:ascii="仿宋_GB2312" w:hAnsi="仿宋_GB2312" w:eastAsia="仿宋_GB2312" w:cs="仿宋_GB2312"/>
          <w:sz w:val="32"/>
          <w:szCs w:val="32"/>
          <w:lang w:val="en-US" w:eastAsia="zh-CN"/>
        </w:rPr>
        <w:t>和安全感。以提升</w:t>
      </w:r>
      <w:r>
        <w:rPr>
          <w:rFonts w:hint="eastAsia" w:ascii="仿宋_GB2312" w:hAnsi="仿宋_GB2312" w:eastAsia="仿宋_GB2312" w:cs="仿宋_GB2312"/>
          <w:sz w:val="32"/>
          <w:szCs w:val="32"/>
          <w:lang w:eastAsia="zh-CN"/>
        </w:rPr>
        <w:t>各类市场主体</w:t>
      </w:r>
      <w:r>
        <w:rPr>
          <w:rFonts w:hint="eastAsia" w:ascii="仿宋_GB2312" w:hAnsi="仿宋_GB2312" w:eastAsia="仿宋_GB2312" w:cs="仿宋_GB2312"/>
          <w:sz w:val="32"/>
          <w:szCs w:val="32"/>
          <w:lang w:val="en-US" w:eastAsia="zh-CN"/>
        </w:rPr>
        <w:t>发展实力和竞争力</w:t>
      </w:r>
      <w:r>
        <w:rPr>
          <w:rFonts w:hint="eastAsia" w:ascii="仿宋_GB2312" w:hAnsi="仿宋_GB2312" w:eastAsia="仿宋_GB2312" w:cs="仿宋_GB2312"/>
          <w:sz w:val="32"/>
          <w:szCs w:val="32"/>
          <w:lang w:eastAsia="zh-CN"/>
        </w:rPr>
        <w:t>为目标，</w:t>
      </w:r>
      <w:r>
        <w:rPr>
          <w:rFonts w:hint="eastAsia" w:ascii="仿宋_GB2312" w:hAnsi="仿宋_GB2312" w:eastAsia="仿宋_GB2312" w:cs="仿宋_GB2312"/>
          <w:sz w:val="32"/>
          <w:szCs w:val="32"/>
          <w:lang w:val="en-US" w:eastAsia="zh-CN"/>
        </w:rPr>
        <w:t>完善产权保护、市场准入、公平竞争、社会信用等市场经济基础制度。秉持营商环境“三原则”（首接负责、就近牵头、缺位追责），深化简政放权、放管结合、优化服务改革</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以市场主体急难愁盼问题为抓手，形成门头沟优化营商环境“接地气”的举措，有的放矢地提高惠企政策的可得性和可及性，聚焦建链强链延链补链打造优质的产业营商环境</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highlight w:val="none"/>
          <w:u w:val="none"/>
          <w:lang w:val="en-US" w:eastAsia="zh-CN"/>
        </w:rPr>
        <w:t>实现门头沟营商环境整体跃升，以营商环境之“优”，促经济之“进”，为门头沟高质量发展赋能</w:t>
      </w:r>
      <w:r>
        <w:rPr>
          <w:rFonts w:hint="eastAsia" w:ascii="仿宋_GB2312" w:hAnsi="仿宋_GB2312" w:eastAsia="仿宋_GB2312" w:cs="仿宋_GB2312"/>
          <w:color w:val="auto"/>
          <w:sz w:val="32"/>
          <w:szCs w:val="32"/>
          <w:lang w:val="en-US" w:eastAsia="zh-CN"/>
        </w:rPr>
        <w:t>。</w:t>
      </w:r>
    </w:p>
    <w:p>
      <w:pPr>
        <w:keepNext w:val="0"/>
        <w:keepLines w:val="0"/>
        <w:pageBreakBefore w:val="0"/>
        <w:numPr>
          <w:ilvl w:val="0"/>
          <w:numId w:val="0"/>
        </w:numPr>
        <w:kinsoku/>
        <w:wordWrap/>
        <w:topLinePunct w:val="0"/>
        <w:autoSpaceDE/>
        <w:autoSpaceDN/>
        <w:bidi w:val="0"/>
        <w:snapToGrid/>
        <w:spacing w:line="560" w:lineRule="exact"/>
        <w:ind w:firstLine="640" w:firstLineChars="200"/>
        <w:textAlignment w:val="auto"/>
        <w:outlineLvl w:val="9"/>
        <w:rPr>
          <w:rFonts w:hint="eastAsia" w:ascii="黑体" w:hAnsi="黑体" w:eastAsia="黑体" w:cs="黑体"/>
          <w:sz w:val="32"/>
          <w:szCs w:val="32"/>
        </w:rPr>
      </w:pPr>
      <w:r>
        <w:rPr>
          <w:rFonts w:hint="eastAsia" w:ascii="黑体" w:hAnsi="黑体" w:eastAsia="黑体" w:cs="黑体"/>
          <w:sz w:val="32"/>
          <w:szCs w:val="32"/>
        </w:rPr>
        <w:t>二、主要任务</w:t>
      </w:r>
    </w:p>
    <w:p>
      <w:pPr>
        <w:keepNext w:val="0"/>
        <w:keepLines w:val="0"/>
        <w:pageBreakBefore w:val="0"/>
        <w:kinsoku/>
        <w:wordWrap/>
        <w:topLinePunct w:val="0"/>
        <w:autoSpaceDE/>
        <w:autoSpaceDN/>
        <w:bidi w:val="0"/>
        <w:snapToGrid/>
        <w:spacing w:line="560" w:lineRule="exact"/>
        <w:ind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eastAsia="zh-CN"/>
        </w:rPr>
        <w:t>（一）着力破解发展难题，打造特色</w:t>
      </w:r>
      <w:r>
        <w:rPr>
          <w:rFonts w:hint="eastAsia" w:ascii="楷体_GB2312" w:hAnsi="楷体_GB2312" w:eastAsia="楷体_GB2312" w:cs="楷体_GB2312"/>
          <w:sz w:val="32"/>
          <w:szCs w:val="32"/>
          <w:lang w:val="en-US" w:eastAsia="zh-CN"/>
        </w:rPr>
        <w:t>化</w:t>
      </w:r>
      <w:r>
        <w:rPr>
          <w:rFonts w:hint="eastAsia" w:ascii="楷体_GB2312" w:hAnsi="楷体_GB2312" w:eastAsia="楷体_GB2312" w:cs="楷体_GB2312"/>
          <w:sz w:val="32"/>
          <w:szCs w:val="32"/>
          <w:lang w:eastAsia="zh-CN"/>
        </w:rPr>
        <w:t>产业营商环境</w:t>
      </w:r>
      <w:r>
        <w:rPr>
          <w:rFonts w:hint="eastAsia" w:ascii="楷体_GB2312" w:hAnsi="楷体_GB2312" w:eastAsia="楷体_GB2312" w:cs="楷体_GB2312"/>
          <w:sz w:val="32"/>
          <w:szCs w:val="32"/>
          <w:lang w:val="en-US" w:eastAsia="zh-CN"/>
        </w:rPr>
        <w:t xml:space="preserve"> </w:t>
      </w:r>
    </w:p>
    <w:p>
      <w:pPr>
        <w:keepNext w:val="0"/>
        <w:keepLines w:val="0"/>
        <w:pageBreakBefore w:val="0"/>
        <w:numPr>
          <w:ilvl w:val="0"/>
          <w:numId w:val="0"/>
        </w:numPr>
        <w:kinsoku/>
        <w:wordWrap/>
        <w:topLinePunct w:val="0"/>
        <w:autoSpaceDE/>
        <w:autoSpaceDN/>
        <w:bidi w:val="0"/>
        <w:snapToGrid/>
        <w:spacing w:line="560" w:lineRule="exact"/>
        <w:ind w:firstLine="642"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1.开展产业营商环境研究和顶层设计。</w:t>
      </w:r>
      <w:r>
        <w:rPr>
          <w:rFonts w:hint="eastAsia" w:ascii="仿宋_GB2312" w:hAnsi="仿宋_GB2312" w:eastAsia="仿宋_GB2312" w:cs="仿宋_GB2312"/>
          <w:sz w:val="32"/>
          <w:szCs w:val="32"/>
          <w:lang w:val="en-US" w:eastAsia="zh-CN"/>
        </w:rPr>
        <w:t>聚焦人工智能、超高清数字视听、心血管领域医疗器械三大细分产业及文旅特色产业培育，摸排走访调研，对产业发展进行全面“体检”，借鉴先进地区成功经验，</w:t>
      </w:r>
      <w:r>
        <w:rPr>
          <w:rFonts w:hint="eastAsia" w:ascii="仿宋_GB2312" w:hAnsi="仿宋_GB2312" w:eastAsia="仿宋_GB2312" w:cs="仿宋_GB2312"/>
          <w:b w:val="0"/>
          <w:bCs w:val="0"/>
          <w:kern w:val="2"/>
          <w:sz w:val="32"/>
          <w:szCs w:val="32"/>
          <w:shd w:val="clear"/>
          <w:lang w:val="en-US" w:eastAsia="zh-CN" w:bidi="ar-SA"/>
        </w:rPr>
        <w:t>搭建水平型营商服务链与产业要素嵌套的复式矩阵，进而形成门头沟区垂直产业营商环境诊断图谱，通过诊断结果，有针对性的出台长、短期优化提升政策措施，</w:t>
      </w:r>
      <w:r>
        <w:rPr>
          <w:rFonts w:hint="eastAsia" w:ascii="仿宋_GB2312" w:hAnsi="仿宋_GB2312" w:eastAsia="仿宋_GB2312" w:cs="仿宋_GB2312"/>
          <w:sz w:val="32"/>
          <w:szCs w:val="32"/>
          <w:lang w:val="en-US" w:eastAsia="zh-CN"/>
        </w:rPr>
        <w:t>量身打造产业营商环境优化方案体系，有的放矢解决产业发展当前面临的问题</w:t>
      </w:r>
      <w:r>
        <w:rPr>
          <w:rFonts w:hint="eastAsia" w:ascii="仿宋_GB2312" w:hAnsi="仿宋_GB2312" w:eastAsia="仿宋_GB2312" w:cs="仿宋_GB2312"/>
          <w:b w:val="0"/>
          <w:bCs w:val="0"/>
          <w:kern w:val="2"/>
          <w:sz w:val="32"/>
          <w:szCs w:val="32"/>
          <w:shd w:val="clear"/>
          <w:lang w:val="en-US" w:eastAsia="zh-CN" w:bidi="ar-SA"/>
        </w:rPr>
        <w:t>，不断优化产业链结构、提升产业链价值，系统性打造产业垂直生态体系，逐步形成核心</w:t>
      </w:r>
      <w:r>
        <w:rPr>
          <w:rFonts w:hint="eastAsia" w:ascii="仿宋_GB2312" w:hAnsi="仿宋_GB2312" w:eastAsia="仿宋_GB2312" w:cs="仿宋_GB2312"/>
          <w:sz w:val="32"/>
          <w:szCs w:val="32"/>
          <w:lang w:val="en-US" w:eastAsia="zh-CN"/>
        </w:rPr>
        <w:t>竞争力，为培育产业未来更好发展提供门头沟解决方案，铸造门头沟产业营商环境建设新品牌。</w:t>
      </w:r>
    </w:p>
    <w:p>
      <w:pPr>
        <w:pStyle w:val="6"/>
        <w:keepNext w:val="0"/>
        <w:keepLines w:val="0"/>
        <w:pageBreakBefore w:val="0"/>
        <w:kinsoku/>
        <w:wordWrap/>
        <w:topLinePunct w:val="0"/>
        <w:autoSpaceDE/>
        <w:autoSpaceDN/>
        <w:bidi w:val="0"/>
        <w:snapToGrid/>
        <w:spacing w:line="560" w:lineRule="exact"/>
        <w:ind w:firstLine="640" w:firstLineChars="200"/>
        <w:textAlignment w:val="auto"/>
        <w:rPr>
          <w:rFonts w:hint="eastAsia" w:ascii="仿宋_GB2312" w:hAnsi="Times New Roman" w:eastAsia="仿宋_GB2312" w:cs="Times New Roman"/>
          <w:bCs w:val="0"/>
          <w:color w:val="auto"/>
          <w:kern w:val="1"/>
          <w:sz w:val="32"/>
          <w:szCs w:val="32"/>
          <w:highlight w:val="none"/>
          <w:lang w:val="en-US" w:eastAsia="zh-CN" w:bidi="ar-SA"/>
        </w:rPr>
      </w:pPr>
      <w:r>
        <w:rPr>
          <w:rFonts w:hint="eastAsia" w:ascii="仿宋_GB2312" w:hAnsi="Times New Roman" w:eastAsia="仿宋_GB2312" w:cs="Times New Roman"/>
          <w:bCs w:val="0"/>
          <w:color w:val="auto"/>
          <w:kern w:val="1"/>
          <w:sz w:val="32"/>
          <w:szCs w:val="32"/>
          <w:highlight w:val="none"/>
          <w:lang w:val="en-US" w:eastAsia="zh-CN" w:bidi="ar-SA"/>
        </w:rPr>
        <w:t>牵头单位：区发改委、中关村门头沟园管委会、区投资促进服务中心、区科信局、区文旅局</w:t>
      </w:r>
    </w:p>
    <w:p>
      <w:pPr>
        <w:pStyle w:val="6"/>
        <w:keepNext w:val="0"/>
        <w:keepLines w:val="0"/>
        <w:pageBreakBefore w:val="0"/>
        <w:numPr>
          <w:ilvl w:val="0"/>
          <w:numId w:val="1"/>
        </w:numPr>
        <w:kinsoku/>
        <w:wordWrap/>
        <w:topLinePunct w:val="0"/>
        <w:autoSpaceDE/>
        <w:autoSpaceDN/>
        <w:bidi w:val="0"/>
        <w:snapToGrid/>
        <w:spacing w:line="560" w:lineRule="exact"/>
        <w:ind w:firstLine="642"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lang w:val="en-US" w:eastAsia="zh-CN"/>
        </w:rPr>
        <w:t>着力优化人才发展生态</w:t>
      </w:r>
      <w:r>
        <w:rPr>
          <w:rFonts w:hint="eastAsia" w:ascii="仿宋_GB2312" w:hAnsi="仿宋_GB2312" w:eastAsia="仿宋_GB2312" w:cs="仿宋_GB2312"/>
          <w:b/>
          <w:bCs/>
          <w:color w:val="auto"/>
          <w:kern w:val="2"/>
          <w:sz w:val="32"/>
          <w:szCs w:val="32"/>
          <w:highlight w:val="none"/>
          <w:lang w:val="en-US" w:eastAsia="zh-CN" w:bidi="ar-SA"/>
        </w:rPr>
        <w:t>。</w:t>
      </w:r>
      <w:r>
        <w:rPr>
          <w:rFonts w:hint="eastAsia" w:ascii="仿宋_GB2312" w:hAnsi="仿宋_GB2312" w:eastAsia="仿宋_GB2312" w:cs="仿宋_GB2312"/>
          <w:bCs w:val="0"/>
          <w:color w:val="auto"/>
          <w:kern w:val="2"/>
          <w:sz w:val="32"/>
          <w:szCs w:val="32"/>
          <w:highlight w:val="none"/>
          <w:lang w:val="en-US" w:eastAsia="zh-CN" w:bidi="ar-SA"/>
        </w:rPr>
        <w:t>全力拓宽引才渠道，打通、畅通招才引才“绿色通道”，围绕门头沟区重点产业、新兴产业引育人才。根据门头沟产业发展特点，因地制宜创新人才招引措施，在人才引进、人才评价、分配激励、人才安居等方面出实招，为产业人才施展才华营造优良环境。</w:t>
      </w:r>
      <w:r>
        <w:rPr>
          <w:rFonts w:hint="eastAsia" w:ascii="仿宋_GB2312" w:hAnsi="Times New Roman" w:eastAsia="仿宋_GB2312" w:cs="Times New Roman"/>
          <w:bCs w:val="0"/>
          <w:color w:val="auto"/>
          <w:kern w:val="1"/>
          <w:sz w:val="32"/>
          <w:szCs w:val="32"/>
          <w:highlight w:val="none"/>
          <w:lang w:val="en-US" w:eastAsia="zh-CN" w:bidi="ar-SA"/>
        </w:rPr>
        <w:t>搭建校（科研机构）企合作平台机制，引进各类高校院所资源，引导企业开展资源对接，合作组建技术研发平台、联合实验室等，</w:t>
      </w:r>
      <w:r>
        <w:rPr>
          <w:rFonts w:hint="eastAsia" w:ascii="仿宋_GB2312" w:hAnsi="仿宋_GB2312" w:eastAsia="仿宋_GB2312" w:cs="仿宋_GB2312"/>
          <w:bCs w:val="0"/>
          <w:color w:val="auto"/>
          <w:kern w:val="2"/>
          <w:sz w:val="32"/>
          <w:szCs w:val="32"/>
          <w:highlight w:val="none"/>
          <w:lang w:val="en-US" w:eastAsia="zh-CN" w:bidi="ar-SA"/>
        </w:rPr>
        <w:t>推动人才链、产业链融合，</w:t>
      </w:r>
      <w:r>
        <w:rPr>
          <w:rFonts w:hint="eastAsia" w:ascii="仿宋_GB2312" w:hAnsi="Times New Roman" w:eastAsia="仿宋_GB2312" w:cs="Times New Roman"/>
          <w:bCs w:val="0"/>
          <w:color w:val="auto"/>
          <w:kern w:val="1"/>
          <w:sz w:val="32"/>
          <w:szCs w:val="32"/>
          <w:highlight w:val="none"/>
          <w:lang w:val="en-US" w:eastAsia="zh-CN" w:bidi="ar-SA"/>
        </w:rPr>
        <w:t>形成人才引领驱动重点产业发展，产业发展集聚更多人才的良性循环，打造门头沟绿色转型高质量发展的生力军。</w:t>
      </w:r>
    </w:p>
    <w:p>
      <w:pPr>
        <w:keepNext w:val="0"/>
        <w:keepLines w:val="0"/>
        <w:pageBreakBefore w:val="0"/>
        <w:numPr>
          <w:ilvl w:val="0"/>
          <w:numId w:val="0"/>
        </w:numPr>
        <w:pBdr>
          <w:bottom w:val="none" w:color="auto" w:sz="0" w:space="0"/>
        </w:pBdr>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Times New Roman" w:eastAsia="仿宋_GB2312" w:cs="Times New Roman"/>
          <w:bCs w:val="0"/>
          <w:color w:val="auto"/>
          <w:kern w:val="1"/>
          <w:sz w:val="32"/>
          <w:szCs w:val="32"/>
          <w:highlight w:val="none"/>
          <w:lang w:val="en-US" w:eastAsia="zh-CN" w:bidi="ar-SA"/>
        </w:rPr>
      </w:pPr>
      <w:r>
        <w:rPr>
          <w:rFonts w:hint="eastAsia" w:ascii="仿宋_GB2312" w:hAnsi="Times New Roman" w:eastAsia="仿宋_GB2312" w:cs="Times New Roman"/>
          <w:bCs w:val="0"/>
          <w:color w:val="auto"/>
          <w:kern w:val="1"/>
          <w:sz w:val="32"/>
          <w:szCs w:val="32"/>
          <w:highlight w:val="none"/>
          <w:lang w:val="en-US" w:eastAsia="zh-CN" w:bidi="ar-SA"/>
        </w:rPr>
        <w:t>牵头单位：区委组织部、区人力社保局</w:t>
      </w:r>
    </w:p>
    <w:p>
      <w:pPr>
        <w:pStyle w:val="6"/>
        <w:keepNext w:val="0"/>
        <w:keepLines w:val="0"/>
        <w:pageBreakBefore w:val="0"/>
        <w:numPr>
          <w:ilvl w:val="0"/>
          <w:numId w:val="0"/>
        </w:numPr>
        <w:kinsoku/>
        <w:wordWrap/>
        <w:topLinePunct w:val="0"/>
        <w:autoSpaceDE/>
        <w:autoSpaceDN/>
        <w:bidi w:val="0"/>
        <w:snapToGrid/>
        <w:spacing w:line="560" w:lineRule="exact"/>
        <w:ind w:firstLine="642" w:firstLineChars="200"/>
        <w:textAlignment w:val="auto"/>
        <w:rPr>
          <w:rFonts w:hint="eastAsia" w:ascii="仿宋_GB2312" w:hAnsi="Times New Roman" w:eastAsia="仿宋_GB2312" w:cs="Times New Roman"/>
          <w:bCs w:val="0"/>
          <w:color w:val="auto"/>
          <w:kern w:val="1"/>
          <w:sz w:val="32"/>
          <w:szCs w:val="32"/>
          <w:highlight w:val="none"/>
          <w:lang w:val="en-US" w:eastAsia="zh-CN" w:bidi="ar-SA"/>
        </w:rPr>
      </w:pPr>
      <w:r>
        <w:rPr>
          <w:rFonts w:hint="eastAsia" w:ascii="仿宋_GB2312" w:hAnsi="Times New Roman" w:eastAsia="仿宋_GB2312" w:cs="Times New Roman"/>
          <w:b/>
          <w:bCs/>
          <w:color w:val="auto"/>
          <w:kern w:val="1"/>
          <w:sz w:val="32"/>
          <w:szCs w:val="32"/>
          <w:highlight w:val="none"/>
          <w:lang w:val="en-US" w:eastAsia="zh-CN" w:bidi="ar-SA"/>
        </w:rPr>
        <w:t>3.提升产业承载吸附能力</w:t>
      </w:r>
      <w:r>
        <w:rPr>
          <w:rFonts w:hint="eastAsia" w:ascii="仿宋_GB2312" w:hAnsi="Times New Roman" w:eastAsia="仿宋_GB2312" w:cs="Times New Roman"/>
          <w:bCs w:val="0"/>
          <w:color w:val="auto"/>
          <w:kern w:val="1"/>
          <w:sz w:val="32"/>
          <w:szCs w:val="32"/>
          <w:highlight w:val="none"/>
          <w:lang w:val="en-US" w:eastAsia="zh-CN" w:bidi="ar-SA"/>
        </w:rPr>
        <w:t>。建立空间载体资源库，整合园区及各镇街等区域政府可利用空间资源编制全区产业招商地图并动态更新,让招商人员和意向企业与资源高效对接；不可纳入招商地图的其他权属主体的空间资源协助招商，引导其优先支持高精尖产业、文化创意产业等领域企业，推动主导产业培育一体化发展。持续加强中关村门头沟科技园区基础设施建设，整合企业需求，会同相关部门根据企业分布、配套设施辐射半径等情况合理布局引入餐饮、娱乐等相关公共服务企业，打造完整企业生态链,提升园区宜居宜业水平。</w:t>
      </w:r>
    </w:p>
    <w:p>
      <w:pPr>
        <w:pStyle w:val="6"/>
        <w:keepNext w:val="0"/>
        <w:keepLines w:val="0"/>
        <w:pageBreakBefore w:val="0"/>
        <w:numPr>
          <w:ilvl w:val="-1"/>
          <w:numId w:val="0"/>
        </w:numPr>
        <w:kinsoku/>
        <w:wordWrap/>
        <w:topLinePunct w:val="0"/>
        <w:autoSpaceDE/>
        <w:autoSpaceDN/>
        <w:bidi w:val="0"/>
        <w:snapToGrid/>
        <w:spacing w:line="560" w:lineRule="exact"/>
        <w:ind w:firstLine="640" w:firstLineChars="0"/>
        <w:textAlignment w:val="auto"/>
        <w:rPr>
          <w:rFonts w:hint="eastAsia" w:ascii="仿宋_GB2312" w:hAnsi="Times New Roman" w:eastAsia="仿宋_GB2312" w:cs="Times New Roman"/>
          <w:bCs w:val="0"/>
          <w:color w:val="auto"/>
          <w:kern w:val="1"/>
          <w:sz w:val="32"/>
          <w:szCs w:val="32"/>
          <w:highlight w:val="none"/>
          <w:lang w:val="en-US" w:eastAsia="zh-CN" w:bidi="ar-SA"/>
        </w:rPr>
      </w:pPr>
      <w:r>
        <w:rPr>
          <w:rFonts w:hint="eastAsia" w:ascii="仿宋_GB2312" w:hAnsi="Times New Roman" w:eastAsia="仿宋_GB2312" w:cs="Times New Roman"/>
          <w:bCs w:val="0"/>
          <w:color w:val="auto"/>
          <w:kern w:val="1"/>
          <w:sz w:val="32"/>
          <w:szCs w:val="32"/>
          <w:highlight w:val="none"/>
          <w:lang w:val="en-US" w:eastAsia="zh-CN" w:bidi="ar-SA"/>
        </w:rPr>
        <w:t>牵头单位：区投促中心、中关村门头沟园管委会、区科信局</w:t>
      </w:r>
    </w:p>
    <w:p>
      <w:pPr>
        <w:pStyle w:val="6"/>
        <w:keepNext w:val="0"/>
        <w:keepLines w:val="0"/>
        <w:pageBreakBefore w:val="0"/>
        <w:widowControl w:val="0"/>
        <w:kinsoku/>
        <w:wordWrap/>
        <w:topLinePunct w:val="0"/>
        <w:autoSpaceDE/>
        <w:autoSpaceDN/>
        <w:bidi w:val="0"/>
        <w:adjustRightInd/>
        <w:snapToGrid/>
        <w:spacing w:line="560" w:lineRule="exact"/>
        <w:ind w:firstLine="640" w:firstLineChars="200"/>
        <w:textAlignment w:val="auto"/>
        <w:outlineLvl w:val="9"/>
        <w:rPr>
          <w:rFonts w:hint="eastAsia" w:ascii="仿宋_GB2312" w:hAnsi="Times New Roman" w:eastAsia="仿宋_GB2312" w:cs="Times New Roman"/>
          <w:bCs w:val="0"/>
          <w:color w:val="000000"/>
          <w:kern w:val="1"/>
          <w:sz w:val="32"/>
          <w:szCs w:val="32"/>
          <w:highlight w:val="none"/>
          <w:lang w:bidi="ar-SA"/>
        </w:rPr>
      </w:pPr>
      <w:r>
        <w:rPr>
          <w:rFonts w:hint="eastAsia" w:ascii="楷体_GB2312" w:hAnsi="楷体_GB2312" w:eastAsia="楷体_GB2312" w:cs="楷体_GB2312"/>
          <w:color w:val="auto"/>
          <w:kern w:val="1"/>
          <w:sz w:val="32"/>
          <w:szCs w:val="32"/>
          <w:highlight w:val="none"/>
          <w:lang w:val="en-US" w:eastAsia="zh-CN"/>
        </w:rPr>
        <w:t>（二）畅通连接</w:t>
      </w:r>
      <w:r>
        <w:rPr>
          <w:rFonts w:hint="eastAsia" w:ascii="楷体_GB2312" w:hAnsi="楷体_GB2312" w:eastAsia="楷体_GB2312" w:cs="楷体_GB2312"/>
          <w:color w:val="auto"/>
          <w:kern w:val="1"/>
          <w:sz w:val="32"/>
          <w:szCs w:val="32"/>
          <w:highlight w:val="none"/>
          <w:lang w:eastAsia="zh-CN"/>
        </w:rPr>
        <w:t>企业“</w:t>
      </w:r>
      <w:r>
        <w:rPr>
          <w:rFonts w:hint="eastAsia" w:ascii="楷体_GB2312" w:hAnsi="楷体_GB2312" w:eastAsia="楷体_GB2312" w:cs="楷体_GB2312"/>
          <w:color w:val="auto"/>
          <w:kern w:val="1"/>
          <w:sz w:val="32"/>
          <w:szCs w:val="32"/>
          <w:highlight w:val="none"/>
          <w:lang w:val="en-US" w:eastAsia="zh-CN"/>
        </w:rPr>
        <w:t>最后一公里”，打造高效智能</w:t>
      </w:r>
      <w:r>
        <w:rPr>
          <w:rFonts w:hint="eastAsia" w:ascii="楷体_GB2312" w:hAnsi="楷体_GB2312" w:eastAsia="楷体_GB2312" w:cs="楷体_GB2312"/>
          <w:color w:val="auto"/>
          <w:kern w:val="1"/>
          <w:sz w:val="32"/>
          <w:szCs w:val="32"/>
          <w:highlight w:val="none"/>
          <w:lang w:eastAsia="zh-CN"/>
        </w:rPr>
        <w:t>政务</w:t>
      </w:r>
      <w:r>
        <w:rPr>
          <w:rFonts w:hint="eastAsia" w:ascii="楷体_GB2312" w:hAnsi="楷体_GB2312" w:eastAsia="楷体_GB2312" w:cs="楷体_GB2312"/>
          <w:color w:val="auto"/>
          <w:kern w:val="1"/>
          <w:sz w:val="32"/>
          <w:szCs w:val="32"/>
          <w:highlight w:val="none"/>
          <w:lang w:val="en-US" w:eastAsia="zh-CN"/>
        </w:rPr>
        <w:t>环境</w:t>
      </w:r>
    </w:p>
    <w:p>
      <w:pPr>
        <w:keepNext w:val="0"/>
        <w:keepLines w:val="0"/>
        <w:pageBreakBefore w:val="0"/>
        <w:numPr>
          <w:ilvl w:val="-1"/>
          <w:numId w:val="0"/>
        </w:numPr>
        <w:pBdr>
          <w:bottom w:val="single" w:color="FFFFFF" w:sz="4" w:space="31"/>
        </w:pBdr>
        <w:tabs>
          <w:tab w:val="left" w:pos="1440"/>
        </w:tabs>
        <w:kinsoku/>
        <w:wordWrap/>
        <w:overflowPunct w:val="0"/>
        <w:topLinePunct w:val="0"/>
        <w:autoSpaceDE/>
        <w:autoSpaceDN/>
        <w:bidi w:val="0"/>
        <w:adjustRightInd w:val="0"/>
        <w:snapToGrid/>
        <w:spacing w:line="560" w:lineRule="exact"/>
        <w:ind w:firstLine="642" w:firstLineChars="200"/>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lang w:val="en-US" w:eastAsia="zh-CN"/>
        </w:rPr>
        <w:t>4.</w:t>
      </w:r>
      <w:r>
        <w:rPr>
          <w:rFonts w:hint="eastAsia" w:ascii="仿宋_GB2312" w:hAnsi="仿宋_GB2312" w:eastAsia="仿宋_GB2312" w:cs="仿宋_GB2312"/>
          <w:b/>
          <w:bCs/>
          <w:sz w:val="32"/>
          <w:szCs w:val="32"/>
        </w:rPr>
        <w:t>系统</w:t>
      </w:r>
      <w:r>
        <w:rPr>
          <w:rFonts w:hint="eastAsia" w:ascii="仿宋_GB2312" w:hAnsi="仿宋_GB2312" w:eastAsia="仿宋_GB2312" w:cs="仿宋_GB2312"/>
          <w:b/>
          <w:bCs/>
          <w:sz w:val="32"/>
          <w:szCs w:val="32"/>
          <w:lang w:val="en-US" w:eastAsia="zh-CN"/>
        </w:rPr>
        <w:t>推进</w:t>
      </w:r>
      <w:r>
        <w:rPr>
          <w:rFonts w:hint="eastAsia" w:ascii="仿宋_GB2312" w:hAnsi="仿宋_GB2312" w:eastAsia="仿宋_GB2312" w:cs="仿宋_GB2312"/>
          <w:b/>
          <w:bCs/>
          <w:sz w:val="32"/>
          <w:szCs w:val="32"/>
        </w:rPr>
        <w:t>政务集成服务</w:t>
      </w:r>
      <w:r>
        <w:rPr>
          <w:rFonts w:hint="eastAsia" w:ascii="仿宋_GB2312" w:eastAsia="仿宋_GB2312" w:cs="仿宋_GB2312"/>
          <w:b/>
          <w:bCs/>
          <w:color w:val="000000"/>
          <w:sz w:val="32"/>
          <w:szCs w:val="32"/>
          <w:lang w:bidi="ar-SA"/>
        </w:rPr>
        <w:t>场景建设</w:t>
      </w:r>
      <w:r>
        <w:rPr>
          <w:rFonts w:hint="eastAsia" w:ascii="仿宋_GB2312" w:hAnsi="仿宋_GB2312" w:eastAsia="仿宋_GB2312" w:cs="仿宋_GB2312"/>
          <w:b/>
          <w:bCs/>
          <w:sz w:val="32"/>
          <w:szCs w:val="32"/>
        </w:rPr>
        <w:t>。</w:t>
      </w:r>
      <w:r>
        <w:rPr>
          <w:rFonts w:hint="eastAsia" w:ascii="仿宋_GB2312" w:eastAsia="仿宋_GB2312" w:cs="仿宋_GB2312"/>
          <w:bCs/>
          <w:color w:val="000000"/>
          <w:sz w:val="32"/>
          <w:szCs w:val="32"/>
          <w:lang w:bidi="ar-SA"/>
        </w:rPr>
        <w:t>按照全市统一部署，</w:t>
      </w:r>
      <w:r>
        <w:rPr>
          <w:rFonts w:hint="eastAsia" w:ascii="仿宋_GB2312" w:hAnsi="仿宋_GB2312" w:eastAsia="仿宋_GB2312" w:cs="仿宋_GB2312"/>
          <w:sz w:val="32"/>
          <w:szCs w:val="32"/>
        </w:rPr>
        <w:t>推动举办会展、大型演出和商贸促销活动、幼儿入园、公民婚育等20个以上事项实现集成服务。提高“一件事”办理服务质量和效率，以优化再造审批流程和“AI+政务服务”为突破点，将“一件事”事项全部纳入区、街道（乡镇）政务服务大厅综合窗口，推行“全程网办”，实现“一次告知、一表申请、一套材料、一窗受理、一网办理、一口发证”。</w:t>
      </w:r>
      <w:r>
        <w:rPr>
          <w:rFonts w:hint="eastAsia" w:ascii="仿宋_GB2312" w:eastAsia="仿宋_GB2312" w:cs="仿宋_GB2312"/>
          <w:bCs/>
          <w:color w:val="000000"/>
          <w:sz w:val="32"/>
          <w:szCs w:val="32"/>
          <w:lang w:bidi="ar-SA"/>
        </w:rPr>
        <w:t>在企业开办、不动产登记、水电气热通讯系统报装、企业注销等企业全生命周期实现一件事集成服务，逐步实现生活服务领域政务服务事项“全程网办、全城办理”</w:t>
      </w:r>
      <w:r>
        <w:rPr>
          <w:rFonts w:hint="eastAsia" w:ascii="仿宋_GB2312" w:hAnsi="仿宋_GB2312" w:eastAsia="仿宋_GB2312" w:cs="仿宋_GB2312"/>
          <w:sz w:val="32"/>
          <w:szCs w:val="32"/>
        </w:rPr>
        <w:t>，大幅提升企业群众办事便利度</w:t>
      </w:r>
      <w:r>
        <w:rPr>
          <w:rFonts w:hint="eastAsia" w:ascii="仿宋_GB2312" w:eastAsia="仿宋_GB2312" w:cs="仿宋_GB2312"/>
          <w:bCs/>
          <w:color w:val="000000"/>
          <w:sz w:val="32"/>
          <w:szCs w:val="32"/>
          <w:lang w:bidi="ar-SA"/>
        </w:rPr>
        <w:t>。</w:t>
      </w:r>
    </w:p>
    <w:p>
      <w:pPr>
        <w:keepNext w:val="0"/>
        <w:keepLines w:val="0"/>
        <w:pageBreakBefore w:val="0"/>
        <w:numPr>
          <w:ilvl w:val="-1"/>
          <w:numId w:val="0"/>
        </w:numPr>
        <w:pBdr>
          <w:bottom w:val="single" w:color="FFFFFF" w:sz="4" w:space="31"/>
        </w:pBdr>
        <w:tabs>
          <w:tab w:val="left" w:pos="1440"/>
        </w:tabs>
        <w:kinsoku/>
        <w:wordWrap/>
        <w:overflowPunct w:val="0"/>
        <w:topLinePunct w:val="0"/>
        <w:autoSpaceDE/>
        <w:autoSpaceDN/>
        <w:bidi w:val="0"/>
        <w:adjustRightInd w:val="0"/>
        <w:snapToGrid/>
        <w:spacing w:line="560" w:lineRule="exact"/>
        <w:ind w:firstLine="640" w:firstLineChars="200"/>
        <w:textAlignment w:val="auto"/>
        <w:outlineLvl w:val="9"/>
        <w:rPr>
          <w:rFonts w:hint="eastAsia" w:ascii="仿宋_GB2312" w:hAnsi="Times New Roman" w:eastAsia="仿宋_GB2312" w:cs="Times New Roman"/>
          <w:bCs w:val="0"/>
          <w:color w:val="auto"/>
          <w:kern w:val="1"/>
          <w:sz w:val="32"/>
          <w:szCs w:val="32"/>
          <w:highlight w:val="none"/>
          <w:lang w:val="en-US" w:eastAsia="zh-CN" w:bidi="ar-SA"/>
        </w:rPr>
      </w:pPr>
      <w:r>
        <w:rPr>
          <w:rFonts w:hint="eastAsia" w:ascii="仿宋_GB2312" w:hAnsi="Times New Roman" w:eastAsia="仿宋_GB2312" w:cs="Times New Roman"/>
          <w:bCs w:val="0"/>
          <w:color w:val="auto"/>
          <w:kern w:val="1"/>
          <w:sz w:val="32"/>
          <w:szCs w:val="32"/>
          <w:highlight w:val="none"/>
          <w:lang w:val="en-US" w:eastAsia="zh-CN" w:bidi="ar-SA"/>
        </w:rPr>
        <w:t>牵头单位：区政务服务局、各有关部门</w:t>
      </w:r>
    </w:p>
    <w:p>
      <w:pPr>
        <w:keepNext w:val="0"/>
        <w:keepLines w:val="0"/>
        <w:pageBreakBefore w:val="0"/>
        <w:numPr>
          <w:ilvl w:val="-1"/>
          <w:numId w:val="0"/>
        </w:numPr>
        <w:pBdr>
          <w:bottom w:val="single" w:color="FFFFFF" w:sz="4" w:space="31"/>
        </w:pBdr>
        <w:tabs>
          <w:tab w:val="left" w:pos="1440"/>
        </w:tabs>
        <w:kinsoku/>
        <w:wordWrap/>
        <w:overflowPunct w:val="0"/>
        <w:topLinePunct w:val="0"/>
        <w:autoSpaceDE/>
        <w:autoSpaceDN/>
        <w:bidi w:val="0"/>
        <w:adjustRightInd w:val="0"/>
        <w:snapToGrid/>
        <w:spacing w:line="560" w:lineRule="exact"/>
        <w:ind w:firstLine="642" w:firstLineChars="200"/>
        <w:textAlignment w:val="auto"/>
        <w:outlineLvl w:val="9"/>
        <w:rPr>
          <w:rFonts w:hint="eastAsia"/>
        </w:rPr>
      </w:pPr>
      <w:r>
        <w:rPr>
          <w:rFonts w:hint="eastAsia" w:ascii="仿宋_GB2312" w:hAnsi="仿宋_GB2312" w:eastAsia="仿宋_GB2312" w:cs="仿宋_GB2312"/>
          <w:b/>
          <w:bCs/>
          <w:sz w:val="32"/>
          <w:szCs w:val="32"/>
          <w:highlight w:val="none"/>
          <w:lang w:val="en-US" w:eastAsia="zh-CN"/>
        </w:rPr>
        <w:t>5.</w:t>
      </w:r>
      <w:r>
        <w:rPr>
          <w:rFonts w:hint="eastAsia" w:ascii="仿宋_GB2312" w:hAnsi="仿宋_GB2312" w:eastAsia="仿宋_GB2312" w:cs="仿宋_GB2312"/>
          <w:b/>
          <w:bCs/>
          <w:sz w:val="32"/>
          <w:szCs w:val="32"/>
          <w:highlight w:val="none"/>
        </w:rPr>
        <w:t>提高政务服务信息化智能化水平</w:t>
      </w:r>
      <w:r>
        <w:rPr>
          <w:rFonts w:hint="eastAsia" w:ascii="仿宋_GB2312" w:hAnsi="仿宋_GB2312" w:eastAsia="仿宋_GB2312" w:cs="仿宋_GB2312"/>
          <w:sz w:val="32"/>
          <w:szCs w:val="32"/>
          <w:highlight w:val="none"/>
          <w:lang w:eastAsia="zh-CN"/>
        </w:rPr>
        <w:t>。</w:t>
      </w:r>
      <w:r>
        <w:rPr>
          <w:rFonts w:hint="eastAsia" w:ascii="仿宋_GB2312" w:eastAsia="仿宋_GB2312" w:cs="仿宋_GB2312"/>
          <w:bCs/>
          <w:color w:val="000000"/>
          <w:sz w:val="32"/>
          <w:szCs w:val="32"/>
          <w:lang w:bidi="ar-SA"/>
        </w:rPr>
        <w:t>按照全市统一部署，</w:t>
      </w:r>
      <w:r>
        <w:rPr>
          <w:rFonts w:hint="eastAsia" w:ascii="仿宋_GB2312" w:hAnsi="仿宋_GB2312" w:eastAsia="仿宋_GB2312" w:cs="仿宋_GB2312"/>
          <w:sz w:val="32"/>
          <w:szCs w:val="32"/>
          <w:highlight w:val="none"/>
        </w:rPr>
        <w:t>推行智能导办、智能预填、智能预审、智能审批等服务和审批办理模式，更加注重“一网通办”用户易用性、感受度，全面梳理查找</w:t>
      </w:r>
      <w:r>
        <w:rPr>
          <w:rFonts w:hint="eastAsia" w:ascii="仿宋_GB2312" w:hAnsi="仿宋_GB2312" w:eastAsia="仿宋_GB2312" w:cs="仿宋_GB2312"/>
          <w:sz w:val="32"/>
          <w:szCs w:val="32"/>
          <w:highlight w:val="none"/>
          <w:lang w:val="en-US" w:eastAsia="zh-CN"/>
        </w:rPr>
        <w:t>并及时协调系统运维单位解决</w:t>
      </w:r>
      <w:r>
        <w:rPr>
          <w:rFonts w:hint="eastAsia" w:ascii="仿宋_GB2312" w:hAnsi="仿宋_GB2312" w:eastAsia="仿宋_GB2312" w:cs="仿宋_GB2312"/>
          <w:sz w:val="32"/>
          <w:szCs w:val="32"/>
          <w:highlight w:val="none"/>
        </w:rPr>
        <w:t>系统“多次跳转”“中断下网”和部分线下办、稳定性等问题，切实提升“一网通办”质量。在涉企经营、医疗卫生、交通运输、文化旅游、民生保障等领域推出60个事项“一证（照）通办”，企业群众仅持营业执照、行业许可证或个人有效证件（含电子证照）即可完成事项办理。</w:t>
      </w:r>
      <w:r>
        <w:rPr>
          <w:rFonts w:hint="eastAsia" w:ascii="仿宋_GB2312" w:hAnsi="仿宋_GB2312" w:eastAsia="仿宋_GB2312" w:cs="仿宋_GB2312"/>
          <w:sz w:val="32"/>
          <w:szCs w:val="32"/>
          <w:highlight w:val="none"/>
          <w:lang w:val="en-US" w:eastAsia="zh-CN"/>
        </w:rPr>
        <w:t>鼓励存量企业办理电子印章，持续扩大电子印章在企业开办、不动产登记、合同签订、招标投标等领域的应用范围。</w:t>
      </w:r>
    </w:p>
    <w:p>
      <w:pPr>
        <w:keepNext w:val="0"/>
        <w:keepLines w:val="0"/>
        <w:pageBreakBefore w:val="0"/>
        <w:numPr>
          <w:ilvl w:val="-1"/>
          <w:numId w:val="0"/>
        </w:numPr>
        <w:pBdr>
          <w:bottom w:val="single" w:color="FFFFFF" w:sz="4" w:space="31"/>
        </w:pBdr>
        <w:tabs>
          <w:tab w:val="left" w:pos="1440"/>
        </w:tabs>
        <w:kinsoku/>
        <w:wordWrap/>
        <w:overflowPunct w:val="0"/>
        <w:topLinePunct w:val="0"/>
        <w:autoSpaceDE/>
        <w:autoSpaceDN/>
        <w:bidi w:val="0"/>
        <w:adjustRightInd w:val="0"/>
        <w:snapToGrid/>
        <w:spacing w:line="560" w:lineRule="exact"/>
        <w:ind w:firstLine="640" w:firstLineChars="200"/>
        <w:textAlignment w:val="auto"/>
        <w:outlineLvl w:val="9"/>
        <w:rPr>
          <w:rFonts w:hint="eastAsia"/>
          <w:lang w:val="en-US" w:eastAsia="zh-CN"/>
        </w:rPr>
      </w:pPr>
      <w:r>
        <w:rPr>
          <w:rFonts w:hint="eastAsia" w:ascii="仿宋_GB2312" w:hAnsi="Times New Roman" w:eastAsia="仿宋_GB2312" w:cs="Times New Roman"/>
          <w:bCs w:val="0"/>
          <w:color w:val="auto"/>
          <w:kern w:val="1"/>
          <w:sz w:val="32"/>
          <w:szCs w:val="32"/>
          <w:highlight w:val="none"/>
          <w:lang w:val="en-US" w:eastAsia="zh-CN" w:bidi="ar-SA"/>
        </w:rPr>
        <w:t>牵头单位：区政务服务局、区市场监管局、区民政局、区人力社保局、区卫健委、区医保局、区交通局、区税务局、区文旅局等有关部门</w:t>
      </w:r>
    </w:p>
    <w:p>
      <w:pPr>
        <w:keepNext w:val="0"/>
        <w:keepLines w:val="0"/>
        <w:pageBreakBefore w:val="0"/>
        <w:numPr>
          <w:ilvl w:val="-1"/>
          <w:numId w:val="0"/>
        </w:numPr>
        <w:pBdr>
          <w:bottom w:val="single" w:color="FFFFFF" w:sz="4" w:space="31"/>
        </w:pBdr>
        <w:tabs>
          <w:tab w:val="left" w:pos="1440"/>
        </w:tabs>
        <w:kinsoku/>
        <w:wordWrap/>
        <w:overflowPunct w:val="0"/>
        <w:topLinePunct w:val="0"/>
        <w:autoSpaceDE/>
        <w:autoSpaceDN/>
        <w:bidi w:val="0"/>
        <w:adjustRightInd w:val="0"/>
        <w:snapToGrid/>
        <w:spacing w:line="560" w:lineRule="exact"/>
        <w:ind w:firstLine="642" w:firstLineChars="200"/>
        <w:textAlignment w:val="auto"/>
        <w:outlineLvl w:val="9"/>
        <w:rPr>
          <w:rFonts w:hint="eastAsia" w:ascii="仿宋_GB2312" w:hAnsi="Times New Roman" w:eastAsia="仿宋_GB2312" w:cs="Times New Roman"/>
          <w:bCs w:val="0"/>
          <w:color w:val="auto"/>
          <w:kern w:val="1"/>
          <w:sz w:val="32"/>
          <w:szCs w:val="32"/>
          <w:highlight w:val="none"/>
          <w:lang w:val="en-US" w:eastAsia="zh-CN" w:bidi="ar-SA"/>
        </w:rPr>
      </w:pPr>
      <w:r>
        <w:rPr>
          <w:rFonts w:hint="eastAsia" w:ascii="仿宋_GB2312" w:hAnsi="仿宋_GB2312" w:eastAsia="仿宋_GB2312" w:cs="仿宋_GB2312"/>
          <w:b/>
          <w:bCs/>
          <w:sz w:val="32"/>
          <w:szCs w:val="32"/>
          <w:highlight w:val="none"/>
          <w:lang w:val="en-US" w:eastAsia="zh-CN"/>
        </w:rPr>
        <w:t>6.</w:t>
      </w:r>
      <w:r>
        <w:rPr>
          <w:rFonts w:hint="eastAsia" w:ascii="仿宋_GB2312" w:hAnsi="仿宋_GB2312" w:eastAsia="仿宋_GB2312" w:cs="仿宋_GB2312"/>
          <w:b/>
          <w:bCs/>
          <w:sz w:val="32"/>
          <w:szCs w:val="32"/>
          <w:highlight w:val="none"/>
        </w:rPr>
        <w:t>完善企业服务体系</w:t>
      </w:r>
      <w:r>
        <w:rPr>
          <w:rFonts w:hint="eastAsia" w:ascii="仿宋_GB2312" w:hAnsi="仿宋_GB2312" w:eastAsia="仿宋_GB2312" w:cs="仿宋_GB2312"/>
          <w:b/>
          <w:bCs/>
          <w:sz w:val="32"/>
          <w:szCs w:val="32"/>
          <w:highlight w:val="none"/>
          <w:lang w:eastAsia="zh-CN"/>
        </w:rPr>
        <w:t>。</w:t>
      </w:r>
      <w:r>
        <w:rPr>
          <w:rFonts w:hint="eastAsia" w:ascii="仿宋_GB2312" w:hAnsi="仿宋_GB2312" w:eastAsia="仿宋_GB2312" w:cs="仿宋_GB2312"/>
          <w:sz w:val="32"/>
          <w:szCs w:val="32"/>
          <w:highlight w:val="none"/>
        </w:rPr>
        <w:t>强化作风建设，落实“十个必上门、十个不打扰”</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“首接负责、就近牵头、缺位追责”原则，</w:t>
      </w:r>
      <w:r>
        <w:rPr>
          <w:rFonts w:hint="eastAsia" w:ascii="仿宋_GB2312" w:hAnsi="仿宋_GB2312" w:eastAsia="仿宋_GB2312" w:cs="仿宋_GB2312"/>
          <w:sz w:val="32"/>
          <w:szCs w:val="32"/>
          <w:highlight w:val="none"/>
        </w:rPr>
        <w:t>坚决整治推诿扯皮、敷衍塞责、“吃拿卡要”不正之风，大力提升服务意识和服务水平。强化“服务包”“服务管家”工作机制，持续开展</w:t>
      </w:r>
      <w:r>
        <w:rPr>
          <w:rFonts w:hint="eastAsia" w:ascii="仿宋_GB2312" w:hAnsi="仿宋_GB2312" w:eastAsia="仿宋_GB2312" w:cs="仿宋_GB2312"/>
          <w:sz w:val="32"/>
          <w:szCs w:val="32"/>
          <w:highlight w:val="none"/>
          <w:lang w:val="en-US" w:eastAsia="zh-CN"/>
        </w:rPr>
        <w:t>区—管家单位—服务管家三级</w:t>
      </w:r>
      <w:r>
        <w:rPr>
          <w:rFonts w:hint="eastAsia" w:ascii="仿宋_GB2312" w:hAnsi="仿宋_GB2312" w:eastAsia="仿宋_GB2312" w:cs="仿宋_GB2312"/>
          <w:sz w:val="32"/>
          <w:szCs w:val="32"/>
          <w:highlight w:val="none"/>
        </w:rPr>
        <w:t>走访</w:t>
      </w:r>
      <w:r>
        <w:rPr>
          <w:rFonts w:hint="eastAsia" w:ascii="仿宋_GB2312" w:hAnsi="仿宋_GB2312" w:eastAsia="仿宋_GB2312" w:cs="仿宋_GB2312"/>
          <w:sz w:val="32"/>
          <w:szCs w:val="32"/>
          <w:highlight w:val="none"/>
          <w:lang w:val="en-US" w:eastAsia="zh-CN"/>
        </w:rPr>
        <w:t>服务</w:t>
      </w:r>
      <w:r>
        <w:rPr>
          <w:rFonts w:hint="eastAsia" w:ascii="仿宋_GB2312" w:hAnsi="仿宋_GB2312" w:eastAsia="仿宋_GB2312" w:cs="仿宋_GB2312"/>
          <w:sz w:val="32"/>
          <w:szCs w:val="32"/>
          <w:highlight w:val="none"/>
        </w:rPr>
        <w:t>，为企业解难题、办实事。建立</w:t>
      </w:r>
      <w:r>
        <w:rPr>
          <w:rFonts w:hint="eastAsia" w:ascii="仿宋_GB2312" w:hAnsi="仿宋_GB2312" w:eastAsia="仿宋_GB2312" w:cs="仿宋_GB2312"/>
          <w:sz w:val="32"/>
          <w:szCs w:val="32"/>
          <w:highlight w:val="none"/>
          <w:u w:val="none"/>
        </w:rPr>
        <w:t>基层</w:t>
      </w:r>
      <w:r>
        <w:rPr>
          <w:rFonts w:hint="eastAsia" w:ascii="仿宋_GB2312" w:hAnsi="仿宋_GB2312" w:eastAsia="仿宋_GB2312" w:cs="仿宋_GB2312"/>
          <w:sz w:val="32"/>
          <w:szCs w:val="32"/>
          <w:highlight w:val="none"/>
          <w:u w:val="none"/>
          <w:lang w:eastAsia="zh-CN"/>
        </w:rPr>
        <w:t>企业服务</w:t>
      </w:r>
      <w:r>
        <w:rPr>
          <w:rFonts w:hint="eastAsia" w:ascii="仿宋_GB2312" w:hAnsi="仿宋_GB2312" w:eastAsia="仿宋_GB2312" w:cs="仿宋_GB2312"/>
          <w:sz w:val="32"/>
          <w:szCs w:val="32"/>
          <w:highlight w:val="none"/>
          <w:u w:val="none"/>
        </w:rPr>
        <w:t>网络</w:t>
      </w:r>
      <w:r>
        <w:rPr>
          <w:rFonts w:hint="eastAsia" w:ascii="仿宋_GB2312" w:hAnsi="仿宋_GB2312" w:eastAsia="仿宋_GB2312" w:cs="仿宋_GB2312"/>
          <w:sz w:val="32"/>
          <w:szCs w:val="32"/>
          <w:highlight w:val="none"/>
        </w:rPr>
        <w:t>，加强对新设企业服务，实时获取企业登记注册信息，主动了解企业诉求，实现注册即联系、联系即服务。</w:t>
      </w:r>
      <w:r>
        <w:rPr>
          <w:rFonts w:hint="eastAsia" w:ascii="仿宋_GB2312" w:hAnsi="Times New Roman" w:eastAsia="仿宋_GB2312" w:cs="Times New Roman"/>
          <w:bCs w:val="0"/>
          <w:color w:val="auto"/>
          <w:kern w:val="1"/>
          <w:sz w:val="32"/>
          <w:szCs w:val="32"/>
          <w:highlight w:val="none"/>
          <w:lang w:val="en-US" w:eastAsia="zh-CN" w:bidi="ar-SA"/>
        </w:rPr>
        <w:t>推动就业招聘平台信息共享，组织开展线上、线下招聘、就业创业指导等活动，加大职业技能培训力度，积极争取市级培训项目支持，持续为失业人员、农村转移就业劳动力等重点人群提供免费职业技能培训；支持灵活就业，将零工信息纳入公共就业服务范围。加强企业用工服务保障，健全重点企业对接、临时用工调剂、跨省劳务协作等机制，帮助快递、工程施工、家政服务、餐饮等行业解决用工短缺问题。</w:t>
      </w:r>
    </w:p>
    <w:p>
      <w:pPr>
        <w:keepNext w:val="0"/>
        <w:keepLines w:val="0"/>
        <w:pageBreakBefore w:val="0"/>
        <w:numPr>
          <w:ilvl w:val="-1"/>
          <w:numId w:val="0"/>
        </w:numPr>
        <w:pBdr>
          <w:bottom w:val="single" w:color="FFFFFF" w:sz="4" w:space="31"/>
        </w:pBdr>
        <w:tabs>
          <w:tab w:val="left" w:pos="1440"/>
        </w:tabs>
        <w:kinsoku/>
        <w:wordWrap/>
        <w:overflowPunct w:val="0"/>
        <w:topLinePunct w:val="0"/>
        <w:autoSpaceDE/>
        <w:autoSpaceDN/>
        <w:bidi w:val="0"/>
        <w:adjustRightInd w:val="0"/>
        <w:snapToGrid/>
        <w:spacing w:line="560" w:lineRule="exact"/>
        <w:ind w:firstLine="640" w:firstLineChars="200"/>
        <w:textAlignment w:val="auto"/>
        <w:outlineLvl w:val="9"/>
        <w:rPr>
          <w:rFonts w:hint="eastAsia" w:ascii="仿宋_GB2312" w:hAnsi="仿宋_GB2312" w:eastAsia="仿宋_GB2312" w:cs="仿宋_GB2312"/>
          <w:sz w:val="32"/>
          <w:szCs w:val="32"/>
          <w:highlight w:val="none"/>
          <w:lang w:val="en-US"/>
        </w:rPr>
      </w:pPr>
      <w:r>
        <w:rPr>
          <w:rFonts w:hint="eastAsia" w:ascii="仿宋_GB2312" w:hAnsi="Times New Roman" w:eastAsia="仿宋_GB2312" w:cs="Times New Roman"/>
          <w:bCs w:val="0"/>
          <w:color w:val="auto"/>
          <w:kern w:val="1"/>
          <w:sz w:val="32"/>
          <w:szCs w:val="32"/>
          <w:highlight w:val="none"/>
          <w:lang w:val="en-US" w:eastAsia="zh-CN" w:bidi="ar-SA"/>
        </w:rPr>
        <w:t>牵头单位：区发改委、区市场监管局、各服务管家单位、区人力社保局</w:t>
      </w:r>
    </w:p>
    <w:p>
      <w:pPr>
        <w:keepNext w:val="0"/>
        <w:keepLines w:val="0"/>
        <w:pageBreakBefore w:val="0"/>
        <w:numPr>
          <w:ilvl w:val="-1"/>
          <w:numId w:val="0"/>
        </w:numPr>
        <w:pBdr>
          <w:bottom w:val="single" w:color="FFFFFF" w:sz="4" w:space="31"/>
        </w:pBdr>
        <w:tabs>
          <w:tab w:val="left" w:pos="1440"/>
        </w:tabs>
        <w:kinsoku/>
        <w:wordWrap/>
        <w:overflowPunct w:val="0"/>
        <w:topLinePunct w:val="0"/>
        <w:autoSpaceDE/>
        <w:autoSpaceDN/>
        <w:bidi w:val="0"/>
        <w:adjustRightInd w:val="0"/>
        <w:snapToGrid/>
        <w:spacing w:line="560" w:lineRule="exact"/>
        <w:ind w:firstLine="642" w:firstLineChars="200"/>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lang w:val="en-US" w:eastAsia="zh-CN"/>
        </w:rPr>
        <w:t>7.优化惠企政策兑现机制。</w:t>
      </w:r>
      <w:r>
        <w:rPr>
          <w:rFonts w:hint="eastAsia" w:ascii="仿宋_GB2312" w:hAnsi="仿宋_GB2312" w:eastAsia="仿宋_GB2312" w:cs="仿宋_GB2312"/>
          <w:sz w:val="32"/>
          <w:szCs w:val="32"/>
          <w:highlight w:val="none"/>
          <w:lang w:val="en-US" w:eastAsia="zh-CN"/>
        </w:rPr>
        <w:t>在</w:t>
      </w:r>
      <w:r>
        <w:rPr>
          <w:rFonts w:hint="eastAsia" w:ascii="仿宋_GB2312" w:hAnsi="仿宋_GB2312" w:eastAsia="仿宋_GB2312" w:cs="仿宋_GB2312"/>
          <w:sz w:val="32"/>
          <w:szCs w:val="32"/>
          <w:highlight w:val="none"/>
        </w:rPr>
        <w:t>政务服务大厅</w:t>
      </w:r>
      <w:r>
        <w:rPr>
          <w:rFonts w:hint="eastAsia" w:ascii="仿宋_GB2312" w:hAnsi="仿宋_GB2312" w:eastAsia="仿宋_GB2312" w:cs="仿宋_GB2312"/>
          <w:sz w:val="32"/>
          <w:szCs w:val="32"/>
          <w:highlight w:val="none"/>
          <w:lang w:val="en-US" w:eastAsia="zh-CN"/>
        </w:rPr>
        <w:t>探索</w:t>
      </w:r>
      <w:r>
        <w:rPr>
          <w:rFonts w:hint="eastAsia" w:ascii="仿宋_GB2312" w:hAnsi="仿宋_GB2312" w:eastAsia="仿宋_GB2312" w:cs="仿宋_GB2312"/>
          <w:sz w:val="32"/>
          <w:szCs w:val="32"/>
          <w:highlight w:val="none"/>
        </w:rPr>
        <w:t>设立惠企政策集中咨询办理窗口</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加快</w:t>
      </w:r>
      <w:r>
        <w:rPr>
          <w:rFonts w:hint="eastAsia" w:ascii="仿宋_GB2312" w:hAnsi="仿宋_GB2312" w:eastAsia="仿宋_GB2312" w:cs="仿宋_GB2312"/>
          <w:sz w:val="32"/>
          <w:szCs w:val="32"/>
          <w:highlight w:val="none"/>
        </w:rPr>
        <w:t>建设</w:t>
      </w:r>
      <w:r>
        <w:rPr>
          <w:rFonts w:hint="eastAsia" w:ascii="仿宋_GB2312" w:hAnsi="仿宋_GB2312" w:eastAsia="仿宋_GB2312" w:cs="仿宋_GB2312"/>
          <w:sz w:val="32"/>
          <w:szCs w:val="32"/>
          <w:highlight w:val="none"/>
          <w:u w:val="none"/>
        </w:rPr>
        <w:t>一体化政策支撑平台</w:t>
      </w:r>
      <w:r>
        <w:rPr>
          <w:rFonts w:hint="eastAsia" w:ascii="仿宋_GB2312" w:hAnsi="仿宋_GB2312" w:eastAsia="仿宋_GB2312" w:cs="仿宋_GB2312"/>
          <w:sz w:val="32"/>
          <w:szCs w:val="32"/>
          <w:highlight w:val="none"/>
        </w:rPr>
        <w:t>，实现政策精准</w:t>
      </w:r>
      <w:r>
        <w:rPr>
          <w:rFonts w:hint="eastAsia" w:ascii="仿宋_GB2312" w:hAnsi="仿宋_GB2312" w:eastAsia="仿宋_GB2312" w:cs="仿宋_GB2312"/>
          <w:sz w:val="32"/>
          <w:szCs w:val="32"/>
          <w:highlight w:val="none"/>
          <w:lang w:val="en-US" w:eastAsia="zh-CN"/>
        </w:rPr>
        <w:t>测算、</w:t>
      </w:r>
      <w:r>
        <w:rPr>
          <w:rFonts w:hint="eastAsia" w:ascii="仿宋_GB2312" w:hAnsi="仿宋_GB2312" w:eastAsia="仿宋_GB2312" w:cs="仿宋_GB2312"/>
          <w:sz w:val="32"/>
          <w:szCs w:val="32"/>
          <w:highlight w:val="none"/>
        </w:rPr>
        <w:t>推送、兑现和结果评估，逐步实现行政给付、税费减免、财政补贴等政策“免申即享”“即申即享”全覆盖。</w:t>
      </w:r>
      <w:r>
        <w:rPr>
          <w:rFonts w:hint="eastAsia" w:ascii="仿宋_GB2312" w:hAnsi="仿宋_GB2312" w:eastAsia="仿宋_GB2312" w:cs="仿宋_GB2312"/>
          <w:sz w:val="32"/>
          <w:szCs w:val="32"/>
          <w:highlight w:val="none"/>
          <w:lang w:val="en-US" w:eastAsia="zh-CN"/>
        </w:rPr>
        <w:t>优化政策解读推送，在</w:t>
      </w:r>
      <w:r>
        <w:rPr>
          <w:rFonts w:hint="eastAsia" w:ascii="仿宋_GB2312" w:hAnsi="仿宋_GB2312" w:eastAsia="仿宋_GB2312" w:cs="仿宋_GB2312"/>
          <w:sz w:val="32"/>
          <w:szCs w:val="32"/>
          <w:highlight w:val="none"/>
        </w:rPr>
        <w:t>政府门户网站、政务服务平台醒目位置开设惠企政策专区，集中公开和解读政策文件，便利企业快速准确查询。拓展惠企政策移动端服务功能，</w:t>
      </w:r>
      <w:r>
        <w:rPr>
          <w:rFonts w:hint="eastAsia" w:ascii="仿宋_GB2312" w:hAnsi="仿宋_GB2312" w:eastAsia="仿宋_GB2312" w:cs="仿宋_GB2312"/>
          <w:sz w:val="32"/>
          <w:szCs w:val="32"/>
          <w:highlight w:val="none"/>
          <w:lang w:eastAsia="zh-CN"/>
        </w:rPr>
        <w:t>为企业</w:t>
      </w:r>
      <w:r>
        <w:rPr>
          <w:rFonts w:hint="eastAsia" w:ascii="仿宋_GB2312" w:hAnsi="仿宋_GB2312" w:eastAsia="仿宋_GB2312" w:cs="仿宋_GB2312"/>
          <w:sz w:val="32"/>
          <w:szCs w:val="32"/>
          <w:highlight w:val="none"/>
        </w:rPr>
        <w:t>提供在线申请、在线反馈、应享未享提醒等服务。</w:t>
      </w:r>
    </w:p>
    <w:p>
      <w:pPr>
        <w:keepNext w:val="0"/>
        <w:keepLines w:val="0"/>
        <w:pageBreakBefore w:val="0"/>
        <w:numPr>
          <w:ilvl w:val="0"/>
          <w:numId w:val="0"/>
        </w:numPr>
        <w:pBdr>
          <w:bottom w:val="single" w:color="FFFFFF" w:sz="4" w:space="31"/>
        </w:pBdr>
        <w:tabs>
          <w:tab w:val="left" w:pos="1440"/>
        </w:tabs>
        <w:kinsoku/>
        <w:wordWrap/>
        <w:overflowPunct w:val="0"/>
        <w:topLinePunct w:val="0"/>
        <w:autoSpaceDE/>
        <w:autoSpaceDN/>
        <w:bidi w:val="0"/>
        <w:adjustRightInd w:val="0"/>
        <w:snapToGrid/>
        <w:spacing w:line="560" w:lineRule="exact"/>
        <w:ind w:firstLine="640" w:firstLineChars="200"/>
        <w:textAlignment w:val="auto"/>
        <w:outlineLvl w:val="9"/>
        <w:rPr>
          <w:rFonts w:hint="eastAsia" w:ascii="仿宋_GB2312" w:hAnsi="仿宋_GB2312" w:eastAsia="仿宋_GB2312" w:cs="仿宋_GB2312"/>
          <w:sz w:val="32"/>
          <w:szCs w:val="32"/>
          <w:highlight w:val="none"/>
          <w:lang w:val="en-US" w:eastAsia="zh-CN"/>
        </w:rPr>
      </w:pPr>
      <w:r>
        <w:rPr>
          <w:rFonts w:hint="eastAsia" w:ascii="仿宋_GB2312" w:hAnsi="Times New Roman" w:eastAsia="仿宋_GB2312" w:cs="Times New Roman"/>
          <w:bCs w:val="0"/>
          <w:color w:val="auto"/>
          <w:kern w:val="1"/>
          <w:sz w:val="32"/>
          <w:szCs w:val="32"/>
          <w:highlight w:val="none"/>
          <w:lang w:val="en-US" w:eastAsia="zh-CN" w:bidi="ar-SA"/>
        </w:rPr>
        <w:t>牵头单位：区政务服务局、区财政局、区税务局、各相关部门</w:t>
      </w:r>
    </w:p>
    <w:p>
      <w:pPr>
        <w:keepNext w:val="0"/>
        <w:keepLines w:val="0"/>
        <w:pageBreakBefore w:val="0"/>
        <w:numPr>
          <w:ilvl w:val="-1"/>
          <w:numId w:val="0"/>
        </w:numPr>
        <w:pBdr>
          <w:bottom w:val="single" w:color="FFFFFF" w:sz="4" w:space="31"/>
        </w:pBdr>
        <w:tabs>
          <w:tab w:val="left" w:pos="1440"/>
        </w:tabs>
        <w:kinsoku/>
        <w:wordWrap/>
        <w:overflowPunct w:val="0"/>
        <w:topLinePunct w:val="0"/>
        <w:autoSpaceDE/>
        <w:autoSpaceDN/>
        <w:bidi w:val="0"/>
        <w:adjustRightInd w:val="0"/>
        <w:snapToGrid/>
        <w:spacing w:line="560" w:lineRule="exact"/>
        <w:ind w:firstLine="642" w:firstLineChars="200"/>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lang w:val="en-US" w:eastAsia="zh-CN"/>
        </w:rPr>
        <w:t>8.</w:t>
      </w:r>
      <w:r>
        <w:rPr>
          <w:rFonts w:hint="eastAsia" w:ascii="仿宋_GB2312" w:hAnsi="仿宋_GB2312" w:eastAsia="仿宋_GB2312" w:cs="仿宋_GB2312"/>
          <w:b/>
          <w:bCs/>
          <w:sz w:val="32"/>
          <w:szCs w:val="32"/>
          <w:highlight w:val="none"/>
        </w:rPr>
        <w:t>推进政务标准化服务。</w:t>
      </w:r>
      <w:r>
        <w:rPr>
          <w:rFonts w:hint="eastAsia" w:ascii="仿宋_GB2312" w:hAnsi="仿宋_GB2312" w:eastAsia="仿宋_GB2312" w:cs="仿宋_GB2312"/>
          <w:sz w:val="32"/>
          <w:szCs w:val="32"/>
          <w:highlight w:val="none"/>
        </w:rPr>
        <w:t>全面</w:t>
      </w:r>
      <w:r>
        <w:rPr>
          <w:rFonts w:hint="eastAsia" w:ascii="仿宋_GB2312" w:hAnsi="仿宋_GB2312" w:eastAsia="仿宋_GB2312" w:cs="仿宋_GB2312"/>
          <w:sz w:val="32"/>
          <w:szCs w:val="32"/>
          <w:highlight w:val="none"/>
          <w:lang w:val="en-US" w:eastAsia="zh-CN"/>
        </w:rPr>
        <w:t>梳理</w:t>
      </w:r>
      <w:r>
        <w:rPr>
          <w:rFonts w:hint="eastAsia" w:ascii="仿宋_GB2312" w:hAnsi="仿宋_GB2312" w:eastAsia="仿宋_GB2312" w:cs="仿宋_GB2312"/>
          <w:sz w:val="32"/>
          <w:szCs w:val="32"/>
          <w:highlight w:val="none"/>
        </w:rPr>
        <w:t>区、</w:t>
      </w:r>
      <w:r>
        <w:rPr>
          <w:rFonts w:hint="eastAsia" w:ascii="仿宋_GB2312" w:hAnsi="仿宋_GB2312" w:eastAsia="仿宋_GB2312" w:cs="仿宋_GB2312"/>
          <w:sz w:val="32"/>
          <w:szCs w:val="32"/>
          <w:highlight w:val="none"/>
          <w:lang w:val="en-US" w:eastAsia="zh-CN"/>
        </w:rPr>
        <w:t>镇街、服务站</w:t>
      </w:r>
      <w:r>
        <w:rPr>
          <w:rFonts w:hint="eastAsia" w:ascii="仿宋_GB2312" w:hAnsi="仿宋_GB2312" w:eastAsia="仿宋_GB2312" w:cs="仿宋_GB2312"/>
          <w:sz w:val="32"/>
          <w:szCs w:val="32"/>
          <w:highlight w:val="none"/>
        </w:rPr>
        <w:t>政务服务事项受理条件、设定依据、申请材料和审查标准</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确保</w:t>
      </w:r>
      <w:r>
        <w:rPr>
          <w:rFonts w:hint="eastAsia" w:ascii="仿宋_GB2312" w:hAnsi="仿宋_GB2312" w:eastAsia="仿宋_GB2312" w:cs="仿宋_GB2312"/>
          <w:b w:val="0"/>
          <w:bCs w:val="0"/>
          <w:sz w:val="32"/>
          <w:szCs w:val="32"/>
          <w:highlight w:val="none"/>
          <w:lang w:val="en-US" w:eastAsia="zh-CN"/>
        </w:rPr>
        <w:t>与市级标准保持一致</w:t>
      </w:r>
      <w:r>
        <w:rPr>
          <w:rFonts w:hint="eastAsia" w:ascii="仿宋_GB2312" w:hAnsi="仿宋_GB2312" w:eastAsia="仿宋_GB2312" w:cs="仿宋_GB2312"/>
          <w:sz w:val="32"/>
          <w:szCs w:val="32"/>
          <w:highlight w:val="none"/>
        </w:rPr>
        <w:t>并向社会公开，确保“同事同标”。</w:t>
      </w:r>
      <w:r>
        <w:rPr>
          <w:rFonts w:hint="eastAsia" w:ascii="仿宋_GB2312" w:hAnsi="仿宋_GB2312" w:eastAsia="仿宋_GB2312" w:cs="仿宋_GB2312"/>
          <w:sz w:val="32"/>
          <w:szCs w:val="32"/>
          <w:highlight w:val="none"/>
          <w:lang w:val="en-US" w:eastAsia="zh-CN"/>
        </w:rPr>
        <w:t>积极对接</w:t>
      </w:r>
      <w:r>
        <w:rPr>
          <w:rFonts w:hint="eastAsia" w:ascii="仿宋_GB2312" w:hAnsi="仿宋_GB2312" w:eastAsia="仿宋_GB2312" w:cs="仿宋_GB2312"/>
          <w:sz w:val="32"/>
          <w:szCs w:val="32"/>
          <w:highlight w:val="none"/>
        </w:rPr>
        <w:t>全市一体化政务服务事项办理平台，办事事项逐步统一归集。</w:t>
      </w:r>
    </w:p>
    <w:p>
      <w:pPr>
        <w:keepNext w:val="0"/>
        <w:keepLines w:val="0"/>
        <w:pageBreakBefore w:val="0"/>
        <w:numPr>
          <w:ilvl w:val="-1"/>
          <w:numId w:val="0"/>
        </w:numPr>
        <w:pBdr>
          <w:bottom w:val="single" w:color="FFFFFF" w:sz="4" w:space="31"/>
        </w:pBdr>
        <w:tabs>
          <w:tab w:val="left" w:pos="1440"/>
        </w:tabs>
        <w:kinsoku/>
        <w:wordWrap/>
        <w:overflowPunct w:val="0"/>
        <w:topLinePunct w:val="0"/>
        <w:autoSpaceDE/>
        <w:autoSpaceDN/>
        <w:bidi w:val="0"/>
        <w:adjustRightInd w:val="0"/>
        <w:snapToGrid/>
        <w:spacing w:line="560" w:lineRule="exact"/>
        <w:ind w:firstLine="0" w:firstLineChars="0"/>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全面优化窗口服务，强化服务意识，编制窗口人员业务手册，建立岗前培训考核与持证上岗制度，完善服务窗口管理和激励制度，依托</w:t>
      </w:r>
      <w:r>
        <w:rPr>
          <w:rFonts w:hint="eastAsia" w:ascii="仿宋_GB2312" w:eastAsia="仿宋_GB2312" w:cs="仿宋_GB2312"/>
          <w:bCs/>
          <w:color w:val="000000"/>
          <w:sz w:val="32"/>
          <w:szCs w:val="32"/>
          <w:highlight w:val="none"/>
          <w:lang w:bidi="ar-SA"/>
        </w:rPr>
        <w:t>“千人千题”竞赛</w:t>
      </w:r>
      <w:r>
        <w:rPr>
          <w:rFonts w:hint="eastAsia" w:ascii="仿宋_GB2312" w:eastAsia="仿宋_GB2312" w:cs="仿宋_GB2312"/>
          <w:bCs/>
          <w:color w:val="000000"/>
          <w:sz w:val="32"/>
          <w:szCs w:val="32"/>
          <w:highlight w:val="none"/>
          <w:lang w:val="en-US" w:eastAsia="zh-CN" w:bidi="ar-SA"/>
        </w:rPr>
        <w:t>等机制</w:t>
      </w:r>
      <w:r>
        <w:rPr>
          <w:rFonts w:hint="eastAsia" w:ascii="仿宋_GB2312" w:eastAsia="仿宋_GB2312" w:cs="仿宋_GB2312"/>
          <w:bCs/>
          <w:color w:val="000000"/>
          <w:sz w:val="32"/>
          <w:szCs w:val="32"/>
          <w:highlight w:val="none"/>
          <w:lang w:bidi="ar-SA"/>
        </w:rPr>
        <w:t>，</w:t>
      </w:r>
      <w:r>
        <w:rPr>
          <w:rFonts w:hint="eastAsia" w:ascii="仿宋_GB2312" w:eastAsia="仿宋_GB2312" w:cs="仿宋_GB2312"/>
          <w:bCs/>
          <w:color w:val="000000"/>
          <w:sz w:val="32"/>
          <w:szCs w:val="32"/>
          <w:highlight w:val="none"/>
          <w:lang w:val="en-US" w:eastAsia="zh-CN" w:bidi="ar-SA"/>
        </w:rPr>
        <w:t>不断</w:t>
      </w:r>
      <w:r>
        <w:rPr>
          <w:rFonts w:hint="eastAsia" w:ascii="仿宋_GB2312" w:eastAsia="仿宋_GB2312" w:cs="仿宋_GB2312"/>
          <w:bCs/>
          <w:color w:val="000000"/>
          <w:sz w:val="32"/>
          <w:szCs w:val="32"/>
          <w:highlight w:val="none"/>
          <w:lang w:bidi="ar-SA"/>
        </w:rPr>
        <w:t>提升窗口和后台审批工作人员掌握政策水平</w:t>
      </w:r>
      <w:r>
        <w:rPr>
          <w:rFonts w:hint="eastAsia" w:ascii="仿宋_GB2312" w:eastAsia="仿宋_GB2312" w:cs="仿宋_GB2312"/>
          <w:bCs/>
          <w:color w:val="000000"/>
          <w:sz w:val="32"/>
          <w:szCs w:val="32"/>
          <w:highlight w:val="none"/>
          <w:lang w:eastAsia="zh-CN" w:bidi="ar-SA"/>
        </w:rPr>
        <w:t>。</w:t>
      </w:r>
      <w:r>
        <w:rPr>
          <w:rFonts w:hint="eastAsia" w:ascii="仿宋_GB2312" w:hAnsi="仿宋_GB2312" w:eastAsia="仿宋_GB2312" w:cs="仿宋_GB2312"/>
          <w:sz w:val="32"/>
          <w:szCs w:val="32"/>
          <w:highlight w:val="none"/>
        </w:rPr>
        <w:t>规范网上办事指引，针对复杂办理情形的事项，提供个性化、场景化、简明易懂的办事指南，提高操作便利度。</w:t>
      </w:r>
    </w:p>
    <w:p>
      <w:pPr>
        <w:keepNext w:val="0"/>
        <w:keepLines w:val="0"/>
        <w:pageBreakBefore w:val="0"/>
        <w:numPr>
          <w:ilvl w:val="-1"/>
          <w:numId w:val="0"/>
        </w:numPr>
        <w:pBdr>
          <w:bottom w:val="single" w:color="FFFFFF" w:sz="4" w:space="31"/>
        </w:pBdr>
        <w:tabs>
          <w:tab w:val="left" w:pos="1440"/>
        </w:tabs>
        <w:kinsoku/>
        <w:wordWrap/>
        <w:overflowPunct w:val="0"/>
        <w:topLinePunct w:val="0"/>
        <w:autoSpaceDE/>
        <w:autoSpaceDN/>
        <w:bidi w:val="0"/>
        <w:adjustRightInd w:val="0"/>
        <w:snapToGrid/>
        <w:spacing w:line="560" w:lineRule="exact"/>
        <w:ind w:firstLine="640" w:firstLineChars="200"/>
        <w:textAlignment w:val="auto"/>
        <w:outlineLvl w:val="9"/>
        <w:rPr>
          <w:rFonts w:hint="eastAsia" w:ascii="仿宋_GB2312" w:hAnsi="仿宋_GB2312" w:eastAsia="仿宋_GB2312" w:cs="仿宋_GB2312"/>
          <w:sz w:val="32"/>
          <w:szCs w:val="32"/>
          <w:highlight w:val="none"/>
        </w:rPr>
      </w:pPr>
      <w:r>
        <w:rPr>
          <w:rFonts w:hint="eastAsia" w:ascii="仿宋_GB2312" w:hAnsi="Times New Roman" w:eastAsia="仿宋_GB2312" w:cs="Times New Roman"/>
          <w:bCs w:val="0"/>
          <w:color w:val="auto"/>
          <w:kern w:val="1"/>
          <w:sz w:val="32"/>
          <w:szCs w:val="32"/>
          <w:highlight w:val="none"/>
          <w:lang w:val="en-US" w:eastAsia="zh-CN" w:bidi="ar-SA"/>
        </w:rPr>
        <w:t>牵头单位：区政务服务局</w:t>
      </w:r>
    </w:p>
    <w:p>
      <w:pPr>
        <w:keepNext w:val="0"/>
        <w:keepLines w:val="0"/>
        <w:pageBreakBefore w:val="0"/>
        <w:numPr>
          <w:ilvl w:val="-1"/>
          <w:numId w:val="0"/>
        </w:numPr>
        <w:pBdr>
          <w:bottom w:val="single" w:color="FFFFFF" w:sz="4" w:space="31"/>
        </w:pBdr>
        <w:tabs>
          <w:tab w:val="left" w:pos="1440"/>
        </w:tabs>
        <w:kinsoku/>
        <w:wordWrap/>
        <w:overflowPunct w:val="0"/>
        <w:topLinePunct w:val="0"/>
        <w:autoSpaceDE/>
        <w:autoSpaceDN/>
        <w:bidi w:val="0"/>
        <w:adjustRightInd w:val="0"/>
        <w:snapToGrid/>
        <w:spacing w:line="560" w:lineRule="exact"/>
        <w:ind w:firstLine="642" w:firstLineChars="200"/>
        <w:textAlignment w:val="auto"/>
        <w:outlineLvl w:val="9"/>
        <w:rPr>
          <w:rFonts w:hint="eastAsia" w:ascii="仿宋_GB2312" w:eastAsia="仿宋_GB2312" w:cs="仿宋_GB2312"/>
          <w:bCs/>
          <w:color w:val="000000"/>
          <w:sz w:val="32"/>
          <w:szCs w:val="32"/>
          <w:lang w:val="en-US" w:eastAsia="zh-CN" w:bidi="ar-SA"/>
        </w:rPr>
      </w:pPr>
      <w:r>
        <w:rPr>
          <w:rFonts w:hint="eastAsia" w:ascii="仿宋_GB2312" w:eastAsia="仿宋_GB2312" w:cs="仿宋_GB2312"/>
          <w:b/>
          <w:bCs w:val="0"/>
          <w:color w:val="000000"/>
          <w:sz w:val="32"/>
          <w:szCs w:val="32"/>
          <w:highlight w:val="none"/>
          <w:lang w:val="en-US" w:eastAsia="zh-CN"/>
        </w:rPr>
        <w:t>9.</w:t>
      </w:r>
      <w:r>
        <w:rPr>
          <w:rFonts w:hint="eastAsia" w:ascii="仿宋_GB2312" w:hAnsi="Calibri" w:eastAsia="仿宋_GB2312" w:cs="仿宋_GB2312"/>
          <w:b/>
          <w:bCs w:val="0"/>
          <w:i w:val="0"/>
          <w:caps w:val="0"/>
          <w:color w:val="232930"/>
          <w:spacing w:val="0"/>
          <w:sz w:val="32"/>
          <w:szCs w:val="32"/>
          <w:shd w:val="clear" w:fill="auto"/>
        </w:rPr>
        <w:t>加强中介服务事项规范化管理。</w:t>
      </w:r>
      <w:r>
        <w:rPr>
          <w:rFonts w:hint="eastAsia" w:ascii="仿宋_GB2312" w:eastAsia="仿宋_GB2312" w:cs="仿宋_GB2312"/>
          <w:bCs/>
          <w:color w:val="000000"/>
          <w:sz w:val="32"/>
          <w:szCs w:val="32"/>
          <w:lang w:val="en-US" w:eastAsia="zh-CN" w:bidi="ar-SA"/>
        </w:rPr>
        <w:t>持续清理规范政务服务领域无法律法规、国务院决定依据的中介服务事项，坚决整治交通运输、公用事业等领域行政机关变相指定中介机构垄断服务、干预市场主体选取中介机构等行为，依法查处中介机构强制服务收费等行为。</w:t>
      </w:r>
    </w:p>
    <w:p>
      <w:pPr>
        <w:keepNext w:val="0"/>
        <w:keepLines w:val="0"/>
        <w:pageBreakBefore w:val="0"/>
        <w:numPr>
          <w:ilvl w:val="-1"/>
          <w:numId w:val="0"/>
        </w:numPr>
        <w:pBdr>
          <w:bottom w:val="single" w:color="FFFFFF" w:sz="4" w:space="31"/>
        </w:pBdr>
        <w:tabs>
          <w:tab w:val="left" w:pos="1440"/>
        </w:tabs>
        <w:kinsoku/>
        <w:wordWrap/>
        <w:overflowPunct w:val="0"/>
        <w:topLinePunct w:val="0"/>
        <w:autoSpaceDE/>
        <w:autoSpaceDN/>
        <w:bidi w:val="0"/>
        <w:adjustRightInd w:val="0"/>
        <w:snapToGrid/>
        <w:spacing w:line="560" w:lineRule="exact"/>
        <w:ind w:firstLine="640" w:firstLineChars="0"/>
        <w:textAlignment w:val="auto"/>
        <w:outlineLvl w:val="9"/>
        <w:rPr>
          <w:rFonts w:hint="eastAsia" w:ascii="仿宋_GB2312" w:hAnsi="Times New Roman" w:eastAsia="仿宋_GB2312" w:cs="Times New Roman"/>
          <w:bCs w:val="0"/>
          <w:color w:val="auto"/>
          <w:kern w:val="1"/>
          <w:sz w:val="32"/>
          <w:szCs w:val="32"/>
          <w:highlight w:val="none"/>
          <w:lang w:val="en-US" w:eastAsia="zh-CN" w:bidi="ar-SA"/>
        </w:rPr>
      </w:pPr>
      <w:r>
        <w:rPr>
          <w:rFonts w:hint="eastAsia" w:ascii="仿宋_GB2312" w:hAnsi="Times New Roman" w:eastAsia="仿宋_GB2312" w:cs="Times New Roman"/>
          <w:bCs w:val="0"/>
          <w:color w:val="auto"/>
          <w:kern w:val="1"/>
          <w:sz w:val="32"/>
          <w:szCs w:val="32"/>
          <w:highlight w:val="none"/>
          <w:lang w:val="en-US" w:eastAsia="zh-CN" w:bidi="ar-SA"/>
        </w:rPr>
        <w:t>牵头单位：区政务服务局、区市场监管局</w:t>
      </w:r>
    </w:p>
    <w:p>
      <w:pPr>
        <w:keepNext w:val="0"/>
        <w:keepLines w:val="0"/>
        <w:pageBreakBefore w:val="0"/>
        <w:numPr>
          <w:ilvl w:val="-1"/>
          <w:numId w:val="0"/>
        </w:numPr>
        <w:pBdr>
          <w:bottom w:val="single" w:color="FFFFFF" w:sz="4" w:space="31"/>
        </w:pBdr>
        <w:tabs>
          <w:tab w:val="left" w:pos="1440"/>
        </w:tabs>
        <w:kinsoku/>
        <w:wordWrap/>
        <w:overflowPunct w:val="0"/>
        <w:topLinePunct w:val="0"/>
        <w:autoSpaceDE/>
        <w:autoSpaceDN/>
        <w:bidi w:val="0"/>
        <w:adjustRightInd w:val="0"/>
        <w:snapToGrid/>
        <w:spacing w:line="560" w:lineRule="exact"/>
        <w:ind w:firstLine="640" w:firstLineChars="0"/>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（三）厚植市场主体成长“沃土”，打造公平透明可预期的市场环境</w:t>
      </w:r>
    </w:p>
    <w:p>
      <w:pPr>
        <w:keepNext w:val="0"/>
        <w:keepLines w:val="0"/>
        <w:pageBreakBefore w:val="0"/>
        <w:numPr>
          <w:ilvl w:val="-1"/>
          <w:numId w:val="0"/>
        </w:numPr>
        <w:pBdr>
          <w:bottom w:val="single" w:color="FFFFFF" w:sz="4" w:space="31"/>
        </w:pBdr>
        <w:tabs>
          <w:tab w:val="left" w:pos="1440"/>
        </w:tabs>
        <w:kinsoku/>
        <w:wordWrap/>
        <w:overflowPunct w:val="0"/>
        <w:topLinePunct w:val="0"/>
        <w:autoSpaceDE/>
        <w:autoSpaceDN/>
        <w:bidi w:val="0"/>
        <w:adjustRightInd w:val="0"/>
        <w:snapToGrid/>
        <w:spacing w:line="560" w:lineRule="exact"/>
        <w:ind w:firstLine="642" w:firstLineChars="200"/>
        <w:textAlignment w:val="auto"/>
        <w:outlineLvl w:val="9"/>
        <w:rPr>
          <w:rFonts w:hint="eastAsia" w:ascii="仿宋_GB2312" w:hAnsi="仿宋_GB2312" w:eastAsia="仿宋_GB2312" w:cs="仿宋_GB2312"/>
          <w:i w:val="0"/>
          <w:caps w:val="0"/>
          <w:spacing w:val="0"/>
          <w:sz w:val="32"/>
          <w:szCs w:val="32"/>
          <w:highlight w:val="none"/>
          <w:shd w:val="clear"/>
        </w:rPr>
      </w:pPr>
      <w:r>
        <w:rPr>
          <w:rFonts w:hint="eastAsia" w:ascii="仿宋_GB2312" w:hAnsi="仿宋_GB2312" w:eastAsia="仿宋_GB2312" w:cs="仿宋_GB2312"/>
          <w:b/>
          <w:bCs/>
          <w:i w:val="0"/>
          <w:caps w:val="0"/>
          <w:spacing w:val="0"/>
          <w:sz w:val="32"/>
          <w:szCs w:val="32"/>
          <w:highlight w:val="none"/>
          <w:shd w:val="clear"/>
          <w:lang w:val="en-US" w:eastAsia="zh-CN"/>
        </w:rPr>
        <w:t>10</w:t>
      </w:r>
      <w:r>
        <w:rPr>
          <w:rFonts w:hint="eastAsia" w:ascii="仿宋_GB2312" w:hAnsi="仿宋_GB2312" w:eastAsia="仿宋_GB2312" w:cs="仿宋_GB2312"/>
          <w:b/>
          <w:bCs/>
          <w:i w:val="0"/>
          <w:caps w:val="0"/>
          <w:color w:val="auto"/>
          <w:spacing w:val="0"/>
          <w:sz w:val="32"/>
          <w:szCs w:val="32"/>
          <w:highlight w:val="none"/>
          <w:shd w:val="clear" w:fill="auto"/>
        </w:rPr>
        <w:t>.</w:t>
      </w:r>
      <w:r>
        <w:rPr>
          <w:rFonts w:hint="eastAsia" w:ascii="仿宋_GB2312" w:hAnsi="仿宋_GB2312" w:eastAsia="仿宋_GB2312" w:cs="仿宋_GB2312"/>
          <w:b/>
          <w:bCs/>
          <w:i w:val="0"/>
          <w:caps w:val="0"/>
          <w:spacing w:val="0"/>
          <w:sz w:val="32"/>
          <w:szCs w:val="32"/>
          <w:highlight w:val="none"/>
          <w:shd w:val="clear"/>
          <w:lang w:val="en-US" w:eastAsia="zh-CN"/>
        </w:rPr>
        <w:t>持续落实企业开办便利化举措</w:t>
      </w:r>
      <w:r>
        <w:rPr>
          <w:rFonts w:hint="eastAsia" w:ascii="仿宋_GB2312" w:hAnsi="仿宋_GB2312" w:eastAsia="仿宋_GB2312" w:cs="仿宋_GB2312"/>
          <w:b/>
          <w:bCs/>
          <w:i w:val="0"/>
          <w:caps w:val="0"/>
          <w:color w:val="auto"/>
          <w:spacing w:val="0"/>
          <w:sz w:val="32"/>
          <w:szCs w:val="32"/>
          <w:highlight w:val="none"/>
          <w:shd w:val="clear" w:fill="auto"/>
        </w:rPr>
        <w:t>。</w:t>
      </w:r>
      <w:r>
        <w:rPr>
          <w:rFonts w:hint="eastAsia" w:ascii="仿宋_GB2312" w:hAnsi="仿宋_GB2312" w:eastAsia="仿宋_GB2312" w:cs="仿宋_GB2312"/>
          <w:i w:val="0"/>
          <w:caps w:val="0"/>
          <w:color w:val="auto"/>
          <w:spacing w:val="0"/>
          <w:sz w:val="32"/>
          <w:szCs w:val="32"/>
          <w:highlight w:val="none"/>
          <w:shd w:val="clear" w:fill="auto"/>
        </w:rPr>
        <w:t>实施市场主体登记注册便利化、标准化、规范化措施，支持更多企业及早开业、扩大业务。</w:t>
      </w:r>
      <w:r>
        <w:rPr>
          <w:rFonts w:hint="eastAsia" w:ascii="仿宋_GB2312" w:hAnsi="仿宋_GB2312" w:eastAsia="仿宋_GB2312" w:cs="仿宋_GB2312"/>
          <w:i w:val="0"/>
          <w:caps w:val="0"/>
          <w:spacing w:val="0"/>
          <w:sz w:val="32"/>
          <w:szCs w:val="32"/>
          <w:highlight w:val="none"/>
          <w:shd w:val="clear"/>
          <w:lang w:val="en-US" w:eastAsia="zh-CN"/>
        </w:rPr>
        <w:t>落实全市统一要求，</w:t>
      </w:r>
      <w:r>
        <w:rPr>
          <w:rFonts w:hint="eastAsia" w:ascii="仿宋_GB2312" w:hAnsi="仿宋_GB2312" w:eastAsia="仿宋_GB2312" w:cs="仿宋_GB2312"/>
          <w:i w:val="0"/>
          <w:caps w:val="0"/>
          <w:color w:val="auto"/>
          <w:spacing w:val="0"/>
          <w:sz w:val="32"/>
          <w:szCs w:val="32"/>
          <w:highlight w:val="none"/>
          <w:shd w:val="clear" w:fill="auto"/>
        </w:rPr>
        <w:t>全面取消对外贸易经营者备案登记</w:t>
      </w:r>
      <w:r>
        <w:rPr>
          <w:rFonts w:hint="eastAsia" w:ascii="仿宋_GB2312" w:hAnsi="仿宋_GB2312" w:eastAsia="仿宋_GB2312" w:cs="仿宋_GB2312"/>
          <w:i w:val="0"/>
          <w:caps w:val="0"/>
          <w:spacing w:val="0"/>
          <w:sz w:val="32"/>
          <w:szCs w:val="32"/>
          <w:highlight w:val="none"/>
          <w:shd w:val="clear"/>
          <w:lang w:eastAsia="zh-CN"/>
        </w:rPr>
        <w:t>；</w:t>
      </w:r>
      <w:r>
        <w:rPr>
          <w:rFonts w:hint="eastAsia" w:ascii="仿宋_GB2312" w:hAnsi="仿宋_GB2312" w:eastAsia="仿宋_GB2312" w:cs="仿宋_GB2312"/>
          <w:i w:val="0"/>
          <w:caps w:val="0"/>
          <w:color w:val="auto"/>
          <w:spacing w:val="0"/>
          <w:sz w:val="32"/>
          <w:szCs w:val="32"/>
          <w:highlight w:val="none"/>
          <w:shd w:val="clear" w:fill="auto"/>
        </w:rPr>
        <w:t>允许个体工商户自愿变更经营者，并可同步申请变更食品经营、卫生等许可证</w:t>
      </w:r>
      <w:r>
        <w:rPr>
          <w:rFonts w:hint="eastAsia" w:ascii="仿宋_GB2312" w:hAnsi="仿宋_GB2312" w:eastAsia="仿宋_GB2312" w:cs="仿宋_GB2312"/>
          <w:i w:val="0"/>
          <w:caps w:val="0"/>
          <w:spacing w:val="0"/>
          <w:sz w:val="32"/>
          <w:szCs w:val="32"/>
          <w:highlight w:val="none"/>
          <w:shd w:val="clear"/>
          <w:lang w:eastAsia="zh-CN"/>
        </w:rPr>
        <w:t>；</w:t>
      </w:r>
      <w:r>
        <w:rPr>
          <w:rFonts w:hint="eastAsia" w:ascii="仿宋_GB2312" w:hAnsi="仿宋_GB2312" w:eastAsia="仿宋_GB2312" w:cs="仿宋_GB2312"/>
          <w:i w:val="0"/>
          <w:caps w:val="0"/>
          <w:color w:val="auto"/>
          <w:spacing w:val="0"/>
          <w:sz w:val="32"/>
          <w:szCs w:val="32"/>
          <w:highlight w:val="none"/>
          <w:shd w:val="clear" w:fill="auto"/>
        </w:rPr>
        <w:t>允许个体网店将网络经营场所变更为线下实体经营场所</w:t>
      </w:r>
      <w:r>
        <w:rPr>
          <w:rFonts w:hint="eastAsia" w:ascii="仿宋_GB2312" w:hAnsi="仿宋_GB2312" w:eastAsia="仿宋_GB2312" w:cs="仿宋_GB2312"/>
          <w:i w:val="0"/>
          <w:caps w:val="0"/>
          <w:spacing w:val="0"/>
          <w:sz w:val="32"/>
          <w:szCs w:val="32"/>
          <w:highlight w:val="none"/>
          <w:shd w:val="clear"/>
          <w:lang w:eastAsia="zh-CN"/>
        </w:rPr>
        <w:t>；</w:t>
      </w:r>
      <w:r>
        <w:rPr>
          <w:rFonts w:hint="eastAsia" w:ascii="仿宋_GB2312" w:hAnsi="仿宋_GB2312" w:eastAsia="仿宋_GB2312" w:cs="仿宋_GB2312"/>
          <w:i w:val="0"/>
          <w:caps w:val="0"/>
          <w:color w:val="auto"/>
          <w:spacing w:val="0"/>
          <w:sz w:val="32"/>
          <w:szCs w:val="32"/>
          <w:highlight w:val="none"/>
          <w:shd w:val="clear" w:fill="auto"/>
        </w:rPr>
        <w:t>扩大外商投资企业登记注册“全程网办”范围，外籍人员持护照、港澳台居民持居住证可在线进行身份认证</w:t>
      </w:r>
      <w:r>
        <w:rPr>
          <w:rFonts w:hint="eastAsia" w:ascii="仿宋_GB2312" w:hAnsi="仿宋_GB2312" w:eastAsia="仿宋_GB2312" w:cs="仿宋_GB2312"/>
          <w:i w:val="0"/>
          <w:caps w:val="0"/>
          <w:spacing w:val="0"/>
          <w:sz w:val="32"/>
          <w:szCs w:val="32"/>
          <w:highlight w:val="none"/>
          <w:shd w:val="clear"/>
          <w:lang w:eastAsia="zh-CN"/>
        </w:rPr>
        <w:t>；</w:t>
      </w:r>
      <w:r>
        <w:rPr>
          <w:rFonts w:hint="eastAsia" w:ascii="仿宋_GB2312" w:hAnsi="仿宋_GB2312" w:eastAsia="仿宋_GB2312" w:cs="仿宋_GB2312"/>
          <w:i w:val="0"/>
          <w:caps w:val="0"/>
          <w:color w:val="auto"/>
          <w:spacing w:val="0"/>
          <w:sz w:val="32"/>
          <w:szCs w:val="32"/>
          <w:highlight w:val="none"/>
          <w:shd w:val="clear" w:fill="auto"/>
        </w:rPr>
        <w:t>全面</w:t>
      </w:r>
      <w:r>
        <w:rPr>
          <w:rFonts w:hint="eastAsia" w:ascii="仿宋_GB2312" w:hAnsi="仿宋_GB2312" w:eastAsia="仿宋_GB2312" w:cs="仿宋_GB2312"/>
          <w:i w:val="0"/>
          <w:caps w:val="0"/>
          <w:spacing w:val="0"/>
          <w:sz w:val="32"/>
          <w:szCs w:val="32"/>
          <w:highlight w:val="none"/>
          <w:shd w:val="clear"/>
          <w:lang w:val="en-US" w:eastAsia="zh-CN"/>
        </w:rPr>
        <w:t>落实</w:t>
      </w:r>
      <w:r>
        <w:rPr>
          <w:rFonts w:hint="eastAsia" w:ascii="仿宋_GB2312" w:hAnsi="仿宋_GB2312" w:eastAsia="仿宋_GB2312" w:cs="仿宋_GB2312"/>
          <w:i w:val="0"/>
          <w:caps w:val="0"/>
          <w:color w:val="auto"/>
          <w:spacing w:val="0"/>
          <w:sz w:val="32"/>
          <w:szCs w:val="32"/>
          <w:highlight w:val="none"/>
          <w:shd w:val="clear" w:fill="auto"/>
        </w:rPr>
        <w:t xml:space="preserve">“登记注册核准人”制度，加强企业合规服务指导，提高登记注册规范性。 </w:t>
      </w:r>
    </w:p>
    <w:p>
      <w:pPr>
        <w:keepNext w:val="0"/>
        <w:keepLines w:val="0"/>
        <w:pageBreakBefore w:val="0"/>
        <w:numPr>
          <w:ilvl w:val="-1"/>
          <w:numId w:val="0"/>
        </w:numPr>
        <w:pBdr>
          <w:bottom w:val="single" w:color="FFFFFF" w:sz="4" w:space="31"/>
        </w:pBdr>
        <w:tabs>
          <w:tab w:val="left" w:pos="1440"/>
        </w:tabs>
        <w:kinsoku/>
        <w:wordWrap/>
        <w:overflowPunct w:val="0"/>
        <w:topLinePunct w:val="0"/>
        <w:autoSpaceDE/>
        <w:autoSpaceDN/>
        <w:bidi w:val="0"/>
        <w:adjustRightInd w:val="0"/>
        <w:snapToGrid/>
        <w:spacing w:line="560" w:lineRule="exact"/>
        <w:ind w:firstLine="640" w:firstLineChars="200"/>
        <w:textAlignment w:val="auto"/>
        <w:outlineLvl w:val="9"/>
        <w:rPr>
          <w:rFonts w:hint="eastAsia" w:ascii="仿宋_GB2312" w:hAnsi="仿宋_GB2312" w:eastAsia="仿宋_GB2312" w:cs="仿宋_GB2312"/>
          <w:i w:val="0"/>
          <w:caps w:val="0"/>
          <w:spacing w:val="0"/>
          <w:sz w:val="32"/>
          <w:szCs w:val="32"/>
          <w:highlight w:val="none"/>
          <w:shd w:val="clear"/>
        </w:rPr>
      </w:pPr>
      <w:r>
        <w:rPr>
          <w:rFonts w:hint="eastAsia" w:ascii="仿宋_GB2312" w:hAnsi="仿宋_GB2312" w:eastAsia="仿宋_GB2312" w:cs="仿宋_GB2312"/>
          <w:i w:val="0"/>
          <w:caps w:val="0"/>
          <w:color w:val="auto"/>
          <w:spacing w:val="0"/>
          <w:sz w:val="32"/>
          <w:szCs w:val="32"/>
          <w:highlight w:val="none"/>
          <w:shd w:val="clear" w:fill="auto"/>
        </w:rPr>
        <w:t>牵头单位：</w:t>
      </w:r>
      <w:r>
        <w:rPr>
          <w:rFonts w:hint="eastAsia" w:ascii="仿宋_GB2312" w:hAnsi="仿宋_GB2312" w:eastAsia="仿宋_GB2312" w:cs="仿宋_GB2312"/>
          <w:i w:val="0"/>
          <w:caps w:val="0"/>
          <w:spacing w:val="0"/>
          <w:sz w:val="32"/>
          <w:szCs w:val="32"/>
          <w:highlight w:val="none"/>
          <w:shd w:val="clear"/>
        </w:rPr>
        <w:t>区市场监管局、</w:t>
      </w:r>
      <w:r>
        <w:rPr>
          <w:rFonts w:hint="eastAsia" w:ascii="仿宋_GB2312" w:hAnsi="仿宋_GB2312" w:eastAsia="仿宋_GB2312" w:cs="仿宋_GB2312"/>
          <w:i w:val="0"/>
          <w:caps w:val="0"/>
          <w:color w:val="auto"/>
          <w:spacing w:val="0"/>
          <w:sz w:val="32"/>
          <w:szCs w:val="32"/>
          <w:highlight w:val="none"/>
          <w:shd w:val="clear" w:fill="auto"/>
        </w:rPr>
        <w:t>区商务局、区卫健委、区政务服务局</w:t>
      </w:r>
    </w:p>
    <w:p>
      <w:pPr>
        <w:keepNext w:val="0"/>
        <w:keepLines w:val="0"/>
        <w:pageBreakBefore w:val="0"/>
        <w:numPr>
          <w:ilvl w:val="-1"/>
          <w:numId w:val="0"/>
        </w:numPr>
        <w:pBdr>
          <w:bottom w:val="single" w:color="FFFFFF" w:sz="4" w:space="31"/>
        </w:pBdr>
        <w:tabs>
          <w:tab w:val="left" w:pos="1440"/>
        </w:tabs>
        <w:kinsoku/>
        <w:wordWrap/>
        <w:overflowPunct w:val="0"/>
        <w:topLinePunct w:val="0"/>
        <w:autoSpaceDE/>
        <w:autoSpaceDN/>
        <w:bidi w:val="0"/>
        <w:adjustRightInd w:val="0"/>
        <w:snapToGrid/>
        <w:spacing w:line="560" w:lineRule="exact"/>
        <w:ind w:firstLine="642" w:firstLineChars="200"/>
        <w:textAlignment w:val="auto"/>
        <w:outlineLvl w:val="9"/>
        <w:rPr>
          <w:rFonts w:hint="eastAsia" w:ascii="仿宋_GB2312" w:hAnsi="仿宋_GB2312" w:eastAsia="仿宋_GB2312" w:cs="仿宋_GB2312"/>
          <w:i w:val="0"/>
          <w:caps w:val="0"/>
          <w:spacing w:val="0"/>
          <w:sz w:val="32"/>
          <w:szCs w:val="32"/>
          <w:highlight w:val="none"/>
          <w:shd w:val="clear"/>
        </w:rPr>
      </w:pPr>
      <w:r>
        <w:rPr>
          <w:rFonts w:hint="eastAsia" w:ascii="仿宋_GB2312" w:hAnsi="仿宋_GB2312" w:eastAsia="仿宋_GB2312" w:cs="仿宋_GB2312"/>
          <w:b/>
          <w:bCs/>
          <w:i w:val="0"/>
          <w:caps w:val="0"/>
          <w:spacing w:val="0"/>
          <w:sz w:val="32"/>
          <w:szCs w:val="32"/>
          <w:highlight w:val="none"/>
          <w:shd w:val="clear"/>
          <w:lang w:val="en-US" w:eastAsia="zh-CN"/>
        </w:rPr>
        <w:t>11.</w:t>
      </w:r>
      <w:r>
        <w:rPr>
          <w:rFonts w:hint="eastAsia" w:ascii="仿宋_GB2312" w:hAnsi="仿宋_GB2312" w:eastAsia="仿宋_GB2312" w:cs="仿宋_GB2312"/>
          <w:b/>
          <w:bCs/>
          <w:i w:val="0"/>
          <w:caps w:val="0"/>
          <w:color w:val="auto"/>
          <w:spacing w:val="0"/>
          <w:sz w:val="32"/>
          <w:szCs w:val="32"/>
          <w:highlight w:val="none"/>
          <w:shd w:val="clear" w:fill="auto"/>
        </w:rPr>
        <w:t>实现更多市场主体“准入即准营”。</w:t>
      </w:r>
      <w:r>
        <w:rPr>
          <w:rFonts w:hint="eastAsia" w:ascii="仿宋_GB2312" w:hAnsi="仿宋_GB2312" w:eastAsia="仿宋_GB2312" w:cs="仿宋_GB2312"/>
          <w:i w:val="0"/>
          <w:caps w:val="0"/>
          <w:color w:val="auto"/>
          <w:spacing w:val="0"/>
          <w:sz w:val="32"/>
          <w:szCs w:val="32"/>
          <w:highlight w:val="none"/>
          <w:shd w:val="clear" w:fill="auto"/>
        </w:rPr>
        <w:t>全面实行行政许可</w:t>
      </w:r>
    </w:p>
    <w:p>
      <w:pPr>
        <w:keepNext w:val="0"/>
        <w:keepLines w:val="0"/>
        <w:pageBreakBefore w:val="0"/>
        <w:numPr>
          <w:ilvl w:val="-1"/>
          <w:numId w:val="0"/>
        </w:numPr>
        <w:pBdr>
          <w:bottom w:val="single" w:color="FFFFFF" w:sz="4" w:space="31"/>
        </w:pBdr>
        <w:tabs>
          <w:tab w:val="left" w:pos="1440"/>
        </w:tabs>
        <w:kinsoku/>
        <w:wordWrap/>
        <w:overflowPunct w:val="0"/>
        <w:topLinePunct w:val="0"/>
        <w:autoSpaceDE/>
        <w:autoSpaceDN/>
        <w:bidi w:val="0"/>
        <w:adjustRightInd w:val="0"/>
        <w:snapToGrid/>
        <w:spacing w:line="560" w:lineRule="exact"/>
        <w:ind w:firstLine="0" w:firstLineChars="0"/>
        <w:textAlignment w:val="auto"/>
        <w:outlineLvl w:val="9"/>
        <w:rPr>
          <w:rFonts w:hint="eastAsia" w:ascii="仿宋_GB2312" w:hAnsi="仿宋_GB2312" w:eastAsia="仿宋_GB2312" w:cs="仿宋_GB2312"/>
          <w:i w:val="0"/>
          <w:caps w:val="0"/>
          <w:spacing w:val="0"/>
          <w:sz w:val="32"/>
          <w:szCs w:val="32"/>
          <w:highlight w:val="none"/>
          <w:shd w:val="clear"/>
        </w:rPr>
      </w:pPr>
      <w:r>
        <w:rPr>
          <w:rFonts w:hint="eastAsia" w:ascii="仿宋_GB2312" w:hAnsi="仿宋_GB2312" w:eastAsia="仿宋_GB2312" w:cs="仿宋_GB2312"/>
          <w:i w:val="0"/>
          <w:caps w:val="0"/>
          <w:color w:val="auto"/>
          <w:spacing w:val="0"/>
          <w:sz w:val="32"/>
          <w:szCs w:val="32"/>
          <w:highlight w:val="none"/>
          <w:shd w:val="clear" w:fill="auto"/>
        </w:rPr>
        <w:t>清单管理制度，清单之外一律不得违法实施行政许可</w:t>
      </w:r>
      <w:r>
        <w:rPr>
          <w:rFonts w:hint="eastAsia" w:ascii="仿宋_GB2312" w:hAnsi="仿宋_GB2312" w:eastAsia="仿宋_GB2312" w:cs="仿宋_GB2312"/>
          <w:i w:val="0"/>
          <w:caps w:val="0"/>
          <w:spacing w:val="0"/>
          <w:sz w:val="32"/>
          <w:szCs w:val="32"/>
          <w:highlight w:val="none"/>
          <w:shd w:val="clear"/>
          <w:lang w:eastAsia="zh-CN"/>
        </w:rPr>
        <w:t>，</w:t>
      </w:r>
      <w:r>
        <w:rPr>
          <w:rFonts w:hint="eastAsia" w:ascii="仿宋_GB2312" w:hAnsi="仿宋_GB2312" w:eastAsia="仿宋_GB2312" w:cs="仿宋_GB2312"/>
          <w:i w:val="0"/>
          <w:caps w:val="0"/>
          <w:spacing w:val="0"/>
          <w:sz w:val="32"/>
          <w:szCs w:val="32"/>
          <w:highlight w:val="none"/>
          <w:shd w:val="clear"/>
          <w:lang w:val="en-US" w:eastAsia="zh-CN"/>
        </w:rPr>
        <w:t>加强对实施规范及办事指南的全要素管理、公开</w:t>
      </w:r>
      <w:r>
        <w:rPr>
          <w:rFonts w:hint="eastAsia" w:ascii="仿宋_GB2312" w:hAnsi="仿宋_GB2312" w:eastAsia="仿宋_GB2312" w:cs="仿宋_GB2312"/>
          <w:i w:val="0"/>
          <w:caps w:val="0"/>
          <w:color w:val="auto"/>
          <w:spacing w:val="0"/>
          <w:sz w:val="32"/>
          <w:szCs w:val="32"/>
          <w:highlight w:val="none"/>
          <w:shd w:val="clear" w:fill="auto"/>
        </w:rPr>
        <w:t>。清理和规范行政备案事项，明确设定依据、实施要素、办理流程等内容。推广告知承诺制度</w:t>
      </w:r>
      <w:r>
        <w:rPr>
          <w:rFonts w:hint="eastAsia" w:ascii="仿宋_GB2312" w:hAnsi="仿宋_GB2312" w:eastAsia="仿宋_GB2312" w:cs="仿宋_GB2312"/>
          <w:i w:val="0"/>
          <w:caps w:val="0"/>
          <w:spacing w:val="0"/>
          <w:sz w:val="32"/>
          <w:szCs w:val="32"/>
          <w:highlight w:val="none"/>
          <w:shd w:val="clear"/>
          <w:lang w:eastAsia="zh-CN"/>
        </w:rPr>
        <w:t>，</w:t>
      </w:r>
      <w:r>
        <w:rPr>
          <w:rFonts w:hint="eastAsia" w:ascii="仿宋_GB2312" w:hAnsi="仿宋_GB2312" w:eastAsia="仿宋_GB2312" w:cs="仿宋_GB2312"/>
          <w:i w:val="0"/>
          <w:caps w:val="0"/>
          <w:spacing w:val="0"/>
          <w:sz w:val="32"/>
          <w:szCs w:val="32"/>
          <w:highlight w:val="none"/>
          <w:shd w:val="clear"/>
          <w:lang w:val="en-US" w:eastAsia="zh-CN"/>
        </w:rPr>
        <w:t>在工程建设、市场准入等领域落实改革要求，实施30个以上告知承诺审批事项，强化告知承诺审批与监管衔接。</w:t>
      </w:r>
      <w:r>
        <w:rPr>
          <w:rFonts w:hint="eastAsia" w:ascii="仿宋_GB2312" w:hAnsi="仿宋_GB2312" w:eastAsia="仿宋_GB2312" w:cs="仿宋_GB2312"/>
          <w:sz w:val="32"/>
          <w:szCs w:val="32"/>
          <w:highlight w:val="none"/>
          <w:u w:val="none" w:color="auto"/>
        </w:rPr>
        <w:t>坚持协同联动</w:t>
      </w:r>
      <w:r>
        <w:rPr>
          <w:rFonts w:hint="eastAsia" w:ascii="仿宋_GB2312" w:hAnsi="仿宋_GB2312" w:eastAsia="仿宋_GB2312" w:cs="仿宋_GB2312"/>
          <w:sz w:val="32"/>
          <w:szCs w:val="32"/>
          <w:highlight w:val="none"/>
          <w:u w:val="none" w:color="auto"/>
          <w:lang w:eastAsia="zh-CN"/>
        </w:rPr>
        <w:t>，推动</w:t>
      </w:r>
      <w:r>
        <w:rPr>
          <w:rFonts w:hint="eastAsia" w:ascii="仿宋_GB2312" w:hAnsi="仿宋_GB2312" w:eastAsia="仿宋_GB2312" w:cs="仿宋_GB2312"/>
          <w:sz w:val="32"/>
          <w:szCs w:val="32"/>
          <w:highlight w:val="none"/>
          <w:u w:val="none" w:color="auto"/>
        </w:rPr>
        <w:t>一个行业经营涉及的多项行政审批</w:t>
      </w:r>
      <w:r>
        <w:rPr>
          <w:rFonts w:hint="eastAsia" w:ascii="仿宋_GB2312" w:hAnsi="仿宋_GB2312" w:eastAsia="仿宋_GB2312" w:cs="仿宋_GB2312"/>
          <w:sz w:val="32"/>
          <w:szCs w:val="32"/>
          <w:highlight w:val="none"/>
          <w:u w:val="none" w:color="auto"/>
          <w:lang w:eastAsia="zh-CN"/>
        </w:rPr>
        <w:t>事项</w:t>
      </w:r>
      <w:r>
        <w:rPr>
          <w:rFonts w:hint="eastAsia" w:ascii="仿宋_GB2312" w:hAnsi="仿宋_GB2312" w:eastAsia="仿宋_GB2312" w:cs="仿宋_GB2312"/>
          <w:sz w:val="32"/>
          <w:szCs w:val="32"/>
          <w:highlight w:val="none"/>
          <w:u w:val="none" w:color="auto"/>
        </w:rPr>
        <w:t>跨部门集成办理，政务服务管理部门</w:t>
      </w:r>
      <w:r>
        <w:rPr>
          <w:rFonts w:hint="eastAsia" w:ascii="仿宋_GB2312" w:hAnsi="仿宋_GB2312" w:eastAsia="仿宋_GB2312" w:cs="仿宋_GB2312"/>
          <w:sz w:val="32"/>
          <w:szCs w:val="32"/>
          <w:highlight w:val="none"/>
          <w:u w:val="none" w:color="auto"/>
          <w:lang w:val="en-US" w:eastAsia="zh-CN"/>
        </w:rPr>
        <w:t>汇聚相关行政审批证件信息，</w:t>
      </w:r>
      <w:r>
        <w:rPr>
          <w:rFonts w:hint="eastAsia" w:ascii="仿宋_GB2312" w:hAnsi="仿宋_GB2312" w:eastAsia="仿宋_GB2312" w:cs="仿宋_GB2312"/>
          <w:color w:val="000000"/>
          <w:sz w:val="32"/>
          <w:szCs w:val="32"/>
          <w:highlight w:val="none"/>
          <w:u w:val="none" w:color="auto"/>
          <w:lang w:val="en-US" w:eastAsia="zh-CN"/>
        </w:rPr>
        <w:t>在全区餐饮店、超市/便利店等42个行业推行“一业一证”改革，</w:t>
      </w:r>
      <w:r>
        <w:rPr>
          <w:rFonts w:hint="eastAsia" w:ascii="仿宋_GB2312" w:hAnsi="仿宋_GB2312" w:eastAsia="仿宋_GB2312" w:cs="仿宋_GB2312"/>
          <w:sz w:val="32"/>
          <w:szCs w:val="32"/>
          <w:highlight w:val="none"/>
          <w:u w:val="none" w:color="auto"/>
        </w:rPr>
        <w:t>向企业颁发一张综合许可凭证</w:t>
      </w:r>
      <w:r>
        <w:rPr>
          <w:rFonts w:hint="eastAsia" w:ascii="仿宋_GB2312" w:hAnsi="仿宋_GB2312" w:eastAsia="仿宋_GB2312" w:cs="仿宋_GB2312"/>
          <w:sz w:val="32"/>
          <w:szCs w:val="32"/>
          <w:highlight w:val="none"/>
          <w:u w:val="none" w:color="auto"/>
          <w:lang w:eastAsia="zh-CN"/>
        </w:rPr>
        <w:t>，</w:t>
      </w:r>
      <w:r>
        <w:rPr>
          <w:rFonts w:hint="eastAsia" w:ascii="仿宋_GB2312" w:hAnsi="仿宋_GB2312" w:eastAsia="仿宋_GB2312" w:cs="仿宋_GB2312"/>
          <w:sz w:val="32"/>
          <w:szCs w:val="32"/>
          <w:highlight w:val="none"/>
          <w:u w:val="none" w:color="auto"/>
        </w:rPr>
        <w:t>实现“一次告知、一表申请、一窗受理、一网通办、一证准营、一码联动”</w:t>
      </w:r>
      <w:r>
        <w:rPr>
          <w:rFonts w:hint="eastAsia" w:ascii="仿宋_GB2312" w:hAnsi="仿宋_GB2312" w:eastAsia="仿宋_GB2312" w:cs="仿宋_GB2312"/>
          <w:sz w:val="32"/>
          <w:szCs w:val="32"/>
          <w:highlight w:val="none"/>
          <w:u w:val="none" w:color="auto"/>
          <w:lang w:eastAsia="zh-CN"/>
        </w:rPr>
        <w:t>。</w:t>
      </w:r>
      <w:r>
        <w:rPr>
          <w:rFonts w:hint="eastAsia" w:ascii="仿宋_GB2312" w:hAnsi="仿宋_GB2312" w:eastAsia="仿宋_GB2312" w:cs="仿宋_GB2312"/>
          <w:i w:val="0"/>
          <w:caps w:val="0"/>
          <w:color w:val="auto"/>
          <w:spacing w:val="0"/>
          <w:sz w:val="32"/>
          <w:szCs w:val="32"/>
          <w:highlight w:val="none"/>
          <w:shd w:val="clear" w:fill="auto"/>
        </w:rPr>
        <w:t xml:space="preserve"> </w:t>
      </w:r>
    </w:p>
    <w:p>
      <w:pPr>
        <w:keepNext w:val="0"/>
        <w:keepLines w:val="0"/>
        <w:pageBreakBefore w:val="0"/>
        <w:numPr>
          <w:ilvl w:val="-1"/>
          <w:numId w:val="0"/>
        </w:numPr>
        <w:pBdr>
          <w:bottom w:val="single" w:color="FFFFFF" w:sz="4" w:space="31"/>
        </w:pBdr>
        <w:tabs>
          <w:tab w:val="left" w:pos="1440"/>
        </w:tabs>
        <w:kinsoku/>
        <w:wordWrap/>
        <w:overflowPunct w:val="0"/>
        <w:topLinePunct w:val="0"/>
        <w:autoSpaceDE/>
        <w:autoSpaceDN/>
        <w:bidi w:val="0"/>
        <w:adjustRightInd w:val="0"/>
        <w:snapToGrid/>
        <w:spacing w:line="560" w:lineRule="exact"/>
        <w:ind w:firstLine="640" w:firstLineChars="200"/>
        <w:textAlignment w:val="auto"/>
        <w:outlineLvl w:val="9"/>
        <w:rPr>
          <w:rFonts w:hint="eastAsia" w:ascii="仿宋_GB2312" w:hAnsi="仿宋_GB2312" w:eastAsia="仿宋_GB2312" w:cs="仿宋_GB2312"/>
          <w:i w:val="0"/>
          <w:caps w:val="0"/>
          <w:spacing w:val="0"/>
          <w:sz w:val="32"/>
          <w:szCs w:val="32"/>
          <w:highlight w:val="none"/>
          <w:shd w:val="clear"/>
        </w:rPr>
      </w:pPr>
      <w:r>
        <w:rPr>
          <w:rFonts w:hint="eastAsia" w:ascii="仿宋_GB2312" w:hAnsi="仿宋_GB2312" w:eastAsia="仿宋_GB2312" w:cs="仿宋_GB2312"/>
          <w:i w:val="0"/>
          <w:caps w:val="0"/>
          <w:color w:val="auto"/>
          <w:spacing w:val="0"/>
          <w:sz w:val="32"/>
          <w:szCs w:val="32"/>
          <w:highlight w:val="none"/>
          <w:shd w:val="clear" w:fill="auto"/>
        </w:rPr>
        <w:t>牵头部门：区政务服务局、区文旅局、区卫健委、区市场监管局、区体育局</w:t>
      </w:r>
      <w:r>
        <w:rPr>
          <w:rFonts w:hint="eastAsia" w:ascii="仿宋_GB2312" w:hAnsi="仿宋_GB2312" w:eastAsia="仿宋_GB2312" w:cs="仿宋_GB2312"/>
          <w:i w:val="0"/>
          <w:caps w:val="0"/>
          <w:spacing w:val="0"/>
          <w:sz w:val="32"/>
          <w:szCs w:val="32"/>
          <w:highlight w:val="none"/>
          <w:shd w:val="clear"/>
          <w:lang w:eastAsia="zh-CN"/>
        </w:rPr>
        <w:t>、</w:t>
      </w:r>
      <w:r>
        <w:rPr>
          <w:rFonts w:hint="eastAsia" w:ascii="仿宋_GB2312" w:hAnsi="仿宋_GB2312" w:eastAsia="仿宋_GB2312" w:cs="仿宋_GB2312"/>
          <w:i w:val="0"/>
          <w:caps w:val="0"/>
          <w:spacing w:val="0"/>
          <w:sz w:val="32"/>
          <w:szCs w:val="32"/>
          <w:highlight w:val="none"/>
          <w:shd w:val="clear"/>
          <w:lang w:val="en-US" w:eastAsia="zh-CN"/>
        </w:rPr>
        <w:t>区水务局等</w:t>
      </w:r>
      <w:r>
        <w:rPr>
          <w:rFonts w:hint="eastAsia" w:ascii="仿宋_GB2312" w:hAnsi="仿宋_GB2312" w:eastAsia="仿宋_GB2312" w:cs="仿宋_GB2312"/>
          <w:i w:val="0"/>
          <w:caps w:val="0"/>
          <w:color w:val="auto"/>
          <w:spacing w:val="0"/>
          <w:sz w:val="32"/>
          <w:szCs w:val="32"/>
          <w:highlight w:val="none"/>
          <w:shd w:val="clear" w:fill="auto"/>
        </w:rPr>
        <w:t xml:space="preserve">相关部门 </w:t>
      </w:r>
    </w:p>
    <w:p>
      <w:pPr>
        <w:keepNext w:val="0"/>
        <w:keepLines w:val="0"/>
        <w:pageBreakBefore w:val="0"/>
        <w:numPr>
          <w:ilvl w:val="-1"/>
          <w:numId w:val="0"/>
        </w:numPr>
        <w:pBdr>
          <w:bottom w:val="single" w:color="FFFFFF" w:sz="4" w:space="31"/>
        </w:pBdr>
        <w:tabs>
          <w:tab w:val="left" w:pos="1440"/>
        </w:tabs>
        <w:kinsoku/>
        <w:wordWrap/>
        <w:overflowPunct w:val="0"/>
        <w:topLinePunct w:val="0"/>
        <w:autoSpaceDE/>
        <w:autoSpaceDN/>
        <w:bidi w:val="0"/>
        <w:adjustRightInd w:val="0"/>
        <w:snapToGrid/>
        <w:spacing w:line="560" w:lineRule="exact"/>
        <w:ind w:firstLine="642" w:firstLineChars="200"/>
        <w:textAlignment w:val="auto"/>
        <w:outlineLvl w:val="9"/>
        <w:rPr>
          <w:rFonts w:hint="eastAsia" w:ascii="仿宋_GB2312" w:hAnsi="仿宋_GB2312" w:eastAsia="仿宋_GB2312" w:cs="仿宋_GB2312"/>
          <w:i w:val="0"/>
          <w:caps w:val="0"/>
          <w:spacing w:val="0"/>
          <w:sz w:val="32"/>
          <w:szCs w:val="32"/>
          <w:highlight w:val="none"/>
          <w:shd w:val="clear"/>
        </w:rPr>
      </w:pPr>
      <w:r>
        <w:rPr>
          <w:rFonts w:hint="eastAsia" w:ascii="仿宋_GB2312" w:hAnsi="仿宋_GB2312" w:eastAsia="仿宋_GB2312" w:cs="仿宋_GB2312"/>
          <w:b/>
          <w:bCs/>
          <w:i w:val="0"/>
          <w:caps w:val="0"/>
          <w:color w:val="auto"/>
          <w:spacing w:val="0"/>
          <w:sz w:val="32"/>
          <w:szCs w:val="32"/>
          <w:highlight w:val="none"/>
          <w:shd w:val="clear" w:fill="auto"/>
          <w:lang w:val="en-US" w:eastAsia="zh-CN"/>
        </w:rPr>
        <w:t>12.</w:t>
      </w:r>
      <w:r>
        <w:rPr>
          <w:rFonts w:hint="eastAsia" w:ascii="仿宋_GB2312" w:hAnsi="仿宋_GB2312" w:eastAsia="仿宋_GB2312" w:cs="仿宋_GB2312"/>
          <w:b/>
          <w:bCs/>
          <w:i w:val="0"/>
          <w:caps w:val="0"/>
          <w:color w:val="auto"/>
          <w:spacing w:val="0"/>
          <w:sz w:val="32"/>
          <w:szCs w:val="32"/>
          <w:highlight w:val="none"/>
          <w:shd w:val="clear" w:fill="auto"/>
        </w:rPr>
        <w:t>降低企业存续和退出成本。</w:t>
      </w:r>
      <w:r>
        <w:rPr>
          <w:rFonts w:hint="eastAsia" w:ascii="仿宋_GB2312" w:hAnsi="仿宋_GB2312" w:eastAsia="仿宋_GB2312" w:cs="仿宋_GB2312"/>
          <w:i w:val="0"/>
          <w:caps w:val="0"/>
          <w:spacing w:val="0"/>
          <w:sz w:val="32"/>
          <w:szCs w:val="32"/>
          <w:highlight w:val="none"/>
          <w:shd w:val="clear"/>
          <w:lang w:val="en-US" w:eastAsia="zh-CN"/>
        </w:rPr>
        <w:t>落实</w:t>
      </w:r>
      <w:r>
        <w:rPr>
          <w:rFonts w:hint="eastAsia" w:ascii="仿宋_GB2312" w:hAnsi="仿宋_GB2312" w:eastAsia="仿宋_GB2312" w:cs="仿宋_GB2312"/>
          <w:i w:val="0"/>
          <w:caps w:val="0"/>
          <w:color w:val="auto"/>
          <w:spacing w:val="0"/>
          <w:sz w:val="32"/>
          <w:szCs w:val="32"/>
          <w:highlight w:val="none"/>
          <w:shd w:val="clear" w:fill="auto"/>
        </w:rPr>
        <w:t>市场主体歇业“一次办”</w:t>
      </w:r>
      <w:r>
        <w:rPr>
          <w:rFonts w:hint="eastAsia" w:ascii="仿宋_GB2312" w:hAnsi="仿宋_GB2312" w:eastAsia="仿宋_GB2312" w:cs="仿宋_GB2312"/>
          <w:i w:val="0"/>
          <w:caps w:val="0"/>
          <w:spacing w:val="0"/>
          <w:sz w:val="32"/>
          <w:szCs w:val="32"/>
          <w:highlight w:val="none"/>
          <w:shd w:val="clear"/>
          <w:lang w:val="en-US" w:eastAsia="zh-CN"/>
        </w:rPr>
        <w:t>改革要求</w:t>
      </w:r>
      <w:r>
        <w:rPr>
          <w:rFonts w:hint="eastAsia" w:ascii="仿宋_GB2312" w:hAnsi="仿宋_GB2312" w:eastAsia="仿宋_GB2312" w:cs="仿宋_GB2312"/>
          <w:i w:val="0"/>
          <w:caps w:val="0"/>
          <w:color w:val="auto"/>
          <w:spacing w:val="0"/>
          <w:sz w:val="32"/>
          <w:szCs w:val="32"/>
          <w:highlight w:val="none"/>
          <w:shd w:val="clear" w:fill="auto"/>
        </w:rPr>
        <w:t>，实行市场监管、税务、人力资源社会保障、医保、公积金等5个部门办理事项“一窗受理、一网申报、并联审批”。优化企业注销审批，实行营业执照、税务、社保等登记注销“一网通办”、企业简易注销联审，信息实时推送、即时反馈，便利市场主体快速退出。</w:t>
      </w:r>
      <w:r>
        <w:rPr>
          <w:rFonts w:hint="eastAsia" w:ascii="仿宋_GB2312" w:eastAsia="仿宋_GB2312" w:cs="仿宋_GB2312"/>
          <w:color w:val="000000"/>
          <w:sz w:val="32"/>
          <w:szCs w:val="32"/>
          <w:highlight w:val="none"/>
          <w:lang w:bidi="ar"/>
        </w:rPr>
        <w:t>完善办理破产窗口服务功能，提供集中办理破产信息查询服务</w:t>
      </w:r>
      <w:r>
        <w:rPr>
          <w:rFonts w:hint="eastAsia" w:ascii="仿宋_GB2312" w:eastAsia="仿宋_GB2312" w:cs="仿宋_GB2312"/>
          <w:color w:val="000000"/>
          <w:sz w:val="32"/>
          <w:szCs w:val="32"/>
          <w:highlight w:val="none"/>
          <w:lang w:eastAsia="zh-CN" w:bidi="ar"/>
        </w:rPr>
        <w:t>。</w:t>
      </w:r>
    </w:p>
    <w:p>
      <w:pPr>
        <w:keepNext w:val="0"/>
        <w:keepLines w:val="0"/>
        <w:pageBreakBefore w:val="0"/>
        <w:numPr>
          <w:ilvl w:val="-1"/>
          <w:numId w:val="0"/>
        </w:numPr>
        <w:pBdr>
          <w:bottom w:val="single" w:color="FFFFFF" w:sz="4" w:space="31"/>
        </w:pBdr>
        <w:tabs>
          <w:tab w:val="left" w:pos="1440"/>
        </w:tabs>
        <w:kinsoku/>
        <w:wordWrap/>
        <w:overflowPunct w:val="0"/>
        <w:topLinePunct w:val="0"/>
        <w:autoSpaceDE/>
        <w:autoSpaceDN/>
        <w:bidi w:val="0"/>
        <w:adjustRightInd w:val="0"/>
        <w:snapToGrid/>
        <w:spacing w:line="560" w:lineRule="exact"/>
        <w:ind w:firstLine="640" w:firstLineChars="200"/>
        <w:textAlignment w:val="auto"/>
        <w:outlineLvl w:val="9"/>
        <w:rPr>
          <w:rFonts w:hint="eastAsia" w:ascii="仿宋_GB2312" w:hAnsi="仿宋_GB2312" w:eastAsia="仿宋_GB2312" w:cs="仿宋_GB2312"/>
          <w:i w:val="0"/>
          <w:caps w:val="0"/>
          <w:spacing w:val="0"/>
          <w:sz w:val="32"/>
          <w:szCs w:val="32"/>
          <w:highlight w:val="none"/>
          <w:shd w:val="clear"/>
        </w:rPr>
      </w:pPr>
      <w:r>
        <w:rPr>
          <w:rFonts w:hint="eastAsia" w:ascii="仿宋_GB2312" w:hAnsi="仿宋_GB2312" w:eastAsia="仿宋_GB2312" w:cs="仿宋_GB2312"/>
          <w:i w:val="0"/>
          <w:caps w:val="0"/>
          <w:color w:val="auto"/>
          <w:spacing w:val="0"/>
          <w:sz w:val="32"/>
          <w:szCs w:val="32"/>
          <w:highlight w:val="none"/>
          <w:shd w:val="clear" w:fill="auto"/>
        </w:rPr>
        <w:t>牵头部门：区市场监管局、区税务局、区人保局、区医保局、区住房公积金管理中心</w:t>
      </w:r>
      <w:r>
        <w:rPr>
          <w:rFonts w:hint="eastAsia" w:ascii="仿宋_GB2312" w:hAnsi="仿宋_GB2312" w:eastAsia="仿宋_GB2312" w:cs="仿宋_GB2312"/>
          <w:i w:val="0"/>
          <w:caps w:val="0"/>
          <w:spacing w:val="0"/>
          <w:sz w:val="32"/>
          <w:szCs w:val="32"/>
          <w:highlight w:val="none"/>
          <w:shd w:val="clear"/>
        </w:rPr>
        <w:t>、区政务服务局</w:t>
      </w:r>
    </w:p>
    <w:p>
      <w:pPr>
        <w:keepNext w:val="0"/>
        <w:keepLines w:val="0"/>
        <w:pageBreakBefore w:val="0"/>
        <w:numPr>
          <w:ilvl w:val="-1"/>
          <w:numId w:val="0"/>
        </w:numPr>
        <w:pBdr>
          <w:bottom w:val="single" w:color="FFFFFF" w:sz="4" w:space="31"/>
        </w:pBdr>
        <w:tabs>
          <w:tab w:val="left" w:pos="1440"/>
        </w:tabs>
        <w:kinsoku/>
        <w:wordWrap/>
        <w:overflowPunct w:val="0"/>
        <w:topLinePunct w:val="0"/>
        <w:autoSpaceDE/>
        <w:autoSpaceDN/>
        <w:bidi w:val="0"/>
        <w:adjustRightInd w:val="0"/>
        <w:snapToGrid/>
        <w:spacing w:line="560" w:lineRule="exact"/>
        <w:ind w:firstLine="642" w:firstLineChars="200"/>
        <w:textAlignment w:val="auto"/>
        <w:outlineLvl w:val="9"/>
        <w:rPr>
          <w:rFonts w:hint="eastAsia" w:ascii="仿宋_GB2312" w:hAnsi="仿宋_GB2312" w:eastAsia="仿宋_GB2312" w:cs="仿宋_GB2312"/>
          <w:i w:val="0"/>
          <w:caps w:val="0"/>
          <w:spacing w:val="0"/>
          <w:sz w:val="32"/>
          <w:szCs w:val="32"/>
          <w:highlight w:val="none"/>
          <w:shd w:val="clear"/>
          <w:lang w:val="en-US" w:eastAsia="zh-CN"/>
        </w:rPr>
      </w:pPr>
      <w:r>
        <w:rPr>
          <w:rFonts w:hint="eastAsia" w:ascii="仿宋_GB2312" w:hAnsi="仿宋_GB2312" w:eastAsia="仿宋_GB2312" w:cs="仿宋_GB2312"/>
          <w:b/>
          <w:bCs/>
          <w:i w:val="0"/>
          <w:caps w:val="0"/>
          <w:color w:val="auto"/>
          <w:spacing w:val="0"/>
          <w:sz w:val="32"/>
          <w:szCs w:val="32"/>
          <w:highlight w:val="none"/>
          <w:shd w:val="clear" w:fill="auto"/>
          <w:lang w:val="en-US" w:eastAsia="zh-CN"/>
        </w:rPr>
        <w:t>13.</w:t>
      </w:r>
      <w:r>
        <w:rPr>
          <w:rFonts w:hint="eastAsia" w:ascii="仿宋_GB2312" w:hAnsi="仿宋_GB2312" w:eastAsia="仿宋_GB2312" w:cs="仿宋_GB2312"/>
          <w:b/>
          <w:bCs/>
          <w:i w:val="0"/>
          <w:caps w:val="0"/>
          <w:color w:val="auto"/>
          <w:spacing w:val="0"/>
          <w:sz w:val="32"/>
          <w:szCs w:val="32"/>
          <w:highlight w:val="none"/>
          <w:shd w:val="clear" w:fill="auto"/>
        </w:rPr>
        <w:t>保障市场主体公平竞争。</w:t>
      </w:r>
      <w:r>
        <w:rPr>
          <w:rFonts w:hint="eastAsia" w:ascii="仿宋_GB2312" w:hAnsi="仿宋_GB2312" w:eastAsia="仿宋_GB2312" w:cs="仿宋_GB2312"/>
          <w:i w:val="0"/>
          <w:caps w:val="0"/>
          <w:color w:val="auto"/>
          <w:spacing w:val="0"/>
          <w:sz w:val="32"/>
          <w:szCs w:val="32"/>
          <w:highlight w:val="none"/>
          <w:shd w:val="clear" w:fill="auto"/>
        </w:rPr>
        <w:t>严格落实“全国一张清单”管理要求，实施市场准入负面清单管理，完善与负面清单动态调整机制相适应的审批机制、监管机制。</w:t>
      </w:r>
      <w:r>
        <w:rPr>
          <w:rFonts w:hint="eastAsia" w:ascii="仿宋_GB2312" w:hAnsi="仿宋_GB2312" w:eastAsia="仿宋_GB2312" w:cs="仿宋_GB2312"/>
          <w:i w:val="0"/>
          <w:caps w:val="0"/>
          <w:spacing w:val="0"/>
          <w:sz w:val="32"/>
          <w:szCs w:val="32"/>
          <w:highlight w:val="none"/>
          <w:shd w:val="clear"/>
          <w:lang w:val="en-US" w:eastAsia="zh-CN"/>
        </w:rPr>
        <w:t>推动落实市场准入负面清单事项全部实现网上办理。</w:t>
      </w:r>
      <w:r>
        <w:rPr>
          <w:rFonts w:hint="eastAsia" w:ascii="仿宋_GB2312" w:hAnsi="仿宋_GB2312" w:eastAsia="仿宋_GB2312" w:cs="仿宋_GB2312"/>
          <w:i w:val="0"/>
          <w:caps w:val="0"/>
          <w:color w:val="auto"/>
          <w:spacing w:val="0"/>
          <w:sz w:val="32"/>
          <w:szCs w:val="32"/>
          <w:highlight w:val="none"/>
          <w:shd w:val="clear" w:fill="auto"/>
        </w:rPr>
        <w:t>清理市场准入显性和隐性壁垒，确保各类市场主体平等进入、公平竞争。依法保护民营企业产权和企业家权益，一视同仁给予政策支持，促进民营企业健康发展。</w:t>
      </w:r>
      <w:r>
        <w:rPr>
          <w:rFonts w:hint="eastAsia" w:ascii="仿宋_GB2312" w:hAnsi="仿宋_GB2312" w:eastAsia="仿宋_GB2312" w:cs="仿宋_GB2312"/>
          <w:i w:val="0"/>
          <w:caps w:val="0"/>
          <w:spacing w:val="0"/>
          <w:sz w:val="32"/>
          <w:szCs w:val="32"/>
          <w:highlight w:val="none"/>
          <w:shd w:val="clear"/>
          <w:lang w:val="en-US" w:eastAsia="zh-CN"/>
        </w:rPr>
        <w:t>严格落实</w:t>
      </w:r>
      <w:r>
        <w:rPr>
          <w:rFonts w:hint="eastAsia" w:ascii="仿宋_GB2312" w:hAnsi="仿宋_GB2312" w:eastAsia="仿宋_GB2312" w:cs="仿宋_GB2312"/>
          <w:bCs w:val="0"/>
          <w:sz w:val="32"/>
          <w:szCs w:val="32"/>
          <w:highlight w:val="none"/>
        </w:rPr>
        <w:t>公平竞争审查制度</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u w:val="none"/>
        </w:rPr>
        <w:t>建立重大政策公平竞争审查会审制度</w:t>
      </w:r>
      <w:r>
        <w:rPr>
          <w:rFonts w:hint="eastAsia" w:ascii="仿宋_GB2312" w:hAnsi="仿宋_GB2312" w:eastAsia="仿宋_GB2312" w:cs="仿宋_GB2312"/>
          <w:sz w:val="32"/>
          <w:szCs w:val="32"/>
          <w:highlight w:val="none"/>
        </w:rPr>
        <w:t>，提高专业审查水平。建立健全经营者集中申报预警机制，进一步降低企业经营法律风险。</w:t>
      </w:r>
      <w:r>
        <w:rPr>
          <w:rFonts w:hint="eastAsia" w:ascii="仿宋_GB2312" w:hAnsi="仿宋_GB2312" w:eastAsia="仿宋_GB2312" w:cs="仿宋_GB2312"/>
          <w:i w:val="0"/>
          <w:caps w:val="0"/>
          <w:spacing w:val="0"/>
          <w:sz w:val="32"/>
          <w:szCs w:val="32"/>
          <w:highlight w:val="none"/>
          <w:shd w:val="clear"/>
          <w:lang w:val="en-US" w:eastAsia="zh-CN"/>
        </w:rPr>
        <w:t xml:space="preserve">  </w:t>
      </w:r>
    </w:p>
    <w:p>
      <w:pPr>
        <w:keepNext w:val="0"/>
        <w:keepLines w:val="0"/>
        <w:pageBreakBefore w:val="0"/>
        <w:numPr>
          <w:ilvl w:val="-1"/>
          <w:numId w:val="0"/>
        </w:numPr>
        <w:pBdr>
          <w:bottom w:val="single" w:color="FFFFFF" w:sz="4" w:space="31"/>
        </w:pBdr>
        <w:tabs>
          <w:tab w:val="left" w:pos="1440"/>
        </w:tabs>
        <w:kinsoku/>
        <w:wordWrap/>
        <w:overflowPunct w:val="0"/>
        <w:topLinePunct w:val="0"/>
        <w:autoSpaceDE/>
        <w:autoSpaceDN/>
        <w:bidi w:val="0"/>
        <w:adjustRightInd w:val="0"/>
        <w:snapToGrid/>
        <w:spacing w:line="560" w:lineRule="exact"/>
        <w:ind w:firstLine="640" w:firstLineChars="200"/>
        <w:textAlignment w:val="auto"/>
        <w:outlineLvl w:val="9"/>
        <w:rPr>
          <w:rFonts w:hint="eastAsia" w:ascii="仿宋_GB2312" w:hAnsi="仿宋_GB2312" w:eastAsia="仿宋_GB2312" w:cs="仿宋_GB2312"/>
          <w:i w:val="0"/>
          <w:caps w:val="0"/>
          <w:spacing w:val="0"/>
          <w:sz w:val="32"/>
          <w:szCs w:val="32"/>
          <w:highlight w:val="none"/>
          <w:shd w:val="clear"/>
        </w:rPr>
      </w:pPr>
      <w:r>
        <w:rPr>
          <w:rFonts w:hint="eastAsia" w:ascii="仿宋_GB2312" w:hAnsi="仿宋_GB2312" w:eastAsia="仿宋_GB2312" w:cs="仿宋_GB2312"/>
          <w:i w:val="0"/>
          <w:caps w:val="0"/>
          <w:color w:val="auto"/>
          <w:spacing w:val="0"/>
          <w:sz w:val="32"/>
          <w:szCs w:val="32"/>
          <w:highlight w:val="none"/>
          <w:shd w:val="clear" w:fill="auto"/>
        </w:rPr>
        <w:t>牵头部门：</w:t>
      </w:r>
      <w:r>
        <w:rPr>
          <w:rFonts w:hint="eastAsia" w:ascii="仿宋_GB2312" w:hAnsi="仿宋_GB2312" w:eastAsia="仿宋_GB2312" w:cs="仿宋_GB2312"/>
          <w:i w:val="0"/>
          <w:caps w:val="0"/>
          <w:spacing w:val="0"/>
          <w:sz w:val="32"/>
          <w:szCs w:val="32"/>
          <w:highlight w:val="none"/>
          <w:shd w:val="clear"/>
        </w:rPr>
        <w:t>区市场监管局、</w:t>
      </w:r>
      <w:r>
        <w:rPr>
          <w:rFonts w:hint="eastAsia" w:ascii="仿宋_GB2312" w:hAnsi="仿宋_GB2312" w:eastAsia="仿宋_GB2312" w:cs="仿宋_GB2312"/>
          <w:i w:val="0"/>
          <w:caps w:val="0"/>
          <w:color w:val="auto"/>
          <w:spacing w:val="0"/>
          <w:sz w:val="32"/>
          <w:szCs w:val="32"/>
          <w:highlight w:val="none"/>
          <w:shd w:val="clear" w:fill="auto"/>
        </w:rPr>
        <w:t>区发改委、区政务服务局</w:t>
      </w:r>
    </w:p>
    <w:p>
      <w:pPr>
        <w:keepNext w:val="0"/>
        <w:keepLines w:val="0"/>
        <w:pageBreakBefore w:val="0"/>
        <w:numPr>
          <w:ilvl w:val="-1"/>
          <w:numId w:val="0"/>
        </w:numPr>
        <w:pBdr>
          <w:bottom w:val="single" w:color="FFFFFF" w:sz="4" w:space="31"/>
        </w:pBdr>
        <w:tabs>
          <w:tab w:val="left" w:pos="1440"/>
        </w:tabs>
        <w:kinsoku/>
        <w:wordWrap/>
        <w:overflowPunct w:val="0"/>
        <w:topLinePunct w:val="0"/>
        <w:autoSpaceDE/>
        <w:autoSpaceDN/>
        <w:bidi w:val="0"/>
        <w:adjustRightInd w:val="0"/>
        <w:snapToGrid/>
        <w:spacing w:line="560" w:lineRule="exact"/>
        <w:ind w:firstLine="642" w:firstLineChars="200"/>
        <w:textAlignment w:val="auto"/>
        <w:outlineLvl w:val="9"/>
        <w:rPr>
          <w:rFonts w:hint="eastAsia" w:ascii="仿宋_GB2312" w:hAnsi="仿宋_GB2312" w:eastAsia="仿宋_GB2312" w:cs="仿宋_GB2312"/>
          <w:i w:val="0"/>
          <w:caps w:val="0"/>
          <w:spacing w:val="0"/>
          <w:sz w:val="32"/>
          <w:szCs w:val="32"/>
          <w:highlight w:val="none"/>
          <w:shd w:val="clear"/>
        </w:rPr>
      </w:pPr>
      <w:r>
        <w:rPr>
          <w:rFonts w:hint="eastAsia" w:ascii="仿宋_GB2312" w:hAnsi="仿宋_GB2312" w:eastAsia="仿宋_GB2312" w:cs="仿宋_GB2312"/>
          <w:b/>
          <w:bCs/>
          <w:i w:val="0"/>
          <w:caps w:val="0"/>
          <w:color w:val="auto"/>
          <w:spacing w:val="0"/>
          <w:sz w:val="32"/>
          <w:szCs w:val="32"/>
          <w:highlight w:val="none"/>
          <w:shd w:val="clear" w:fill="auto"/>
          <w:lang w:val="en-US" w:eastAsia="zh-CN"/>
        </w:rPr>
        <w:t>14</w:t>
      </w:r>
      <w:r>
        <w:rPr>
          <w:rFonts w:hint="eastAsia" w:ascii="仿宋_GB2312" w:hAnsi="仿宋_GB2312" w:eastAsia="仿宋_GB2312" w:cs="仿宋_GB2312"/>
          <w:b/>
          <w:bCs/>
          <w:i w:val="0"/>
          <w:caps w:val="0"/>
          <w:color w:val="auto"/>
          <w:spacing w:val="0"/>
          <w:sz w:val="32"/>
          <w:szCs w:val="32"/>
          <w:highlight w:val="none"/>
          <w:shd w:val="clear" w:fill="auto"/>
        </w:rPr>
        <w:t>.推进公共资源交易更加规范公开。</w:t>
      </w:r>
      <w:r>
        <w:rPr>
          <w:rFonts w:hint="eastAsia" w:ascii="仿宋_GB2312" w:hAnsi="仿宋_GB2312" w:eastAsia="仿宋_GB2312" w:cs="仿宋_GB2312"/>
          <w:i w:val="0"/>
          <w:caps w:val="0"/>
          <w:spacing w:val="0"/>
          <w:sz w:val="32"/>
          <w:szCs w:val="32"/>
          <w:highlight w:val="none"/>
          <w:shd w:val="clear"/>
          <w:lang w:val="en-US" w:eastAsia="zh-CN"/>
        </w:rPr>
        <w:t>落实</w:t>
      </w:r>
      <w:r>
        <w:rPr>
          <w:rFonts w:hint="eastAsia" w:ascii="仿宋_GB2312" w:hAnsi="仿宋_GB2312" w:eastAsia="仿宋_GB2312" w:cs="仿宋_GB2312"/>
          <w:i w:val="0"/>
          <w:caps w:val="0"/>
          <w:spacing w:val="0"/>
          <w:sz w:val="32"/>
          <w:szCs w:val="32"/>
          <w:highlight w:val="none"/>
          <w:shd w:val="clear"/>
        </w:rPr>
        <w:t>招标投标负面清单，明确妨碍市场公平竞争的各类情形和责任，</w:t>
      </w:r>
      <w:r>
        <w:rPr>
          <w:rFonts w:hint="eastAsia" w:ascii="仿宋_GB2312" w:hAnsi="仿宋_GB2312" w:eastAsia="仿宋_GB2312" w:cs="仿宋_GB2312"/>
          <w:i w:val="0"/>
          <w:caps w:val="0"/>
          <w:color w:val="auto"/>
          <w:spacing w:val="0"/>
          <w:sz w:val="32"/>
          <w:szCs w:val="32"/>
          <w:highlight w:val="none"/>
          <w:shd w:val="clear" w:fill="auto"/>
        </w:rPr>
        <w:t>切实规范招标投标主体行为。健全招标投标领域常态化治理机制，对设置各类隐性门槛和不合理限制等行为严格依法实施行政处罚、纳入信用记录并向社会公示。完善招标投标交易担保制度，鼓励政府投资工程建设项目招标人对信用良好的投标企业减收或免收投标保证金，进一步降低招标投标市场主体交易成本。</w:t>
      </w:r>
    </w:p>
    <w:p>
      <w:pPr>
        <w:keepNext w:val="0"/>
        <w:keepLines w:val="0"/>
        <w:pageBreakBefore w:val="0"/>
        <w:numPr>
          <w:ilvl w:val="-1"/>
          <w:numId w:val="0"/>
        </w:numPr>
        <w:pBdr>
          <w:bottom w:val="single" w:color="FFFFFF" w:sz="4" w:space="31"/>
        </w:pBdr>
        <w:tabs>
          <w:tab w:val="left" w:pos="1440"/>
        </w:tabs>
        <w:kinsoku/>
        <w:wordWrap/>
        <w:overflowPunct w:val="0"/>
        <w:topLinePunct w:val="0"/>
        <w:autoSpaceDE/>
        <w:autoSpaceDN/>
        <w:bidi w:val="0"/>
        <w:adjustRightInd w:val="0"/>
        <w:snapToGrid/>
        <w:spacing w:line="560" w:lineRule="exact"/>
        <w:ind w:firstLine="640" w:firstLineChars="200"/>
        <w:textAlignment w:val="auto"/>
        <w:outlineLvl w:val="9"/>
        <w:rPr>
          <w:rFonts w:hint="eastAsia" w:ascii="仿宋_GB2312" w:hAnsi="仿宋_GB2312" w:eastAsia="仿宋_GB2312" w:cs="仿宋_GB2312"/>
          <w:i w:val="0"/>
          <w:caps w:val="0"/>
          <w:spacing w:val="0"/>
          <w:sz w:val="32"/>
          <w:szCs w:val="32"/>
          <w:highlight w:val="none"/>
          <w:shd w:val="clear"/>
        </w:rPr>
      </w:pPr>
      <w:r>
        <w:rPr>
          <w:rFonts w:hint="eastAsia" w:ascii="仿宋_GB2312" w:hAnsi="仿宋_GB2312" w:eastAsia="仿宋_GB2312" w:cs="仿宋_GB2312"/>
          <w:i w:val="0"/>
          <w:caps w:val="0"/>
          <w:color w:val="auto"/>
          <w:spacing w:val="0"/>
          <w:sz w:val="32"/>
          <w:szCs w:val="32"/>
          <w:highlight w:val="none"/>
          <w:shd w:val="clear" w:fill="auto"/>
        </w:rPr>
        <w:t>牵头部门：区发改委、区住建委、区规自分局、区交通局、区科信局、区水务局、区园林绿化局、区城管委</w:t>
      </w:r>
      <w:r>
        <w:rPr>
          <w:rFonts w:hint="eastAsia" w:ascii="仿宋_GB2312" w:hAnsi="仿宋_GB2312" w:eastAsia="仿宋_GB2312" w:cs="仿宋_GB2312"/>
          <w:i w:val="0"/>
          <w:caps w:val="0"/>
          <w:spacing w:val="0"/>
          <w:sz w:val="32"/>
          <w:szCs w:val="32"/>
          <w:highlight w:val="none"/>
          <w:shd w:val="clear"/>
          <w:lang w:val="en-US" w:eastAsia="zh-CN"/>
        </w:rPr>
        <w:t>等</w:t>
      </w:r>
      <w:r>
        <w:rPr>
          <w:rFonts w:hint="eastAsia" w:ascii="仿宋_GB2312" w:hAnsi="仿宋_GB2312" w:eastAsia="仿宋_GB2312" w:cs="仿宋_GB2312"/>
          <w:i w:val="0"/>
          <w:caps w:val="0"/>
          <w:color w:val="auto"/>
          <w:spacing w:val="0"/>
          <w:sz w:val="32"/>
          <w:szCs w:val="32"/>
          <w:highlight w:val="none"/>
          <w:shd w:val="clear" w:fill="auto"/>
        </w:rPr>
        <w:t xml:space="preserve">相关部门 </w:t>
      </w:r>
    </w:p>
    <w:p>
      <w:pPr>
        <w:keepNext w:val="0"/>
        <w:keepLines w:val="0"/>
        <w:pageBreakBefore w:val="0"/>
        <w:numPr>
          <w:ilvl w:val="-1"/>
          <w:numId w:val="0"/>
        </w:numPr>
        <w:pBdr>
          <w:bottom w:val="single" w:color="FFFFFF" w:sz="4" w:space="31"/>
        </w:pBdr>
        <w:tabs>
          <w:tab w:val="left" w:pos="1440"/>
        </w:tabs>
        <w:kinsoku/>
        <w:wordWrap/>
        <w:overflowPunct w:val="0"/>
        <w:topLinePunct w:val="0"/>
        <w:autoSpaceDE/>
        <w:autoSpaceDN/>
        <w:bidi w:val="0"/>
        <w:adjustRightInd w:val="0"/>
        <w:snapToGrid/>
        <w:spacing w:line="560" w:lineRule="exact"/>
        <w:ind w:firstLine="642" w:firstLineChars="200"/>
        <w:textAlignment w:val="auto"/>
        <w:outlineLvl w:val="9"/>
        <w:rPr>
          <w:rFonts w:hint="eastAsia" w:ascii="仿宋_GB2312" w:hAnsi="仿宋_GB2312" w:eastAsia="仿宋_GB2312" w:cs="仿宋_GB2312"/>
          <w:i w:val="0"/>
          <w:caps w:val="0"/>
          <w:spacing w:val="0"/>
          <w:sz w:val="32"/>
          <w:szCs w:val="32"/>
          <w:highlight w:val="none"/>
          <w:shd w:val="clear"/>
        </w:rPr>
      </w:pPr>
      <w:r>
        <w:rPr>
          <w:rFonts w:hint="eastAsia" w:ascii="仿宋_GB2312" w:hAnsi="仿宋_GB2312" w:eastAsia="仿宋_GB2312" w:cs="仿宋_GB2312"/>
          <w:b/>
          <w:bCs/>
          <w:i w:val="0"/>
          <w:caps w:val="0"/>
          <w:spacing w:val="0"/>
          <w:sz w:val="32"/>
          <w:szCs w:val="32"/>
          <w:highlight w:val="none"/>
          <w:shd w:val="clear"/>
          <w:lang w:val="en-US" w:eastAsia="zh-CN"/>
        </w:rPr>
        <w:t>15.</w:t>
      </w:r>
      <w:r>
        <w:rPr>
          <w:rFonts w:hint="eastAsia" w:ascii="仿宋_GB2312" w:hAnsi="仿宋_GB2312" w:eastAsia="仿宋_GB2312" w:cs="仿宋_GB2312"/>
          <w:b/>
          <w:bCs/>
          <w:i w:val="0"/>
          <w:caps w:val="0"/>
          <w:color w:val="auto"/>
          <w:spacing w:val="0"/>
          <w:sz w:val="32"/>
          <w:szCs w:val="32"/>
          <w:highlight w:val="none"/>
          <w:shd w:val="clear" w:fill="auto"/>
        </w:rPr>
        <w:t>积极扶持中小企业恢复发展。</w:t>
      </w:r>
      <w:r>
        <w:rPr>
          <w:rFonts w:hint="eastAsia" w:ascii="仿宋_GB2312" w:hAnsi="仿宋_GB2312" w:eastAsia="仿宋_GB2312" w:cs="仿宋_GB2312"/>
          <w:i w:val="0"/>
          <w:caps w:val="0"/>
          <w:color w:val="auto"/>
          <w:spacing w:val="0"/>
          <w:sz w:val="32"/>
          <w:szCs w:val="32"/>
          <w:highlight w:val="none"/>
          <w:shd w:val="clear" w:fill="auto"/>
        </w:rPr>
        <w:t>全面落实货物和服务采购项目给予小微企业10%—20%的价格扣除评审优惠等政策，鼓励采购人结合采购标的相关行业平均利润率、市场竞争状况等从高选择价格扣除比例。推进政府采购合同融资</w:t>
      </w:r>
      <w:r>
        <w:rPr>
          <w:rFonts w:hint="eastAsia" w:ascii="仿宋_GB2312" w:hAnsi="仿宋_GB2312" w:eastAsia="仿宋_GB2312" w:cs="仿宋_GB2312"/>
          <w:i w:val="0"/>
          <w:caps w:val="0"/>
          <w:spacing w:val="0"/>
          <w:sz w:val="32"/>
          <w:szCs w:val="32"/>
          <w:highlight w:val="none"/>
          <w:shd w:val="clear"/>
          <w:lang w:eastAsia="zh-CN"/>
        </w:rPr>
        <w:t>，</w:t>
      </w:r>
      <w:r>
        <w:rPr>
          <w:rFonts w:hint="eastAsia" w:ascii="仿宋_GB2312" w:hAnsi="仿宋_GB2312" w:eastAsia="仿宋_GB2312" w:cs="仿宋_GB2312"/>
          <w:i w:val="0"/>
          <w:caps w:val="0"/>
          <w:spacing w:val="0"/>
          <w:sz w:val="32"/>
          <w:szCs w:val="32"/>
          <w:highlight w:val="none"/>
          <w:shd w:val="clear"/>
          <w:lang w:val="en-US" w:eastAsia="zh-CN"/>
        </w:rPr>
        <w:t>积极对接</w:t>
      </w:r>
      <w:r>
        <w:rPr>
          <w:rFonts w:hint="eastAsia" w:ascii="仿宋_GB2312" w:hAnsi="仿宋_GB2312" w:eastAsia="仿宋_GB2312" w:cs="仿宋_GB2312"/>
          <w:i w:val="0"/>
          <w:caps w:val="0"/>
          <w:color w:val="auto"/>
          <w:spacing w:val="0"/>
          <w:sz w:val="32"/>
          <w:szCs w:val="32"/>
          <w:highlight w:val="none"/>
          <w:shd w:val="clear" w:fill="auto"/>
        </w:rPr>
        <w:t>政府采购合同融资平台，引导金融机构为中小企业提供无抵押、无担保的优惠贷款服务，在融资额度、融资审查、利率优惠等方面给予更大支持，在不超过合同金额融资限额内实现应贷尽贷，降低中小企业融资成本。加强政府采购资金支付履约监管，健全政府采购支付智能监控机制，开展逾期支付网上预警提示。对于逾期未支付的，督促采购人根据合同具体约定和履约情况及时判定处理，提高资金支付效率。推动简化供应商资格证明材料，推广使用政府采购示范文本，实施采购立项、采购文件编制、发布公告等关键环节的敏感词筛查，对存在隐性门槛等不公平竞争行为进行智能预警，提升政府采购公平竞争市场环境。     </w:t>
      </w:r>
    </w:p>
    <w:p>
      <w:pPr>
        <w:keepNext w:val="0"/>
        <w:keepLines w:val="0"/>
        <w:pageBreakBefore w:val="0"/>
        <w:numPr>
          <w:ilvl w:val="-1"/>
          <w:numId w:val="0"/>
        </w:numPr>
        <w:pBdr>
          <w:bottom w:val="single" w:color="FFFFFF" w:sz="4" w:space="31"/>
        </w:pBdr>
        <w:tabs>
          <w:tab w:val="left" w:pos="1440"/>
        </w:tabs>
        <w:kinsoku/>
        <w:wordWrap/>
        <w:overflowPunct w:val="0"/>
        <w:topLinePunct w:val="0"/>
        <w:autoSpaceDE/>
        <w:autoSpaceDN/>
        <w:bidi w:val="0"/>
        <w:adjustRightInd w:val="0"/>
        <w:snapToGrid/>
        <w:spacing w:line="560" w:lineRule="exact"/>
        <w:ind w:firstLine="640" w:firstLineChars="200"/>
        <w:textAlignment w:val="auto"/>
        <w:outlineLvl w:val="9"/>
        <w:rPr>
          <w:rFonts w:hint="eastAsia" w:ascii="仿宋_GB2312" w:hAnsi="仿宋_GB2312" w:eastAsia="仿宋_GB2312" w:cs="仿宋_GB2312"/>
          <w:i w:val="0"/>
          <w:caps w:val="0"/>
          <w:spacing w:val="0"/>
          <w:sz w:val="32"/>
          <w:szCs w:val="32"/>
          <w:highlight w:val="none"/>
          <w:shd w:val="clear"/>
        </w:rPr>
      </w:pPr>
      <w:r>
        <w:rPr>
          <w:rFonts w:hint="eastAsia" w:ascii="仿宋_GB2312" w:hAnsi="仿宋_GB2312" w:eastAsia="仿宋_GB2312" w:cs="仿宋_GB2312"/>
          <w:i w:val="0"/>
          <w:caps w:val="0"/>
          <w:color w:val="auto"/>
          <w:spacing w:val="0"/>
          <w:sz w:val="32"/>
          <w:szCs w:val="32"/>
          <w:highlight w:val="none"/>
          <w:shd w:val="clear" w:fill="auto"/>
        </w:rPr>
        <w:t>牵头单位：区财政局、区发改委</w:t>
      </w:r>
    </w:p>
    <w:p>
      <w:pPr>
        <w:keepNext w:val="0"/>
        <w:keepLines w:val="0"/>
        <w:pageBreakBefore w:val="0"/>
        <w:numPr>
          <w:ilvl w:val="0"/>
          <w:numId w:val="2"/>
        </w:numPr>
        <w:pBdr>
          <w:bottom w:val="single" w:color="FFFFFF" w:sz="4" w:space="31"/>
        </w:pBdr>
        <w:tabs>
          <w:tab w:val="left" w:pos="1440"/>
        </w:tabs>
        <w:kinsoku/>
        <w:wordWrap/>
        <w:overflowPunct w:val="0"/>
        <w:topLinePunct w:val="0"/>
        <w:autoSpaceDE/>
        <w:autoSpaceDN/>
        <w:bidi w:val="0"/>
        <w:adjustRightInd w:val="0"/>
        <w:snapToGrid/>
        <w:spacing w:line="560" w:lineRule="exact"/>
        <w:ind w:firstLine="640" w:firstLineChars="0"/>
        <w:textAlignment w:val="auto"/>
        <w:outlineLvl w:val="9"/>
        <w:rPr>
          <w:rFonts w:hint="eastAsia" w:ascii="楷体_GB2312" w:hAnsi="仿宋_GB2312" w:eastAsia="楷体_GB2312" w:cs="仿宋_GB2312"/>
          <w:sz w:val="32"/>
          <w:highlight w:val="none"/>
          <w:u w:val="none"/>
          <w:lang w:val="en-US" w:eastAsia="zh-CN"/>
        </w:rPr>
      </w:pPr>
      <w:r>
        <w:rPr>
          <w:rFonts w:hint="eastAsia" w:ascii="楷体_GB2312" w:hAnsi="楷体_GB2312" w:eastAsia="楷体_GB2312" w:cs="楷体_GB2312"/>
          <w:sz w:val="32"/>
          <w:szCs w:val="32"/>
          <w:lang w:eastAsia="zh-CN"/>
        </w:rPr>
        <w:t>为</w:t>
      </w:r>
      <w:r>
        <w:rPr>
          <w:rFonts w:hint="eastAsia" w:ascii="楷体_GB2312" w:hAnsi="仿宋_GB2312" w:eastAsia="楷体_GB2312" w:cs="仿宋_GB2312"/>
          <w:sz w:val="32"/>
          <w:highlight w:val="none"/>
          <w:u w:val="none"/>
        </w:rPr>
        <w:t>市场</w:t>
      </w:r>
      <w:r>
        <w:rPr>
          <w:rFonts w:ascii="楷体_GB2312" w:hAnsi="仿宋_GB2312" w:eastAsia="楷体_GB2312" w:cs="仿宋_GB2312"/>
          <w:sz w:val="32"/>
          <w:highlight w:val="none"/>
          <w:u w:val="none"/>
        </w:rPr>
        <w:t>主体</w:t>
      </w:r>
      <w:r>
        <w:rPr>
          <w:rFonts w:hint="eastAsia" w:ascii="楷体_GB2312" w:hAnsi="仿宋_GB2312" w:eastAsia="楷体_GB2312" w:cs="仿宋_GB2312"/>
          <w:sz w:val="32"/>
          <w:highlight w:val="none"/>
          <w:u w:val="none"/>
          <w:lang w:eastAsia="zh-CN"/>
        </w:rPr>
        <w:t>发展保驾护航</w:t>
      </w:r>
      <w:r>
        <w:rPr>
          <w:rFonts w:hint="eastAsia" w:ascii="楷体_GB2312" w:hAnsi="仿宋_GB2312" w:eastAsia="楷体_GB2312" w:cs="仿宋_GB2312"/>
          <w:sz w:val="32"/>
          <w:highlight w:val="none"/>
          <w:u w:val="none"/>
          <w:lang w:val="en-US" w:eastAsia="zh-CN"/>
        </w:rPr>
        <w:t>，构建爱商护商</w:t>
      </w:r>
      <w:r>
        <w:rPr>
          <w:rFonts w:hint="eastAsia" w:ascii="楷体_GB2312" w:hAnsi="仿宋_GB2312" w:eastAsia="楷体_GB2312" w:cs="仿宋_GB2312"/>
          <w:sz w:val="32"/>
          <w:highlight w:val="none"/>
          <w:u w:val="none"/>
        </w:rPr>
        <w:t>的法治</w:t>
      </w:r>
      <w:r>
        <w:rPr>
          <w:rFonts w:hint="eastAsia" w:ascii="楷体_GB2312" w:hAnsi="仿宋_GB2312" w:eastAsia="楷体_GB2312" w:cs="仿宋_GB2312"/>
          <w:sz w:val="32"/>
          <w:highlight w:val="none"/>
          <w:u w:val="none"/>
          <w:lang w:val="en-US" w:eastAsia="zh-CN"/>
        </w:rPr>
        <w:t>环境</w:t>
      </w:r>
    </w:p>
    <w:p>
      <w:pPr>
        <w:keepNext w:val="0"/>
        <w:keepLines w:val="0"/>
        <w:pageBreakBefore w:val="0"/>
        <w:numPr>
          <w:ilvl w:val="-1"/>
          <w:numId w:val="0"/>
        </w:numPr>
        <w:pBdr>
          <w:bottom w:val="single" w:color="FFFFFF" w:sz="4" w:space="31"/>
        </w:pBdr>
        <w:tabs>
          <w:tab w:val="left" w:pos="1440"/>
        </w:tabs>
        <w:kinsoku/>
        <w:wordWrap/>
        <w:overflowPunct w:val="0"/>
        <w:topLinePunct w:val="0"/>
        <w:autoSpaceDE/>
        <w:autoSpaceDN/>
        <w:bidi w:val="0"/>
        <w:adjustRightInd w:val="0"/>
        <w:snapToGrid/>
        <w:spacing w:line="560" w:lineRule="exact"/>
        <w:ind w:firstLine="642" w:firstLineChars="200"/>
        <w:textAlignment w:val="auto"/>
        <w:outlineLvl w:val="9"/>
        <w:rPr>
          <w:rFonts w:hint="eastAsia" w:ascii="仿宋_GB2312" w:hAnsi="仿宋_GB2312" w:eastAsia="仿宋_GB2312" w:cs="仿宋_GB2312"/>
          <w:i w:val="0"/>
          <w:caps w:val="0"/>
          <w:spacing w:val="0"/>
          <w:sz w:val="32"/>
          <w:szCs w:val="32"/>
          <w:highlight w:val="none"/>
          <w:shd w:val="clear"/>
        </w:rPr>
      </w:pPr>
      <w:r>
        <w:rPr>
          <w:rFonts w:hint="eastAsia" w:ascii="仿宋_GB2312" w:hAnsi="仿宋_GB2312" w:eastAsia="仿宋_GB2312" w:cs="仿宋_GB2312"/>
          <w:b/>
          <w:bCs/>
          <w:i w:val="0"/>
          <w:caps w:val="0"/>
          <w:spacing w:val="0"/>
          <w:sz w:val="32"/>
          <w:szCs w:val="32"/>
          <w:highlight w:val="none"/>
          <w:lang w:val="en-US" w:eastAsia="zh-CN"/>
        </w:rPr>
        <w:t>16.</w:t>
      </w:r>
      <w:r>
        <w:rPr>
          <w:rFonts w:hint="eastAsia" w:ascii="仿宋_GB2312" w:hAnsi="仿宋_GB2312" w:eastAsia="仿宋_GB2312" w:cs="仿宋_GB2312"/>
          <w:b/>
          <w:bCs/>
          <w:i w:val="0"/>
          <w:caps w:val="0"/>
          <w:color w:val="auto"/>
          <w:spacing w:val="0"/>
          <w:sz w:val="32"/>
          <w:szCs w:val="32"/>
          <w:highlight w:val="none"/>
        </w:rPr>
        <w:t>深入推进市场监管领域6+4改革</w:t>
      </w:r>
      <w:r>
        <w:rPr>
          <w:rFonts w:hint="eastAsia" w:ascii="仿宋_GB2312" w:hAnsi="仿宋_GB2312" w:eastAsia="仿宋_GB2312" w:cs="仿宋_GB2312"/>
          <w:i w:val="0"/>
          <w:caps w:val="0"/>
          <w:color w:val="auto"/>
          <w:spacing w:val="0"/>
          <w:sz w:val="32"/>
          <w:szCs w:val="32"/>
          <w:highlight w:val="none"/>
        </w:rPr>
        <w:t>，不断深化拓展“双承诺”执法应用范围，全力构建科学高效的一体化综合监管体系，规范统一的监管协同，充分压实市场主体责任，最大限度实现“监管无事不扰，服务无处不在；主体守诺经营，创建良好秩序”。积极对接全市统一数字监管平台，有效利用风险、信用等6项监管手段，实现“一网统管”。全面推广市场主体身份码（以下简称“企业码”），检查人员扫描“企业码”获取检查任务、填报结果、全程留痕，规范检查行为；市场主体可扫描“企业码”获取定制版合规经营手册，开展自主管理。深入落实</w:t>
      </w:r>
      <w:r>
        <w:rPr>
          <w:rFonts w:hint="eastAsia" w:ascii="仿宋_GB2312" w:hAnsi="仿宋_GB2312" w:eastAsia="仿宋_GB2312" w:cs="仿宋_GB2312"/>
          <w:i w:val="0"/>
          <w:caps w:val="0"/>
          <w:spacing w:val="0"/>
          <w:sz w:val="32"/>
          <w:szCs w:val="32"/>
          <w:highlight w:val="none"/>
          <w:lang w:val="en-US" w:eastAsia="zh-CN"/>
        </w:rPr>
        <w:t>北京市建设</w:t>
      </w:r>
      <w:r>
        <w:rPr>
          <w:rFonts w:hint="eastAsia" w:ascii="仿宋_GB2312" w:hAnsi="仿宋_GB2312" w:eastAsia="仿宋_GB2312" w:cs="仿宋_GB2312"/>
          <w:i w:val="0"/>
          <w:caps w:val="0"/>
          <w:color w:val="auto"/>
          <w:spacing w:val="0"/>
          <w:sz w:val="32"/>
          <w:szCs w:val="32"/>
          <w:highlight w:val="none"/>
        </w:rPr>
        <w:t>全国市场监管数字化试验区任务，积极争取先行先试。实施综合监管“一业一册”告知制度，一类事项制定一册合规指南，一次性告知市场主体合规经营要求，稳定市场主体监管预期。在全市推广餐饮、旅游、物流等31个场景综合监管改革，并对外公布综合监管合规手册。</w:t>
      </w:r>
      <w:r>
        <w:rPr>
          <w:rFonts w:hint="eastAsia" w:ascii="仿宋_GB2312" w:hAnsi="仿宋_GB2312" w:eastAsia="仿宋_GB2312" w:cs="仿宋_GB2312"/>
          <w:i w:val="0"/>
          <w:caps w:val="0"/>
          <w:color w:val="auto"/>
          <w:spacing w:val="0"/>
          <w:sz w:val="32"/>
          <w:szCs w:val="32"/>
          <w:highlight w:val="none"/>
          <w:shd w:val="clear" w:fill="auto"/>
        </w:rPr>
        <w:t xml:space="preserve">     </w:t>
      </w:r>
    </w:p>
    <w:p>
      <w:pPr>
        <w:keepNext w:val="0"/>
        <w:keepLines w:val="0"/>
        <w:pageBreakBefore w:val="0"/>
        <w:numPr>
          <w:ilvl w:val="-1"/>
          <w:numId w:val="0"/>
        </w:numPr>
        <w:pBdr>
          <w:bottom w:val="single" w:color="FFFFFF" w:sz="4" w:space="31"/>
        </w:pBdr>
        <w:tabs>
          <w:tab w:val="left" w:pos="1440"/>
        </w:tabs>
        <w:kinsoku/>
        <w:wordWrap/>
        <w:overflowPunct w:val="0"/>
        <w:topLinePunct w:val="0"/>
        <w:autoSpaceDE/>
        <w:autoSpaceDN/>
        <w:bidi w:val="0"/>
        <w:adjustRightInd w:val="0"/>
        <w:snapToGrid/>
        <w:spacing w:line="560" w:lineRule="exact"/>
        <w:ind w:firstLine="640" w:firstLineChars="200"/>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i w:val="0"/>
          <w:caps w:val="0"/>
          <w:color w:val="auto"/>
          <w:spacing w:val="0"/>
          <w:sz w:val="32"/>
          <w:szCs w:val="32"/>
          <w:highlight w:val="none"/>
          <w:shd w:val="clear" w:fill="auto"/>
        </w:rPr>
        <w:t>牵头单位：区市场监管局、区商务局、区交通</w:t>
      </w:r>
      <w:r>
        <w:rPr>
          <w:rFonts w:hint="eastAsia" w:ascii="仿宋_GB2312" w:hAnsi="仿宋_GB2312" w:eastAsia="仿宋_GB2312" w:cs="仿宋_GB2312"/>
          <w:i w:val="0"/>
          <w:caps w:val="0"/>
          <w:color w:val="auto"/>
          <w:spacing w:val="0"/>
          <w:sz w:val="32"/>
          <w:szCs w:val="32"/>
          <w:highlight w:val="none"/>
          <w:shd w:val="clear" w:fill="auto"/>
          <w:lang w:eastAsia="zh-CN"/>
        </w:rPr>
        <w:t>局</w:t>
      </w:r>
      <w:bookmarkStart w:id="0" w:name="_GoBack"/>
      <w:bookmarkEnd w:id="0"/>
      <w:r>
        <w:rPr>
          <w:rFonts w:hint="eastAsia" w:ascii="仿宋_GB2312" w:hAnsi="仿宋_GB2312" w:eastAsia="仿宋_GB2312" w:cs="仿宋_GB2312"/>
          <w:i w:val="0"/>
          <w:caps w:val="0"/>
          <w:color w:val="auto"/>
          <w:spacing w:val="0"/>
          <w:sz w:val="32"/>
          <w:szCs w:val="32"/>
          <w:highlight w:val="none"/>
          <w:shd w:val="clear" w:fill="auto"/>
        </w:rPr>
        <w:t>、区住建委、区人保局、区卫健委、区科信局、中关村门头沟园管委会、区体育局、区文旅局、区民政局、区农业农村局、区应急局</w:t>
      </w:r>
      <w:r>
        <w:rPr>
          <w:rFonts w:hint="eastAsia" w:ascii="仿宋_GB2312" w:hAnsi="仿宋_GB2312" w:eastAsia="仿宋_GB2312" w:cs="仿宋_GB2312"/>
          <w:i w:val="0"/>
          <w:caps w:val="0"/>
          <w:spacing w:val="0"/>
          <w:sz w:val="32"/>
          <w:szCs w:val="32"/>
          <w:highlight w:val="none"/>
          <w:shd w:val="clear"/>
          <w:lang w:val="en-US" w:eastAsia="zh-CN"/>
        </w:rPr>
        <w:t>等</w:t>
      </w:r>
      <w:r>
        <w:rPr>
          <w:rFonts w:hint="eastAsia" w:ascii="仿宋_GB2312" w:hAnsi="仿宋_GB2312" w:eastAsia="仿宋_GB2312" w:cs="仿宋_GB2312"/>
          <w:i w:val="0"/>
          <w:caps w:val="0"/>
          <w:color w:val="auto"/>
          <w:spacing w:val="0"/>
          <w:sz w:val="32"/>
          <w:szCs w:val="32"/>
          <w:highlight w:val="none"/>
          <w:shd w:val="clear" w:fill="auto"/>
        </w:rPr>
        <w:t xml:space="preserve">相关部门 </w:t>
      </w:r>
    </w:p>
    <w:p>
      <w:pPr>
        <w:keepNext w:val="0"/>
        <w:keepLines w:val="0"/>
        <w:pageBreakBefore w:val="0"/>
        <w:numPr>
          <w:ilvl w:val="-1"/>
          <w:numId w:val="0"/>
        </w:numPr>
        <w:pBdr>
          <w:bottom w:val="single" w:color="FFFFFF" w:sz="4" w:space="31"/>
        </w:pBdr>
        <w:tabs>
          <w:tab w:val="left" w:pos="1440"/>
        </w:tabs>
        <w:kinsoku/>
        <w:wordWrap/>
        <w:overflowPunct w:val="0"/>
        <w:topLinePunct w:val="0"/>
        <w:autoSpaceDE/>
        <w:autoSpaceDN/>
        <w:bidi w:val="0"/>
        <w:adjustRightInd w:val="0"/>
        <w:snapToGrid/>
        <w:spacing w:line="560" w:lineRule="exact"/>
        <w:ind w:firstLine="642" w:firstLineChars="200"/>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i w:val="0"/>
          <w:caps w:val="0"/>
          <w:spacing w:val="0"/>
          <w:sz w:val="32"/>
          <w:szCs w:val="32"/>
          <w:highlight w:val="none"/>
          <w:shd w:val="clear"/>
          <w:lang w:val="en-US" w:eastAsia="zh-CN"/>
        </w:rPr>
        <w:t>17</w:t>
      </w:r>
      <w:r>
        <w:rPr>
          <w:rFonts w:hint="eastAsia" w:ascii="仿宋_GB2312" w:hAnsi="仿宋_GB2312" w:eastAsia="仿宋_GB2312" w:cs="仿宋_GB2312"/>
          <w:b/>
          <w:bCs/>
          <w:i w:val="0"/>
          <w:caps w:val="0"/>
          <w:color w:val="auto"/>
          <w:spacing w:val="0"/>
          <w:sz w:val="32"/>
          <w:szCs w:val="32"/>
          <w:highlight w:val="none"/>
          <w:shd w:val="clear" w:fill="auto"/>
        </w:rPr>
        <w:t>.实施精准有效监管。</w:t>
      </w:r>
      <w:r>
        <w:rPr>
          <w:rFonts w:hint="eastAsia" w:ascii="仿宋_GB2312" w:hAnsi="仿宋_GB2312" w:eastAsia="仿宋_GB2312" w:cs="仿宋_GB2312"/>
          <w:i w:val="0"/>
          <w:caps w:val="0"/>
          <w:color w:val="auto"/>
          <w:spacing w:val="0"/>
          <w:sz w:val="32"/>
          <w:szCs w:val="32"/>
          <w:highlight w:val="none"/>
          <w:shd w:val="clear" w:fill="auto"/>
        </w:rPr>
        <w:t xml:space="preserve">推动实现企业信用风险分类结果在“双随机、一公开”监管中的常态化运用，在开展单部门双随机检查时，对信用好、风险低的企业原则上同一事项一年只查一次。实施公示信息抽查容错，对于公示信息抽查中发现市场主体一般信息有误或重要信息中存在非主观故意的明显错误的，未造成不良影响和后果的，可以允许修改，鼓励开展自我纠错。 </w:t>
      </w:r>
    </w:p>
    <w:p>
      <w:pPr>
        <w:keepNext w:val="0"/>
        <w:keepLines w:val="0"/>
        <w:pageBreakBefore w:val="0"/>
        <w:numPr>
          <w:ilvl w:val="-1"/>
          <w:numId w:val="0"/>
        </w:numPr>
        <w:pBdr>
          <w:bottom w:val="single" w:color="FFFFFF" w:sz="4" w:space="31"/>
        </w:pBdr>
        <w:tabs>
          <w:tab w:val="left" w:pos="1440"/>
        </w:tabs>
        <w:kinsoku/>
        <w:wordWrap/>
        <w:overflowPunct w:val="0"/>
        <w:topLinePunct w:val="0"/>
        <w:autoSpaceDE/>
        <w:autoSpaceDN/>
        <w:bidi w:val="0"/>
        <w:adjustRightInd w:val="0"/>
        <w:snapToGrid/>
        <w:spacing w:line="560" w:lineRule="exact"/>
        <w:ind w:firstLine="640" w:firstLineChars="200"/>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i w:val="0"/>
          <w:caps w:val="0"/>
          <w:color w:val="auto"/>
          <w:spacing w:val="0"/>
          <w:sz w:val="32"/>
          <w:szCs w:val="32"/>
          <w:highlight w:val="none"/>
          <w:shd w:val="clear" w:fill="auto"/>
        </w:rPr>
        <w:t>牵头单位：区市场监管局、各相关</w:t>
      </w:r>
      <w:r>
        <w:rPr>
          <w:rFonts w:hint="eastAsia" w:ascii="仿宋_GB2312" w:hAnsi="仿宋_GB2312" w:eastAsia="仿宋_GB2312" w:cs="仿宋_GB2312"/>
          <w:i w:val="0"/>
          <w:caps w:val="0"/>
          <w:spacing w:val="0"/>
          <w:sz w:val="32"/>
          <w:szCs w:val="32"/>
          <w:highlight w:val="none"/>
          <w:shd w:val="clear"/>
          <w:lang w:val="en-US" w:eastAsia="zh-CN"/>
        </w:rPr>
        <w:t>部门</w:t>
      </w:r>
      <w:r>
        <w:rPr>
          <w:rFonts w:hint="eastAsia" w:ascii="仿宋_GB2312" w:hAnsi="仿宋_GB2312" w:eastAsia="仿宋_GB2312" w:cs="仿宋_GB2312"/>
          <w:i w:val="0"/>
          <w:caps w:val="0"/>
          <w:color w:val="auto"/>
          <w:spacing w:val="0"/>
          <w:sz w:val="32"/>
          <w:szCs w:val="32"/>
          <w:highlight w:val="none"/>
          <w:shd w:val="clear" w:fill="auto"/>
        </w:rPr>
        <w:t xml:space="preserve"> </w:t>
      </w:r>
    </w:p>
    <w:p>
      <w:pPr>
        <w:keepNext w:val="0"/>
        <w:keepLines w:val="0"/>
        <w:pageBreakBefore w:val="0"/>
        <w:numPr>
          <w:ilvl w:val="0"/>
          <w:numId w:val="0"/>
        </w:numPr>
        <w:pBdr>
          <w:bottom w:val="single" w:color="FFFFFF" w:sz="4" w:space="31"/>
        </w:pBdr>
        <w:tabs>
          <w:tab w:val="left" w:pos="1440"/>
        </w:tabs>
        <w:kinsoku/>
        <w:wordWrap/>
        <w:overflowPunct w:val="0"/>
        <w:topLinePunct w:val="0"/>
        <w:autoSpaceDE/>
        <w:autoSpaceDN/>
        <w:bidi w:val="0"/>
        <w:adjustRightInd w:val="0"/>
        <w:snapToGrid/>
        <w:spacing w:line="560" w:lineRule="exact"/>
        <w:ind w:firstLine="642" w:firstLineChars="200"/>
        <w:textAlignment w:val="auto"/>
        <w:outlineLvl w:val="9"/>
        <w:rPr>
          <w:rFonts w:hint="eastAsia" w:ascii="仿宋_GB2312" w:hAnsi="仿宋_GB2312" w:eastAsia="仿宋_GB2312" w:cs="仿宋_GB2312"/>
          <w:i w:val="0"/>
          <w:caps w:val="0"/>
          <w:color w:val="auto"/>
          <w:spacing w:val="0"/>
          <w:sz w:val="32"/>
          <w:szCs w:val="32"/>
          <w:highlight w:val="none"/>
          <w:shd w:val="clear" w:fill="auto"/>
        </w:rPr>
      </w:pPr>
      <w:r>
        <w:rPr>
          <w:rFonts w:hint="eastAsia" w:ascii="仿宋_GB2312" w:hAnsi="仿宋_GB2312" w:eastAsia="仿宋_GB2312" w:cs="仿宋_GB2312"/>
          <w:b/>
          <w:bCs/>
          <w:i w:val="0"/>
          <w:caps w:val="0"/>
          <w:color w:val="auto"/>
          <w:spacing w:val="0"/>
          <w:sz w:val="32"/>
          <w:szCs w:val="32"/>
          <w:highlight w:val="none"/>
          <w:shd w:val="clear" w:fill="auto"/>
          <w:lang w:val="en-US" w:eastAsia="zh-CN"/>
        </w:rPr>
        <w:t>18.</w:t>
      </w:r>
      <w:r>
        <w:rPr>
          <w:rFonts w:hint="eastAsia" w:ascii="仿宋_GB2312" w:hAnsi="仿宋_GB2312" w:eastAsia="仿宋_GB2312" w:cs="仿宋_GB2312"/>
          <w:b/>
          <w:bCs/>
          <w:i w:val="0"/>
          <w:caps w:val="0"/>
          <w:color w:val="auto"/>
          <w:spacing w:val="0"/>
          <w:sz w:val="32"/>
          <w:szCs w:val="32"/>
          <w:highlight w:val="none"/>
          <w:shd w:val="clear" w:fill="auto"/>
        </w:rPr>
        <w:t>严格规范公正文明执法。</w:t>
      </w:r>
      <w:r>
        <w:rPr>
          <w:rFonts w:hint="eastAsia" w:ascii="仿宋_GB2312" w:hAnsi="仿宋_GB2312" w:eastAsia="仿宋_GB2312" w:cs="仿宋_GB2312"/>
          <w:i w:val="0"/>
          <w:caps w:val="0"/>
          <w:color w:val="auto"/>
          <w:spacing w:val="0"/>
          <w:sz w:val="32"/>
          <w:szCs w:val="32"/>
          <w:highlight w:val="none"/>
          <w:shd w:val="clear" w:fill="auto"/>
        </w:rPr>
        <w:t>依托创建全国法治政府建设示范区和法治政府示范项目，全面树立柔性执法理念，推行“首次不罚、告诫到位、下不为例”</w:t>
      </w:r>
      <w:r>
        <w:rPr>
          <w:rFonts w:hint="eastAsia" w:ascii="仿宋_GB2312" w:hAnsi="仿宋_GB2312" w:eastAsia="仿宋_GB2312" w:cs="仿宋_GB2312"/>
          <w:i w:val="0"/>
          <w:caps w:val="0"/>
          <w:color w:val="auto"/>
          <w:spacing w:val="0"/>
          <w:sz w:val="32"/>
          <w:szCs w:val="32"/>
          <w:highlight w:val="none"/>
          <w:shd w:val="clear" w:fill="auto"/>
          <w:lang w:eastAsia="zh-CN"/>
        </w:rPr>
        <w:t>，</w:t>
      </w:r>
      <w:r>
        <w:rPr>
          <w:rFonts w:hint="eastAsia" w:ascii="仿宋_GB2312" w:hAnsi="仿宋_GB2312" w:eastAsia="仿宋_GB2312" w:cs="仿宋_GB2312"/>
          <w:i w:val="0"/>
          <w:caps w:val="0"/>
          <w:color w:val="auto"/>
          <w:spacing w:val="0"/>
          <w:sz w:val="32"/>
          <w:szCs w:val="32"/>
          <w:highlight w:val="none"/>
          <w:shd w:val="clear" w:fill="auto"/>
        </w:rPr>
        <w:t>完善轻微违法行为免罚和初次违法慎罚制度，推动各相关行政执法领域全覆盖，惠及更多市场主体。坚持过罚相当、宽严相济，进一步规范行使行政裁量权，防止任性执法、类案不同罚、过度处罚等问题。严格落实行政执法“三项制度”和违反公平执法行为典型案例通报机制。规范行政裁量权基准制度，最大程度压缩裁量空间</w:t>
      </w:r>
      <w:r>
        <w:rPr>
          <w:rFonts w:hint="eastAsia" w:ascii="仿宋_GB2312" w:hAnsi="仿宋_GB2312" w:eastAsia="仿宋_GB2312" w:cs="仿宋_GB2312"/>
          <w:i w:val="0"/>
          <w:caps w:val="0"/>
          <w:color w:val="auto"/>
          <w:spacing w:val="0"/>
          <w:sz w:val="32"/>
          <w:szCs w:val="32"/>
          <w:highlight w:val="none"/>
          <w:shd w:val="clear" w:fill="auto"/>
          <w:lang w:eastAsia="zh-CN"/>
        </w:rPr>
        <w:t>，</w:t>
      </w:r>
      <w:r>
        <w:rPr>
          <w:rFonts w:hint="eastAsia" w:ascii="仿宋_GB2312" w:hAnsi="仿宋_GB2312" w:eastAsia="仿宋_GB2312" w:cs="仿宋_GB2312"/>
          <w:i w:val="0"/>
          <w:caps w:val="0"/>
          <w:color w:val="auto"/>
          <w:spacing w:val="0"/>
          <w:sz w:val="32"/>
          <w:szCs w:val="32"/>
          <w:highlight w:val="none"/>
          <w:shd w:val="clear" w:fill="auto"/>
        </w:rPr>
        <w:t xml:space="preserve">严厉打击恶意阻挠施工、扰乱经营秩序等违法行为。严禁行政规范性文件违法设定罚款，防止以罚增收、以罚代管、逐利执法等行为。 </w:t>
      </w:r>
    </w:p>
    <w:p>
      <w:pPr>
        <w:keepNext w:val="0"/>
        <w:keepLines w:val="0"/>
        <w:pageBreakBefore w:val="0"/>
        <w:numPr>
          <w:ilvl w:val="0"/>
          <w:numId w:val="0"/>
        </w:numPr>
        <w:pBdr>
          <w:bottom w:val="single" w:color="FFFFFF" w:sz="4" w:space="31"/>
        </w:pBdr>
        <w:tabs>
          <w:tab w:val="left" w:pos="1440"/>
        </w:tabs>
        <w:kinsoku/>
        <w:wordWrap/>
        <w:overflowPunct w:val="0"/>
        <w:topLinePunct w:val="0"/>
        <w:autoSpaceDE/>
        <w:autoSpaceDN/>
        <w:bidi w:val="0"/>
        <w:adjustRightInd w:val="0"/>
        <w:snapToGrid/>
        <w:spacing w:line="560" w:lineRule="exact"/>
        <w:ind w:firstLine="640" w:firstLineChars="200"/>
        <w:textAlignment w:val="auto"/>
        <w:outlineLvl w:val="9"/>
        <w:rPr>
          <w:rFonts w:hint="eastAsia" w:ascii="仿宋_GB2312" w:hAnsi="仿宋_GB2312" w:eastAsia="仿宋_GB2312" w:cs="仿宋_GB2312"/>
          <w:i w:val="0"/>
          <w:caps w:val="0"/>
          <w:spacing w:val="0"/>
          <w:sz w:val="32"/>
          <w:szCs w:val="32"/>
          <w:highlight w:val="none"/>
          <w:shd w:val="clear"/>
        </w:rPr>
      </w:pPr>
      <w:r>
        <w:rPr>
          <w:rFonts w:hint="eastAsia" w:ascii="仿宋_GB2312" w:hAnsi="仿宋_GB2312" w:eastAsia="仿宋_GB2312" w:cs="仿宋_GB2312"/>
          <w:i w:val="0"/>
          <w:caps w:val="0"/>
          <w:color w:val="auto"/>
          <w:spacing w:val="0"/>
          <w:sz w:val="32"/>
          <w:szCs w:val="32"/>
          <w:highlight w:val="none"/>
          <w:shd w:val="clear" w:fill="auto"/>
        </w:rPr>
        <w:t>牵头部门：区司法局</w:t>
      </w:r>
      <w:r>
        <w:rPr>
          <w:rFonts w:hint="eastAsia" w:ascii="仿宋_GB2312" w:hAnsi="仿宋_GB2312" w:eastAsia="仿宋_GB2312" w:cs="仿宋_GB2312"/>
          <w:i w:val="0"/>
          <w:caps w:val="0"/>
          <w:spacing w:val="0"/>
          <w:sz w:val="32"/>
          <w:szCs w:val="32"/>
          <w:highlight w:val="none"/>
          <w:shd w:val="clear"/>
        </w:rPr>
        <w:t>、各</w:t>
      </w:r>
      <w:r>
        <w:rPr>
          <w:rFonts w:hint="eastAsia" w:ascii="仿宋_GB2312" w:hAnsi="仿宋_GB2312" w:eastAsia="仿宋_GB2312" w:cs="仿宋_GB2312"/>
          <w:i w:val="0"/>
          <w:caps w:val="0"/>
          <w:spacing w:val="0"/>
          <w:sz w:val="32"/>
          <w:szCs w:val="32"/>
          <w:highlight w:val="none"/>
          <w:shd w:val="clear"/>
          <w:lang w:val="en-US" w:eastAsia="zh-CN"/>
        </w:rPr>
        <w:t>行政执法部门</w:t>
      </w:r>
      <w:r>
        <w:rPr>
          <w:rFonts w:hint="eastAsia" w:ascii="仿宋_GB2312" w:hAnsi="仿宋_GB2312" w:eastAsia="仿宋_GB2312" w:cs="仿宋_GB2312"/>
          <w:i w:val="0"/>
          <w:caps w:val="0"/>
          <w:color w:val="auto"/>
          <w:spacing w:val="0"/>
          <w:sz w:val="32"/>
          <w:szCs w:val="32"/>
          <w:highlight w:val="none"/>
          <w:shd w:val="clear" w:fill="auto"/>
        </w:rPr>
        <w:t xml:space="preserve"> </w:t>
      </w:r>
    </w:p>
    <w:p>
      <w:pPr>
        <w:keepNext w:val="0"/>
        <w:keepLines w:val="0"/>
        <w:pageBreakBefore w:val="0"/>
        <w:numPr>
          <w:ilvl w:val="-1"/>
          <w:numId w:val="0"/>
        </w:numPr>
        <w:pBdr>
          <w:bottom w:val="single" w:color="FFFFFF" w:sz="4" w:space="31"/>
        </w:pBdr>
        <w:tabs>
          <w:tab w:val="left" w:pos="1440"/>
        </w:tabs>
        <w:kinsoku/>
        <w:wordWrap/>
        <w:overflowPunct w:val="0"/>
        <w:topLinePunct w:val="0"/>
        <w:autoSpaceDE/>
        <w:autoSpaceDN/>
        <w:bidi w:val="0"/>
        <w:adjustRightInd w:val="0"/>
        <w:snapToGrid/>
        <w:spacing w:line="560" w:lineRule="exact"/>
        <w:ind w:firstLine="642" w:firstLineChars="200"/>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i w:val="0"/>
          <w:caps w:val="0"/>
          <w:color w:val="auto"/>
          <w:spacing w:val="0"/>
          <w:sz w:val="32"/>
          <w:szCs w:val="32"/>
          <w:highlight w:val="none"/>
          <w:shd w:val="clear" w:fill="auto"/>
          <w:lang w:val="en-US" w:eastAsia="zh-CN"/>
        </w:rPr>
        <w:t>19</w:t>
      </w:r>
      <w:r>
        <w:rPr>
          <w:rFonts w:hint="eastAsia" w:ascii="仿宋_GB2312" w:hAnsi="仿宋_GB2312" w:eastAsia="仿宋_GB2312" w:cs="仿宋_GB2312"/>
          <w:b/>
          <w:bCs/>
          <w:i w:val="0"/>
          <w:caps w:val="0"/>
          <w:color w:val="auto"/>
          <w:spacing w:val="0"/>
          <w:sz w:val="32"/>
          <w:szCs w:val="32"/>
          <w:highlight w:val="none"/>
          <w:shd w:val="clear" w:fill="auto"/>
        </w:rPr>
        <w:t>.加大知识产权促进和保护力度。</w:t>
      </w:r>
      <w:r>
        <w:rPr>
          <w:rFonts w:hint="eastAsia" w:ascii="仿宋_GB2312" w:hAnsi="仿宋_GB2312" w:eastAsia="仿宋_GB2312" w:cs="仿宋_GB2312"/>
          <w:i w:val="0"/>
          <w:caps w:val="0"/>
          <w:color w:val="auto"/>
          <w:spacing w:val="0"/>
          <w:sz w:val="32"/>
          <w:szCs w:val="32"/>
          <w:highlight w:val="none"/>
          <w:shd w:val="clear" w:fill="auto"/>
        </w:rPr>
        <w:t>争创国家知识产权强市建设试点示范城市</w:t>
      </w:r>
      <w:r>
        <w:rPr>
          <w:rFonts w:hint="eastAsia" w:ascii="仿宋_GB2312" w:hAnsi="仿宋_GB2312" w:eastAsia="仿宋_GB2312" w:cs="仿宋_GB2312"/>
          <w:i w:val="0"/>
          <w:caps w:val="0"/>
          <w:color w:val="auto"/>
          <w:spacing w:val="0"/>
          <w:sz w:val="32"/>
          <w:szCs w:val="32"/>
          <w:highlight w:val="none"/>
          <w:shd w:val="clear" w:fill="auto"/>
          <w:lang w:eastAsia="zh-CN"/>
        </w:rPr>
        <w:t>，</w:t>
      </w:r>
      <w:r>
        <w:rPr>
          <w:rFonts w:hint="eastAsia" w:ascii="仿宋_GB2312" w:hAnsi="仿宋_GB2312" w:eastAsia="仿宋_GB2312" w:cs="仿宋_GB2312"/>
          <w:i w:val="0"/>
          <w:caps w:val="0"/>
          <w:color w:val="auto"/>
          <w:spacing w:val="0"/>
          <w:sz w:val="32"/>
          <w:szCs w:val="32"/>
          <w:highlight w:val="none"/>
          <w:shd w:val="clear" w:fill="auto"/>
        </w:rPr>
        <w:t xml:space="preserve">健全知识产权保护制度，提升企业商业秘密保护能力。优化全区知识产权公共服务工作站布局，扩大知识产权公共服务工作数量，服务覆盖更多企业，为高精尖产业、数字经济等重点领域和专精特新中小企业提供精准服务。 </w:t>
      </w:r>
    </w:p>
    <w:p>
      <w:pPr>
        <w:keepNext w:val="0"/>
        <w:keepLines w:val="0"/>
        <w:pageBreakBefore w:val="0"/>
        <w:numPr>
          <w:ilvl w:val="-1"/>
          <w:numId w:val="0"/>
        </w:numPr>
        <w:pBdr>
          <w:bottom w:val="single" w:color="FFFFFF" w:sz="4" w:space="31"/>
        </w:pBdr>
        <w:tabs>
          <w:tab w:val="left" w:pos="1440"/>
        </w:tabs>
        <w:kinsoku/>
        <w:wordWrap/>
        <w:overflowPunct w:val="0"/>
        <w:topLinePunct w:val="0"/>
        <w:autoSpaceDE/>
        <w:autoSpaceDN/>
        <w:bidi w:val="0"/>
        <w:adjustRightInd w:val="0"/>
        <w:snapToGrid/>
        <w:spacing w:line="560" w:lineRule="exact"/>
        <w:ind w:firstLine="640" w:firstLineChars="200"/>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i w:val="0"/>
          <w:caps w:val="0"/>
          <w:color w:val="auto"/>
          <w:spacing w:val="0"/>
          <w:sz w:val="32"/>
          <w:szCs w:val="32"/>
          <w:highlight w:val="none"/>
          <w:shd w:val="clear" w:fill="auto"/>
        </w:rPr>
        <w:t>牵头部门：区市场监管局</w:t>
      </w:r>
    </w:p>
    <w:p>
      <w:pPr>
        <w:keepNext w:val="0"/>
        <w:keepLines w:val="0"/>
        <w:pageBreakBefore w:val="0"/>
        <w:numPr>
          <w:ilvl w:val="-1"/>
          <w:numId w:val="0"/>
        </w:numPr>
        <w:pBdr>
          <w:bottom w:val="single" w:color="FFFFFF" w:sz="4" w:space="31"/>
        </w:pBdr>
        <w:tabs>
          <w:tab w:val="left" w:pos="1440"/>
        </w:tabs>
        <w:kinsoku/>
        <w:wordWrap/>
        <w:overflowPunct w:val="0"/>
        <w:topLinePunct w:val="0"/>
        <w:autoSpaceDE/>
        <w:autoSpaceDN/>
        <w:bidi w:val="0"/>
        <w:adjustRightInd w:val="0"/>
        <w:snapToGrid/>
        <w:spacing w:line="560" w:lineRule="exact"/>
        <w:ind w:firstLine="640" w:firstLineChars="200"/>
        <w:textAlignment w:val="auto"/>
        <w:outlineLvl w:val="9"/>
        <w:rPr>
          <w:rFonts w:hint="eastAsia"/>
        </w:rPr>
      </w:pPr>
      <w:r>
        <w:rPr>
          <w:rFonts w:hint="eastAsia" w:ascii="楷体_GB2312" w:hAnsi="仿宋_GB2312" w:eastAsia="楷体_GB2312" w:cs="仿宋_GB2312"/>
          <w:i w:val="0"/>
          <w:caps w:val="0"/>
          <w:color w:val="auto"/>
          <w:spacing w:val="0"/>
          <w:sz w:val="32"/>
          <w:szCs w:val="21"/>
          <w:highlight w:val="none"/>
          <w:u w:val="none"/>
          <w:shd w:val="clear" w:fill="auto"/>
          <w:lang w:eastAsia="zh-CN"/>
        </w:rPr>
        <w:t>（五）</w:t>
      </w:r>
      <w:r>
        <w:rPr>
          <w:rFonts w:hint="eastAsia" w:ascii="楷体_GB2312" w:hAnsi="仿宋_GB2312" w:eastAsia="楷体_GB2312" w:cs="仿宋_GB2312"/>
          <w:i w:val="0"/>
          <w:caps w:val="0"/>
          <w:color w:val="auto"/>
          <w:spacing w:val="0"/>
          <w:sz w:val="32"/>
          <w:szCs w:val="21"/>
          <w:highlight w:val="none"/>
          <w:u w:val="none"/>
          <w:shd w:val="clear" w:fill="auto"/>
        </w:rPr>
        <w:t>拓展市场主体发展空间，加大力度营造包容开放的投资环境</w:t>
      </w:r>
    </w:p>
    <w:p>
      <w:pPr>
        <w:keepNext w:val="0"/>
        <w:keepLines w:val="0"/>
        <w:pageBreakBefore w:val="0"/>
        <w:numPr>
          <w:ilvl w:val="-1"/>
          <w:numId w:val="0"/>
        </w:numPr>
        <w:pBdr>
          <w:bottom w:val="single" w:color="FFFFFF" w:sz="4" w:space="31"/>
        </w:pBdr>
        <w:tabs>
          <w:tab w:val="left" w:pos="1440"/>
        </w:tabs>
        <w:kinsoku/>
        <w:wordWrap/>
        <w:overflowPunct w:val="0"/>
        <w:topLinePunct w:val="0"/>
        <w:autoSpaceDE/>
        <w:autoSpaceDN/>
        <w:bidi w:val="0"/>
        <w:adjustRightInd w:val="0"/>
        <w:snapToGrid/>
        <w:spacing w:line="560" w:lineRule="exact"/>
        <w:ind w:firstLine="642" w:firstLineChars="200"/>
        <w:textAlignment w:val="auto"/>
        <w:outlineLvl w:val="9"/>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b/>
          <w:bCs/>
          <w:i w:val="0"/>
          <w:caps w:val="0"/>
          <w:color w:val="auto"/>
          <w:spacing w:val="0"/>
          <w:sz w:val="32"/>
          <w:szCs w:val="32"/>
          <w:highlight w:val="none"/>
          <w:shd w:val="clear" w:fill="auto"/>
          <w:lang w:val="en-US" w:eastAsia="zh-CN"/>
        </w:rPr>
        <w:t>20.</w:t>
      </w:r>
      <w:r>
        <w:rPr>
          <w:rFonts w:hint="eastAsia" w:ascii="仿宋_GB2312" w:hAnsi="仿宋_GB2312" w:eastAsia="仿宋_GB2312" w:cs="仿宋_GB2312"/>
          <w:b/>
          <w:bCs/>
          <w:i w:val="0"/>
          <w:caps w:val="0"/>
          <w:color w:val="auto"/>
          <w:spacing w:val="0"/>
          <w:sz w:val="32"/>
          <w:szCs w:val="32"/>
          <w:highlight w:val="none"/>
          <w:shd w:val="clear" w:fill="auto"/>
        </w:rPr>
        <w:t>不断优化外商投资企业发展环境。</w:t>
      </w:r>
      <w:r>
        <w:rPr>
          <w:rFonts w:hint="eastAsia" w:ascii="仿宋_GB2312" w:hAnsi="仿宋_GB2312" w:eastAsia="仿宋_GB2312" w:cs="仿宋_GB2312"/>
          <w:i w:val="0"/>
          <w:caps w:val="0"/>
          <w:color w:val="auto"/>
          <w:spacing w:val="0"/>
          <w:sz w:val="32"/>
          <w:szCs w:val="32"/>
          <w:highlight w:val="none"/>
          <w:shd w:val="clear" w:fill="auto"/>
        </w:rPr>
        <w:t>鼓励外商投资企业利润再投资，实行与新增外资相同配套政策，支持先进制造业、高新技术外商投资企业利润再投资，加强土地、能源等要素保障，加快推动外资标志性项目落地建设</w:t>
      </w:r>
      <w:r>
        <w:rPr>
          <w:rFonts w:hint="eastAsia" w:ascii="仿宋_GB2312" w:hAnsi="仿宋_GB2312" w:eastAsia="仿宋_GB2312" w:cs="仿宋_GB2312"/>
          <w:i w:val="0"/>
          <w:caps w:val="0"/>
          <w:spacing w:val="0"/>
          <w:sz w:val="32"/>
          <w:szCs w:val="32"/>
          <w:highlight w:val="none"/>
          <w:shd w:val="clear"/>
          <w:lang w:eastAsia="zh-CN"/>
        </w:rPr>
        <w:t>，</w:t>
      </w:r>
      <w:r>
        <w:rPr>
          <w:rFonts w:hint="eastAsia" w:ascii="仿宋_GB2312" w:hAnsi="仿宋_GB2312" w:eastAsia="仿宋_GB2312" w:cs="仿宋_GB2312"/>
          <w:i w:val="0"/>
          <w:caps w:val="0"/>
          <w:spacing w:val="0"/>
          <w:sz w:val="32"/>
          <w:szCs w:val="32"/>
          <w:highlight w:val="none"/>
          <w:shd w:val="clear"/>
          <w:lang w:val="en-US" w:eastAsia="zh-CN"/>
        </w:rPr>
        <w:t>积极对接海外资源，探索</w:t>
      </w:r>
      <w:r>
        <w:rPr>
          <w:rFonts w:hint="eastAsia" w:ascii="仿宋_GB2312" w:hAnsi="仿宋_GB2312" w:eastAsia="仿宋_GB2312" w:cs="仿宋_GB2312"/>
          <w:i w:val="0"/>
          <w:caps w:val="0"/>
          <w:color w:val="auto"/>
          <w:spacing w:val="0"/>
          <w:sz w:val="32"/>
          <w:szCs w:val="32"/>
          <w:highlight w:val="none"/>
          <w:shd w:val="clear" w:fill="auto"/>
        </w:rPr>
        <w:t xml:space="preserve">设立海外招商站。 </w:t>
      </w:r>
      <w:r>
        <w:rPr>
          <w:rFonts w:hint="eastAsia" w:ascii="仿宋_GB2312" w:hAnsi="仿宋_GB2312" w:eastAsia="仿宋_GB2312" w:cs="仿宋_GB2312"/>
          <w:i w:val="0"/>
          <w:caps w:val="0"/>
          <w:spacing w:val="0"/>
          <w:sz w:val="32"/>
          <w:szCs w:val="32"/>
          <w:highlight w:val="none"/>
          <w:shd w:val="clear"/>
          <w:lang w:val="en-US" w:eastAsia="zh-CN"/>
        </w:rPr>
        <w:t xml:space="preserve">  </w:t>
      </w:r>
    </w:p>
    <w:p>
      <w:pPr>
        <w:keepNext w:val="0"/>
        <w:keepLines w:val="0"/>
        <w:pageBreakBefore w:val="0"/>
        <w:numPr>
          <w:ilvl w:val="-1"/>
          <w:numId w:val="0"/>
        </w:numPr>
        <w:pBdr>
          <w:bottom w:val="single" w:color="FFFFFF" w:sz="4" w:space="31"/>
        </w:pBdr>
        <w:tabs>
          <w:tab w:val="left" w:pos="1440"/>
        </w:tabs>
        <w:kinsoku/>
        <w:wordWrap/>
        <w:overflowPunct w:val="0"/>
        <w:topLinePunct w:val="0"/>
        <w:autoSpaceDE/>
        <w:autoSpaceDN/>
        <w:bidi w:val="0"/>
        <w:adjustRightInd w:val="0"/>
        <w:snapToGrid/>
        <w:spacing w:line="560" w:lineRule="exact"/>
        <w:ind w:firstLine="640" w:firstLineChars="200"/>
        <w:textAlignment w:val="auto"/>
        <w:outlineLvl w:val="9"/>
        <w:rPr>
          <w:rFonts w:hint="eastAsia" w:ascii="仿宋_GB2312" w:hAnsi="仿宋_GB2312" w:eastAsia="仿宋_GB2312" w:cs="仿宋_GB2312"/>
          <w:i w:val="0"/>
          <w:caps w:val="0"/>
          <w:spacing w:val="0"/>
          <w:sz w:val="32"/>
          <w:szCs w:val="32"/>
          <w:highlight w:val="none"/>
          <w:shd w:val="clear"/>
        </w:rPr>
      </w:pPr>
      <w:r>
        <w:rPr>
          <w:rFonts w:hint="eastAsia" w:ascii="仿宋_GB2312" w:hAnsi="仿宋_GB2312" w:eastAsia="仿宋_GB2312" w:cs="仿宋_GB2312"/>
          <w:i w:val="0"/>
          <w:caps w:val="0"/>
          <w:color w:val="auto"/>
          <w:spacing w:val="0"/>
          <w:sz w:val="32"/>
          <w:szCs w:val="32"/>
          <w:highlight w:val="none"/>
          <w:shd w:val="clear" w:fill="auto"/>
        </w:rPr>
        <w:t>牵头单位：区商务局、区科信局、中关村门头沟园管委会、区投促中心、区发改委</w:t>
      </w:r>
    </w:p>
    <w:p>
      <w:pPr>
        <w:keepNext w:val="0"/>
        <w:keepLines w:val="0"/>
        <w:pageBreakBefore w:val="0"/>
        <w:numPr>
          <w:ilvl w:val="-1"/>
          <w:numId w:val="0"/>
        </w:numPr>
        <w:pBdr>
          <w:bottom w:val="single" w:color="FFFFFF" w:sz="4" w:space="31"/>
        </w:pBdr>
        <w:tabs>
          <w:tab w:val="left" w:pos="1440"/>
        </w:tabs>
        <w:kinsoku/>
        <w:wordWrap/>
        <w:overflowPunct w:val="0"/>
        <w:topLinePunct w:val="0"/>
        <w:autoSpaceDE/>
        <w:autoSpaceDN/>
        <w:bidi w:val="0"/>
        <w:adjustRightInd w:val="0"/>
        <w:snapToGrid/>
        <w:spacing w:line="560" w:lineRule="exact"/>
        <w:ind w:firstLine="642" w:firstLineChars="200"/>
        <w:textAlignment w:val="auto"/>
        <w:outlineLvl w:val="9"/>
        <w:rPr>
          <w:rFonts w:hint="eastAsia" w:ascii="仿宋_GB2312" w:hAnsi="仿宋_GB2312" w:eastAsia="仿宋_GB2312" w:cs="仿宋_GB2312"/>
          <w:i w:val="0"/>
          <w:caps w:val="0"/>
          <w:spacing w:val="0"/>
          <w:sz w:val="32"/>
          <w:szCs w:val="32"/>
          <w:highlight w:val="none"/>
          <w:shd w:val="clear"/>
        </w:rPr>
      </w:pPr>
      <w:r>
        <w:rPr>
          <w:rFonts w:hint="eastAsia" w:ascii="仿宋_GB2312" w:hAnsi="仿宋_GB2312" w:eastAsia="仿宋_GB2312" w:cs="仿宋_GB2312"/>
          <w:b/>
          <w:bCs/>
          <w:i w:val="0"/>
          <w:caps w:val="0"/>
          <w:color w:val="auto"/>
          <w:spacing w:val="0"/>
          <w:sz w:val="32"/>
          <w:szCs w:val="32"/>
          <w:highlight w:val="none"/>
          <w:shd w:val="clear" w:fill="auto"/>
          <w:lang w:val="en-US" w:eastAsia="zh-CN"/>
        </w:rPr>
        <w:t>21.</w:t>
      </w:r>
      <w:r>
        <w:rPr>
          <w:rFonts w:hint="eastAsia" w:ascii="仿宋_GB2312" w:hAnsi="仿宋_GB2312" w:eastAsia="仿宋_GB2312" w:cs="仿宋_GB2312"/>
          <w:b/>
          <w:bCs/>
          <w:i w:val="0"/>
          <w:caps w:val="0"/>
          <w:color w:val="auto"/>
          <w:spacing w:val="0"/>
          <w:sz w:val="32"/>
          <w:szCs w:val="32"/>
          <w:highlight w:val="none"/>
          <w:shd w:val="clear" w:fill="auto"/>
        </w:rPr>
        <w:t>大力提升国际贸易发展环境。</w:t>
      </w:r>
      <w:r>
        <w:rPr>
          <w:rFonts w:hint="eastAsia" w:ascii="仿宋_GB2312" w:hAnsi="仿宋_GB2312" w:eastAsia="仿宋_GB2312" w:cs="仿宋_GB2312"/>
          <w:i w:val="0"/>
          <w:caps w:val="0"/>
          <w:color w:val="auto"/>
          <w:spacing w:val="0"/>
          <w:sz w:val="32"/>
          <w:szCs w:val="32"/>
          <w:highlight w:val="none"/>
          <w:shd w:val="clear" w:fill="auto"/>
        </w:rPr>
        <w:t>鼓励贸促机构、会展企业举办或参加境内外展会，依托中国国际服务贸易交易会、中关村论坛（科博会）、金融街论坛等平台，帮助外贸企业拓展国际市场。开展经贸预警、企业合规排查等商事法律服务工作，帮助企业规避投资贸易风险。</w:t>
      </w:r>
    </w:p>
    <w:p>
      <w:pPr>
        <w:keepNext w:val="0"/>
        <w:keepLines w:val="0"/>
        <w:pageBreakBefore w:val="0"/>
        <w:numPr>
          <w:ilvl w:val="-1"/>
          <w:numId w:val="0"/>
        </w:numPr>
        <w:pBdr>
          <w:bottom w:val="single" w:color="FFFFFF" w:sz="4" w:space="31"/>
        </w:pBdr>
        <w:tabs>
          <w:tab w:val="left" w:pos="1440"/>
        </w:tabs>
        <w:kinsoku/>
        <w:wordWrap/>
        <w:overflowPunct w:val="0"/>
        <w:topLinePunct w:val="0"/>
        <w:autoSpaceDE/>
        <w:autoSpaceDN/>
        <w:bidi w:val="0"/>
        <w:adjustRightInd w:val="0"/>
        <w:snapToGrid/>
        <w:spacing w:line="560" w:lineRule="exact"/>
        <w:ind w:firstLine="640" w:firstLineChars="200"/>
        <w:textAlignment w:val="auto"/>
        <w:outlineLvl w:val="9"/>
        <w:rPr>
          <w:rFonts w:hint="eastAsia" w:ascii="仿宋_GB2312" w:hAnsi="仿宋_GB2312" w:eastAsia="仿宋_GB2312" w:cs="仿宋_GB2312"/>
          <w:i w:val="0"/>
          <w:caps w:val="0"/>
          <w:spacing w:val="0"/>
          <w:sz w:val="32"/>
          <w:szCs w:val="32"/>
          <w:highlight w:val="none"/>
          <w:shd w:val="clear"/>
        </w:rPr>
      </w:pPr>
      <w:r>
        <w:rPr>
          <w:rFonts w:hint="eastAsia" w:ascii="仿宋_GB2312" w:hAnsi="仿宋_GB2312" w:eastAsia="仿宋_GB2312" w:cs="仿宋_GB2312"/>
          <w:i w:val="0"/>
          <w:caps w:val="0"/>
          <w:color w:val="auto"/>
          <w:spacing w:val="0"/>
          <w:sz w:val="32"/>
          <w:szCs w:val="32"/>
          <w:highlight w:val="none"/>
          <w:shd w:val="clear" w:fill="auto"/>
        </w:rPr>
        <w:t>牵头单位：区商务局、中关村门头沟园管委会、区投促中心</w:t>
      </w:r>
      <w:r>
        <w:rPr>
          <w:rFonts w:hint="eastAsia" w:ascii="仿宋_GB2312" w:hAnsi="仿宋_GB2312" w:eastAsia="仿宋_GB2312" w:cs="仿宋_GB2312"/>
          <w:i w:val="0"/>
          <w:caps w:val="0"/>
          <w:color w:val="auto"/>
          <w:spacing w:val="0"/>
          <w:sz w:val="32"/>
          <w:szCs w:val="32"/>
          <w:highlight w:val="none"/>
          <w:shd w:val="clear" w:fill="auto"/>
          <w:lang w:eastAsia="zh-CN"/>
        </w:rPr>
        <w:t>、</w:t>
      </w:r>
      <w:r>
        <w:rPr>
          <w:rFonts w:hint="eastAsia" w:ascii="仿宋_GB2312" w:hAnsi="仿宋_GB2312" w:eastAsia="仿宋_GB2312" w:cs="仿宋_GB2312"/>
          <w:i w:val="0"/>
          <w:caps w:val="0"/>
          <w:color w:val="auto"/>
          <w:spacing w:val="0"/>
          <w:sz w:val="32"/>
          <w:szCs w:val="32"/>
          <w:highlight w:val="none"/>
          <w:shd w:val="clear" w:fill="auto"/>
          <w:lang w:val="en-US" w:eastAsia="zh-CN"/>
        </w:rPr>
        <w:t>区发改委</w:t>
      </w:r>
    </w:p>
    <w:p>
      <w:pPr>
        <w:keepNext w:val="0"/>
        <w:keepLines w:val="0"/>
        <w:pageBreakBefore w:val="0"/>
        <w:numPr>
          <w:ilvl w:val="-1"/>
          <w:numId w:val="0"/>
        </w:numPr>
        <w:pBdr>
          <w:bottom w:val="single" w:color="FFFFFF" w:sz="4" w:space="31"/>
        </w:pBdr>
        <w:tabs>
          <w:tab w:val="left" w:pos="1440"/>
        </w:tabs>
        <w:kinsoku/>
        <w:wordWrap/>
        <w:overflowPunct w:val="0"/>
        <w:topLinePunct w:val="0"/>
        <w:autoSpaceDE/>
        <w:autoSpaceDN/>
        <w:bidi w:val="0"/>
        <w:adjustRightInd w:val="0"/>
        <w:snapToGrid/>
        <w:spacing w:line="560" w:lineRule="exact"/>
        <w:ind w:firstLine="642"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highlight w:val="none"/>
          <w:lang w:val="en-US" w:eastAsia="zh-CN"/>
        </w:rPr>
        <w:t>22.</w:t>
      </w:r>
      <w:r>
        <w:rPr>
          <w:rFonts w:hint="eastAsia" w:ascii="仿宋_GB2312" w:hAnsi="仿宋_GB2312" w:eastAsia="仿宋_GB2312" w:cs="仿宋_GB2312"/>
          <w:b/>
          <w:bCs/>
          <w:sz w:val="32"/>
          <w:szCs w:val="32"/>
          <w:highlight w:val="none"/>
        </w:rPr>
        <w:t>不断提</w:t>
      </w:r>
      <w:r>
        <w:rPr>
          <w:rFonts w:hint="eastAsia" w:ascii="仿宋_GB2312" w:hAnsi="仿宋_GB2312" w:eastAsia="仿宋_GB2312" w:cs="仿宋_GB2312"/>
          <w:b/>
          <w:bCs/>
          <w:sz w:val="32"/>
          <w:szCs w:val="32"/>
          <w:highlight w:val="none"/>
          <w:lang w:eastAsia="zh-CN"/>
        </w:rPr>
        <w:t>高</w:t>
      </w:r>
      <w:r>
        <w:rPr>
          <w:rFonts w:hint="eastAsia" w:ascii="仿宋_GB2312" w:hAnsi="仿宋_GB2312" w:eastAsia="仿宋_GB2312" w:cs="仿宋_GB2312"/>
          <w:b/>
          <w:bCs/>
          <w:sz w:val="32"/>
          <w:szCs w:val="32"/>
          <w:highlight w:val="none"/>
        </w:rPr>
        <w:t>投资和建设项目审批效率。</w:t>
      </w:r>
      <w:r>
        <w:rPr>
          <w:rFonts w:hint="eastAsia" w:ascii="仿宋_GB2312" w:hAnsi="仿宋_GB2312" w:eastAsia="仿宋_GB2312" w:cs="仿宋_GB2312"/>
          <w:sz w:val="32"/>
          <w:szCs w:val="32"/>
          <w:highlight w:val="none"/>
        </w:rPr>
        <w:t>推广“区域评估+标准地+承诺制+政府配套”改革，提高以承诺制方式落地开工项目比例。复制推广建筑师负责制试点经验，落实市级配套技术规范、风险防范等机制政策，确保建筑师负责制项目稳步有序实施</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确保建筑师负责制项目稳步有序实施。</w:t>
      </w:r>
      <w:r>
        <w:rPr>
          <w:rFonts w:hint="eastAsia" w:ascii="仿宋_GB2312" w:hAnsi="仿宋_GB2312" w:eastAsia="仿宋_GB2312" w:cs="仿宋_GB2312"/>
          <w:sz w:val="32"/>
          <w:szCs w:val="32"/>
          <w:highlight w:val="none"/>
          <w:lang w:val="en-US" w:eastAsia="zh-CN"/>
        </w:rPr>
        <w:t>依托国际科技创新中心网络服务平台，</w:t>
      </w:r>
      <w:r>
        <w:rPr>
          <w:rFonts w:hint="eastAsia" w:ascii="仿宋_GB2312" w:hAnsi="仿宋_GB2312" w:eastAsia="仿宋_GB2312" w:cs="仿宋_GB2312"/>
          <w:sz w:val="32"/>
          <w:szCs w:val="32"/>
          <w:highlight w:val="none"/>
        </w:rPr>
        <w:t>进一步汇聚特色产业园区的经营场所信息，为企业提供更多经营场所的空间选择。以特色产业园区为重点，打破信息区域壁垒，优化数据获取及推送</w:t>
      </w:r>
      <w:r>
        <w:rPr>
          <w:rFonts w:hint="eastAsia" w:ascii="仿宋_GB2312" w:hAnsi="仿宋_GB2312" w:eastAsia="仿宋_GB2312" w:cs="仿宋_GB2312"/>
          <w:sz w:val="32"/>
          <w:szCs w:val="32"/>
        </w:rPr>
        <w:t>服务，为企业落户获取信息提供更多选择、更优推荐、更佳参考。</w:t>
      </w:r>
    </w:p>
    <w:p>
      <w:pPr>
        <w:keepNext w:val="0"/>
        <w:keepLines w:val="0"/>
        <w:pageBreakBefore w:val="0"/>
        <w:numPr>
          <w:ilvl w:val="-1"/>
          <w:numId w:val="0"/>
        </w:numPr>
        <w:pBdr>
          <w:bottom w:val="single" w:color="FFFFFF" w:sz="4" w:space="31"/>
        </w:pBdr>
        <w:tabs>
          <w:tab w:val="left" w:pos="1440"/>
        </w:tabs>
        <w:kinsoku/>
        <w:wordWrap/>
        <w:overflowPunct w:val="0"/>
        <w:topLinePunct w:val="0"/>
        <w:autoSpaceDE/>
        <w:autoSpaceDN/>
        <w:bidi w:val="0"/>
        <w:adjustRightInd w:val="0"/>
        <w:snapToGrid/>
        <w:spacing w:line="560" w:lineRule="exact"/>
        <w:ind w:firstLine="0" w:firstLineChars="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i w:val="0"/>
          <w:caps w:val="0"/>
          <w:spacing w:val="0"/>
          <w:sz w:val="32"/>
          <w:szCs w:val="32"/>
          <w:highlight w:val="none"/>
          <w:shd w:val="clear"/>
        </w:rPr>
        <w:t>牵头单位：区</w:t>
      </w:r>
      <w:r>
        <w:rPr>
          <w:rFonts w:hint="eastAsia" w:ascii="仿宋_GB2312" w:hAnsi="仿宋_GB2312" w:eastAsia="仿宋_GB2312" w:cs="仿宋_GB2312"/>
          <w:i w:val="0"/>
          <w:caps w:val="0"/>
          <w:spacing w:val="0"/>
          <w:sz w:val="32"/>
          <w:szCs w:val="32"/>
          <w:highlight w:val="none"/>
          <w:shd w:val="clear"/>
          <w:lang w:val="en-US" w:eastAsia="zh-CN"/>
        </w:rPr>
        <w:t>发改委</w:t>
      </w:r>
      <w:r>
        <w:rPr>
          <w:rFonts w:hint="eastAsia" w:ascii="仿宋_GB2312" w:hAnsi="仿宋_GB2312" w:eastAsia="仿宋_GB2312" w:cs="仿宋_GB2312"/>
          <w:i w:val="0"/>
          <w:caps w:val="0"/>
          <w:spacing w:val="0"/>
          <w:sz w:val="32"/>
          <w:szCs w:val="32"/>
          <w:highlight w:val="none"/>
          <w:shd w:val="clear"/>
        </w:rPr>
        <w:t>、</w:t>
      </w:r>
      <w:r>
        <w:rPr>
          <w:rFonts w:hint="eastAsia" w:ascii="仿宋_GB2312" w:hAnsi="仿宋_GB2312" w:eastAsia="仿宋_GB2312" w:cs="仿宋_GB2312"/>
          <w:i w:val="0"/>
          <w:caps w:val="0"/>
          <w:spacing w:val="0"/>
          <w:sz w:val="32"/>
          <w:szCs w:val="32"/>
          <w:highlight w:val="none"/>
          <w:shd w:val="clear"/>
          <w:lang w:val="en-US" w:eastAsia="zh-CN"/>
        </w:rPr>
        <w:t>区规自分局、区住建委、区科信局、区市场监管局、</w:t>
      </w:r>
      <w:r>
        <w:rPr>
          <w:rFonts w:hint="eastAsia" w:ascii="仿宋_GB2312" w:hAnsi="仿宋_GB2312" w:eastAsia="仿宋_GB2312" w:cs="仿宋_GB2312"/>
          <w:i w:val="0"/>
          <w:caps w:val="0"/>
          <w:spacing w:val="0"/>
          <w:sz w:val="32"/>
          <w:szCs w:val="32"/>
          <w:highlight w:val="none"/>
          <w:shd w:val="clear"/>
        </w:rPr>
        <w:t>中关村门头沟园管委会、区投促中心</w:t>
      </w:r>
    </w:p>
    <w:p>
      <w:pPr>
        <w:keepNext w:val="0"/>
        <w:keepLines w:val="0"/>
        <w:pageBreakBefore w:val="0"/>
        <w:numPr>
          <w:ilvl w:val="0"/>
          <w:numId w:val="0"/>
        </w:numPr>
        <w:pBdr>
          <w:bottom w:val="single" w:color="FFFFFF" w:sz="4" w:space="31"/>
        </w:pBdr>
        <w:tabs>
          <w:tab w:val="left" w:pos="1440"/>
        </w:tabs>
        <w:kinsoku/>
        <w:wordWrap/>
        <w:overflowPunct w:val="0"/>
        <w:topLinePunct w:val="0"/>
        <w:autoSpaceDE/>
        <w:autoSpaceDN/>
        <w:bidi w:val="0"/>
        <w:adjustRightInd w:val="0"/>
        <w:snapToGrid/>
        <w:spacing w:line="560" w:lineRule="exact"/>
        <w:ind w:firstLine="640" w:firstLineChars="0"/>
        <w:textAlignment w:val="auto"/>
        <w:outlineLvl w:val="9"/>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b/>
          <w:bCs/>
          <w:sz w:val="32"/>
          <w:szCs w:val="32"/>
          <w:lang w:val="en-US" w:eastAsia="zh-CN"/>
        </w:rPr>
        <w:t>23</w:t>
      </w:r>
      <w:r>
        <w:rPr>
          <w:rFonts w:hint="eastAsia" w:ascii="仿宋_GB2312" w:hAnsi="仿宋_GB2312" w:eastAsia="仿宋_GB2312" w:cs="仿宋_GB2312"/>
          <w:b/>
          <w:bCs/>
          <w:sz w:val="32"/>
          <w:szCs w:val="32"/>
        </w:rPr>
        <w:t>.提高市政公用设施报装便利度。</w:t>
      </w:r>
      <w:r>
        <w:rPr>
          <w:rFonts w:hint="eastAsia" w:ascii="仿宋_GB2312" w:hAnsi="仿宋_GB2312" w:eastAsia="仿宋_GB2312" w:cs="仿宋_GB2312"/>
          <w:sz w:val="32"/>
          <w:szCs w:val="32"/>
        </w:rPr>
        <w:t>推行外线工程审批全覆盖改革，对符合条件的工程实行“非禁免批”，对其余市政接入工程涉及的工程规划许可、绿化许可、占掘路和占道施工许可等事项实行并联审批。研究制定市政领域联合服务实施细则，明确联合报装、勘查、施工、接入相关机制、流程和标准，解决同一项目不同市政企业重复施工等问题。</w:t>
      </w:r>
    </w:p>
    <w:p>
      <w:pPr>
        <w:keepNext w:val="0"/>
        <w:keepLines w:val="0"/>
        <w:pageBreakBefore w:val="0"/>
        <w:numPr>
          <w:ilvl w:val="0"/>
          <w:numId w:val="0"/>
        </w:numPr>
        <w:pBdr>
          <w:bottom w:val="single" w:color="FFFFFF" w:sz="4" w:space="31"/>
        </w:pBdr>
        <w:tabs>
          <w:tab w:val="left" w:pos="1440"/>
        </w:tabs>
        <w:kinsoku/>
        <w:wordWrap/>
        <w:overflowPunct w:val="0"/>
        <w:topLinePunct w:val="0"/>
        <w:autoSpaceDE/>
        <w:autoSpaceDN/>
        <w:bidi w:val="0"/>
        <w:adjustRightInd w:val="0"/>
        <w:snapToGrid/>
        <w:spacing w:line="560" w:lineRule="exact"/>
        <w:ind w:firstLine="640"/>
        <w:textAlignment w:val="auto"/>
        <w:outlineLvl w:val="9"/>
        <w:rPr>
          <w:rFonts w:hint="eastAsia"/>
        </w:rPr>
      </w:pPr>
      <w:r>
        <w:rPr>
          <w:rFonts w:hint="eastAsia" w:ascii="仿宋_GB2312" w:hAnsi="仿宋_GB2312" w:eastAsia="仿宋_GB2312" w:cs="仿宋_GB2312"/>
          <w:i w:val="0"/>
          <w:caps w:val="0"/>
          <w:spacing w:val="0"/>
          <w:sz w:val="32"/>
          <w:szCs w:val="32"/>
          <w:highlight w:val="none"/>
          <w:shd w:val="clear"/>
        </w:rPr>
        <w:t>牵头单位：</w:t>
      </w:r>
      <w:r>
        <w:rPr>
          <w:rFonts w:hint="eastAsia" w:ascii="仿宋_GB2312" w:hAnsi="仿宋_GB2312" w:eastAsia="仿宋_GB2312" w:cs="仿宋_GB2312"/>
          <w:i w:val="0"/>
          <w:caps w:val="0"/>
          <w:spacing w:val="0"/>
          <w:sz w:val="32"/>
          <w:szCs w:val="32"/>
          <w:highlight w:val="none"/>
          <w:shd w:val="clear"/>
          <w:lang w:val="en-US" w:eastAsia="zh-CN"/>
        </w:rPr>
        <w:t>区城市管理委、区水务局、区规自分局、区政务服务局、区园林绿化局、区公安分局（交通支队）、区公路分局、区住建委、区科信局</w:t>
      </w:r>
    </w:p>
    <w:p>
      <w:pPr>
        <w:keepNext w:val="0"/>
        <w:keepLines w:val="0"/>
        <w:pageBreakBefore w:val="0"/>
        <w:numPr>
          <w:ilvl w:val="0"/>
          <w:numId w:val="0"/>
        </w:numPr>
        <w:pBdr>
          <w:bottom w:val="single" w:color="FFFFFF" w:sz="4" w:space="31"/>
        </w:pBdr>
        <w:tabs>
          <w:tab w:val="left" w:pos="1440"/>
        </w:tabs>
        <w:kinsoku/>
        <w:wordWrap/>
        <w:overflowPunct w:val="0"/>
        <w:topLinePunct w:val="0"/>
        <w:autoSpaceDE/>
        <w:autoSpaceDN/>
        <w:bidi w:val="0"/>
        <w:adjustRightInd w:val="0"/>
        <w:snapToGrid/>
        <w:spacing w:line="560" w:lineRule="exact"/>
        <w:ind w:firstLine="640"/>
        <w:textAlignment w:val="auto"/>
        <w:outlineLvl w:val="9"/>
        <w:rPr>
          <w:rFonts w:hint="eastAsia" w:ascii="黑体" w:hAnsi="黑体" w:eastAsia="黑体" w:cs="黑体"/>
          <w:sz w:val="32"/>
          <w:szCs w:val="32"/>
          <w:highlight w:val="none"/>
        </w:rPr>
      </w:pPr>
      <w:r>
        <w:rPr>
          <w:rFonts w:hint="eastAsia" w:ascii="黑体" w:hAnsi="黑体" w:eastAsia="黑体" w:cs="黑体"/>
          <w:sz w:val="32"/>
          <w:szCs w:val="32"/>
          <w:highlight w:val="none"/>
        </w:rPr>
        <w:t>三、组织保障</w:t>
      </w:r>
    </w:p>
    <w:p>
      <w:pPr>
        <w:keepNext w:val="0"/>
        <w:keepLines w:val="0"/>
        <w:pageBreakBefore w:val="0"/>
        <w:numPr>
          <w:ilvl w:val="0"/>
          <w:numId w:val="0"/>
        </w:numPr>
        <w:pBdr>
          <w:bottom w:val="single" w:color="FFFFFF" w:sz="4" w:space="31"/>
        </w:pBdr>
        <w:tabs>
          <w:tab w:val="left" w:pos="1440"/>
        </w:tabs>
        <w:kinsoku/>
        <w:wordWrap/>
        <w:overflowPunct w:val="0"/>
        <w:topLinePunct w:val="0"/>
        <w:autoSpaceDE/>
        <w:autoSpaceDN/>
        <w:bidi w:val="0"/>
        <w:adjustRightInd w:val="0"/>
        <w:snapToGrid/>
        <w:spacing w:line="560" w:lineRule="exact"/>
        <w:ind w:firstLine="640"/>
        <w:textAlignment w:val="auto"/>
        <w:outlineLvl w:val="9"/>
        <w:rPr>
          <w:rFonts w:hint="eastAsia" w:ascii="楷体_GB2312" w:hAnsi="仿宋_GB2312" w:eastAsia="楷体_GB2312" w:cs="仿宋_GB2312"/>
          <w:sz w:val="32"/>
          <w:szCs w:val="32"/>
          <w:highlight w:val="none"/>
        </w:rPr>
      </w:pPr>
      <w:r>
        <w:rPr>
          <w:rFonts w:hint="eastAsia" w:ascii="楷体_GB2312" w:hAnsi="楷体_GB2312" w:eastAsia="楷体_GB2312" w:cs="楷体_GB2312"/>
          <w:sz w:val="32"/>
          <w:szCs w:val="32"/>
          <w:highlight w:val="none"/>
        </w:rPr>
        <w:t>（一）</w:t>
      </w:r>
      <w:r>
        <w:rPr>
          <w:rFonts w:hint="eastAsia" w:ascii="楷体_GB2312" w:hAnsi="仿宋_GB2312" w:eastAsia="楷体_GB2312" w:cs="仿宋_GB2312"/>
          <w:sz w:val="32"/>
          <w:szCs w:val="32"/>
          <w:highlight w:val="none"/>
        </w:rPr>
        <w:t>加强组织</w:t>
      </w:r>
      <w:r>
        <w:rPr>
          <w:rFonts w:hint="eastAsia" w:ascii="楷体_GB2312" w:hAnsi="仿宋_GB2312" w:eastAsia="楷体_GB2312" w:cs="仿宋_GB2312"/>
          <w:sz w:val="32"/>
          <w:szCs w:val="32"/>
          <w:highlight w:val="none"/>
          <w:lang w:eastAsia="zh-CN"/>
        </w:rPr>
        <w:t>实施，</w:t>
      </w:r>
      <w:r>
        <w:rPr>
          <w:rFonts w:hint="eastAsia" w:ascii="楷体_GB2312" w:hAnsi="楷体_GB2312" w:eastAsia="楷体_GB2312" w:cs="楷体_GB2312"/>
          <w:sz w:val="32"/>
          <w:szCs w:val="32"/>
          <w:highlight w:val="none"/>
          <w:u w:val="none"/>
        </w:rPr>
        <w:t>狠抓</w:t>
      </w:r>
      <w:r>
        <w:rPr>
          <w:rFonts w:hint="eastAsia" w:ascii="楷体_GB2312" w:hAnsi="楷体_GB2312" w:eastAsia="楷体_GB2312" w:cs="楷体_GB2312"/>
          <w:sz w:val="32"/>
          <w:szCs w:val="32"/>
          <w:highlight w:val="none"/>
          <w:u w:val="none"/>
          <w:lang w:val="en-US" w:eastAsia="zh-CN"/>
        </w:rPr>
        <w:t>政策落地</w:t>
      </w:r>
    </w:p>
    <w:p>
      <w:pPr>
        <w:keepNext w:val="0"/>
        <w:keepLines w:val="0"/>
        <w:pageBreakBefore w:val="0"/>
        <w:numPr>
          <w:ilvl w:val="0"/>
          <w:numId w:val="0"/>
        </w:numPr>
        <w:pBdr>
          <w:bottom w:val="single" w:color="FFFFFF" w:sz="4" w:space="31"/>
        </w:pBdr>
        <w:tabs>
          <w:tab w:val="left" w:pos="1440"/>
        </w:tabs>
        <w:kinsoku/>
        <w:wordWrap/>
        <w:overflowPunct w:val="0"/>
        <w:topLinePunct w:val="0"/>
        <w:autoSpaceDE/>
        <w:autoSpaceDN/>
        <w:bidi w:val="0"/>
        <w:adjustRightInd w:val="0"/>
        <w:snapToGrid/>
        <w:spacing w:line="560" w:lineRule="exact"/>
        <w:ind w:firstLine="640"/>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各部门要进一步提高政治站位，</w:t>
      </w:r>
      <w:r>
        <w:rPr>
          <w:rFonts w:hint="eastAsia" w:ascii="仿宋_GB2312" w:hAnsi="仿宋_GB2312" w:eastAsia="仿宋_GB2312" w:cs="仿宋_GB2312"/>
          <w:sz w:val="32"/>
          <w:szCs w:val="32"/>
          <w:highlight w:val="none"/>
          <w:lang w:eastAsia="zh-CN"/>
        </w:rPr>
        <w:t>切实将营商环境改革工作</w:t>
      </w:r>
      <w:r>
        <w:rPr>
          <w:rFonts w:hint="eastAsia" w:ascii="仿宋_GB2312" w:hAnsi="仿宋_GB2312" w:eastAsia="仿宋_GB2312" w:cs="仿宋_GB2312"/>
          <w:sz w:val="32"/>
          <w:szCs w:val="32"/>
          <w:highlight w:val="none"/>
          <w:lang w:val="en-US" w:eastAsia="zh-CN"/>
        </w:rPr>
        <w:t>摆</w:t>
      </w:r>
      <w:r>
        <w:rPr>
          <w:rFonts w:hint="eastAsia" w:ascii="仿宋_GB2312" w:hAnsi="仿宋_GB2312" w:eastAsia="仿宋_GB2312" w:cs="仿宋_GB2312"/>
          <w:sz w:val="32"/>
          <w:szCs w:val="32"/>
          <w:highlight w:val="none"/>
          <w:lang w:eastAsia="zh-CN"/>
        </w:rPr>
        <w:t>在突出位置，作为</w:t>
      </w:r>
      <w:r>
        <w:rPr>
          <w:rFonts w:hint="eastAsia" w:ascii="仿宋_GB2312" w:hAnsi="仿宋_GB2312" w:eastAsia="仿宋_GB2312" w:cs="仿宋_GB2312"/>
          <w:sz w:val="32"/>
          <w:szCs w:val="32"/>
          <w:highlight w:val="none"/>
        </w:rPr>
        <w:t>“一把手”工程</w:t>
      </w:r>
      <w:r>
        <w:rPr>
          <w:rFonts w:hint="eastAsia" w:ascii="仿宋_GB2312" w:hAnsi="仿宋_GB2312" w:eastAsia="仿宋_GB2312" w:cs="仿宋_GB2312"/>
          <w:sz w:val="32"/>
          <w:szCs w:val="32"/>
          <w:highlight w:val="none"/>
          <w:lang w:eastAsia="zh-CN"/>
        </w:rPr>
        <w:t>来抓，</w:t>
      </w:r>
      <w:r>
        <w:rPr>
          <w:rFonts w:hint="eastAsia" w:ascii="仿宋_GB2312" w:hAnsi="仿宋_GB2312" w:eastAsia="仿宋_GB2312" w:cs="仿宋_GB2312"/>
          <w:sz w:val="32"/>
          <w:szCs w:val="32"/>
          <w:highlight w:val="none"/>
        </w:rPr>
        <w:t>强化责任意识，</w:t>
      </w:r>
      <w:r>
        <w:rPr>
          <w:rFonts w:hint="eastAsia" w:ascii="仿宋_GB2312" w:hAnsi="仿宋_GB2312" w:eastAsia="仿宋_GB2312" w:cs="仿宋_GB2312"/>
          <w:sz w:val="32"/>
          <w:szCs w:val="32"/>
          <w:highlight w:val="none"/>
          <w:lang w:val="en-US" w:eastAsia="zh-CN"/>
        </w:rPr>
        <w:t>按照任务部署</w:t>
      </w:r>
      <w:r>
        <w:rPr>
          <w:rFonts w:hint="eastAsia" w:ascii="仿宋_GB2312" w:hAnsi="仿宋_GB2312" w:eastAsia="仿宋_GB2312" w:cs="仿宋_GB2312"/>
          <w:sz w:val="32"/>
          <w:szCs w:val="32"/>
          <w:highlight w:val="none"/>
        </w:rPr>
        <w:t>，加快</w:t>
      </w:r>
      <w:r>
        <w:rPr>
          <w:rFonts w:hint="eastAsia" w:ascii="仿宋_GB2312" w:hAnsi="仿宋_GB2312" w:eastAsia="仿宋_GB2312" w:cs="仿宋_GB2312"/>
          <w:sz w:val="32"/>
          <w:szCs w:val="32"/>
          <w:highlight w:val="none"/>
          <w:lang w:val="en-US" w:eastAsia="zh-CN"/>
        </w:rPr>
        <w:t>研究落实</w:t>
      </w:r>
      <w:r>
        <w:rPr>
          <w:rFonts w:hint="eastAsia" w:ascii="仿宋_GB2312" w:hAnsi="仿宋_GB2312" w:eastAsia="仿宋_GB2312" w:cs="仿宋_GB2312"/>
          <w:sz w:val="32"/>
          <w:szCs w:val="32"/>
          <w:highlight w:val="none"/>
        </w:rPr>
        <w:t>配套政策</w:t>
      </w:r>
      <w:r>
        <w:rPr>
          <w:rFonts w:hint="eastAsia" w:ascii="仿宋_GB2312" w:hAnsi="仿宋_GB2312" w:eastAsia="仿宋_GB2312" w:cs="仿宋_GB2312"/>
          <w:sz w:val="32"/>
          <w:szCs w:val="32"/>
          <w:highlight w:val="none"/>
          <w:lang w:eastAsia="zh-CN"/>
        </w:rPr>
        <w:t>措施</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注重改革的整体性和协同性，</w:t>
      </w:r>
      <w:r>
        <w:rPr>
          <w:rFonts w:hint="eastAsia" w:ascii="仿宋_GB2312" w:hAnsi="仿宋_GB2312" w:eastAsia="仿宋_GB2312" w:cs="仿宋_GB2312"/>
          <w:sz w:val="32"/>
          <w:szCs w:val="32"/>
          <w:highlight w:val="none"/>
          <w:lang w:val="en-US" w:eastAsia="zh-CN"/>
        </w:rPr>
        <w:t>牵头部门要</w:t>
      </w:r>
      <w:r>
        <w:rPr>
          <w:rFonts w:hint="eastAsia" w:ascii="仿宋_GB2312" w:hAnsi="仿宋_GB2312" w:eastAsia="仿宋_GB2312" w:cs="仿宋_GB2312"/>
          <w:sz w:val="32"/>
          <w:szCs w:val="32"/>
          <w:highlight w:val="none"/>
        </w:rPr>
        <w:t>加强组织实施，</w:t>
      </w:r>
      <w:r>
        <w:rPr>
          <w:rFonts w:hint="eastAsia" w:ascii="仿宋_GB2312" w:hAnsi="仿宋_GB2312" w:eastAsia="仿宋_GB2312" w:cs="仿宋_GB2312"/>
          <w:sz w:val="32"/>
          <w:szCs w:val="32"/>
          <w:highlight w:val="none"/>
          <w:lang w:val="en-US" w:eastAsia="zh-CN"/>
        </w:rPr>
        <w:t>相关</w:t>
      </w:r>
      <w:r>
        <w:rPr>
          <w:rFonts w:hint="eastAsia" w:ascii="仿宋_GB2312" w:hAnsi="仿宋_GB2312" w:eastAsia="仿宋_GB2312" w:cs="仿宋_GB2312"/>
          <w:sz w:val="32"/>
          <w:szCs w:val="32"/>
          <w:highlight w:val="none"/>
          <w:lang w:eastAsia="zh-CN"/>
        </w:rPr>
        <w:t>部门要密切协同配合，形成工作合力，</w:t>
      </w:r>
      <w:r>
        <w:rPr>
          <w:rFonts w:hint="eastAsia" w:ascii="仿宋_GB2312" w:hAnsi="仿宋_GB2312" w:eastAsia="仿宋_GB2312" w:cs="仿宋_GB2312"/>
          <w:sz w:val="32"/>
          <w:szCs w:val="32"/>
          <w:highlight w:val="none"/>
        </w:rPr>
        <w:t>推动各项改革任务快速</w:t>
      </w:r>
      <w:r>
        <w:rPr>
          <w:rFonts w:hint="eastAsia" w:ascii="仿宋_GB2312" w:hAnsi="仿宋_GB2312" w:eastAsia="仿宋_GB2312" w:cs="仿宋_GB2312"/>
          <w:sz w:val="32"/>
          <w:szCs w:val="32"/>
          <w:highlight w:val="none"/>
          <w:lang w:eastAsia="zh-CN"/>
        </w:rPr>
        <w:t>实施、</w:t>
      </w:r>
      <w:r>
        <w:rPr>
          <w:rFonts w:hint="eastAsia" w:ascii="仿宋_GB2312" w:hAnsi="仿宋_GB2312" w:eastAsia="仿宋_GB2312" w:cs="仿宋_GB2312"/>
          <w:sz w:val="32"/>
          <w:szCs w:val="32"/>
          <w:highlight w:val="none"/>
        </w:rPr>
        <w:t>落地见效</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把握好</w:t>
      </w:r>
      <w:r>
        <w:rPr>
          <w:rFonts w:hint="eastAsia" w:ascii="仿宋_GB2312" w:hAnsi="仿宋_GB2312" w:eastAsia="仿宋_GB2312" w:cs="仿宋_GB2312"/>
          <w:sz w:val="32"/>
          <w:szCs w:val="32"/>
          <w:highlight w:val="none"/>
          <w:lang w:val="en-US" w:eastAsia="zh-CN"/>
        </w:rPr>
        <w:t>各类</w:t>
      </w:r>
      <w:r>
        <w:rPr>
          <w:rFonts w:hint="eastAsia" w:ascii="仿宋_GB2312" w:hAnsi="仿宋_GB2312" w:eastAsia="仿宋_GB2312" w:cs="仿宋_GB2312"/>
          <w:sz w:val="32"/>
          <w:szCs w:val="32"/>
          <w:highlight w:val="none"/>
        </w:rPr>
        <w:t>政策出台和调整的时、度、效，严格落实政府及有关部门制定与市场主体生产经营活动密切相关的政策措施，应当为市场主体留出一般不少于30日适应调整期的规定，避免“急转弯”和政策“打架”。</w:t>
      </w:r>
    </w:p>
    <w:p>
      <w:pPr>
        <w:keepNext w:val="0"/>
        <w:keepLines w:val="0"/>
        <w:pageBreakBefore w:val="0"/>
        <w:numPr>
          <w:ilvl w:val="0"/>
          <w:numId w:val="3"/>
        </w:numPr>
        <w:pBdr>
          <w:bottom w:val="single" w:color="FFFFFF" w:sz="4" w:space="31"/>
        </w:pBdr>
        <w:tabs>
          <w:tab w:val="left" w:pos="1440"/>
        </w:tabs>
        <w:kinsoku/>
        <w:wordWrap/>
        <w:overflowPunct w:val="0"/>
        <w:topLinePunct w:val="0"/>
        <w:autoSpaceDE/>
        <w:autoSpaceDN/>
        <w:bidi w:val="0"/>
        <w:adjustRightInd w:val="0"/>
        <w:snapToGrid/>
        <w:spacing w:line="560" w:lineRule="exact"/>
        <w:ind w:firstLine="640" w:firstLineChars="200"/>
        <w:textAlignment w:val="auto"/>
        <w:outlineLvl w:val="9"/>
        <w:rPr>
          <w:rFonts w:hint="eastAsia" w:ascii="仿宋_GB2312" w:hAnsi="仿宋_GB2312" w:eastAsia="仿宋_GB2312" w:cs="仿宋_GB2312"/>
          <w:sz w:val="32"/>
          <w:szCs w:val="32"/>
          <w:highlight w:val="none"/>
          <w:lang w:eastAsia="zh-CN"/>
        </w:rPr>
      </w:pPr>
      <w:r>
        <w:rPr>
          <w:rFonts w:hint="eastAsia" w:ascii="楷体_GB2312" w:hAnsi="仿宋_GB2312" w:eastAsia="楷体_GB2312" w:cs="仿宋_GB2312"/>
          <w:sz w:val="32"/>
          <w:szCs w:val="32"/>
          <w:highlight w:val="none"/>
          <w:lang w:val="en-US" w:eastAsia="zh-CN"/>
        </w:rPr>
        <w:t>坚持问题导向，精准破解难题</w:t>
      </w:r>
    </w:p>
    <w:p>
      <w:pPr>
        <w:keepNext w:val="0"/>
        <w:keepLines w:val="0"/>
        <w:pageBreakBefore w:val="0"/>
        <w:widowControl/>
        <w:numPr>
          <w:ilvl w:val="-1"/>
          <w:numId w:val="0"/>
        </w:numPr>
        <w:pBdr>
          <w:bottom w:val="single" w:color="FFFFFF" w:sz="4" w:space="31"/>
        </w:pBdr>
        <w:tabs>
          <w:tab w:val="left" w:pos="1440"/>
        </w:tabs>
        <w:kinsoku/>
        <w:wordWrap/>
        <w:overflowPunct w:val="0"/>
        <w:topLinePunct w:val="0"/>
        <w:autoSpaceDE/>
        <w:autoSpaceDN/>
        <w:bidi w:val="0"/>
        <w:adjustRightInd w:val="0"/>
        <w:snapToGrid/>
        <w:spacing w:line="560" w:lineRule="exact"/>
        <w:ind w:firstLine="640" w:firstLineChars="200"/>
        <w:textAlignment w:val="auto"/>
        <w:outlineLvl w:val="9"/>
        <w:rPr>
          <w:rFonts w:hint="eastAsia" w:ascii="仿宋_GB2312" w:hAnsi="仿宋_GB2312" w:eastAsia="仿宋_GB2312" w:cs="仿宋_GB2312"/>
          <w:sz w:val="32"/>
          <w:szCs w:val="32"/>
          <w:highlight w:val="none"/>
        </w:rPr>
      </w:pPr>
      <w:r>
        <w:rPr>
          <w:rFonts w:hint="default" w:ascii="仿宋_GB2312" w:hAnsi="仿宋_GB2312" w:eastAsia="仿宋_GB2312" w:cs="仿宋_GB2312"/>
          <w:b w:val="0"/>
          <w:bCs w:val="0"/>
          <w:sz w:val="32"/>
          <w:szCs w:val="32"/>
          <w:lang w:val="en" w:eastAsia="zh-CN"/>
        </w:rPr>
        <w:t>建立并完善营商环境“动态问题清单”制度</w:t>
      </w:r>
      <w:r>
        <w:rPr>
          <w:rFonts w:hint="eastAsia" w:ascii="仿宋_GB2312" w:hAnsi="仿宋_GB2312" w:eastAsia="仿宋_GB2312" w:cs="仿宋_GB2312"/>
          <w:b w:val="0"/>
          <w:bCs w:val="0"/>
          <w:sz w:val="32"/>
          <w:szCs w:val="32"/>
          <w:lang w:val="en" w:eastAsia="zh-CN"/>
        </w:rPr>
        <w:t>，</w:t>
      </w:r>
      <w:r>
        <w:rPr>
          <w:rFonts w:hint="eastAsia" w:ascii="仿宋_GB2312" w:hAnsi="楷体_GB2312" w:eastAsia="仿宋_GB2312" w:cs="楷体_GB2312"/>
          <w:b w:val="0"/>
          <w:bCs/>
          <w:kern w:val="2"/>
          <w:sz w:val="32"/>
          <w:szCs w:val="32"/>
          <w:lang w:val="en-US" w:eastAsia="zh-CN" w:bidi="ar-SA"/>
        </w:rPr>
        <w:t>着力解决掣肘产业发展和企业经营中面临</w:t>
      </w:r>
      <w:r>
        <w:rPr>
          <w:rFonts w:hint="eastAsia" w:ascii="仿宋_GB2312" w:hAnsi="仿宋_GB2312" w:eastAsia="仿宋_GB2312" w:cs="仿宋_GB2312"/>
          <w:sz w:val="32"/>
          <w:szCs w:val="32"/>
          <w:lang w:val="en-US" w:eastAsia="zh-CN"/>
        </w:rPr>
        <w:t>“痛点”“堵点”</w:t>
      </w:r>
      <w:r>
        <w:rPr>
          <w:rFonts w:hint="eastAsia" w:ascii="仿宋_GB2312" w:hAnsi="楷体_GB2312" w:eastAsia="仿宋_GB2312" w:cs="楷体_GB2312"/>
          <w:b w:val="0"/>
          <w:bCs/>
          <w:kern w:val="2"/>
          <w:sz w:val="32"/>
          <w:szCs w:val="32"/>
          <w:lang w:val="en-US" w:eastAsia="zh-CN" w:bidi="ar-SA"/>
        </w:rPr>
        <w:t>问题，</w:t>
      </w:r>
      <w:r>
        <w:rPr>
          <w:rFonts w:hint="default" w:ascii="仿宋_GB2312" w:hAnsi="仿宋_GB2312" w:eastAsia="仿宋_GB2312" w:cs="仿宋_GB2312"/>
          <w:sz w:val="32"/>
          <w:szCs w:val="32"/>
          <w:lang w:val="en" w:eastAsia="zh-CN"/>
        </w:rPr>
        <w:t>定期整理区人大监督事项、区政协工作建议、营商环境监督员反馈、第三方调查发现问题等，客观收集反馈市场主体和项目建设、企业经营发展等方面的意见建议，统筹各相关部门做好任务研究和问题整改，确保件件有落实、事事有回音，督促提高部门办事效率，把“问题清单”转化为</w:t>
      </w:r>
      <w:r>
        <w:rPr>
          <w:rFonts w:hint="eastAsia" w:ascii="仿宋_GB2312" w:hAnsi="仿宋_GB2312" w:eastAsia="仿宋_GB2312" w:cs="仿宋_GB2312"/>
          <w:sz w:val="32"/>
          <w:szCs w:val="32"/>
          <w:lang w:val="en-US" w:eastAsia="zh-CN"/>
        </w:rPr>
        <w:t>“成效清单”。</w:t>
      </w:r>
      <w:r>
        <w:rPr>
          <w:rFonts w:hint="eastAsia" w:ascii="仿宋_GB2312" w:hAnsi="仿宋_GB2312" w:eastAsia="仿宋_GB2312" w:cs="仿宋_GB2312"/>
          <w:sz w:val="32"/>
          <w:szCs w:val="32"/>
          <w:highlight w:val="none"/>
        </w:rPr>
        <w:t>继续开展</w:t>
      </w:r>
      <w:r>
        <w:rPr>
          <w:rFonts w:hint="eastAsia" w:ascii="仿宋_GB2312" w:hAnsi="仿宋_GB2312" w:eastAsia="仿宋_GB2312" w:cs="仿宋_GB2312"/>
          <w:sz w:val="32"/>
          <w:szCs w:val="32"/>
          <w:highlight w:val="none"/>
          <w:lang w:eastAsia="zh-CN"/>
        </w:rPr>
        <w:t>领导</w:t>
      </w:r>
      <w:r>
        <w:rPr>
          <w:rFonts w:hint="eastAsia" w:ascii="仿宋_GB2312" w:hAnsi="仿宋_GB2312" w:eastAsia="仿宋_GB2312" w:cs="仿宋_GB2312"/>
          <w:sz w:val="32"/>
          <w:szCs w:val="32"/>
          <w:highlight w:val="none"/>
        </w:rPr>
        <w:t>“走流程”行动，着力解决一批企业群众反映集中</w:t>
      </w:r>
      <w:r>
        <w:rPr>
          <w:rFonts w:hint="eastAsia" w:ascii="仿宋_GB2312" w:hAnsi="仿宋_GB2312" w:eastAsia="仿宋_GB2312" w:cs="仿宋_GB2312"/>
          <w:sz w:val="32"/>
          <w:szCs w:val="32"/>
          <w:highlight w:val="none"/>
          <w:lang w:eastAsia="zh-CN"/>
        </w:rPr>
        <w:t>的</w:t>
      </w:r>
      <w:r>
        <w:rPr>
          <w:rFonts w:hint="eastAsia" w:ascii="仿宋_GB2312" w:hAnsi="仿宋_GB2312" w:eastAsia="仿宋_GB2312" w:cs="仿宋_GB2312"/>
          <w:sz w:val="32"/>
          <w:szCs w:val="32"/>
          <w:highlight w:val="none"/>
        </w:rPr>
        <w:t>问题，切实打通政策落地“最后一公里”，</w:t>
      </w:r>
      <w:r>
        <w:rPr>
          <w:rFonts w:hint="eastAsia" w:ascii="仿宋_GB2312" w:hAnsi="仿宋_GB2312" w:eastAsia="仿宋_GB2312" w:cs="仿宋_GB2312"/>
          <w:sz w:val="32"/>
          <w:szCs w:val="32"/>
          <w:highlight w:val="none"/>
          <w:lang w:eastAsia="zh-CN"/>
        </w:rPr>
        <w:t>确保政策“落得实”“用得好”，</w:t>
      </w:r>
      <w:r>
        <w:rPr>
          <w:rFonts w:hint="eastAsia" w:ascii="仿宋_GB2312" w:hAnsi="仿宋_GB2312" w:eastAsia="仿宋_GB2312" w:cs="仿宋_GB2312"/>
          <w:sz w:val="32"/>
          <w:szCs w:val="32"/>
          <w:highlight w:val="none"/>
        </w:rPr>
        <w:t>不断增强市场主体满意度和获得感。</w:t>
      </w:r>
    </w:p>
    <w:p>
      <w:pPr>
        <w:pStyle w:val="6"/>
        <w:keepNext w:val="0"/>
        <w:keepLines w:val="0"/>
        <w:pageBreakBefore w:val="0"/>
        <w:numPr>
          <w:ilvl w:val="0"/>
          <w:numId w:val="0"/>
        </w:numPr>
        <w:pBdr>
          <w:bottom w:val="single" w:color="FFFFFF" w:sz="4" w:space="31"/>
        </w:pBdr>
        <w:kinsoku/>
        <w:wordWrap/>
        <w:overflowPunct w:val="0"/>
        <w:topLinePunct w:val="0"/>
        <w:autoSpaceDE/>
        <w:autoSpaceDN/>
        <w:bidi w:val="0"/>
        <w:adjustRightInd w:val="0"/>
        <w:snapToGrid/>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Times New Roman" w:eastAsia="仿宋_GB2312" w:cs="Times New Roman"/>
          <w:bCs w:val="0"/>
          <w:color w:val="auto"/>
          <w:kern w:val="1"/>
          <w:sz w:val="32"/>
          <w:szCs w:val="32"/>
          <w:highlight w:val="none"/>
          <w:lang w:val="en-US" w:eastAsia="zh-CN" w:bidi="ar-SA"/>
        </w:rPr>
        <w:t>牵头单位：区发改委、区政务服务局、各有关部门</w:t>
      </w:r>
    </w:p>
    <w:p>
      <w:pPr>
        <w:keepNext w:val="0"/>
        <w:keepLines w:val="0"/>
        <w:pageBreakBefore w:val="0"/>
        <w:numPr>
          <w:ilvl w:val="0"/>
          <w:numId w:val="3"/>
        </w:numPr>
        <w:pBdr>
          <w:bottom w:val="single" w:color="FFFFFF" w:sz="4" w:space="31"/>
        </w:pBdr>
        <w:tabs>
          <w:tab w:val="left" w:pos="1440"/>
        </w:tabs>
        <w:kinsoku/>
        <w:wordWrap/>
        <w:overflowPunct w:val="0"/>
        <w:topLinePunct w:val="0"/>
        <w:autoSpaceDE/>
        <w:autoSpaceDN/>
        <w:bidi w:val="0"/>
        <w:adjustRightInd w:val="0"/>
        <w:snapToGrid/>
        <w:spacing w:line="560" w:lineRule="exact"/>
        <w:ind w:firstLine="640" w:firstLineChars="200"/>
        <w:textAlignment w:val="auto"/>
        <w:outlineLvl w:val="9"/>
        <w:rPr>
          <w:rFonts w:hint="eastAsia" w:ascii="楷体_GB2312" w:hAnsi="仿宋_GB2312" w:eastAsia="楷体_GB2312" w:cs="仿宋_GB2312"/>
          <w:sz w:val="32"/>
          <w:szCs w:val="32"/>
          <w:highlight w:val="none"/>
          <w:lang w:val="en-US" w:eastAsia="zh-CN"/>
        </w:rPr>
      </w:pPr>
      <w:r>
        <w:rPr>
          <w:rFonts w:hint="eastAsia" w:ascii="楷体_GB2312" w:hAnsi="仿宋_GB2312" w:eastAsia="楷体_GB2312" w:cs="仿宋_GB2312"/>
          <w:sz w:val="32"/>
          <w:szCs w:val="32"/>
          <w:highlight w:val="none"/>
          <w:lang w:val="en-US" w:eastAsia="zh-CN"/>
        </w:rPr>
        <w:t>强化监督促进，保障实施效果</w:t>
      </w:r>
    </w:p>
    <w:p>
      <w:pPr>
        <w:keepNext w:val="0"/>
        <w:keepLines w:val="0"/>
        <w:pageBreakBefore w:val="0"/>
        <w:numPr>
          <w:ilvl w:val="-1"/>
          <w:numId w:val="0"/>
        </w:numPr>
        <w:pBdr>
          <w:bottom w:val="single" w:color="FFFFFF" w:sz="4" w:space="31"/>
        </w:pBdr>
        <w:tabs>
          <w:tab w:val="left" w:pos="1440"/>
        </w:tabs>
        <w:kinsoku/>
        <w:wordWrap/>
        <w:overflowPunct w:val="0"/>
        <w:topLinePunct w:val="0"/>
        <w:autoSpaceDE/>
        <w:autoSpaceDN/>
        <w:bidi w:val="0"/>
        <w:adjustRightInd w:val="0"/>
        <w:snapToGrid/>
        <w:spacing w:line="560" w:lineRule="exact"/>
        <w:ind w:firstLine="640" w:firstLineChars="200"/>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将市场主体满意度和获得感作为检验各项工作的标准</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加强</w:t>
      </w:r>
      <w:r>
        <w:rPr>
          <w:rFonts w:hint="eastAsia" w:ascii="仿宋_GB2312" w:hAnsi="仿宋_GB2312" w:eastAsia="仿宋_GB2312" w:cs="仿宋_GB2312"/>
          <w:sz w:val="32"/>
          <w:szCs w:val="32"/>
          <w:highlight w:val="none"/>
          <w:lang w:eastAsia="zh-CN"/>
        </w:rPr>
        <w:t>对</w:t>
      </w:r>
      <w:r>
        <w:rPr>
          <w:rFonts w:ascii="仿宋_GB2312" w:hAnsi="仿宋_GB2312" w:eastAsia="仿宋_GB2312" w:cs="仿宋_GB2312"/>
          <w:sz w:val="32"/>
          <w:szCs w:val="32"/>
          <w:highlight w:val="none"/>
        </w:rPr>
        <w:t>改革</w:t>
      </w:r>
      <w:r>
        <w:rPr>
          <w:rFonts w:hint="eastAsia" w:ascii="仿宋_GB2312" w:hAnsi="仿宋_GB2312" w:eastAsia="仿宋_GB2312" w:cs="仿宋_GB2312"/>
          <w:sz w:val="32"/>
          <w:szCs w:val="32"/>
          <w:highlight w:val="none"/>
        </w:rPr>
        <w:t>任务</w:t>
      </w:r>
      <w:r>
        <w:rPr>
          <w:rFonts w:ascii="仿宋_GB2312" w:hAnsi="仿宋_GB2312" w:eastAsia="仿宋_GB2312" w:cs="仿宋_GB2312"/>
          <w:sz w:val="32"/>
          <w:szCs w:val="32"/>
          <w:highlight w:val="none"/>
        </w:rPr>
        <w:t>落实</w:t>
      </w:r>
      <w:r>
        <w:rPr>
          <w:rFonts w:hint="eastAsia" w:ascii="仿宋_GB2312" w:hAnsi="仿宋_GB2312" w:eastAsia="仿宋_GB2312" w:cs="仿宋_GB2312"/>
          <w:sz w:val="32"/>
          <w:szCs w:val="32"/>
          <w:highlight w:val="none"/>
          <w:lang w:eastAsia="zh-CN"/>
        </w:rPr>
        <w:t>情况的</w:t>
      </w:r>
      <w:r>
        <w:rPr>
          <w:rFonts w:ascii="仿宋_GB2312" w:hAnsi="仿宋_GB2312" w:eastAsia="仿宋_GB2312" w:cs="仿宋_GB2312"/>
          <w:sz w:val="32"/>
          <w:szCs w:val="32"/>
          <w:highlight w:val="none"/>
        </w:rPr>
        <w:t>社会监督</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持续发挥营商环境监督员建言献策作用，</w:t>
      </w:r>
      <w:r>
        <w:rPr>
          <w:rFonts w:hint="eastAsia" w:ascii="仿宋_GB2312" w:hAnsi="仿宋_GB2312" w:eastAsia="仿宋_GB2312" w:cs="仿宋_GB2312"/>
          <w:sz w:val="32"/>
          <w:szCs w:val="32"/>
          <w:highlight w:val="none"/>
          <w:u w:val="none"/>
        </w:rPr>
        <w:t>组织开展协商式民主监督，探索建立覆盖优化营商环境政策全过程的常态化协商机制</w:t>
      </w:r>
      <w:r>
        <w:rPr>
          <w:rFonts w:hint="eastAsia" w:ascii="仿宋_GB2312" w:hAnsi="仿宋_GB2312" w:eastAsia="仿宋_GB2312" w:cs="仿宋_GB2312"/>
          <w:sz w:val="32"/>
          <w:szCs w:val="32"/>
          <w:highlight w:val="none"/>
        </w:rPr>
        <w:t>；组织专家咨询委员会开展改革政策阅评，解决企业“看不懂”“不会用”等问题；组织社会监督员、政务服务体验员开展窗口评价，解决“不落实”的问题；委托第三方机构参与区级营商环境评价，广泛开展企业问卷调查，增强改革的针对性和精准性。</w:t>
      </w:r>
    </w:p>
    <w:p>
      <w:pPr>
        <w:keepNext w:val="0"/>
        <w:keepLines w:val="0"/>
        <w:pageBreakBefore w:val="0"/>
        <w:widowControl/>
        <w:numPr>
          <w:ilvl w:val="0"/>
          <w:numId w:val="3"/>
        </w:numPr>
        <w:pBdr>
          <w:bottom w:val="single" w:color="FFFFFF" w:sz="4" w:space="31"/>
        </w:pBdr>
        <w:tabs>
          <w:tab w:val="left" w:pos="1440"/>
        </w:tabs>
        <w:kinsoku/>
        <w:wordWrap/>
        <w:overflowPunct w:val="0"/>
        <w:topLinePunct w:val="0"/>
        <w:autoSpaceDE/>
        <w:autoSpaceDN/>
        <w:bidi w:val="0"/>
        <w:adjustRightInd w:val="0"/>
        <w:snapToGrid/>
        <w:spacing w:line="560" w:lineRule="exact"/>
        <w:ind w:firstLine="640" w:firstLineChars="200"/>
        <w:textAlignment w:val="auto"/>
        <w:outlineLvl w:val="9"/>
        <w:rPr>
          <w:rFonts w:hint="eastAsia" w:ascii="楷体_GB2312" w:hAnsi="楷体_GB2312" w:eastAsia="楷体_GB2312" w:cs="楷体_GB2312"/>
          <w:sz w:val="32"/>
          <w:szCs w:val="32"/>
          <w:highlight w:val="none"/>
          <w:u w:val="none"/>
          <w:lang w:val="en-US" w:eastAsia="zh-CN"/>
        </w:rPr>
      </w:pPr>
      <w:r>
        <w:rPr>
          <w:rFonts w:hint="eastAsia" w:ascii="楷体_GB2312" w:hAnsi="楷体_GB2312" w:eastAsia="楷体_GB2312" w:cs="楷体_GB2312"/>
          <w:sz w:val="32"/>
          <w:szCs w:val="32"/>
          <w:highlight w:val="none"/>
          <w:u w:val="none"/>
          <w:lang w:val="en-US" w:eastAsia="zh-CN"/>
        </w:rPr>
        <w:t>注重</w:t>
      </w:r>
      <w:r>
        <w:rPr>
          <w:rFonts w:hint="eastAsia" w:ascii="楷体_GB2312" w:hAnsi="楷体_GB2312" w:eastAsia="楷体_GB2312" w:cs="楷体_GB2312"/>
          <w:sz w:val="32"/>
          <w:szCs w:val="32"/>
          <w:highlight w:val="none"/>
          <w:u w:val="none"/>
        </w:rPr>
        <w:t>宣传</w:t>
      </w:r>
      <w:r>
        <w:rPr>
          <w:rFonts w:hint="eastAsia" w:ascii="楷体_GB2312" w:hAnsi="楷体_GB2312" w:eastAsia="楷体_GB2312" w:cs="楷体_GB2312"/>
          <w:sz w:val="32"/>
          <w:szCs w:val="32"/>
          <w:highlight w:val="none"/>
          <w:u w:val="none"/>
          <w:lang w:eastAsia="zh-CN"/>
        </w:rPr>
        <w:t>培训</w:t>
      </w:r>
      <w:r>
        <w:rPr>
          <w:rFonts w:hint="eastAsia" w:ascii="楷体_GB2312" w:hAnsi="楷体_GB2312" w:eastAsia="楷体_GB2312" w:cs="楷体_GB2312"/>
          <w:sz w:val="32"/>
          <w:szCs w:val="32"/>
          <w:highlight w:val="none"/>
          <w:u w:val="none"/>
          <w:lang w:val="en-US" w:eastAsia="zh-CN"/>
        </w:rPr>
        <w:t>，塑造“京西优质营商环境”品牌</w:t>
      </w:r>
    </w:p>
    <w:p>
      <w:pPr>
        <w:keepNext w:val="0"/>
        <w:keepLines w:val="0"/>
        <w:pageBreakBefore w:val="0"/>
        <w:widowControl/>
        <w:numPr>
          <w:ilvl w:val="-1"/>
          <w:numId w:val="0"/>
        </w:numPr>
        <w:pBdr>
          <w:bottom w:val="single" w:color="FFFFFF" w:sz="4" w:space="31"/>
        </w:pBdr>
        <w:tabs>
          <w:tab w:val="left" w:pos="1440"/>
        </w:tabs>
        <w:kinsoku/>
        <w:wordWrap/>
        <w:overflowPunct w:val="0"/>
        <w:topLinePunct w:val="0"/>
        <w:autoSpaceDE/>
        <w:autoSpaceDN/>
        <w:bidi w:val="0"/>
        <w:adjustRightInd w:val="0"/>
        <w:snapToGrid/>
        <w:spacing w:line="560" w:lineRule="exact"/>
        <w:ind w:firstLine="640" w:firstLineChars="200"/>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组织</w:t>
      </w:r>
      <w:r>
        <w:rPr>
          <w:rFonts w:hint="eastAsia" w:ascii="仿宋_GB2312" w:hAnsi="仿宋_GB2312" w:eastAsia="仿宋_GB2312" w:cs="仿宋_GB2312"/>
          <w:sz w:val="32"/>
          <w:szCs w:val="32"/>
          <w:highlight w:val="none"/>
          <w:lang w:eastAsia="zh-CN"/>
        </w:rPr>
        <w:t>召开营商环境大会，</w:t>
      </w:r>
      <w:r>
        <w:rPr>
          <w:rFonts w:hint="eastAsia" w:ascii="仿宋_GB2312" w:hAnsi="仿宋_GB2312" w:eastAsia="仿宋_GB2312" w:cs="仿宋_GB2312"/>
          <w:sz w:val="32"/>
          <w:szCs w:val="32"/>
          <w:highlight w:val="none"/>
          <w:lang w:val="en-US" w:eastAsia="zh-CN"/>
        </w:rPr>
        <w:t>树立“产业营商环境”标杆，</w:t>
      </w:r>
      <w:r>
        <w:rPr>
          <w:rFonts w:hint="eastAsia" w:ascii="仿宋_GB2312" w:hAnsi="仿宋_GB2312" w:eastAsia="仿宋_GB2312" w:cs="仿宋_GB2312"/>
          <w:sz w:val="32"/>
          <w:szCs w:val="32"/>
          <w:highlight w:val="none"/>
          <w:lang w:eastAsia="zh-CN"/>
        </w:rPr>
        <w:t>彰显门头沟区全力以赴打造优质营商环境的决心和信心，进一步扩大影响力、提升凝聚力，形成近悦远来的“引力场”</w:t>
      </w:r>
      <w:r>
        <w:rPr>
          <w:rFonts w:hint="eastAsia" w:ascii="仿宋_GB2312" w:hAnsi="仿宋_GB2312" w:eastAsia="仿宋_GB2312" w:cs="仿宋_GB2312"/>
          <w:sz w:val="32"/>
          <w:szCs w:val="32"/>
          <w:highlight w:val="none"/>
          <w:lang w:val="en-US" w:eastAsia="zh-CN"/>
        </w:rPr>
        <w:t>。定期总结营商环境政策措施落实情况和实施效果，挖掘改革经验和典型案例，</w:t>
      </w:r>
      <w:r>
        <w:rPr>
          <w:rFonts w:hint="eastAsia" w:ascii="仿宋_GB2312" w:hAnsi="仿宋_GB2312" w:eastAsia="仿宋_GB2312" w:cs="仿宋_GB2312"/>
          <w:sz w:val="32"/>
          <w:szCs w:val="32"/>
          <w:highlight w:val="none"/>
        </w:rPr>
        <w:t>开展系列政策宣传，以企业群众视角广泛开展政策解读，</w:t>
      </w:r>
      <w:r>
        <w:rPr>
          <w:rFonts w:hint="eastAsia" w:ascii="仿宋_GB2312" w:hAnsi="仿宋_GB2312" w:eastAsia="仿宋_GB2312" w:cs="仿宋_GB2312"/>
          <w:sz w:val="32"/>
          <w:szCs w:val="32"/>
          <w:highlight w:val="none"/>
          <w:lang w:eastAsia="zh-CN"/>
        </w:rPr>
        <w:t>确保出台政策“看得懂”“用得上”，</w:t>
      </w:r>
      <w:r>
        <w:rPr>
          <w:rFonts w:hint="eastAsia" w:ascii="仿宋_GB2312" w:hAnsi="仿宋_GB2312" w:eastAsia="仿宋_GB2312" w:cs="仿宋_GB2312"/>
          <w:sz w:val="32"/>
          <w:szCs w:val="32"/>
          <w:highlight w:val="none"/>
          <w:lang w:val="en-US" w:eastAsia="zh-CN"/>
        </w:rPr>
        <w:t>不断形成“人人参与营商环境”“人人都是营商环境”的良好氛围。</w:t>
      </w:r>
    </w:p>
    <w:p>
      <w:pPr>
        <w:pStyle w:val="6"/>
        <w:keepNext w:val="0"/>
        <w:keepLines w:val="0"/>
        <w:pageBreakBefore w:val="0"/>
        <w:kinsoku/>
        <w:wordWrap/>
        <w:topLinePunct w:val="0"/>
        <w:autoSpaceDE/>
        <w:autoSpaceDN/>
        <w:bidi w:val="0"/>
        <w:snapToGrid/>
        <w:spacing w:line="560" w:lineRule="exact"/>
        <w:textAlignment w:val="auto"/>
        <w:rPr>
          <w:rFonts w:hint="eastAsia"/>
          <w:lang w:eastAsia="zh-CN"/>
        </w:rPr>
      </w:pPr>
    </w:p>
    <w:sectPr>
      <w:footerReference r:id="rId3" w:type="default"/>
      <w:pgSz w:w="11906" w:h="16838"/>
      <w:pgMar w:top="2098" w:right="1531" w:bottom="1985" w:left="1588"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1"/>
    <w:family w:val="auto"/>
    <w:pitch w:val="default"/>
    <w:sig w:usb0="00000000" w:usb1="00000000"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楷体_GB2312">
    <w:panose1 w:val="02010609030101010101"/>
    <w:charset w:val="86"/>
    <w:family w:val="auto"/>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rPr>
        <w:rFonts w:cs="Times New Roman"/>
      </w:rPr>
    </w:pPr>
    <w:r>
      <w:rPr>
        <w:sz w:val="18"/>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FgAAAGRycy9QSwECFAAUAAAA&#10;CACHTuJAs0lY7tAAAAAFAQAADwAAAAAAAAABACAAAAA4AAAAZHJzL2Rvd25yZXYueG1sUEsBAhQA&#10;FAAAAAgAh07iQIDxM9IdAgAAKQQAAA4AAAAAAAAAAQAgAAAANQEAAGRycy9lMm9Eb2MueG1sUEsF&#10;BgAAAAAGAAYAWQEAAMQFAAAAAA==&#10;">
              <v:fill on="f" focussize="0,0"/>
              <v:stroke on="f" weight="0.5pt"/>
              <v:imagedata o:title=""/>
              <o:lock v:ext="edit" aspectratio="f"/>
              <v:textbox inset="0mm,0mm,0mm,0mm" style="mso-fit-shape-to-text:t;">
                <w:txbxContent>
                  <w:p>
                    <w:pPr>
                      <w:pStyle w:val="8"/>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v:textbox>
            </v:shape>
          </w:pict>
        </mc:Fallback>
      </mc:AlternateContent>
    </w: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eastAsia" w:eastAsia="宋体"/>
                              <w:lang w:eastAsia="zh-CN"/>
                            </w:rPr>
                          </w:pP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8"/>
                      <w:rPr>
                        <w:rFonts w:hint="eastAsia" w:eastAsia="宋体"/>
                        <w:lang w:eastAsia="zh-CN"/>
                      </w:rPr>
                    </w:pPr>
                  </w:p>
                </w:txbxContent>
              </v:textbox>
            </v:shape>
          </w:pict>
        </mc:Fallback>
      </mc:AlternateContent>
    </w:r>
  </w:p>
  <w:p>
    <w:pPr>
      <w:pStyle w:val="8"/>
      <w:rPr>
        <w:rFonts w:cs="Times New Roman"/>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A613AC"/>
    <w:multiLevelType w:val="singleLevel"/>
    <w:tmpl w:val="FFA613AC"/>
    <w:lvl w:ilvl="0" w:tentative="0">
      <w:start w:val="4"/>
      <w:numFmt w:val="chineseCounting"/>
      <w:suff w:val="nothing"/>
      <w:lvlText w:val="（%1）"/>
      <w:lvlJc w:val="left"/>
      <w:rPr>
        <w:rFonts w:hint="eastAsia"/>
      </w:rPr>
    </w:lvl>
  </w:abstractNum>
  <w:abstractNum w:abstractNumId="1">
    <w:nsid w:val="64426782"/>
    <w:multiLevelType w:val="singleLevel"/>
    <w:tmpl w:val="64426782"/>
    <w:lvl w:ilvl="0" w:tentative="0">
      <w:start w:val="2"/>
      <w:numFmt w:val="decimal"/>
      <w:suff w:val="nothing"/>
      <w:lvlText w:val="%1."/>
      <w:lvlJc w:val="left"/>
    </w:lvl>
  </w:abstractNum>
  <w:abstractNum w:abstractNumId="2">
    <w:nsid w:val="64436FB4"/>
    <w:multiLevelType w:val="singleLevel"/>
    <w:tmpl w:val="64436FB4"/>
    <w:lvl w:ilvl="0" w:tentative="0">
      <w:start w:val="2"/>
      <w:numFmt w:val="chineseCounting"/>
      <w:suff w:val="nothing"/>
      <w:lvlText w:val="（%1）"/>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doNotDisplayPageBoundaries w:val="true"/>
  <w:embedSystemFonts/>
  <w:bordersDoNotSurroundHeader w:val="false"/>
  <w:bordersDoNotSurroundFooter w:val="false"/>
  <w:documentProtection w:enforcement="0"/>
  <w:defaultTabStop w:val="420"/>
  <w:doNotHyphenateCaps/>
  <w:drawingGridVerticalSpacing w:val="156"/>
  <w:displayHorizontalDrawingGridEvery w:val="1"/>
  <w:displayVerticalDrawingGridEvery w:val="1"/>
  <w:noPunctuationKerning w:val="true"/>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JmY2YzYzBjODQzNzc0NzI4OWYyNzQ3MzhlNTM4NGQifQ=="/>
  </w:docVars>
  <w:rsids>
    <w:rsidRoot w:val="3CE7621F"/>
    <w:rsid w:val="001743FF"/>
    <w:rsid w:val="0017550E"/>
    <w:rsid w:val="002A6766"/>
    <w:rsid w:val="002B3965"/>
    <w:rsid w:val="0033043C"/>
    <w:rsid w:val="004D2A61"/>
    <w:rsid w:val="004E7057"/>
    <w:rsid w:val="0054638F"/>
    <w:rsid w:val="007A3C0A"/>
    <w:rsid w:val="007D0315"/>
    <w:rsid w:val="008A4914"/>
    <w:rsid w:val="00905C9C"/>
    <w:rsid w:val="009E756F"/>
    <w:rsid w:val="00A20058"/>
    <w:rsid w:val="00A8680A"/>
    <w:rsid w:val="00B134A5"/>
    <w:rsid w:val="00BC3526"/>
    <w:rsid w:val="00C806FF"/>
    <w:rsid w:val="00C80839"/>
    <w:rsid w:val="00C91AF5"/>
    <w:rsid w:val="00D66CD5"/>
    <w:rsid w:val="00D67B30"/>
    <w:rsid w:val="00D70784"/>
    <w:rsid w:val="00E532AA"/>
    <w:rsid w:val="00FB237E"/>
    <w:rsid w:val="01EBA063"/>
    <w:rsid w:val="02587654"/>
    <w:rsid w:val="028B0C62"/>
    <w:rsid w:val="03BBE2A0"/>
    <w:rsid w:val="04A6667C"/>
    <w:rsid w:val="04D53AFB"/>
    <w:rsid w:val="05185D83"/>
    <w:rsid w:val="06045D56"/>
    <w:rsid w:val="06162C5C"/>
    <w:rsid w:val="071942FC"/>
    <w:rsid w:val="0733343F"/>
    <w:rsid w:val="079200DE"/>
    <w:rsid w:val="07F79377"/>
    <w:rsid w:val="087C2F81"/>
    <w:rsid w:val="09E40A96"/>
    <w:rsid w:val="0ABE5C37"/>
    <w:rsid w:val="0B372C89"/>
    <w:rsid w:val="0B63118B"/>
    <w:rsid w:val="0B66621F"/>
    <w:rsid w:val="0CD461DF"/>
    <w:rsid w:val="0D0D6681"/>
    <w:rsid w:val="0E7EA76F"/>
    <w:rsid w:val="0E91305D"/>
    <w:rsid w:val="0EF11CAF"/>
    <w:rsid w:val="0EF75A11"/>
    <w:rsid w:val="0FFF5B18"/>
    <w:rsid w:val="12545E92"/>
    <w:rsid w:val="1367EC7F"/>
    <w:rsid w:val="13D45305"/>
    <w:rsid w:val="13FFD851"/>
    <w:rsid w:val="146E188B"/>
    <w:rsid w:val="158A70E8"/>
    <w:rsid w:val="17C0084A"/>
    <w:rsid w:val="184A0515"/>
    <w:rsid w:val="18DF6FF0"/>
    <w:rsid w:val="19FEEBB1"/>
    <w:rsid w:val="1B7EBED1"/>
    <w:rsid w:val="1B978F5C"/>
    <w:rsid w:val="1BD1721E"/>
    <w:rsid w:val="1C7783C6"/>
    <w:rsid w:val="1C9BB0DA"/>
    <w:rsid w:val="1CBFB5AD"/>
    <w:rsid w:val="1D4715D2"/>
    <w:rsid w:val="1D743489"/>
    <w:rsid w:val="1DC03D52"/>
    <w:rsid w:val="1DD536B1"/>
    <w:rsid w:val="1E661558"/>
    <w:rsid w:val="1E97280D"/>
    <w:rsid w:val="1EBFCB76"/>
    <w:rsid w:val="1EDE6E75"/>
    <w:rsid w:val="1F9FB8B3"/>
    <w:rsid w:val="1FA4318D"/>
    <w:rsid w:val="1FDA24CA"/>
    <w:rsid w:val="1FDED028"/>
    <w:rsid w:val="1FDFC82F"/>
    <w:rsid w:val="1FF649EF"/>
    <w:rsid w:val="1FFDB9F2"/>
    <w:rsid w:val="20271F18"/>
    <w:rsid w:val="20D47917"/>
    <w:rsid w:val="21973CDC"/>
    <w:rsid w:val="237258EB"/>
    <w:rsid w:val="23C50C20"/>
    <w:rsid w:val="23FFDA54"/>
    <w:rsid w:val="244B2840"/>
    <w:rsid w:val="24912F8C"/>
    <w:rsid w:val="24FD2289"/>
    <w:rsid w:val="25BB043E"/>
    <w:rsid w:val="265246B6"/>
    <w:rsid w:val="26F47DBA"/>
    <w:rsid w:val="26FF229B"/>
    <w:rsid w:val="273A5CC0"/>
    <w:rsid w:val="2743168B"/>
    <w:rsid w:val="28A86DF0"/>
    <w:rsid w:val="29F5129B"/>
    <w:rsid w:val="2A3E0920"/>
    <w:rsid w:val="2AAFDA0E"/>
    <w:rsid w:val="2AD736F6"/>
    <w:rsid w:val="2B3BB8C1"/>
    <w:rsid w:val="2BCDF8C2"/>
    <w:rsid w:val="2C777FF9"/>
    <w:rsid w:val="2D4FDFCC"/>
    <w:rsid w:val="2E79D842"/>
    <w:rsid w:val="2EBF4F84"/>
    <w:rsid w:val="2EEFF35F"/>
    <w:rsid w:val="2EF5D2DC"/>
    <w:rsid w:val="2EFFF1C1"/>
    <w:rsid w:val="2F6C4970"/>
    <w:rsid w:val="2FD7EA1A"/>
    <w:rsid w:val="2FDE5B2A"/>
    <w:rsid w:val="2FFBD9C7"/>
    <w:rsid w:val="2FFBE7C6"/>
    <w:rsid w:val="2FFF1392"/>
    <w:rsid w:val="30F11168"/>
    <w:rsid w:val="312A5048"/>
    <w:rsid w:val="319C7A2A"/>
    <w:rsid w:val="31FF850E"/>
    <w:rsid w:val="329B469F"/>
    <w:rsid w:val="33B72AB4"/>
    <w:rsid w:val="34873081"/>
    <w:rsid w:val="3515045C"/>
    <w:rsid w:val="357FE044"/>
    <w:rsid w:val="35FA4074"/>
    <w:rsid w:val="3612010D"/>
    <w:rsid w:val="36FFEBC7"/>
    <w:rsid w:val="374528B3"/>
    <w:rsid w:val="379CD91F"/>
    <w:rsid w:val="37BBB2FA"/>
    <w:rsid w:val="37C50A48"/>
    <w:rsid w:val="37FB4442"/>
    <w:rsid w:val="37FD6C24"/>
    <w:rsid w:val="38BF2221"/>
    <w:rsid w:val="399DA33C"/>
    <w:rsid w:val="39BF4A3E"/>
    <w:rsid w:val="39FD7ADA"/>
    <w:rsid w:val="3AFF4F15"/>
    <w:rsid w:val="3B1DCAF0"/>
    <w:rsid w:val="3B3740E3"/>
    <w:rsid w:val="3B7F8C2E"/>
    <w:rsid w:val="3BBF1AEA"/>
    <w:rsid w:val="3BFB4983"/>
    <w:rsid w:val="3BFED3A8"/>
    <w:rsid w:val="3BFFBA73"/>
    <w:rsid w:val="3C577A48"/>
    <w:rsid w:val="3C5E287A"/>
    <w:rsid w:val="3C8A1488"/>
    <w:rsid w:val="3CDEA6CC"/>
    <w:rsid w:val="3CE7621F"/>
    <w:rsid w:val="3CFB4A53"/>
    <w:rsid w:val="3D38CE88"/>
    <w:rsid w:val="3D4B1A69"/>
    <w:rsid w:val="3DB67CC4"/>
    <w:rsid w:val="3DD8E58B"/>
    <w:rsid w:val="3DDD908A"/>
    <w:rsid w:val="3DDE4BE7"/>
    <w:rsid w:val="3DF7989D"/>
    <w:rsid w:val="3DF95B5B"/>
    <w:rsid w:val="3DFF26D4"/>
    <w:rsid w:val="3E5714F8"/>
    <w:rsid w:val="3EFFE357"/>
    <w:rsid w:val="3F4FA965"/>
    <w:rsid w:val="3F5FF408"/>
    <w:rsid w:val="3FB1F3F9"/>
    <w:rsid w:val="3FB7A0F5"/>
    <w:rsid w:val="3FDE5F6F"/>
    <w:rsid w:val="3FDF39B6"/>
    <w:rsid w:val="3FEF4B30"/>
    <w:rsid w:val="3FFD662A"/>
    <w:rsid w:val="3FFF116C"/>
    <w:rsid w:val="3FFF9267"/>
    <w:rsid w:val="40AA26A0"/>
    <w:rsid w:val="4122426E"/>
    <w:rsid w:val="41CE2C59"/>
    <w:rsid w:val="437E50CA"/>
    <w:rsid w:val="43EA5CFF"/>
    <w:rsid w:val="45B34CFB"/>
    <w:rsid w:val="45BA2A4D"/>
    <w:rsid w:val="46B65FBD"/>
    <w:rsid w:val="47A74511"/>
    <w:rsid w:val="47BDEBD1"/>
    <w:rsid w:val="47D858FB"/>
    <w:rsid w:val="47F585A0"/>
    <w:rsid w:val="48E9322F"/>
    <w:rsid w:val="491527DF"/>
    <w:rsid w:val="4A670DAB"/>
    <w:rsid w:val="4AA565B7"/>
    <w:rsid w:val="4BE951B9"/>
    <w:rsid w:val="4BEFF720"/>
    <w:rsid w:val="4C453DCF"/>
    <w:rsid w:val="4C5F6C97"/>
    <w:rsid w:val="4C971434"/>
    <w:rsid w:val="4DBF4B44"/>
    <w:rsid w:val="4E0724F1"/>
    <w:rsid w:val="4EF73F60"/>
    <w:rsid w:val="4EFCCF6F"/>
    <w:rsid w:val="4FB76896"/>
    <w:rsid w:val="4FBA6948"/>
    <w:rsid w:val="4FBFB3D3"/>
    <w:rsid w:val="4FFE44B3"/>
    <w:rsid w:val="4FFF3310"/>
    <w:rsid w:val="512252D2"/>
    <w:rsid w:val="51690DE6"/>
    <w:rsid w:val="51AE36ED"/>
    <w:rsid w:val="51FED7AB"/>
    <w:rsid w:val="532C7D3D"/>
    <w:rsid w:val="537DAA57"/>
    <w:rsid w:val="53BFB269"/>
    <w:rsid w:val="53E567C6"/>
    <w:rsid w:val="55EFC44B"/>
    <w:rsid w:val="56357C23"/>
    <w:rsid w:val="564C5A0A"/>
    <w:rsid w:val="56A758B0"/>
    <w:rsid w:val="57A94914"/>
    <w:rsid w:val="57BF4D18"/>
    <w:rsid w:val="57DD34A6"/>
    <w:rsid w:val="57F708A4"/>
    <w:rsid w:val="57FF5139"/>
    <w:rsid w:val="57FF7772"/>
    <w:rsid w:val="594455A4"/>
    <w:rsid w:val="596B0199"/>
    <w:rsid w:val="596C1258"/>
    <w:rsid w:val="5970023B"/>
    <w:rsid w:val="59BEE764"/>
    <w:rsid w:val="59E70A2C"/>
    <w:rsid w:val="59FF5853"/>
    <w:rsid w:val="5A5C5010"/>
    <w:rsid w:val="5A7D973A"/>
    <w:rsid w:val="5AE27C9A"/>
    <w:rsid w:val="5B5D27DA"/>
    <w:rsid w:val="5B7624D3"/>
    <w:rsid w:val="5BA73682"/>
    <w:rsid w:val="5BE3268C"/>
    <w:rsid w:val="5BE7A2A8"/>
    <w:rsid w:val="5BEF412C"/>
    <w:rsid w:val="5BFF666A"/>
    <w:rsid w:val="5BFF9488"/>
    <w:rsid w:val="5C2F2550"/>
    <w:rsid w:val="5CF79A75"/>
    <w:rsid w:val="5D6E4F75"/>
    <w:rsid w:val="5D7F61E5"/>
    <w:rsid w:val="5DB15476"/>
    <w:rsid w:val="5DBBEE40"/>
    <w:rsid w:val="5DCE322E"/>
    <w:rsid w:val="5DFD0DD9"/>
    <w:rsid w:val="5DFF8ED5"/>
    <w:rsid w:val="5E5C867E"/>
    <w:rsid w:val="5EBB1CBD"/>
    <w:rsid w:val="5EF74E2F"/>
    <w:rsid w:val="5EFA7CCD"/>
    <w:rsid w:val="5F2D8F53"/>
    <w:rsid w:val="5F477BC2"/>
    <w:rsid w:val="5F5DF785"/>
    <w:rsid w:val="5F5FB14F"/>
    <w:rsid w:val="5F6F5035"/>
    <w:rsid w:val="5F77C1A1"/>
    <w:rsid w:val="5F7A6854"/>
    <w:rsid w:val="5F7D8D84"/>
    <w:rsid w:val="5F7DBF42"/>
    <w:rsid w:val="5F969356"/>
    <w:rsid w:val="5FA66396"/>
    <w:rsid w:val="5FAF4E6F"/>
    <w:rsid w:val="5FB61C16"/>
    <w:rsid w:val="5FBD3386"/>
    <w:rsid w:val="5FBF9700"/>
    <w:rsid w:val="5FCDB995"/>
    <w:rsid w:val="5FD44539"/>
    <w:rsid w:val="5FD618D0"/>
    <w:rsid w:val="5FD755A0"/>
    <w:rsid w:val="5FE795D7"/>
    <w:rsid w:val="5FFF093D"/>
    <w:rsid w:val="5FFF23E0"/>
    <w:rsid w:val="60D413B1"/>
    <w:rsid w:val="61621CF1"/>
    <w:rsid w:val="624C0E89"/>
    <w:rsid w:val="63594AC7"/>
    <w:rsid w:val="637FDE2A"/>
    <w:rsid w:val="6385AB6A"/>
    <w:rsid w:val="63F8083B"/>
    <w:rsid w:val="63FE13E9"/>
    <w:rsid w:val="641D2292"/>
    <w:rsid w:val="641E3BE1"/>
    <w:rsid w:val="649A3D2B"/>
    <w:rsid w:val="65BF91E7"/>
    <w:rsid w:val="66FFBDBB"/>
    <w:rsid w:val="673F53BC"/>
    <w:rsid w:val="67474795"/>
    <w:rsid w:val="675DF8E5"/>
    <w:rsid w:val="67775872"/>
    <w:rsid w:val="677DCC34"/>
    <w:rsid w:val="67AAE750"/>
    <w:rsid w:val="67EB9DCD"/>
    <w:rsid w:val="67EF6BEE"/>
    <w:rsid w:val="67F5D6B8"/>
    <w:rsid w:val="69712241"/>
    <w:rsid w:val="69942CF9"/>
    <w:rsid w:val="69F43470"/>
    <w:rsid w:val="69FE0856"/>
    <w:rsid w:val="69FF29D9"/>
    <w:rsid w:val="6A9A3B7C"/>
    <w:rsid w:val="6AB75A00"/>
    <w:rsid w:val="6AB92048"/>
    <w:rsid w:val="6B1B7CC6"/>
    <w:rsid w:val="6B3A5E00"/>
    <w:rsid w:val="6B9F7EC5"/>
    <w:rsid w:val="6BF52D5F"/>
    <w:rsid w:val="6CB5251A"/>
    <w:rsid w:val="6DDEF3FA"/>
    <w:rsid w:val="6DE03F77"/>
    <w:rsid w:val="6DF8DB2F"/>
    <w:rsid w:val="6DFDDC3C"/>
    <w:rsid w:val="6E5B9D63"/>
    <w:rsid w:val="6EC481AA"/>
    <w:rsid w:val="6EEA6F8D"/>
    <w:rsid w:val="6EF7C4B2"/>
    <w:rsid w:val="6EFF152E"/>
    <w:rsid w:val="6F7AD062"/>
    <w:rsid w:val="6F7E9539"/>
    <w:rsid w:val="6F9E59B0"/>
    <w:rsid w:val="6FB923A5"/>
    <w:rsid w:val="6FBF4352"/>
    <w:rsid w:val="6FBFC993"/>
    <w:rsid w:val="6FBFD51E"/>
    <w:rsid w:val="6FEB01A7"/>
    <w:rsid w:val="6FEFDE3D"/>
    <w:rsid w:val="6FFB8F87"/>
    <w:rsid w:val="6FFD69A7"/>
    <w:rsid w:val="6FFE4143"/>
    <w:rsid w:val="6FFF0E6E"/>
    <w:rsid w:val="6FFF1748"/>
    <w:rsid w:val="7044791F"/>
    <w:rsid w:val="714F3FE2"/>
    <w:rsid w:val="71DF6F94"/>
    <w:rsid w:val="72FAE632"/>
    <w:rsid w:val="72FE4BE7"/>
    <w:rsid w:val="73EE96E5"/>
    <w:rsid w:val="73F74A1E"/>
    <w:rsid w:val="74A442FE"/>
    <w:rsid w:val="74B7AA6D"/>
    <w:rsid w:val="74C91667"/>
    <w:rsid w:val="758F00BE"/>
    <w:rsid w:val="7599A16F"/>
    <w:rsid w:val="75ADBEF0"/>
    <w:rsid w:val="75BD213C"/>
    <w:rsid w:val="75BF52FA"/>
    <w:rsid w:val="75DE7C1C"/>
    <w:rsid w:val="75FF426E"/>
    <w:rsid w:val="75FF5019"/>
    <w:rsid w:val="761166AD"/>
    <w:rsid w:val="76773581"/>
    <w:rsid w:val="7679F477"/>
    <w:rsid w:val="769FE245"/>
    <w:rsid w:val="76D7D205"/>
    <w:rsid w:val="76EEFAC3"/>
    <w:rsid w:val="770740C8"/>
    <w:rsid w:val="773FF812"/>
    <w:rsid w:val="775B52DF"/>
    <w:rsid w:val="775C2059"/>
    <w:rsid w:val="775F60E2"/>
    <w:rsid w:val="777F178A"/>
    <w:rsid w:val="77A1F373"/>
    <w:rsid w:val="77BB7AAD"/>
    <w:rsid w:val="77BF2FB1"/>
    <w:rsid w:val="77CD0A42"/>
    <w:rsid w:val="77DB6EE4"/>
    <w:rsid w:val="77EF6AEE"/>
    <w:rsid w:val="77F310C4"/>
    <w:rsid w:val="77F5356D"/>
    <w:rsid w:val="77FF1458"/>
    <w:rsid w:val="78A31E0F"/>
    <w:rsid w:val="78B071C8"/>
    <w:rsid w:val="797BE915"/>
    <w:rsid w:val="797FDB2F"/>
    <w:rsid w:val="79AF0F5B"/>
    <w:rsid w:val="79B4172B"/>
    <w:rsid w:val="79BD0599"/>
    <w:rsid w:val="79DD327F"/>
    <w:rsid w:val="79FF97B3"/>
    <w:rsid w:val="7A865B9E"/>
    <w:rsid w:val="7A9B3FB7"/>
    <w:rsid w:val="7ABE3017"/>
    <w:rsid w:val="7ABF5C94"/>
    <w:rsid w:val="7ABF9563"/>
    <w:rsid w:val="7ADE1AFB"/>
    <w:rsid w:val="7AEC48C4"/>
    <w:rsid w:val="7AFD34ED"/>
    <w:rsid w:val="7AFF41B1"/>
    <w:rsid w:val="7B2BE67D"/>
    <w:rsid w:val="7B3674C8"/>
    <w:rsid w:val="7B3FD0AF"/>
    <w:rsid w:val="7B73C4EA"/>
    <w:rsid w:val="7B9C0132"/>
    <w:rsid w:val="7BA60984"/>
    <w:rsid w:val="7BBD1A36"/>
    <w:rsid w:val="7BBF3321"/>
    <w:rsid w:val="7BBF41B0"/>
    <w:rsid w:val="7BBF7300"/>
    <w:rsid w:val="7BD4F085"/>
    <w:rsid w:val="7BD5944B"/>
    <w:rsid w:val="7BDD0F69"/>
    <w:rsid w:val="7BDF9437"/>
    <w:rsid w:val="7BF5784F"/>
    <w:rsid w:val="7BF5B7AE"/>
    <w:rsid w:val="7BF74143"/>
    <w:rsid w:val="7BF756ED"/>
    <w:rsid w:val="7BFBECEA"/>
    <w:rsid w:val="7BFE1220"/>
    <w:rsid w:val="7C4F498C"/>
    <w:rsid w:val="7CBFEFBF"/>
    <w:rsid w:val="7CCE13AB"/>
    <w:rsid w:val="7CCF22AC"/>
    <w:rsid w:val="7CEF7D8D"/>
    <w:rsid w:val="7CFEF0EC"/>
    <w:rsid w:val="7CFF6988"/>
    <w:rsid w:val="7D5D0080"/>
    <w:rsid w:val="7D5E9043"/>
    <w:rsid w:val="7D7F65C9"/>
    <w:rsid w:val="7D9E340D"/>
    <w:rsid w:val="7DA10313"/>
    <w:rsid w:val="7DA93EAA"/>
    <w:rsid w:val="7DB30BC9"/>
    <w:rsid w:val="7DBB7A96"/>
    <w:rsid w:val="7DBD8B76"/>
    <w:rsid w:val="7DBEE97D"/>
    <w:rsid w:val="7DBF431A"/>
    <w:rsid w:val="7DCD6F3A"/>
    <w:rsid w:val="7DDB3FDF"/>
    <w:rsid w:val="7DE6F87A"/>
    <w:rsid w:val="7DE780D6"/>
    <w:rsid w:val="7DEF4A37"/>
    <w:rsid w:val="7DEFA408"/>
    <w:rsid w:val="7DF619BC"/>
    <w:rsid w:val="7DFDC804"/>
    <w:rsid w:val="7DFEEA91"/>
    <w:rsid w:val="7DFFFAE4"/>
    <w:rsid w:val="7E1EFBCA"/>
    <w:rsid w:val="7E3B2C08"/>
    <w:rsid w:val="7E70BC01"/>
    <w:rsid w:val="7E77FC6C"/>
    <w:rsid w:val="7E7BA3AD"/>
    <w:rsid w:val="7E7E1F25"/>
    <w:rsid w:val="7E9A7BB3"/>
    <w:rsid w:val="7E9E4579"/>
    <w:rsid w:val="7EAF768D"/>
    <w:rsid w:val="7EAFD58C"/>
    <w:rsid w:val="7EB1085B"/>
    <w:rsid w:val="7EBB942B"/>
    <w:rsid w:val="7EBF2A67"/>
    <w:rsid w:val="7EE58D51"/>
    <w:rsid w:val="7EEF2F73"/>
    <w:rsid w:val="7EF3C76D"/>
    <w:rsid w:val="7EFBC11F"/>
    <w:rsid w:val="7EFD12CF"/>
    <w:rsid w:val="7F231826"/>
    <w:rsid w:val="7F2B8322"/>
    <w:rsid w:val="7F3AB2D4"/>
    <w:rsid w:val="7F3B2D18"/>
    <w:rsid w:val="7F3B8057"/>
    <w:rsid w:val="7F6F7A98"/>
    <w:rsid w:val="7F763E4E"/>
    <w:rsid w:val="7F7771B5"/>
    <w:rsid w:val="7F7D58EC"/>
    <w:rsid w:val="7F7F47C4"/>
    <w:rsid w:val="7F7F65FA"/>
    <w:rsid w:val="7F7FB9B5"/>
    <w:rsid w:val="7FBB1B0F"/>
    <w:rsid w:val="7FC5D838"/>
    <w:rsid w:val="7FCD9DC6"/>
    <w:rsid w:val="7FD7313A"/>
    <w:rsid w:val="7FDDB3CD"/>
    <w:rsid w:val="7FEB5E2B"/>
    <w:rsid w:val="7FEB688E"/>
    <w:rsid w:val="7FEB89B2"/>
    <w:rsid w:val="7FED7571"/>
    <w:rsid w:val="7FEE9948"/>
    <w:rsid w:val="7FEF5015"/>
    <w:rsid w:val="7FF5E0C3"/>
    <w:rsid w:val="7FF616FD"/>
    <w:rsid w:val="7FF8E00A"/>
    <w:rsid w:val="7FFB1F85"/>
    <w:rsid w:val="7FFB3393"/>
    <w:rsid w:val="7FFC67D2"/>
    <w:rsid w:val="7FFE0E29"/>
    <w:rsid w:val="7FFE98D7"/>
    <w:rsid w:val="7FFF26A7"/>
    <w:rsid w:val="7FFF9B89"/>
    <w:rsid w:val="7FFF9C7E"/>
    <w:rsid w:val="7FFFCDE6"/>
    <w:rsid w:val="8DBD5AB2"/>
    <w:rsid w:val="8EBDC357"/>
    <w:rsid w:val="917DDBCF"/>
    <w:rsid w:val="97EAD16A"/>
    <w:rsid w:val="99B50299"/>
    <w:rsid w:val="99FBD51F"/>
    <w:rsid w:val="9B5B6021"/>
    <w:rsid w:val="9BFA5DE4"/>
    <w:rsid w:val="9BFF27E7"/>
    <w:rsid w:val="9D4B5CFF"/>
    <w:rsid w:val="9DDA517C"/>
    <w:rsid w:val="9DFF84F3"/>
    <w:rsid w:val="9F9D9428"/>
    <w:rsid w:val="9FCE027B"/>
    <w:rsid w:val="9FCED156"/>
    <w:rsid w:val="9FEECEBF"/>
    <w:rsid w:val="9FF7E7B0"/>
    <w:rsid w:val="AA77448A"/>
    <w:rsid w:val="AAD74B23"/>
    <w:rsid w:val="AB6D16F6"/>
    <w:rsid w:val="ABEF7E40"/>
    <w:rsid w:val="ACDD357A"/>
    <w:rsid w:val="AE59D51B"/>
    <w:rsid w:val="AE83C03C"/>
    <w:rsid w:val="AE9F6894"/>
    <w:rsid w:val="AEFFE70F"/>
    <w:rsid w:val="AFBE7850"/>
    <w:rsid w:val="AFD7A451"/>
    <w:rsid w:val="AFFFC144"/>
    <w:rsid w:val="AFFFF5DF"/>
    <w:rsid w:val="B0E956BD"/>
    <w:rsid w:val="B1FA57D9"/>
    <w:rsid w:val="B1FFC009"/>
    <w:rsid w:val="B2EFD8ED"/>
    <w:rsid w:val="B3DF9449"/>
    <w:rsid w:val="B5F94538"/>
    <w:rsid w:val="B74F9C59"/>
    <w:rsid w:val="B7BDF2C7"/>
    <w:rsid w:val="B9DD703E"/>
    <w:rsid w:val="BA7B23C6"/>
    <w:rsid w:val="BBCF41D1"/>
    <w:rsid w:val="BBFA8C3D"/>
    <w:rsid w:val="BC73178D"/>
    <w:rsid w:val="BCBA7C6D"/>
    <w:rsid w:val="BCFDC91B"/>
    <w:rsid w:val="BDBED7F2"/>
    <w:rsid w:val="BDDF7A74"/>
    <w:rsid w:val="BE6F6481"/>
    <w:rsid w:val="BEAF0E57"/>
    <w:rsid w:val="BEE79198"/>
    <w:rsid w:val="BEFBB4FF"/>
    <w:rsid w:val="BEFD2C73"/>
    <w:rsid w:val="BEFE9BF9"/>
    <w:rsid w:val="BEFEBFB4"/>
    <w:rsid w:val="BF7AA1FD"/>
    <w:rsid w:val="BF7FD788"/>
    <w:rsid w:val="BFA7146D"/>
    <w:rsid w:val="BFBD16E6"/>
    <w:rsid w:val="BFDFCF95"/>
    <w:rsid w:val="BFDFECAA"/>
    <w:rsid w:val="BFE714E6"/>
    <w:rsid w:val="BFEDD539"/>
    <w:rsid w:val="BFF24BC6"/>
    <w:rsid w:val="BFF36967"/>
    <w:rsid w:val="BFF7CF0A"/>
    <w:rsid w:val="BFFB9E2A"/>
    <w:rsid w:val="BFFF4333"/>
    <w:rsid w:val="BFFFCBF9"/>
    <w:rsid w:val="C2FF8C12"/>
    <w:rsid w:val="C32D2F8F"/>
    <w:rsid w:val="C3BD0D44"/>
    <w:rsid w:val="C7FE69C1"/>
    <w:rsid w:val="C9FD405C"/>
    <w:rsid w:val="CADFFDFF"/>
    <w:rsid w:val="CBB705B4"/>
    <w:rsid w:val="CDB80962"/>
    <w:rsid w:val="CDFFCF14"/>
    <w:rsid w:val="CE2FB62F"/>
    <w:rsid w:val="CEBBDB65"/>
    <w:rsid w:val="CECBB457"/>
    <w:rsid w:val="CEFC13D5"/>
    <w:rsid w:val="CF164E2A"/>
    <w:rsid w:val="CF29D92E"/>
    <w:rsid w:val="CF5C5008"/>
    <w:rsid w:val="CF5FF54B"/>
    <w:rsid w:val="CFBE0EB7"/>
    <w:rsid w:val="CFDBFE08"/>
    <w:rsid w:val="CFE78A49"/>
    <w:rsid w:val="CFFDF309"/>
    <w:rsid w:val="D1F8BE12"/>
    <w:rsid w:val="D3BE8396"/>
    <w:rsid w:val="D3FF2ADD"/>
    <w:rsid w:val="D6FC447D"/>
    <w:rsid w:val="D79FD74F"/>
    <w:rsid w:val="D7BF716B"/>
    <w:rsid w:val="D7EBCD10"/>
    <w:rsid w:val="D7F254BC"/>
    <w:rsid w:val="D7FB2EDB"/>
    <w:rsid w:val="D9FD13CF"/>
    <w:rsid w:val="DA725DB7"/>
    <w:rsid w:val="DA7DA237"/>
    <w:rsid w:val="DACF99CD"/>
    <w:rsid w:val="DB5A19CB"/>
    <w:rsid w:val="DB5DE7F0"/>
    <w:rsid w:val="DB9F7EFE"/>
    <w:rsid w:val="DBA79693"/>
    <w:rsid w:val="DBB7D928"/>
    <w:rsid w:val="DBDF5A9C"/>
    <w:rsid w:val="DBEA5284"/>
    <w:rsid w:val="DBF6C212"/>
    <w:rsid w:val="DBFFB408"/>
    <w:rsid w:val="DCDAFA78"/>
    <w:rsid w:val="DDBF2F5A"/>
    <w:rsid w:val="DDF34775"/>
    <w:rsid w:val="DDFFF7EE"/>
    <w:rsid w:val="DE5FD30D"/>
    <w:rsid w:val="DE6F19FA"/>
    <w:rsid w:val="DE738302"/>
    <w:rsid w:val="DE7F38B6"/>
    <w:rsid w:val="DEBC4ABA"/>
    <w:rsid w:val="DEEFD8A9"/>
    <w:rsid w:val="DEFD7EA1"/>
    <w:rsid w:val="DEFF88BF"/>
    <w:rsid w:val="DEFFB7E0"/>
    <w:rsid w:val="DF5FC322"/>
    <w:rsid w:val="DF7437C4"/>
    <w:rsid w:val="DF9E11F5"/>
    <w:rsid w:val="DFA7E072"/>
    <w:rsid w:val="DFB25A44"/>
    <w:rsid w:val="DFB304CC"/>
    <w:rsid w:val="DFCF6285"/>
    <w:rsid w:val="DFDFA8E2"/>
    <w:rsid w:val="DFE71F21"/>
    <w:rsid w:val="DFEDC0AF"/>
    <w:rsid w:val="DFFC4969"/>
    <w:rsid w:val="DFFE919E"/>
    <w:rsid w:val="DFFEFEB9"/>
    <w:rsid w:val="E1FFDC3A"/>
    <w:rsid w:val="E37EBB38"/>
    <w:rsid w:val="E5FBEAE5"/>
    <w:rsid w:val="E5FDC5EE"/>
    <w:rsid w:val="E687B687"/>
    <w:rsid w:val="E6F9D94A"/>
    <w:rsid w:val="E79D70EB"/>
    <w:rsid w:val="E7DFA46B"/>
    <w:rsid w:val="E7ECE8C0"/>
    <w:rsid w:val="E7FF8F99"/>
    <w:rsid w:val="E9C78598"/>
    <w:rsid w:val="E9F742FA"/>
    <w:rsid w:val="EB4D0AFF"/>
    <w:rsid w:val="EBB52A55"/>
    <w:rsid w:val="EBBB94AF"/>
    <w:rsid w:val="EBBFAC87"/>
    <w:rsid w:val="EBFFF013"/>
    <w:rsid w:val="ECDEE147"/>
    <w:rsid w:val="ECEBC65B"/>
    <w:rsid w:val="ECFD1EB1"/>
    <w:rsid w:val="ECFF80DA"/>
    <w:rsid w:val="ED4F3364"/>
    <w:rsid w:val="ED679E6F"/>
    <w:rsid w:val="ED6FC8DB"/>
    <w:rsid w:val="EDF7F783"/>
    <w:rsid w:val="EEDFED3B"/>
    <w:rsid w:val="EEF3C11E"/>
    <w:rsid w:val="EF5FFCFB"/>
    <w:rsid w:val="EF7B28BE"/>
    <w:rsid w:val="EF7BE5CB"/>
    <w:rsid w:val="EF7D7D6A"/>
    <w:rsid w:val="EF896E7A"/>
    <w:rsid w:val="EF8EA0E0"/>
    <w:rsid w:val="EFAF5244"/>
    <w:rsid w:val="EFBE8216"/>
    <w:rsid w:val="EFBF3C55"/>
    <w:rsid w:val="EFC39886"/>
    <w:rsid w:val="EFCE314F"/>
    <w:rsid w:val="EFCFE155"/>
    <w:rsid w:val="EFE742F4"/>
    <w:rsid w:val="EFEF06FC"/>
    <w:rsid w:val="EFEFD5CB"/>
    <w:rsid w:val="EFF7802A"/>
    <w:rsid w:val="EFF94B2A"/>
    <w:rsid w:val="EFFD5BDD"/>
    <w:rsid w:val="EFFD81C4"/>
    <w:rsid w:val="EFFE14D0"/>
    <w:rsid w:val="EFFF01BD"/>
    <w:rsid w:val="EFFF1ADC"/>
    <w:rsid w:val="EFFF7CDD"/>
    <w:rsid w:val="F1FF8DD4"/>
    <w:rsid w:val="F1FFCC64"/>
    <w:rsid w:val="F2E7E93F"/>
    <w:rsid w:val="F37FC45D"/>
    <w:rsid w:val="F3BF5484"/>
    <w:rsid w:val="F3ED8E31"/>
    <w:rsid w:val="F3EFD68E"/>
    <w:rsid w:val="F3FFE767"/>
    <w:rsid w:val="F56F3E46"/>
    <w:rsid w:val="F57F138B"/>
    <w:rsid w:val="F5A688A6"/>
    <w:rsid w:val="F5B50178"/>
    <w:rsid w:val="F5BBBD95"/>
    <w:rsid w:val="F5E7405E"/>
    <w:rsid w:val="F5E7752C"/>
    <w:rsid w:val="F5F710DA"/>
    <w:rsid w:val="F5FD10D8"/>
    <w:rsid w:val="F5FD2067"/>
    <w:rsid w:val="F63FF099"/>
    <w:rsid w:val="F6793AE4"/>
    <w:rsid w:val="F6ADD801"/>
    <w:rsid w:val="F6B7971F"/>
    <w:rsid w:val="F6BF5D38"/>
    <w:rsid w:val="F6D742C0"/>
    <w:rsid w:val="F6FFAD7F"/>
    <w:rsid w:val="F6FFFC44"/>
    <w:rsid w:val="F75FB701"/>
    <w:rsid w:val="F77BAA72"/>
    <w:rsid w:val="F78BBD6E"/>
    <w:rsid w:val="F7A4BDB1"/>
    <w:rsid w:val="F7BD9D1F"/>
    <w:rsid w:val="F7D73C65"/>
    <w:rsid w:val="F7D73F6A"/>
    <w:rsid w:val="F7D75D44"/>
    <w:rsid w:val="F7D7C02A"/>
    <w:rsid w:val="F7F7E72C"/>
    <w:rsid w:val="F7FB8D05"/>
    <w:rsid w:val="F7FD8C81"/>
    <w:rsid w:val="F7FDC25E"/>
    <w:rsid w:val="F7FECF98"/>
    <w:rsid w:val="F7FF0F07"/>
    <w:rsid w:val="F7FF519A"/>
    <w:rsid w:val="F7FF80DF"/>
    <w:rsid w:val="F7FFA44B"/>
    <w:rsid w:val="F7FFD607"/>
    <w:rsid w:val="F7FFD62E"/>
    <w:rsid w:val="F7FFFE7E"/>
    <w:rsid w:val="F91F8699"/>
    <w:rsid w:val="F9BDB7C0"/>
    <w:rsid w:val="F9E7D0D1"/>
    <w:rsid w:val="F9F702B9"/>
    <w:rsid w:val="F9FDE1D8"/>
    <w:rsid w:val="FA5F5F9F"/>
    <w:rsid w:val="FA5FF7BA"/>
    <w:rsid w:val="FA7BC32E"/>
    <w:rsid w:val="FABF5503"/>
    <w:rsid w:val="FAD850BC"/>
    <w:rsid w:val="FB3BA0AA"/>
    <w:rsid w:val="FB6FC765"/>
    <w:rsid w:val="FB7F068B"/>
    <w:rsid w:val="FB970053"/>
    <w:rsid w:val="FBECC8A2"/>
    <w:rsid w:val="FBF6272D"/>
    <w:rsid w:val="FBF96355"/>
    <w:rsid w:val="FBFF410F"/>
    <w:rsid w:val="FBFFBC9A"/>
    <w:rsid w:val="FBFFBDE9"/>
    <w:rsid w:val="FC5F9137"/>
    <w:rsid w:val="FC6A8AC4"/>
    <w:rsid w:val="FC7BD8E9"/>
    <w:rsid w:val="FCDFC9CB"/>
    <w:rsid w:val="FCE5F596"/>
    <w:rsid w:val="FCF755B6"/>
    <w:rsid w:val="FD3F5EF6"/>
    <w:rsid w:val="FD73A845"/>
    <w:rsid w:val="FD7CF752"/>
    <w:rsid w:val="FD7FB7F7"/>
    <w:rsid w:val="FDAB93DD"/>
    <w:rsid w:val="FDAE92D3"/>
    <w:rsid w:val="FDAF02B4"/>
    <w:rsid w:val="FDAF15B5"/>
    <w:rsid w:val="FDAF8F1D"/>
    <w:rsid w:val="FDBCFECF"/>
    <w:rsid w:val="FDBE3266"/>
    <w:rsid w:val="FDDE9456"/>
    <w:rsid w:val="FDE30D33"/>
    <w:rsid w:val="FDF5BB29"/>
    <w:rsid w:val="FDF7DD5D"/>
    <w:rsid w:val="FE734873"/>
    <w:rsid w:val="FE7BCCF6"/>
    <w:rsid w:val="FE7C2EDA"/>
    <w:rsid w:val="FE7F2B31"/>
    <w:rsid w:val="FE9BCD34"/>
    <w:rsid w:val="FE9F6853"/>
    <w:rsid w:val="FECFE0B3"/>
    <w:rsid w:val="FED7DB92"/>
    <w:rsid w:val="FED7F9E6"/>
    <w:rsid w:val="FEE73E49"/>
    <w:rsid w:val="FEF23169"/>
    <w:rsid w:val="FEF6F471"/>
    <w:rsid w:val="FEFB2CD6"/>
    <w:rsid w:val="FF2F7C1C"/>
    <w:rsid w:val="FF3D1B71"/>
    <w:rsid w:val="FF3F1F71"/>
    <w:rsid w:val="FF3FE016"/>
    <w:rsid w:val="FF5AD927"/>
    <w:rsid w:val="FF773DDB"/>
    <w:rsid w:val="FF7DEA0D"/>
    <w:rsid w:val="FF7F23F9"/>
    <w:rsid w:val="FF7FDB3F"/>
    <w:rsid w:val="FF8BD49A"/>
    <w:rsid w:val="FF8E8E94"/>
    <w:rsid w:val="FF9D7FDE"/>
    <w:rsid w:val="FF9FCF15"/>
    <w:rsid w:val="FFA5BCC3"/>
    <w:rsid w:val="FFAF93C3"/>
    <w:rsid w:val="FFB7BC9B"/>
    <w:rsid w:val="FFBA7E44"/>
    <w:rsid w:val="FFBE1CDE"/>
    <w:rsid w:val="FFBF32A4"/>
    <w:rsid w:val="FFBF7D93"/>
    <w:rsid w:val="FFBF843A"/>
    <w:rsid w:val="FFBFCD93"/>
    <w:rsid w:val="FFC71CF9"/>
    <w:rsid w:val="FFD32DA4"/>
    <w:rsid w:val="FFD929BA"/>
    <w:rsid w:val="FFD94E37"/>
    <w:rsid w:val="FFDB7CE7"/>
    <w:rsid w:val="FFDBE061"/>
    <w:rsid w:val="FFDBE6E6"/>
    <w:rsid w:val="FFDC7A47"/>
    <w:rsid w:val="FFDE1D5A"/>
    <w:rsid w:val="FFDE4853"/>
    <w:rsid w:val="FFDF07DE"/>
    <w:rsid w:val="FFDF6FBE"/>
    <w:rsid w:val="FFDF880B"/>
    <w:rsid w:val="FFDFEE84"/>
    <w:rsid w:val="FFEB2789"/>
    <w:rsid w:val="FFEE0EFB"/>
    <w:rsid w:val="FFEF3B11"/>
    <w:rsid w:val="FFEF4D84"/>
    <w:rsid w:val="FFEF76BA"/>
    <w:rsid w:val="FFF28FAD"/>
    <w:rsid w:val="FFF5AFBE"/>
    <w:rsid w:val="FFF6FD2D"/>
    <w:rsid w:val="FFF77FBE"/>
    <w:rsid w:val="FFFA1955"/>
    <w:rsid w:val="FFFACC29"/>
    <w:rsid w:val="FFFBA7E8"/>
    <w:rsid w:val="FFFBB002"/>
    <w:rsid w:val="FFFD1419"/>
    <w:rsid w:val="FFFD6D47"/>
    <w:rsid w:val="FFFE3DBE"/>
    <w:rsid w:val="FFFECF75"/>
    <w:rsid w:val="FFFF2877"/>
    <w:rsid w:val="FFFF38F4"/>
    <w:rsid w:val="FFFF4899"/>
    <w:rsid w:val="FFFF7EC5"/>
    <w:rsid w:val="FFFFC088"/>
    <w:rsid w:val="FFFFF23A"/>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qFormat="1" w:uiPriority="99" w:semiHidden="0"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semiHidden="0"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qFormat="1" w:uiPriority="99" w:semiHidden="0"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Calibri"/>
      <w:kern w:val="2"/>
      <w:sz w:val="21"/>
      <w:szCs w:val="21"/>
      <w:lang w:val="en-US" w:eastAsia="zh-CN" w:bidi="ar-SA"/>
    </w:rPr>
  </w:style>
  <w:style w:type="character" w:default="1" w:styleId="12">
    <w:name w:val="Default Paragraph Font"/>
    <w:unhideWhenUsed/>
    <w:qFormat/>
    <w:uiPriority w:val="1"/>
  </w:style>
  <w:style w:type="table" w:default="1" w:styleId="11">
    <w:name w:val="Normal Table"/>
    <w:unhideWhenUsed/>
    <w:qFormat/>
    <w:uiPriority w:val="99"/>
    <w:tblPr>
      <w:tblCellMar>
        <w:top w:w="0" w:type="dxa"/>
        <w:left w:w="108" w:type="dxa"/>
        <w:bottom w:w="0" w:type="dxa"/>
        <w:right w:w="108" w:type="dxa"/>
      </w:tblCellMar>
    </w:tblPr>
  </w:style>
  <w:style w:type="paragraph" w:styleId="2">
    <w:name w:val="Body Text"/>
    <w:basedOn w:val="1"/>
    <w:next w:val="3"/>
    <w:unhideWhenUsed/>
    <w:qFormat/>
    <w:uiPriority w:val="99"/>
    <w:pPr>
      <w:spacing w:after="120"/>
    </w:pPr>
  </w:style>
  <w:style w:type="paragraph" w:customStyle="1" w:styleId="3">
    <w:name w:val="TOC 11"/>
    <w:next w:val="1"/>
    <w:qFormat/>
    <w:uiPriority w:val="0"/>
    <w:pPr>
      <w:wordWrap w:val="0"/>
      <w:jc w:val="both"/>
    </w:pPr>
    <w:rPr>
      <w:rFonts w:ascii="Times New Roman" w:hAnsi="Times New Roman" w:eastAsia="宋体" w:cs="Times New Roman"/>
      <w:sz w:val="21"/>
      <w:szCs w:val="22"/>
      <w:lang w:val="en-US" w:eastAsia="zh-CN" w:bidi="ar-SA"/>
    </w:rPr>
  </w:style>
  <w:style w:type="paragraph" w:styleId="4">
    <w:name w:val="Normal Indent"/>
    <w:basedOn w:val="1"/>
    <w:next w:val="1"/>
    <w:unhideWhenUsed/>
    <w:qFormat/>
    <w:uiPriority w:val="99"/>
    <w:pPr>
      <w:ind w:firstLine="420"/>
    </w:pPr>
    <w:rPr>
      <w:rFonts w:ascii="Times New Roman" w:hAnsi="Times New Roman"/>
      <w:szCs w:val="20"/>
    </w:rPr>
  </w:style>
  <w:style w:type="paragraph" w:styleId="5">
    <w:name w:val="Block Text"/>
    <w:basedOn w:val="1"/>
    <w:unhideWhenUsed/>
    <w:qFormat/>
    <w:uiPriority w:val="99"/>
    <w:pPr>
      <w:spacing w:after="120"/>
      <w:ind w:left="1440" w:leftChars="700" w:right="1440" w:rightChars="700"/>
    </w:pPr>
  </w:style>
  <w:style w:type="paragraph" w:styleId="6">
    <w:name w:val="Plain Text"/>
    <w:basedOn w:val="1"/>
    <w:next w:val="1"/>
    <w:qFormat/>
    <w:uiPriority w:val="0"/>
    <w:pPr>
      <w:widowControl w:val="0"/>
      <w:jc w:val="both"/>
    </w:pPr>
    <w:rPr>
      <w:rFonts w:ascii="宋体" w:eastAsia="宋体" w:cs="Courier New"/>
      <w:kern w:val="2"/>
      <w:sz w:val="21"/>
      <w:szCs w:val="21"/>
      <w:lang w:val="en-US" w:eastAsia="zh-CN" w:bidi="ar-SA"/>
    </w:rPr>
  </w:style>
  <w:style w:type="paragraph" w:styleId="7">
    <w:name w:val="Balloon Text"/>
    <w:basedOn w:val="1"/>
    <w:link w:val="18"/>
    <w:semiHidden/>
    <w:qFormat/>
    <w:uiPriority w:val="99"/>
    <w:rPr>
      <w:sz w:val="18"/>
      <w:szCs w:val="18"/>
    </w:rPr>
  </w:style>
  <w:style w:type="paragraph" w:styleId="8">
    <w:name w:val="footer"/>
    <w:basedOn w:val="1"/>
    <w:link w:val="14"/>
    <w:qFormat/>
    <w:uiPriority w:val="99"/>
    <w:pPr>
      <w:tabs>
        <w:tab w:val="center" w:pos="4153"/>
        <w:tab w:val="right" w:pos="8306"/>
      </w:tabs>
      <w:snapToGrid w:val="0"/>
      <w:jc w:val="left"/>
    </w:pPr>
    <w:rPr>
      <w:sz w:val="18"/>
      <w:szCs w:val="18"/>
    </w:rPr>
  </w:style>
  <w:style w:type="paragraph" w:styleId="9">
    <w:name w:val="header"/>
    <w:basedOn w:val="1"/>
    <w:link w:val="15"/>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szCs w:val="18"/>
    </w:rPr>
  </w:style>
  <w:style w:type="paragraph" w:styleId="10">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styleId="13">
    <w:name w:val="Strong"/>
    <w:qFormat/>
    <w:locked/>
    <w:uiPriority w:val="0"/>
    <w:rPr>
      <w:rFonts w:ascii="Times New Roman" w:hAnsi="Times New Roman" w:eastAsia="宋体" w:cs="Times New Roman"/>
      <w:b/>
      <w:bCs/>
    </w:rPr>
  </w:style>
  <w:style w:type="character" w:customStyle="1" w:styleId="14">
    <w:name w:val="页脚 Char"/>
    <w:link w:val="8"/>
    <w:semiHidden/>
    <w:qFormat/>
    <w:locked/>
    <w:uiPriority w:val="99"/>
    <w:rPr>
      <w:rFonts w:ascii="Calibri" w:hAnsi="Calibri" w:cs="Calibri"/>
      <w:sz w:val="18"/>
      <w:szCs w:val="18"/>
    </w:rPr>
  </w:style>
  <w:style w:type="character" w:customStyle="1" w:styleId="15">
    <w:name w:val="页眉 Char"/>
    <w:link w:val="9"/>
    <w:semiHidden/>
    <w:qFormat/>
    <w:locked/>
    <w:uiPriority w:val="99"/>
    <w:rPr>
      <w:rFonts w:ascii="Calibri" w:hAnsi="Calibri" w:cs="Calibri"/>
      <w:sz w:val="18"/>
      <w:szCs w:val="18"/>
    </w:rPr>
  </w:style>
  <w:style w:type="character" w:customStyle="1" w:styleId="16">
    <w:name w:val="font11"/>
    <w:qFormat/>
    <w:uiPriority w:val="99"/>
    <w:rPr>
      <w:rFonts w:ascii="仿宋_GB2312" w:eastAsia="仿宋_GB2312" w:cs="仿宋_GB2312"/>
      <w:color w:val="000000"/>
      <w:sz w:val="28"/>
      <w:szCs w:val="28"/>
      <w:u w:val="single"/>
    </w:rPr>
  </w:style>
  <w:style w:type="character" w:customStyle="1" w:styleId="17">
    <w:name w:val="font21"/>
    <w:qFormat/>
    <w:uiPriority w:val="99"/>
    <w:rPr>
      <w:rFonts w:ascii="仿宋_GB2312" w:eastAsia="仿宋_GB2312" w:cs="仿宋_GB2312"/>
      <w:color w:val="000000"/>
      <w:sz w:val="28"/>
      <w:szCs w:val="28"/>
      <w:u w:val="none"/>
    </w:rPr>
  </w:style>
  <w:style w:type="character" w:customStyle="1" w:styleId="18">
    <w:name w:val="批注框文本 Char"/>
    <w:link w:val="7"/>
    <w:semiHidden/>
    <w:qFormat/>
    <w:uiPriority w:val="99"/>
    <w:rPr>
      <w:rFonts w:ascii="Calibri" w:hAnsi="Calibri" w:cs="Calibri"/>
      <w:sz w:val="0"/>
      <w:szCs w:val="0"/>
    </w:rPr>
  </w:style>
  <w:style w:type="character" w:customStyle="1" w:styleId="19">
    <w:name w:val="font81"/>
    <w:basedOn w:val="12"/>
    <w:qFormat/>
    <w:uiPriority w:val="0"/>
    <w:rPr>
      <w:rFonts w:hint="eastAsia" w:ascii="方正小标宋简体" w:hAnsi="方正小标宋简体" w:eastAsia="方正小标宋简体" w:cs="方正小标宋简体"/>
      <w:color w:val="000000"/>
      <w:sz w:val="56"/>
      <w:szCs w:val="56"/>
      <w:u w:val="none"/>
    </w:rPr>
  </w:style>
  <w:style w:type="character" w:customStyle="1" w:styleId="20">
    <w:name w:val="font91"/>
    <w:basedOn w:val="12"/>
    <w:qFormat/>
    <w:uiPriority w:val="0"/>
    <w:rPr>
      <w:rFonts w:ascii="楷体_GB2312" w:eastAsia="楷体_GB2312" w:cs="楷体_GB2312"/>
      <w:color w:val="000000"/>
      <w:sz w:val="44"/>
      <w:szCs w:val="44"/>
      <w:u w:val="none"/>
    </w:rPr>
  </w:style>
  <w:style w:type="character" w:customStyle="1" w:styleId="21">
    <w:name w:val="font31"/>
    <w:basedOn w:val="12"/>
    <w:qFormat/>
    <w:uiPriority w:val="0"/>
    <w:rPr>
      <w:rFonts w:hint="eastAsia" w:ascii="宋体" w:hAnsi="宋体" w:eastAsia="宋体" w:cs="宋体"/>
      <w:b/>
      <w:color w:val="000000"/>
      <w:sz w:val="24"/>
      <w:szCs w:val="24"/>
      <w:u w:val="none"/>
    </w:rPr>
  </w:style>
  <w:style w:type="character" w:customStyle="1" w:styleId="22">
    <w:name w:val="font51"/>
    <w:basedOn w:val="12"/>
    <w:qFormat/>
    <w:uiPriority w:val="0"/>
    <w:rPr>
      <w:rFonts w:hint="eastAsia" w:ascii="宋体" w:hAnsi="宋体" w:eastAsia="宋体" w:cs="宋体"/>
      <w:color w:val="000000"/>
      <w:sz w:val="24"/>
      <w:szCs w:val="24"/>
      <w:u w:val="none"/>
    </w:rPr>
  </w:style>
  <w:style w:type="character" w:customStyle="1" w:styleId="23">
    <w:name w:val="font61"/>
    <w:basedOn w:val="12"/>
    <w:qFormat/>
    <w:uiPriority w:val="0"/>
    <w:rPr>
      <w:rFonts w:hint="eastAsia" w:ascii="方正小标宋简体" w:hAnsi="方正小标宋简体" w:eastAsia="方正小标宋简体" w:cs="方正小标宋简体"/>
      <w:color w:val="000000"/>
      <w:sz w:val="56"/>
      <w:szCs w:val="56"/>
      <w:u w:val="none"/>
    </w:rPr>
  </w:style>
  <w:style w:type="character" w:customStyle="1" w:styleId="24">
    <w:name w:val="font41"/>
    <w:basedOn w:val="12"/>
    <w:qFormat/>
    <w:uiPriority w:val="0"/>
    <w:rPr>
      <w:rFonts w:hint="eastAsia" w:ascii="宋体" w:hAnsi="宋体" w:eastAsia="宋体" w:cs="宋体"/>
      <w:b/>
      <w:color w:val="000000"/>
      <w:sz w:val="24"/>
      <w:szCs w:val="24"/>
      <w:u w:val="none"/>
    </w:rPr>
  </w:style>
  <w:style w:type="character" w:customStyle="1" w:styleId="25">
    <w:name w:val="font01"/>
    <w:basedOn w:val="12"/>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万山海洋开发试验区</Company>
  <Pages>24</Pages>
  <Words>12640</Words>
  <Characters>12770</Characters>
  <Lines>220</Lines>
  <Paragraphs>62</Paragraphs>
  <TotalTime>4</TotalTime>
  <ScaleCrop>false</ScaleCrop>
  <LinksUpToDate>false</LinksUpToDate>
  <CharactersWithSpaces>12811</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2021-02-20T10:30:00Z</dcterms:created>
  <dc:creator>Administrator</dc:creator>
  <cp:lastModifiedBy>冯纯玉</cp:lastModifiedBy>
  <cp:lastPrinted>2023-03-25T01:57:00Z</cp:lastPrinted>
  <dcterms:modified xsi:type="dcterms:W3CDTF">2023-04-27T17:12:14Z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y fmtid="{D5CDD505-2E9C-101B-9397-08002B2CF9AE}" pid="3" name="ICV">
    <vt:lpwstr>7D9FF1D37D704AC5B4CC597E3826A3D9_12</vt:lpwstr>
  </property>
</Properties>
</file>