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1</w:t>
      </w:r>
    </w:p>
    <w:p>
      <w:pPr>
        <w:spacing w:line="360" w:lineRule="auto"/>
        <w:rPr>
          <w:rFonts w:hint="eastAsia" w:ascii="汉仪雅酷黑简" w:hAnsi="汉仪雅酷黑简" w:eastAsia="汉仪雅酷黑简" w:cs="汉仪雅酷黑简"/>
          <w:sz w:val="44"/>
          <w:lang w:eastAsia="zh-Hans"/>
        </w:rPr>
      </w:pPr>
      <w:bookmarkStart w:id="0" w:name="bookmark1"/>
      <w:bookmarkStart w:id="1" w:name="bookmark2"/>
      <w:bookmarkStart w:id="2" w:name="bookmark0"/>
    </w:p>
    <w:p>
      <w:pPr>
        <w:pStyle w:val="35"/>
        <w:rPr>
          <w:lang w:eastAsia="zh-Hans"/>
        </w:rPr>
      </w:pPr>
    </w:p>
    <w:p>
      <w:pPr>
        <w:spacing w:line="360" w:lineRule="auto"/>
        <w:rPr>
          <w:sz w:val="44"/>
          <w:lang w:eastAsia="zh-Hans"/>
        </w:rPr>
      </w:pPr>
    </w:p>
    <w:p>
      <w:pPr>
        <w:spacing w:line="360" w:lineRule="auto"/>
        <w:rPr>
          <w:sz w:val="44"/>
          <w:lang w:eastAsia="zh-Hans"/>
        </w:rPr>
      </w:pPr>
    </w:p>
    <w:p>
      <w:pPr>
        <w:spacing w:line="360" w:lineRule="auto"/>
        <w:jc w:val="center"/>
        <w:rPr>
          <w:rFonts w:ascii="方正小标宋简体" w:hAnsi="方正小标宋简体" w:eastAsia="方正小标宋简体" w:cs="方正小标宋简体"/>
          <w:b/>
          <w:bCs/>
          <w:sz w:val="52"/>
          <w:szCs w:val="48"/>
        </w:rPr>
      </w:pPr>
      <w:bookmarkStart w:id="3" w:name="_Toc5941"/>
      <w:bookmarkStart w:id="4" w:name="_Toc1420331469"/>
      <w:r>
        <w:rPr>
          <w:rFonts w:hint="eastAsia" w:ascii="方正楷体_GBK" w:hAnsi="方正楷体_GBK" w:eastAsia="方正楷体_GBK" w:cs="方正楷体_GBK"/>
          <w:sz w:val="48"/>
          <w:szCs w:val="44"/>
        </w:rPr>
        <w:t xml:space="preserve"> </w:t>
      </w:r>
      <w:r>
        <w:rPr>
          <w:rFonts w:hint="eastAsia" w:ascii="方正小标宋简体" w:hAnsi="方正小标宋简体" w:eastAsia="方正小标宋简体" w:cs="方正小标宋简体"/>
          <w:b/>
          <w:bCs/>
          <w:sz w:val="52"/>
          <w:szCs w:val="48"/>
        </w:rPr>
        <w:t>北京市门头沟区“一老一小”</w:t>
      </w:r>
    </w:p>
    <w:p>
      <w:pPr>
        <w:spacing w:line="360" w:lineRule="auto"/>
        <w:jc w:val="center"/>
        <w:rPr>
          <w:rFonts w:ascii="方正公文黑体" w:hAnsi="方正公文黑体" w:eastAsia="方正公文黑体" w:cs="方正公文黑体"/>
          <w:b/>
          <w:bCs/>
          <w:sz w:val="52"/>
          <w:szCs w:val="48"/>
        </w:rPr>
      </w:pPr>
      <w:r>
        <w:rPr>
          <w:rFonts w:hint="eastAsia" w:ascii="方正小标宋简体" w:hAnsi="方正小标宋简体" w:eastAsia="方正小标宋简体" w:cs="方正小标宋简体"/>
          <w:b/>
          <w:bCs/>
          <w:sz w:val="52"/>
          <w:szCs w:val="48"/>
        </w:rPr>
        <w:t>整体</w:t>
      </w:r>
      <w:bookmarkEnd w:id="0"/>
      <w:bookmarkEnd w:id="1"/>
      <w:bookmarkEnd w:id="2"/>
      <w:r>
        <w:rPr>
          <w:rFonts w:hint="eastAsia" w:ascii="方正小标宋简体" w:hAnsi="方正小标宋简体" w:eastAsia="方正小标宋简体" w:cs="方正小标宋简体"/>
          <w:b/>
          <w:bCs/>
          <w:sz w:val="52"/>
          <w:szCs w:val="48"/>
        </w:rPr>
        <w:t>解决方案</w:t>
      </w:r>
      <w:bookmarkEnd w:id="3"/>
      <w:bookmarkEnd w:id="4"/>
    </w:p>
    <w:p>
      <w:pPr>
        <w:spacing w:line="360" w:lineRule="auto"/>
        <w:jc w:val="center"/>
        <w:rPr>
          <w:rFonts w:ascii="黑体" w:hAnsi="黑体" w:eastAsia="黑体" w:cs="黑体"/>
          <w:sz w:val="32"/>
          <w:szCs w:val="44"/>
        </w:rPr>
      </w:pPr>
      <w:bookmarkStart w:id="5" w:name="_Toc82779431"/>
      <w:bookmarkStart w:id="6" w:name="_Toc13644"/>
      <w:r>
        <w:rPr>
          <w:rFonts w:hint="eastAsia" w:ascii="黑体" w:hAnsi="黑体" w:eastAsia="黑体" w:cs="黑体"/>
          <w:sz w:val="32"/>
          <w:szCs w:val="44"/>
        </w:rPr>
        <w:t>（</w:t>
      </w:r>
      <w:r>
        <w:rPr>
          <w:rFonts w:hint="eastAsia" w:ascii="仿宋_GB2312" w:hAnsi="仿宋_GB2312" w:eastAsia="仿宋_GB2312" w:cs="仿宋_GB2312"/>
          <w:sz w:val="30"/>
          <w:szCs w:val="30"/>
          <w:lang w:val="en-US" w:eastAsia="zh-CN"/>
        </w:rPr>
        <w:t>征求意见稿</w:t>
      </w:r>
      <w:r>
        <w:rPr>
          <w:rFonts w:hint="eastAsia" w:ascii="黑体" w:hAnsi="黑体" w:eastAsia="黑体" w:cs="黑体"/>
          <w:sz w:val="32"/>
          <w:szCs w:val="44"/>
        </w:rPr>
        <w:t>）</w:t>
      </w:r>
      <w:bookmarkEnd w:id="5"/>
      <w:bookmarkEnd w:id="6"/>
    </w:p>
    <w:p>
      <w:pPr>
        <w:spacing w:line="360" w:lineRule="auto"/>
        <w:rPr>
          <w:rFonts w:ascii="黑体" w:hAnsi="黑体" w:eastAsia="黑体" w:cs="黑体"/>
          <w:sz w:val="44"/>
          <w:lang w:eastAsia="zh-Hans"/>
        </w:rPr>
      </w:pPr>
    </w:p>
    <w:p>
      <w:pPr>
        <w:spacing w:line="360" w:lineRule="auto"/>
        <w:rPr>
          <w:sz w:val="44"/>
          <w:lang w:eastAsia="zh-Hans"/>
        </w:rPr>
      </w:pPr>
    </w:p>
    <w:p>
      <w:pPr>
        <w:spacing w:line="360" w:lineRule="auto"/>
        <w:rPr>
          <w:sz w:val="44"/>
          <w:lang w:eastAsia="zh-Hans"/>
        </w:rPr>
      </w:pPr>
    </w:p>
    <w:p>
      <w:pPr>
        <w:spacing w:line="360" w:lineRule="auto"/>
        <w:rPr>
          <w:sz w:val="44"/>
          <w:lang w:eastAsia="zh-Hans"/>
        </w:rPr>
      </w:pPr>
    </w:p>
    <w:p>
      <w:pPr>
        <w:spacing w:line="360" w:lineRule="auto"/>
        <w:rPr>
          <w:sz w:val="44"/>
          <w:lang w:eastAsia="zh-Hans"/>
        </w:rPr>
      </w:pPr>
    </w:p>
    <w:p>
      <w:pPr>
        <w:spacing w:line="360" w:lineRule="auto"/>
        <w:rPr>
          <w:sz w:val="44"/>
          <w:lang w:eastAsia="zh-Hans"/>
        </w:rPr>
      </w:pPr>
    </w:p>
    <w:p>
      <w:pPr>
        <w:spacing w:line="360" w:lineRule="auto"/>
        <w:rPr>
          <w:sz w:val="44"/>
          <w:lang w:eastAsia="zh-Hans"/>
        </w:rPr>
      </w:pPr>
    </w:p>
    <w:p>
      <w:pPr>
        <w:spacing w:line="360" w:lineRule="auto"/>
        <w:rPr>
          <w:sz w:val="44"/>
          <w:lang w:eastAsia="zh-Hans"/>
        </w:rPr>
      </w:pPr>
    </w:p>
    <w:p>
      <w:pPr>
        <w:spacing w:line="360" w:lineRule="auto"/>
        <w:rPr>
          <w:sz w:val="44"/>
          <w:lang w:eastAsia="zh-Hans"/>
        </w:rPr>
      </w:pPr>
    </w:p>
    <w:p>
      <w:pPr>
        <w:spacing w:line="360" w:lineRule="auto"/>
        <w:rPr>
          <w:sz w:val="44"/>
          <w:lang w:eastAsia="zh-Hans"/>
        </w:rPr>
      </w:pPr>
    </w:p>
    <w:p>
      <w:pPr>
        <w:spacing w:line="360" w:lineRule="auto"/>
        <w:rPr>
          <w:rFonts w:ascii="宋体" w:hAnsi="宋体" w:eastAsia="宋体"/>
          <w:sz w:val="28"/>
          <w:lang w:eastAsia="zh-Hans"/>
        </w:rPr>
      </w:pPr>
      <w:bookmarkStart w:id="7" w:name="_Toc1356944497"/>
      <w:bookmarkStart w:id="8" w:name="_Toc19428"/>
    </w:p>
    <w:p>
      <w:pPr>
        <w:spacing w:line="360" w:lineRule="auto"/>
        <w:ind w:firstLine="3092" w:firstLineChars="1100"/>
        <w:rPr>
          <w:rFonts w:ascii="宋体" w:hAnsi="宋体" w:eastAsia="宋体"/>
          <w:b/>
          <w:bCs/>
          <w:sz w:val="28"/>
        </w:rPr>
      </w:pPr>
      <w:r>
        <w:rPr>
          <w:rFonts w:hint="eastAsia" w:ascii="宋体" w:hAnsi="宋体" w:eastAsia="宋体"/>
          <w:b/>
          <w:bCs/>
          <w:sz w:val="28"/>
          <w:lang w:eastAsia="zh-Hans"/>
        </w:rPr>
        <w:t>2</w:t>
      </w:r>
      <w:r>
        <w:rPr>
          <w:rFonts w:ascii="宋体" w:hAnsi="宋体" w:eastAsia="宋体"/>
          <w:b/>
          <w:bCs/>
          <w:sz w:val="28"/>
          <w:lang w:eastAsia="zh-Hans"/>
        </w:rPr>
        <w:t>02</w:t>
      </w:r>
      <w:r>
        <w:rPr>
          <w:rFonts w:hint="eastAsia" w:ascii="宋体" w:hAnsi="宋体" w:eastAsia="宋体"/>
          <w:b/>
          <w:bCs/>
          <w:sz w:val="28"/>
          <w:lang w:val="en-US" w:eastAsia="zh-CN"/>
        </w:rPr>
        <w:t>3</w:t>
      </w:r>
      <w:r>
        <w:rPr>
          <w:rFonts w:hint="eastAsia" w:ascii="宋体" w:hAnsi="宋体" w:eastAsia="宋体"/>
          <w:b/>
          <w:bCs/>
          <w:sz w:val="28"/>
          <w:lang w:eastAsia="zh-Hans"/>
        </w:rPr>
        <w:t>年</w:t>
      </w:r>
      <w:r>
        <w:rPr>
          <w:rFonts w:hint="eastAsia" w:ascii="宋体" w:hAnsi="宋体" w:eastAsia="宋体"/>
          <w:b/>
          <w:bCs/>
          <w:sz w:val="28"/>
          <w:lang w:val="en-US" w:eastAsia="zh-CN"/>
        </w:rPr>
        <w:t>5</w:t>
      </w:r>
      <w:r>
        <w:rPr>
          <w:rFonts w:hint="eastAsia" w:ascii="宋体" w:hAnsi="宋体" w:eastAsia="宋体"/>
          <w:b/>
          <w:bCs/>
          <w:sz w:val="28"/>
          <w:lang w:eastAsia="zh-Hans"/>
        </w:rPr>
        <w:t>月</w:t>
      </w:r>
      <w:bookmarkEnd w:id="7"/>
      <w:bookmarkEnd w:id="8"/>
    </w:p>
    <w:p>
      <w:pPr>
        <w:pStyle w:val="36"/>
        <w:jc w:val="center"/>
        <w:rPr>
          <w:rFonts w:asciiTheme="minorHAnsi" w:hAnsiTheme="minorHAnsi" w:eastAsiaTheme="minorEastAsia" w:cstheme="minorBidi"/>
          <w:color w:val="auto"/>
          <w:kern w:val="2"/>
          <w:sz w:val="21"/>
          <w:szCs w:val="24"/>
          <w:lang w:val="zh-CN"/>
        </w:rPr>
        <w:sectPr>
          <w:pgSz w:w="11906" w:h="16838"/>
          <w:pgMar w:top="1440" w:right="1800" w:bottom="1440" w:left="1800" w:header="851" w:footer="992" w:gutter="0"/>
          <w:cols w:space="425" w:num="1"/>
          <w:docGrid w:type="lines" w:linePitch="312" w:charSpace="0"/>
        </w:sectPr>
      </w:pPr>
    </w:p>
    <w:sdt>
      <w:sdtPr>
        <w:rPr>
          <w:rFonts w:asciiTheme="minorHAnsi" w:hAnsiTheme="minorHAnsi" w:eastAsiaTheme="minorEastAsia" w:cstheme="minorBidi"/>
          <w:color w:val="auto"/>
          <w:kern w:val="2"/>
          <w:sz w:val="21"/>
          <w:szCs w:val="24"/>
          <w:lang w:val="zh-CN"/>
        </w:rPr>
        <w:id w:val="714394381"/>
      </w:sdtPr>
      <w:sdtEndPr>
        <w:rPr>
          <w:rFonts w:asciiTheme="minorHAnsi" w:hAnsiTheme="minorHAnsi" w:eastAsiaTheme="minorEastAsia" w:cstheme="minorBidi"/>
          <w:b/>
          <w:bCs/>
          <w:color w:val="auto"/>
          <w:kern w:val="2"/>
          <w:sz w:val="24"/>
          <w:szCs w:val="32"/>
          <w:lang w:val="zh-CN"/>
        </w:rPr>
      </w:sdtEndPr>
      <w:sdtContent>
        <w:p>
          <w:pPr>
            <w:pStyle w:val="36"/>
            <w:jc w:val="center"/>
            <w:rPr>
              <w:color w:val="auto"/>
            </w:rPr>
          </w:pPr>
          <w:r>
            <w:rPr>
              <w:color w:val="auto"/>
              <w:lang w:val="zh-CN"/>
            </w:rPr>
            <w:t>目录</w:t>
          </w:r>
        </w:p>
        <w:p>
          <w:pPr>
            <w:pStyle w:val="17"/>
            <w:tabs>
              <w:tab w:val="right" w:leader="dot" w:pos="8306"/>
            </w:tabs>
          </w:pPr>
          <w:r>
            <w:rPr>
              <w:sz w:val="24"/>
              <w:szCs w:val="32"/>
            </w:rPr>
            <w:fldChar w:fldCharType="begin"/>
          </w:r>
          <w:r>
            <w:rPr>
              <w:sz w:val="24"/>
              <w:szCs w:val="32"/>
            </w:rPr>
            <w:instrText xml:space="preserve"> TOC \o "1-3" \h \z \u </w:instrText>
          </w:r>
          <w:r>
            <w:rPr>
              <w:sz w:val="24"/>
              <w:szCs w:val="32"/>
            </w:rPr>
            <w:fldChar w:fldCharType="separate"/>
          </w:r>
          <w:r>
            <w:rPr>
              <w:szCs w:val="32"/>
            </w:rPr>
            <w:fldChar w:fldCharType="begin"/>
          </w:r>
          <w:r>
            <w:rPr>
              <w:szCs w:val="32"/>
            </w:rPr>
            <w:instrText xml:space="preserve"> HYPERLINK \l _Toc29410 </w:instrText>
          </w:r>
          <w:r>
            <w:rPr>
              <w:szCs w:val="32"/>
            </w:rPr>
            <w:fldChar w:fldCharType="separate"/>
          </w:r>
          <w:r>
            <w:rPr>
              <w:rFonts w:hint="eastAsia" w:ascii="黑体" w:hAnsi="黑体" w:eastAsia="黑体" w:cs="黑体"/>
              <w:kern w:val="0"/>
              <w:szCs w:val="32"/>
            </w:rPr>
            <w:t xml:space="preserve">前 </w:t>
          </w:r>
          <w:r>
            <w:rPr>
              <w:rFonts w:ascii="黑体" w:hAnsi="黑体" w:eastAsia="黑体" w:cs="黑体"/>
              <w:kern w:val="0"/>
              <w:szCs w:val="32"/>
            </w:rPr>
            <w:t xml:space="preserve"> </w:t>
          </w:r>
          <w:r>
            <w:rPr>
              <w:rFonts w:hint="eastAsia" w:ascii="黑体" w:hAnsi="黑体" w:eastAsia="黑体" w:cs="黑体"/>
              <w:kern w:val="0"/>
              <w:szCs w:val="32"/>
            </w:rPr>
            <w:t>言</w:t>
          </w:r>
          <w:r>
            <w:tab/>
          </w:r>
          <w:r>
            <w:fldChar w:fldCharType="begin"/>
          </w:r>
          <w:r>
            <w:instrText xml:space="preserve"> PAGEREF _Toc29410 \h </w:instrText>
          </w:r>
          <w:r>
            <w:fldChar w:fldCharType="separate"/>
          </w:r>
          <w:r>
            <w:t>3</w:t>
          </w:r>
          <w:r>
            <w:fldChar w:fldCharType="end"/>
          </w:r>
          <w:r>
            <w:rPr>
              <w:szCs w:val="32"/>
            </w:rPr>
            <w:fldChar w:fldCharType="end"/>
          </w:r>
        </w:p>
        <w:p>
          <w:pPr>
            <w:pStyle w:val="17"/>
            <w:tabs>
              <w:tab w:val="right" w:leader="dot" w:pos="8306"/>
            </w:tabs>
          </w:pPr>
          <w:r>
            <w:rPr>
              <w:bCs/>
              <w:szCs w:val="32"/>
              <w:lang w:val="zh-CN"/>
            </w:rPr>
            <w:fldChar w:fldCharType="begin"/>
          </w:r>
          <w:r>
            <w:rPr>
              <w:bCs/>
              <w:szCs w:val="32"/>
              <w:lang w:val="zh-CN"/>
            </w:rPr>
            <w:instrText xml:space="preserve"> HYPERLINK \l _Toc23366 </w:instrText>
          </w:r>
          <w:r>
            <w:rPr>
              <w:bCs/>
              <w:szCs w:val="32"/>
              <w:lang w:val="zh-CN"/>
            </w:rPr>
            <w:fldChar w:fldCharType="separate"/>
          </w:r>
          <w:r>
            <w:rPr>
              <w:rFonts w:hint="eastAsia" w:ascii="黑体" w:hAnsi="黑体" w:eastAsia="黑体" w:cs="黑体"/>
              <w:kern w:val="0"/>
              <w:szCs w:val="32"/>
            </w:rPr>
            <w:t>一、实施背景</w:t>
          </w:r>
          <w:r>
            <w:tab/>
          </w:r>
          <w:r>
            <w:fldChar w:fldCharType="begin"/>
          </w:r>
          <w:r>
            <w:instrText xml:space="preserve"> PAGEREF _Toc23366 \h </w:instrText>
          </w:r>
          <w:r>
            <w:fldChar w:fldCharType="separate"/>
          </w:r>
          <w:r>
            <w:t>4</w:t>
          </w:r>
          <w:r>
            <w:fldChar w:fldCharType="end"/>
          </w:r>
          <w:r>
            <w:rPr>
              <w:bCs/>
              <w:szCs w:val="32"/>
              <w:lang w:val="zh-CN"/>
            </w:rPr>
            <w:fldChar w:fldCharType="end"/>
          </w:r>
        </w:p>
        <w:p>
          <w:pPr>
            <w:pStyle w:val="19"/>
            <w:tabs>
              <w:tab w:val="right" w:leader="dot" w:pos="8306"/>
            </w:tabs>
          </w:pPr>
          <w:r>
            <w:rPr>
              <w:bCs/>
              <w:szCs w:val="32"/>
              <w:lang w:val="zh-CN"/>
            </w:rPr>
            <w:fldChar w:fldCharType="begin"/>
          </w:r>
          <w:r>
            <w:rPr>
              <w:bCs/>
              <w:szCs w:val="32"/>
              <w:lang w:val="zh-CN"/>
            </w:rPr>
            <w:instrText xml:space="preserve"> HYPERLINK \l _Toc7807 </w:instrText>
          </w:r>
          <w:r>
            <w:rPr>
              <w:bCs/>
              <w:szCs w:val="32"/>
              <w:lang w:val="zh-CN"/>
            </w:rPr>
            <w:fldChar w:fldCharType="separate"/>
          </w:r>
          <w:r>
            <w:rPr>
              <w:rFonts w:hint="eastAsia" w:ascii="方正楷体_GB2312" w:hAnsi="方正楷体_GB2312" w:eastAsia="方正楷体_GB2312" w:cs="方正楷体_GB2312"/>
              <w:bCs/>
              <w:kern w:val="0"/>
              <w:szCs w:val="32"/>
            </w:rPr>
            <w:t>（一）发展基础</w:t>
          </w:r>
          <w:r>
            <w:tab/>
          </w:r>
          <w:r>
            <w:fldChar w:fldCharType="begin"/>
          </w:r>
          <w:r>
            <w:instrText xml:space="preserve"> PAGEREF _Toc7807 \h </w:instrText>
          </w:r>
          <w:r>
            <w:fldChar w:fldCharType="separate"/>
          </w:r>
          <w:r>
            <w:t>4</w:t>
          </w:r>
          <w:r>
            <w:fldChar w:fldCharType="end"/>
          </w:r>
          <w:r>
            <w:rPr>
              <w:bCs/>
              <w:szCs w:val="32"/>
              <w:lang w:val="zh-CN"/>
            </w:rPr>
            <w:fldChar w:fldCharType="end"/>
          </w:r>
        </w:p>
        <w:p>
          <w:pPr>
            <w:pStyle w:val="19"/>
            <w:tabs>
              <w:tab w:val="right" w:leader="dot" w:pos="8306"/>
            </w:tabs>
          </w:pPr>
          <w:r>
            <w:rPr>
              <w:bCs/>
              <w:szCs w:val="32"/>
              <w:lang w:val="zh-CN"/>
            </w:rPr>
            <w:fldChar w:fldCharType="begin"/>
          </w:r>
          <w:r>
            <w:rPr>
              <w:bCs/>
              <w:szCs w:val="32"/>
              <w:lang w:val="zh-CN"/>
            </w:rPr>
            <w:instrText xml:space="preserve"> HYPERLINK \l _Toc21910 </w:instrText>
          </w:r>
          <w:r>
            <w:rPr>
              <w:bCs/>
              <w:szCs w:val="32"/>
              <w:lang w:val="zh-CN"/>
            </w:rPr>
            <w:fldChar w:fldCharType="separate"/>
          </w:r>
          <w:r>
            <w:rPr>
              <w:rFonts w:hint="eastAsia" w:ascii="方正楷体_GB2312" w:hAnsi="方正楷体_GB2312" w:eastAsia="方正楷体_GB2312" w:cs="方正楷体_GB2312"/>
              <w:bCs/>
              <w:kern w:val="0"/>
              <w:szCs w:val="32"/>
            </w:rPr>
            <w:t>（二）发展趋势</w:t>
          </w:r>
          <w:r>
            <w:tab/>
          </w:r>
          <w:r>
            <w:fldChar w:fldCharType="begin"/>
          </w:r>
          <w:r>
            <w:instrText xml:space="preserve"> PAGEREF _Toc21910 \h </w:instrText>
          </w:r>
          <w:r>
            <w:fldChar w:fldCharType="separate"/>
          </w:r>
          <w:r>
            <w:t>8</w:t>
          </w:r>
          <w:r>
            <w:fldChar w:fldCharType="end"/>
          </w:r>
          <w:r>
            <w:rPr>
              <w:bCs/>
              <w:szCs w:val="32"/>
              <w:lang w:val="zh-CN"/>
            </w:rPr>
            <w:fldChar w:fldCharType="end"/>
          </w:r>
        </w:p>
        <w:p>
          <w:pPr>
            <w:pStyle w:val="17"/>
            <w:tabs>
              <w:tab w:val="right" w:leader="dot" w:pos="8306"/>
            </w:tabs>
          </w:pPr>
          <w:r>
            <w:rPr>
              <w:bCs/>
              <w:szCs w:val="32"/>
              <w:lang w:val="zh-CN"/>
            </w:rPr>
            <w:fldChar w:fldCharType="begin"/>
          </w:r>
          <w:r>
            <w:rPr>
              <w:bCs/>
              <w:szCs w:val="32"/>
              <w:lang w:val="zh-CN"/>
            </w:rPr>
            <w:instrText xml:space="preserve"> HYPERLINK \l _Toc3131 </w:instrText>
          </w:r>
          <w:r>
            <w:rPr>
              <w:bCs/>
              <w:szCs w:val="32"/>
              <w:lang w:val="zh-CN"/>
            </w:rPr>
            <w:fldChar w:fldCharType="separate"/>
          </w:r>
          <w:r>
            <w:rPr>
              <w:rFonts w:hint="eastAsia" w:ascii="黑体" w:hAnsi="黑体" w:eastAsia="黑体" w:cs="黑体"/>
              <w:kern w:val="0"/>
              <w:szCs w:val="32"/>
            </w:rPr>
            <w:t>二、发展目标</w:t>
          </w:r>
          <w:r>
            <w:tab/>
          </w:r>
          <w:r>
            <w:fldChar w:fldCharType="begin"/>
          </w:r>
          <w:r>
            <w:instrText xml:space="preserve"> PAGEREF _Toc3131 \h </w:instrText>
          </w:r>
          <w:r>
            <w:fldChar w:fldCharType="separate"/>
          </w:r>
          <w:r>
            <w:t>13</w:t>
          </w:r>
          <w:r>
            <w:fldChar w:fldCharType="end"/>
          </w:r>
          <w:r>
            <w:rPr>
              <w:bCs/>
              <w:szCs w:val="32"/>
              <w:lang w:val="zh-CN"/>
            </w:rPr>
            <w:fldChar w:fldCharType="end"/>
          </w:r>
        </w:p>
        <w:p>
          <w:pPr>
            <w:pStyle w:val="19"/>
            <w:tabs>
              <w:tab w:val="right" w:leader="dot" w:pos="8306"/>
            </w:tabs>
          </w:pPr>
          <w:r>
            <w:rPr>
              <w:bCs/>
              <w:szCs w:val="32"/>
              <w:lang w:val="zh-CN"/>
            </w:rPr>
            <w:fldChar w:fldCharType="begin"/>
          </w:r>
          <w:r>
            <w:rPr>
              <w:bCs/>
              <w:szCs w:val="32"/>
              <w:lang w:val="zh-CN"/>
            </w:rPr>
            <w:instrText xml:space="preserve"> HYPERLINK \l _Toc31230 </w:instrText>
          </w:r>
          <w:r>
            <w:rPr>
              <w:bCs/>
              <w:szCs w:val="32"/>
              <w:lang w:val="zh-CN"/>
            </w:rPr>
            <w:fldChar w:fldCharType="separate"/>
          </w:r>
          <w:r>
            <w:rPr>
              <w:rFonts w:hint="eastAsia" w:ascii="方正楷体_GB2312" w:hAnsi="方正楷体_GB2312" w:eastAsia="方正楷体_GB2312" w:cs="方正楷体_GB2312"/>
              <w:bCs/>
              <w:kern w:val="0"/>
              <w:szCs w:val="32"/>
            </w:rPr>
            <w:t>（</w:t>
          </w:r>
          <w:r>
            <w:rPr>
              <w:rFonts w:hint="eastAsia" w:ascii="方正楷体_GB2312" w:hAnsi="方正楷体_GB2312" w:eastAsia="方正楷体_GB2312" w:cs="方正楷体_GB2312"/>
              <w:bCs/>
              <w:kern w:val="0"/>
              <w:szCs w:val="32"/>
              <w:lang w:val="en-US" w:eastAsia="zh-CN"/>
            </w:rPr>
            <w:t>三</w:t>
          </w:r>
          <w:r>
            <w:rPr>
              <w:rFonts w:hint="eastAsia" w:ascii="方正楷体_GB2312" w:hAnsi="方正楷体_GB2312" w:eastAsia="方正楷体_GB2312" w:cs="方正楷体_GB2312"/>
              <w:bCs/>
              <w:kern w:val="0"/>
              <w:szCs w:val="32"/>
            </w:rPr>
            <w:t>）</w:t>
          </w:r>
          <w:r>
            <w:rPr>
              <w:rFonts w:hint="eastAsia" w:ascii="方正楷体_GB2312" w:hAnsi="方正楷体_GB2312" w:eastAsia="方正楷体_GB2312" w:cs="方正楷体_GB2312"/>
              <w:bCs/>
              <w:kern w:val="0"/>
              <w:szCs w:val="32"/>
              <w:lang w:val="en-US" w:eastAsia="zh-CN"/>
            </w:rPr>
            <w:t>基本原则</w:t>
          </w:r>
          <w:r>
            <w:tab/>
          </w:r>
          <w:r>
            <w:fldChar w:fldCharType="begin"/>
          </w:r>
          <w:r>
            <w:instrText xml:space="preserve"> PAGEREF _Toc31230 \h </w:instrText>
          </w:r>
          <w:r>
            <w:fldChar w:fldCharType="separate"/>
          </w:r>
          <w:r>
            <w:t>13</w:t>
          </w:r>
          <w:r>
            <w:fldChar w:fldCharType="end"/>
          </w:r>
          <w:r>
            <w:rPr>
              <w:bCs/>
              <w:szCs w:val="32"/>
              <w:lang w:val="zh-CN"/>
            </w:rPr>
            <w:fldChar w:fldCharType="end"/>
          </w:r>
        </w:p>
        <w:p>
          <w:pPr>
            <w:pStyle w:val="19"/>
            <w:tabs>
              <w:tab w:val="right" w:leader="dot" w:pos="8306"/>
            </w:tabs>
          </w:pPr>
          <w:r>
            <w:rPr>
              <w:bCs/>
              <w:szCs w:val="32"/>
              <w:lang w:val="zh-CN"/>
            </w:rPr>
            <w:fldChar w:fldCharType="begin"/>
          </w:r>
          <w:r>
            <w:rPr>
              <w:bCs/>
              <w:szCs w:val="32"/>
              <w:lang w:val="zh-CN"/>
            </w:rPr>
            <w:instrText xml:space="preserve"> HYPERLINK \l _Toc19285 </w:instrText>
          </w:r>
          <w:r>
            <w:rPr>
              <w:bCs/>
              <w:szCs w:val="32"/>
              <w:lang w:val="zh-CN"/>
            </w:rPr>
            <w:fldChar w:fldCharType="separate"/>
          </w:r>
          <w:r>
            <w:rPr>
              <w:rFonts w:hint="eastAsia" w:ascii="方正楷体_GB2312" w:hAnsi="方正楷体_GB2312" w:eastAsia="方正楷体_GB2312" w:cs="方正楷体_GB2312"/>
              <w:bCs/>
              <w:kern w:val="0"/>
              <w:szCs w:val="32"/>
            </w:rPr>
            <w:t>（</w:t>
          </w:r>
          <w:r>
            <w:rPr>
              <w:rFonts w:hint="eastAsia" w:ascii="方正楷体_GB2312" w:hAnsi="方正楷体_GB2312" w:eastAsia="方正楷体_GB2312" w:cs="方正楷体_GB2312"/>
              <w:bCs/>
              <w:kern w:val="0"/>
              <w:szCs w:val="32"/>
              <w:lang w:val="en-US" w:eastAsia="zh-CN"/>
            </w:rPr>
            <w:t>四</w:t>
          </w:r>
          <w:r>
            <w:rPr>
              <w:rFonts w:hint="eastAsia" w:ascii="方正楷体_GB2312" w:hAnsi="方正楷体_GB2312" w:eastAsia="方正楷体_GB2312" w:cs="方正楷体_GB2312"/>
              <w:bCs/>
              <w:kern w:val="0"/>
              <w:szCs w:val="32"/>
            </w:rPr>
            <w:t>）总体目标</w:t>
          </w:r>
          <w:r>
            <w:tab/>
          </w:r>
          <w:r>
            <w:fldChar w:fldCharType="begin"/>
          </w:r>
          <w:r>
            <w:instrText xml:space="preserve"> PAGEREF _Toc19285 \h </w:instrText>
          </w:r>
          <w:r>
            <w:fldChar w:fldCharType="separate"/>
          </w:r>
          <w:r>
            <w:t>13</w:t>
          </w:r>
          <w:r>
            <w:fldChar w:fldCharType="end"/>
          </w:r>
          <w:r>
            <w:rPr>
              <w:bCs/>
              <w:szCs w:val="32"/>
              <w:lang w:val="zh-CN"/>
            </w:rPr>
            <w:fldChar w:fldCharType="end"/>
          </w:r>
        </w:p>
        <w:p>
          <w:pPr>
            <w:pStyle w:val="19"/>
            <w:tabs>
              <w:tab w:val="right" w:leader="dot" w:pos="8306"/>
            </w:tabs>
          </w:pPr>
          <w:r>
            <w:rPr>
              <w:bCs/>
              <w:szCs w:val="32"/>
              <w:lang w:val="zh-CN"/>
            </w:rPr>
            <w:fldChar w:fldCharType="begin"/>
          </w:r>
          <w:r>
            <w:rPr>
              <w:bCs/>
              <w:szCs w:val="32"/>
              <w:lang w:val="zh-CN"/>
            </w:rPr>
            <w:instrText xml:space="preserve"> HYPERLINK \l _Toc22625 </w:instrText>
          </w:r>
          <w:r>
            <w:rPr>
              <w:bCs/>
              <w:szCs w:val="32"/>
              <w:lang w:val="zh-CN"/>
            </w:rPr>
            <w:fldChar w:fldCharType="separate"/>
          </w:r>
          <w:r>
            <w:rPr>
              <w:rFonts w:hint="eastAsia" w:ascii="方正楷体_GB2312" w:hAnsi="方正楷体_GB2312" w:eastAsia="方正楷体_GB2312" w:cs="方正楷体_GB2312"/>
              <w:bCs/>
              <w:kern w:val="0"/>
              <w:szCs w:val="32"/>
            </w:rPr>
            <w:t>（</w:t>
          </w:r>
          <w:r>
            <w:rPr>
              <w:rFonts w:hint="eastAsia" w:ascii="方正楷体_GB2312" w:hAnsi="方正楷体_GB2312" w:eastAsia="方正楷体_GB2312" w:cs="方正楷体_GB2312"/>
              <w:bCs/>
              <w:kern w:val="0"/>
              <w:szCs w:val="32"/>
              <w:lang w:val="en-US" w:eastAsia="zh-CN"/>
            </w:rPr>
            <w:t>五</w:t>
          </w:r>
          <w:r>
            <w:rPr>
              <w:rFonts w:hint="eastAsia" w:ascii="方正楷体_GB2312" w:hAnsi="方正楷体_GB2312" w:eastAsia="方正楷体_GB2312" w:cs="方正楷体_GB2312"/>
              <w:bCs/>
              <w:kern w:val="0"/>
              <w:szCs w:val="32"/>
            </w:rPr>
            <w:t>）具体指标</w:t>
          </w:r>
          <w:r>
            <w:tab/>
          </w:r>
          <w:r>
            <w:fldChar w:fldCharType="begin"/>
          </w:r>
          <w:r>
            <w:instrText xml:space="preserve"> PAGEREF _Toc22625 \h </w:instrText>
          </w:r>
          <w:r>
            <w:fldChar w:fldCharType="separate"/>
          </w:r>
          <w:r>
            <w:t>14</w:t>
          </w:r>
          <w:r>
            <w:fldChar w:fldCharType="end"/>
          </w:r>
          <w:r>
            <w:rPr>
              <w:bCs/>
              <w:szCs w:val="32"/>
              <w:lang w:val="zh-CN"/>
            </w:rPr>
            <w:fldChar w:fldCharType="end"/>
          </w:r>
        </w:p>
        <w:p>
          <w:pPr>
            <w:pStyle w:val="17"/>
            <w:tabs>
              <w:tab w:val="right" w:leader="dot" w:pos="8306"/>
            </w:tabs>
          </w:pPr>
          <w:r>
            <w:rPr>
              <w:bCs/>
              <w:szCs w:val="32"/>
              <w:lang w:val="zh-CN"/>
            </w:rPr>
            <w:fldChar w:fldCharType="begin"/>
          </w:r>
          <w:r>
            <w:rPr>
              <w:bCs/>
              <w:szCs w:val="32"/>
              <w:lang w:val="zh-CN"/>
            </w:rPr>
            <w:instrText xml:space="preserve"> HYPERLINK \l _Toc31544 </w:instrText>
          </w:r>
          <w:r>
            <w:rPr>
              <w:bCs/>
              <w:szCs w:val="32"/>
              <w:lang w:val="zh-CN"/>
            </w:rPr>
            <w:fldChar w:fldCharType="separate"/>
          </w:r>
          <w:r>
            <w:rPr>
              <w:rFonts w:hint="eastAsia" w:ascii="黑体" w:hAnsi="黑体" w:eastAsia="黑体" w:cs="黑体"/>
              <w:kern w:val="0"/>
              <w:szCs w:val="32"/>
            </w:rPr>
            <w:t>三、重点任务</w:t>
          </w:r>
          <w:r>
            <w:tab/>
          </w:r>
          <w:r>
            <w:fldChar w:fldCharType="begin"/>
          </w:r>
          <w:r>
            <w:instrText xml:space="preserve"> PAGEREF _Toc31544 \h </w:instrText>
          </w:r>
          <w:r>
            <w:fldChar w:fldCharType="separate"/>
          </w:r>
          <w:r>
            <w:t>17</w:t>
          </w:r>
          <w:r>
            <w:fldChar w:fldCharType="end"/>
          </w:r>
          <w:r>
            <w:rPr>
              <w:bCs/>
              <w:szCs w:val="32"/>
              <w:lang w:val="zh-CN"/>
            </w:rPr>
            <w:fldChar w:fldCharType="end"/>
          </w:r>
        </w:p>
        <w:p>
          <w:pPr>
            <w:pStyle w:val="19"/>
            <w:tabs>
              <w:tab w:val="right" w:leader="dot" w:pos="8306"/>
            </w:tabs>
          </w:pPr>
          <w:r>
            <w:rPr>
              <w:bCs/>
              <w:szCs w:val="32"/>
              <w:lang w:val="zh-CN"/>
            </w:rPr>
            <w:fldChar w:fldCharType="begin"/>
          </w:r>
          <w:r>
            <w:rPr>
              <w:bCs/>
              <w:szCs w:val="32"/>
              <w:lang w:val="zh-CN"/>
            </w:rPr>
            <w:instrText xml:space="preserve"> HYPERLINK \l _Toc3377 </w:instrText>
          </w:r>
          <w:r>
            <w:rPr>
              <w:bCs/>
              <w:szCs w:val="32"/>
              <w:lang w:val="zh-CN"/>
            </w:rPr>
            <w:fldChar w:fldCharType="separate"/>
          </w:r>
          <w:r>
            <w:rPr>
              <w:rFonts w:hint="eastAsia" w:ascii="方正楷体_GB2312" w:hAnsi="方正楷体_GB2312" w:eastAsia="方正楷体_GB2312" w:cs="方正楷体_GB2312"/>
              <w:bCs/>
              <w:kern w:val="0"/>
              <w:szCs w:val="32"/>
            </w:rPr>
            <w:t>（</w:t>
          </w:r>
          <w:r>
            <w:rPr>
              <w:rFonts w:hint="eastAsia" w:ascii="方正楷体_GB2312" w:hAnsi="方正楷体_GB2312" w:eastAsia="方正楷体_GB2312" w:cs="方正楷体_GB2312"/>
              <w:bCs/>
              <w:kern w:val="0"/>
              <w:szCs w:val="32"/>
              <w:lang w:val="en-US" w:eastAsia="zh-CN"/>
            </w:rPr>
            <w:t>六</w:t>
          </w:r>
          <w:r>
            <w:rPr>
              <w:rFonts w:hint="eastAsia" w:ascii="方正楷体_GB2312" w:hAnsi="方正楷体_GB2312" w:eastAsia="方正楷体_GB2312" w:cs="方正楷体_GB2312"/>
              <w:bCs/>
              <w:kern w:val="0"/>
              <w:szCs w:val="32"/>
            </w:rPr>
            <w:t>）健全养老托育政策和福利保障</w:t>
          </w:r>
          <w:r>
            <w:tab/>
          </w:r>
          <w:r>
            <w:fldChar w:fldCharType="begin"/>
          </w:r>
          <w:r>
            <w:instrText xml:space="preserve"> PAGEREF _Toc3377 \h </w:instrText>
          </w:r>
          <w:r>
            <w:fldChar w:fldCharType="separate"/>
          </w:r>
          <w:r>
            <w:t>17</w:t>
          </w:r>
          <w:r>
            <w:fldChar w:fldCharType="end"/>
          </w:r>
          <w:r>
            <w:rPr>
              <w:bCs/>
              <w:szCs w:val="32"/>
              <w:lang w:val="zh-CN"/>
            </w:rPr>
            <w:fldChar w:fldCharType="end"/>
          </w:r>
        </w:p>
        <w:p>
          <w:pPr>
            <w:pStyle w:val="12"/>
            <w:tabs>
              <w:tab w:val="right" w:leader="dot" w:pos="8306"/>
            </w:tabs>
          </w:pPr>
          <w:r>
            <w:rPr>
              <w:bCs/>
              <w:szCs w:val="32"/>
              <w:lang w:val="zh-CN"/>
            </w:rPr>
            <w:fldChar w:fldCharType="begin"/>
          </w:r>
          <w:r>
            <w:rPr>
              <w:bCs/>
              <w:szCs w:val="32"/>
              <w:lang w:val="zh-CN"/>
            </w:rPr>
            <w:instrText xml:space="preserve"> HYPERLINK \l _Toc7803 </w:instrText>
          </w:r>
          <w:r>
            <w:rPr>
              <w:bCs/>
              <w:szCs w:val="32"/>
              <w:lang w:val="zh-CN"/>
            </w:rPr>
            <w:fldChar w:fldCharType="separate"/>
          </w:r>
          <w:r>
            <w:rPr>
              <w:rFonts w:ascii="方正仿宋_GB2312" w:hAnsi="方正仿宋_GB2312" w:eastAsia="方正仿宋_GB2312" w:cs="方正仿宋_GB2312"/>
              <w:bCs w:val="0"/>
            </w:rPr>
            <w:t>1</w:t>
          </w:r>
          <w:r>
            <w:rPr>
              <w:rFonts w:hint="eastAsia" w:ascii="方正仿宋_GB2312" w:hAnsi="方正仿宋_GB2312" w:eastAsia="方正仿宋_GB2312" w:cs="方正仿宋_GB2312"/>
              <w:bCs w:val="0"/>
            </w:rPr>
            <w:t>.完善社会养老保障体系</w:t>
          </w:r>
          <w:r>
            <w:tab/>
          </w:r>
          <w:r>
            <w:fldChar w:fldCharType="begin"/>
          </w:r>
          <w:r>
            <w:instrText xml:space="preserve"> PAGEREF _Toc7803 \h </w:instrText>
          </w:r>
          <w:r>
            <w:fldChar w:fldCharType="separate"/>
          </w:r>
          <w:r>
            <w:t>17</w:t>
          </w:r>
          <w:r>
            <w:fldChar w:fldCharType="end"/>
          </w:r>
          <w:r>
            <w:rPr>
              <w:bCs/>
              <w:szCs w:val="32"/>
              <w:lang w:val="zh-CN"/>
            </w:rPr>
            <w:fldChar w:fldCharType="end"/>
          </w:r>
        </w:p>
        <w:p>
          <w:pPr>
            <w:pStyle w:val="12"/>
            <w:tabs>
              <w:tab w:val="right" w:leader="dot" w:pos="8306"/>
            </w:tabs>
          </w:pPr>
          <w:r>
            <w:rPr>
              <w:bCs/>
              <w:szCs w:val="32"/>
              <w:lang w:val="zh-CN"/>
            </w:rPr>
            <w:fldChar w:fldCharType="begin"/>
          </w:r>
          <w:r>
            <w:rPr>
              <w:bCs/>
              <w:szCs w:val="32"/>
              <w:lang w:val="zh-CN"/>
            </w:rPr>
            <w:instrText xml:space="preserve"> HYPERLINK \l _Toc12523 </w:instrText>
          </w:r>
          <w:r>
            <w:rPr>
              <w:bCs/>
              <w:szCs w:val="32"/>
              <w:lang w:val="zh-CN"/>
            </w:rPr>
            <w:fldChar w:fldCharType="separate"/>
          </w:r>
          <w:r>
            <w:rPr>
              <w:rFonts w:hint="eastAsia" w:ascii="方正仿宋_GB2312" w:hAnsi="方正仿宋_GB2312" w:eastAsia="方正仿宋_GB2312" w:cs="方正仿宋_GB2312"/>
              <w:bCs w:val="0"/>
            </w:rPr>
            <w:t>2.制定家庭养老照护支持政策</w:t>
          </w:r>
          <w:r>
            <w:tab/>
          </w:r>
          <w:r>
            <w:fldChar w:fldCharType="begin"/>
          </w:r>
          <w:r>
            <w:instrText xml:space="preserve"> PAGEREF _Toc12523 \h </w:instrText>
          </w:r>
          <w:r>
            <w:fldChar w:fldCharType="separate"/>
          </w:r>
          <w:r>
            <w:t>18</w:t>
          </w:r>
          <w:r>
            <w:fldChar w:fldCharType="end"/>
          </w:r>
          <w:r>
            <w:rPr>
              <w:bCs/>
              <w:szCs w:val="32"/>
              <w:lang w:val="zh-CN"/>
            </w:rPr>
            <w:fldChar w:fldCharType="end"/>
          </w:r>
        </w:p>
        <w:p>
          <w:pPr>
            <w:pStyle w:val="12"/>
            <w:tabs>
              <w:tab w:val="right" w:leader="dot" w:pos="8306"/>
            </w:tabs>
          </w:pPr>
          <w:r>
            <w:rPr>
              <w:bCs/>
              <w:szCs w:val="32"/>
              <w:lang w:val="zh-CN"/>
            </w:rPr>
            <w:fldChar w:fldCharType="begin"/>
          </w:r>
          <w:r>
            <w:rPr>
              <w:bCs/>
              <w:szCs w:val="32"/>
              <w:lang w:val="zh-CN"/>
            </w:rPr>
            <w:instrText xml:space="preserve"> HYPERLINK \l _Toc4835 </w:instrText>
          </w:r>
          <w:r>
            <w:rPr>
              <w:bCs/>
              <w:szCs w:val="32"/>
              <w:lang w:val="zh-CN"/>
            </w:rPr>
            <w:fldChar w:fldCharType="separate"/>
          </w:r>
          <w:r>
            <w:rPr>
              <w:rFonts w:hint="eastAsia" w:ascii="方正仿宋_GB2312" w:hAnsi="方正仿宋_GB2312" w:eastAsia="方正仿宋_GB2312" w:cs="方正仿宋_GB2312"/>
              <w:bCs w:val="0"/>
            </w:rPr>
            <w:t>3.健全养老托育服务补贴政策</w:t>
          </w:r>
          <w:r>
            <w:tab/>
          </w:r>
          <w:r>
            <w:fldChar w:fldCharType="begin"/>
          </w:r>
          <w:r>
            <w:instrText xml:space="preserve"> PAGEREF _Toc4835 \h </w:instrText>
          </w:r>
          <w:r>
            <w:fldChar w:fldCharType="separate"/>
          </w:r>
          <w:r>
            <w:t>19</w:t>
          </w:r>
          <w:r>
            <w:fldChar w:fldCharType="end"/>
          </w:r>
          <w:r>
            <w:rPr>
              <w:bCs/>
              <w:szCs w:val="32"/>
              <w:lang w:val="zh-CN"/>
            </w:rPr>
            <w:fldChar w:fldCharType="end"/>
          </w:r>
        </w:p>
        <w:p>
          <w:pPr>
            <w:pStyle w:val="19"/>
            <w:tabs>
              <w:tab w:val="right" w:leader="dot" w:pos="8306"/>
            </w:tabs>
          </w:pPr>
          <w:r>
            <w:rPr>
              <w:bCs/>
              <w:szCs w:val="32"/>
              <w:lang w:val="zh-CN"/>
            </w:rPr>
            <w:fldChar w:fldCharType="begin"/>
          </w:r>
          <w:r>
            <w:rPr>
              <w:bCs/>
              <w:szCs w:val="32"/>
              <w:lang w:val="zh-CN"/>
            </w:rPr>
            <w:instrText xml:space="preserve"> HYPERLINK \l _Toc7315 </w:instrText>
          </w:r>
          <w:r>
            <w:rPr>
              <w:bCs/>
              <w:szCs w:val="32"/>
              <w:lang w:val="zh-CN"/>
            </w:rPr>
            <w:fldChar w:fldCharType="separate"/>
          </w:r>
          <w:r>
            <w:rPr>
              <w:rFonts w:hint="eastAsia" w:ascii="方正楷体_GB2312" w:hAnsi="方正楷体_GB2312" w:eastAsia="方正楷体_GB2312" w:cs="方正楷体_GB2312"/>
              <w:bCs/>
              <w:kern w:val="0"/>
              <w:szCs w:val="32"/>
            </w:rPr>
            <w:t>（</w:t>
          </w:r>
          <w:r>
            <w:rPr>
              <w:rFonts w:hint="eastAsia" w:ascii="方正楷体_GB2312" w:hAnsi="方正楷体_GB2312" w:eastAsia="方正楷体_GB2312" w:cs="方正楷体_GB2312"/>
              <w:bCs/>
              <w:kern w:val="0"/>
              <w:szCs w:val="32"/>
              <w:lang w:val="en-US" w:eastAsia="zh-CN"/>
            </w:rPr>
            <w:t>七</w:t>
          </w:r>
          <w:r>
            <w:rPr>
              <w:rFonts w:hint="eastAsia" w:ascii="方正楷体_GB2312" w:hAnsi="方正楷体_GB2312" w:eastAsia="方正楷体_GB2312" w:cs="方正楷体_GB2312"/>
              <w:bCs/>
              <w:kern w:val="0"/>
              <w:szCs w:val="32"/>
            </w:rPr>
            <w:t>）优化社区养老托育设施和服务功能</w:t>
          </w:r>
          <w:r>
            <w:tab/>
          </w:r>
          <w:r>
            <w:fldChar w:fldCharType="begin"/>
          </w:r>
          <w:r>
            <w:instrText xml:space="preserve"> PAGEREF _Toc7315 \h </w:instrText>
          </w:r>
          <w:r>
            <w:fldChar w:fldCharType="separate"/>
          </w:r>
          <w:r>
            <w:t>19</w:t>
          </w:r>
          <w:r>
            <w:fldChar w:fldCharType="end"/>
          </w:r>
          <w:r>
            <w:rPr>
              <w:bCs/>
              <w:szCs w:val="32"/>
              <w:lang w:val="zh-CN"/>
            </w:rPr>
            <w:fldChar w:fldCharType="end"/>
          </w:r>
        </w:p>
        <w:p>
          <w:pPr>
            <w:pStyle w:val="12"/>
            <w:tabs>
              <w:tab w:val="right" w:leader="dot" w:pos="8306"/>
            </w:tabs>
          </w:pPr>
          <w:r>
            <w:rPr>
              <w:bCs/>
              <w:szCs w:val="32"/>
              <w:lang w:val="zh-CN"/>
            </w:rPr>
            <w:fldChar w:fldCharType="begin"/>
          </w:r>
          <w:r>
            <w:rPr>
              <w:bCs/>
              <w:szCs w:val="32"/>
              <w:lang w:val="zh-CN"/>
            </w:rPr>
            <w:instrText xml:space="preserve"> HYPERLINK \l _Toc15979 </w:instrText>
          </w:r>
          <w:r>
            <w:rPr>
              <w:bCs/>
              <w:szCs w:val="32"/>
              <w:lang w:val="zh-CN"/>
            </w:rPr>
            <w:fldChar w:fldCharType="separate"/>
          </w:r>
          <w:r>
            <w:rPr>
              <w:rFonts w:hint="eastAsia" w:ascii="方正仿宋_GB2312" w:hAnsi="方正仿宋_GB2312" w:eastAsia="方正仿宋_GB2312" w:cs="方正仿宋_GB2312"/>
              <w:bCs w:val="0"/>
            </w:rPr>
            <w:t>1.优化门城地区和山区社区养老服务设施梯次布局</w:t>
          </w:r>
          <w:r>
            <w:tab/>
          </w:r>
          <w:r>
            <w:fldChar w:fldCharType="begin"/>
          </w:r>
          <w:r>
            <w:instrText xml:space="preserve"> PAGEREF _Toc15979 \h </w:instrText>
          </w:r>
          <w:r>
            <w:fldChar w:fldCharType="separate"/>
          </w:r>
          <w:r>
            <w:t>19</w:t>
          </w:r>
          <w:r>
            <w:fldChar w:fldCharType="end"/>
          </w:r>
          <w:r>
            <w:rPr>
              <w:bCs/>
              <w:szCs w:val="32"/>
              <w:lang w:val="zh-CN"/>
            </w:rPr>
            <w:fldChar w:fldCharType="end"/>
          </w:r>
        </w:p>
        <w:p>
          <w:pPr>
            <w:pStyle w:val="12"/>
            <w:tabs>
              <w:tab w:val="right" w:leader="dot" w:pos="8306"/>
            </w:tabs>
          </w:pPr>
          <w:r>
            <w:rPr>
              <w:bCs/>
              <w:szCs w:val="32"/>
              <w:lang w:val="zh-CN"/>
            </w:rPr>
            <w:fldChar w:fldCharType="begin"/>
          </w:r>
          <w:r>
            <w:rPr>
              <w:bCs/>
              <w:szCs w:val="32"/>
              <w:lang w:val="zh-CN"/>
            </w:rPr>
            <w:instrText xml:space="preserve"> HYPERLINK \l _Toc29464 </w:instrText>
          </w:r>
          <w:r>
            <w:rPr>
              <w:bCs/>
              <w:szCs w:val="32"/>
              <w:lang w:val="zh-CN"/>
            </w:rPr>
            <w:fldChar w:fldCharType="separate"/>
          </w:r>
          <w:r>
            <w:rPr>
              <w:rFonts w:ascii="方正仿宋_GB2312" w:hAnsi="方正仿宋_GB2312" w:eastAsia="方正仿宋_GB2312" w:cs="方正仿宋_GB2312"/>
              <w:bCs w:val="0"/>
            </w:rPr>
            <w:t>2</w:t>
          </w:r>
          <w:r>
            <w:rPr>
              <w:rFonts w:hint="eastAsia" w:ascii="方正仿宋_GB2312" w:hAnsi="方正仿宋_GB2312" w:eastAsia="方正仿宋_GB2312" w:cs="方正仿宋_GB2312"/>
              <w:bCs w:val="0"/>
            </w:rPr>
            <w:t>.全面构建街镇养老服务联合体</w:t>
          </w:r>
          <w:r>
            <w:tab/>
          </w:r>
          <w:r>
            <w:fldChar w:fldCharType="begin"/>
          </w:r>
          <w:r>
            <w:instrText xml:space="preserve"> PAGEREF _Toc29464 \h </w:instrText>
          </w:r>
          <w:r>
            <w:fldChar w:fldCharType="separate"/>
          </w:r>
          <w:r>
            <w:t>20</w:t>
          </w:r>
          <w:r>
            <w:fldChar w:fldCharType="end"/>
          </w:r>
          <w:r>
            <w:rPr>
              <w:bCs/>
              <w:szCs w:val="32"/>
              <w:lang w:val="zh-CN"/>
            </w:rPr>
            <w:fldChar w:fldCharType="end"/>
          </w:r>
        </w:p>
        <w:p>
          <w:pPr>
            <w:pStyle w:val="12"/>
            <w:tabs>
              <w:tab w:val="right" w:leader="dot" w:pos="8306"/>
            </w:tabs>
          </w:pPr>
          <w:r>
            <w:rPr>
              <w:bCs/>
              <w:szCs w:val="32"/>
              <w:lang w:val="zh-CN"/>
            </w:rPr>
            <w:fldChar w:fldCharType="begin"/>
          </w:r>
          <w:r>
            <w:rPr>
              <w:bCs/>
              <w:szCs w:val="32"/>
              <w:lang w:val="zh-CN"/>
            </w:rPr>
            <w:instrText xml:space="preserve"> HYPERLINK \l _Toc16802 </w:instrText>
          </w:r>
          <w:r>
            <w:rPr>
              <w:bCs/>
              <w:szCs w:val="32"/>
              <w:lang w:val="zh-CN"/>
            </w:rPr>
            <w:fldChar w:fldCharType="separate"/>
          </w:r>
          <w:r>
            <w:rPr>
              <w:rFonts w:hint="eastAsia" w:ascii="方正仿宋_GB2312" w:hAnsi="方正仿宋_GB2312" w:eastAsia="方正仿宋_GB2312" w:cs="方正仿宋_GB2312"/>
              <w:bCs w:val="0"/>
            </w:rPr>
            <w:t>3.推广时间银行发展互助养老服务</w:t>
          </w:r>
          <w:r>
            <w:tab/>
          </w:r>
          <w:r>
            <w:fldChar w:fldCharType="begin"/>
          </w:r>
          <w:r>
            <w:instrText xml:space="preserve"> PAGEREF _Toc16802 \h </w:instrText>
          </w:r>
          <w:r>
            <w:fldChar w:fldCharType="separate"/>
          </w:r>
          <w:r>
            <w:t>20</w:t>
          </w:r>
          <w:r>
            <w:fldChar w:fldCharType="end"/>
          </w:r>
          <w:r>
            <w:rPr>
              <w:bCs/>
              <w:szCs w:val="32"/>
              <w:lang w:val="zh-CN"/>
            </w:rPr>
            <w:fldChar w:fldCharType="end"/>
          </w:r>
        </w:p>
        <w:p>
          <w:pPr>
            <w:pStyle w:val="12"/>
            <w:tabs>
              <w:tab w:val="right" w:leader="dot" w:pos="8306"/>
            </w:tabs>
          </w:pPr>
          <w:r>
            <w:rPr>
              <w:bCs/>
              <w:szCs w:val="32"/>
              <w:lang w:val="zh-CN"/>
            </w:rPr>
            <w:fldChar w:fldCharType="begin"/>
          </w:r>
          <w:r>
            <w:rPr>
              <w:bCs/>
              <w:szCs w:val="32"/>
              <w:lang w:val="zh-CN"/>
            </w:rPr>
            <w:instrText xml:space="preserve"> HYPERLINK \l _Toc7873 </w:instrText>
          </w:r>
          <w:r>
            <w:rPr>
              <w:bCs/>
              <w:szCs w:val="32"/>
              <w:lang w:val="zh-CN"/>
            </w:rPr>
            <w:fldChar w:fldCharType="separate"/>
          </w:r>
          <w:r>
            <w:rPr>
              <w:rFonts w:hint="eastAsia" w:ascii="方正仿宋_GB2312" w:hAnsi="方正仿宋_GB2312" w:eastAsia="方正仿宋_GB2312" w:cs="方正仿宋_GB2312"/>
              <w:bCs w:val="0"/>
            </w:rPr>
            <w:t>4.建设老年宜居环境</w:t>
          </w:r>
          <w:r>
            <w:tab/>
          </w:r>
          <w:r>
            <w:fldChar w:fldCharType="begin"/>
          </w:r>
          <w:r>
            <w:instrText xml:space="preserve"> PAGEREF _Toc7873 \h </w:instrText>
          </w:r>
          <w:r>
            <w:fldChar w:fldCharType="separate"/>
          </w:r>
          <w:r>
            <w:t>21</w:t>
          </w:r>
          <w:r>
            <w:fldChar w:fldCharType="end"/>
          </w:r>
          <w:r>
            <w:rPr>
              <w:bCs/>
              <w:szCs w:val="32"/>
              <w:lang w:val="zh-CN"/>
            </w:rPr>
            <w:fldChar w:fldCharType="end"/>
          </w:r>
        </w:p>
        <w:p>
          <w:pPr>
            <w:pStyle w:val="12"/>
            <w:tabs>
              <w:tab w:val="right" w:leader="dot" w:pos="8306"/>
            </w:tabs>
          </w:pPr>
          <w:r>
            <w:rPr>
              <w:bCs/>
              <w:szCs w:val="32"/>
              <w:lang w:val="zh-CN"/>
            </w:rPr>
            <w:fldChar w:fldCharType="begin"/>
          </w:r>
          <w:r>
            <w:rPr>
              <w:bCs/>
              <w:szCs w:val="32"/>
              <w:lang w:val="zh-CN"/>
            </w:rPr>
            <w:instrText xml:space="preserve"> HYPERLINK \l _Toc16861 </w:instrText>
          </w:r>
          <w:r>
            <w:rPr>
              <w:bCs/>
              <w:szCs w:val="32"/>
              <w:lang w:val="zh-CN"/>
            </w:rPr>
            <w:fldChar w:fldCharType="separate"/>
          </w:r>
          <w:r>
            <w:rPr>
              <w:rFonts w:hint="eastAsia" w:ascii="方正仿宋_GB2312" w:hAnsi="仿宋" w:eastAsia="方正仿宋_GB2312" w:cs="仿宋"/>
              <w:lang w:bidi="ar"/>
            </w:rPr>
            <w:t>5.建设婴幼儿照护示范区</w:t>
          </w:r>
          <w:r>
            <w:tab/>
          </w:r>
          <w:r>
            <w:fldChar w:fldCharType="begin"/>
          </w:r>
          <w:r>
            <w:instrText xml:space="preserve"> PAGEREF _Toc16861 \h </w:instrText>
          </w:r>
          <w:r>
            <w:fldChar w:fldCharType="separate"/>
          </w:r>
          <w:r>
            <w:t>21</w:t>
          </w:r>
          <w:r>
            <w:fldChar w:fldCharType="end"/>
          </w:r>
          <w:r>
            <w:rPr>
              <w:bCs/>
              <w:szCs w:val="32"/>
              <w:lang w:val="zh-CN"/>
            </w:rPr>
            <w:fldChar w:fldCharType="end"/>
          </w:r>
        </w:p>
        <w:p>
          <w:pPr>
            <w:pStyle w:val="12"/>
            <w:tabs>
              <w:tab w:val="right" w:leader="dot" w:pos="8306"/>
            </w:tabs>
          </w:pPr>
          <w:r>
            <w:rPr>
              <w:bCs/>
              <w:szCs w:val="32"/>
              <w:lang w:val="zh-CN"/>
            </w:rPr>
            <w:fldChar w:fldCharType="begin"/>
          </w:r>
          <w:r>
            <w:rPr>
              <w:bCs/>
              <w:szCs w:val="32"/>
              <w:lang w:val="zh-CN"/>
            </w:rPr>
            <w:instrText xml:space="preserve"> HYPERLINK \l _Toc11024 </w:instrText>
          </w:r>
          <w:r>
            <w:rPr>
              <w:bCs/>
              <w:szCs w:val="32"/>
              <w:lang w:val="zh-CN"/>
            </w:rPr>
            <w:fldChar w:fldCharType="separate"/>
          </w:r>
          <w:r>
            <w:rPr>
              <w:rFonts w:hint="eastAsia" w:ascii="方正仿宋_GB2312" w:hAnsi="方正仿宋_GB2312" w:eastAsia="方正仿宋_GB2312" w:cs="方正仿宋_GB2312"/>
              <w:bCs w:val="0"/>
            </w:rPr>
            <w:t>6.配套新旧社区</w:t>
          </w:r>
          <w:r>
            <w:rPr>
              <w:rFonts w:hint="eastAsia" w:ascii="方正仿宋_GB2312" w:hAnsi="方正仿宋_GB2312" w:eastAsia="方正仿宋_GB2312" w:cs="方正仿宋_GB2312"/>
              <w:bCs w:val="0"/>
              <w:lang w:val="en-US" w:eastAsia="zh-CN"/>
            </w:rPr>
            <w:t>养老</w:t>
          </w:r>
          <w:r>
            <w:rPr>
              <w:rFonts w:hint="eastAsia" w:ascii="方正仿宋_GB2312" w:hAnsi="方正仿宋_GB2312" w:eastAsia="方正仿宋_GB2312" w:cs="方正仿宋_GB2312"/>
              <w:bCs w:val="0"/>
            </w:rPr>
            <w:t>托育服务设施</w:t>
          </w:r>
          <w:r>
            <w:tab/>
          </w:r>
          <w:r>
            <w:fldChar w:fldCharType="begin"/>
          </w:r>
          <w:r>
            <w:instrText xml:space="preserve"> PAGEREF _Toc11024 \h </w:instrText>
          </w:r>
          <w:r>
            <w:fldChar w:fldCharType="separate"/>
          </w:r>
          <w:r>
            <w:t>22</w:t>
          </w:r>
          <w:r>
            <w:fldChar w:fldCharType="end"/>
          </w:r>
          <w:r>
            <w:rPr>
              <w:bCs/>
              <w:szCs w:val="32"/>
              <w:lang w:val="zh-CN"/>
            </w:rPr>
            <w:fldChar w:fldCharType="end"/>
          </w:r>
        </w:p>
        <w:p>
          <w:pPr>
            <w:pStyle w:val="12"/>
            <w:tabs>
              <w:tab w:val="right" w:leader="dot" w:pos="8306"/>
            </w:tabs>
          </w:pPr>
          <w:r>
            <w:rPr>
              <w:bCs/>
              <w:szCs w:val="32"/>
              <w:lang w:val="zh-CN"/>
            </w:rPr>
            <w:fldChar w:fldCharType="begin"/>
          </w:r>
          <w:r>
            <w:rPr>
              <w:bCs/>
              <w:szCs w:val="32"/>
              <w:lang w:val="zh-CN"/>
            </w:rPr>
            <w:instrText xml:space="preserve"> HYPERLINK \l _Toc12813 </w:instrText>
          </w:r>
          <w:r>
            <w:rPr>
              <w:bCs/>
              <w:szCs w:val="32"/>
              <w:lang w:val="zh-CN"/>
            </w:rPr>
            <w:fldChar w:fldCharType="separate"/>
          </w:r>
          <w:r>
            <w:rPr>
              <w:rFonts w:hint="eastAsia" w:ascii="方正仿宋_GB2312" w:hAnsi="方正仿宋_GB2312" w:eastAsia="方正仿宋_GB2312" w:cs="方正仿宋_GB2312"/>
              <w:bCs w:val="0"/>
            </w:rPr>
            <w:t>7.建设街镇婴幼儿照护服务驿站</w:t>
          </w:r>
          <w:r>
            <w:tab/>
          </w:r>
          <w:r>
            <w:fldChar w:fldCharType="begin"/>
          </w:r>
          <w:r>
            <w:instrText xml:space="preserve"> PAGEREF _Toc12813 \h </w:instrText>
          </w:r>
          <w:r>
            <w:fldChar w:fldCharType="separate"/>
          </w:r>
          <w:r>
            <w:t>23</w:t>
          </w:r>
          <w:r>
            <w:fldChar w:fldCharType="end"/>
          </w:r>
          <w:r>
            <w:rPr>
              <w:bCs/>
              <w:szCs w:val="32"/>
              <w:lang w:val="zh-CN"/>
            </w:rPr>
            <w:fldChar w:fldCharType="end"/>
          </w:r>
        </w:p>
        <w:p>
          <w:pPr>
            <w:pStyle w:val="12"/>
            <w:tabs>
              <w:tab w:val="right" w:leader="dot" w:pos="8306"/>
            </w:tabs>
          </w:pPr>
          <w:r>
            <w:rPr>
              <w:bCs/>
              <w:szCs w:val="32"/>
              <w:lang w:val="zh-CN"/>
            </w:rPr>
            <w:fldChar w:fldCharType="begin"/>
          </w:r>
          <w:r>
            <w:rPr>
              <w:bCs/>
              <w:szCs w:val="32"/>
              <w:lang w:val="zh-CN"/>
            </w:rPr>
            <w:instrText xml:space="preserve"> HYPERLINK \l _Toc26311 </w:instrText>
          </w:r>
          <w:r>
            <w:rPr>
              <w:bCs/>
              <w:szCs w:val="32"/>
              <w:lang w:val="zh-CN"/>
            </w:rPr>
            <w:fldChar w:fldCharType="separate"/>
          </w:r>
          <w:r>
            <w:rPr>
              <w:rFonts w:hint="default" w:ascii="方正仿宋_GB2312" w:hAnsi="方正仿宋_GB2312" w:eastAsia="方正仿宋_GB2312" w:cs="方正仿宋_GB2312"/>
              <w:bCs w:val="0"/>
              <w:kern w:val="0"/>
              <w:szCs w:val="32"/>
            </w:rPr>
            <w:t>8</w:t>
          </w:r>
          <w:r>
            <w:rPr>
              <w:rFonts w:hint="eastAsia" w:ascii="方正仿宋_GB2312" w:hAnsi="方正仿宋_GB2312" w:eastAsia="方正仿宋_GB2312" w:cs="方正仿宋_GB2312"/>
              <w:bCs w:val="0"/>
              <w:kern w:val="0"/>
              <w:szCs w:val="32"/>
            </w:rPr>
            <w:t xml:space="preserve">. </w:t>
          </w:r>
          <w:r>
            <w:rPr>
              <w:rFonts w:hint="default" w:ascii="方正仿宋_GB2312" w:hAnsi="方正仿宋_GB2312" w:eastAsia="方正仿宋_GB2312" w:cs="方正仿宋_GB2312"/>
              <w:bCs w:val="0"/>
              <w:kern w:val="0"/>
              <w:szCs w:val="32"/>
            </w:rPr>
            <w:t>建立托育综合服务中心</w:t>
          </w:r>
          <w:r>
            <w:tab/>
          </w:r>
          <w:r>
            <w:fldChar w:fldCharType="begin"/>
          </w:r>
          <w:r>
            <w:instrText xml:space="preserve"> PAGEREF _Toc26311 \h </w:instrText>
          </w:r>
          <w:r>
            <w:fldChar w:fldCharType="separate"/>
          </w:r>
          <w:r>
            <w:t>24</w:t>
          </w:r>
          <w:r>
            <w:fldChar w:fldCharType="end"/>
          </w:r>
          <w:r>
            <w:rPr>
              <w:bCs/>
              <w:szCs w:val="32"/>
              <w:lang w:val="zh-CN"/>
            </w:rPr>
            <w:fldChar w:fldCharType="end"/>
          </w:r>
        </w:p>
        <w:p>
          <w:pPr>
            <w:pStyle w:val="19"/>
            <w:tabs>
              <w:tab w:val="right" w:leader="dot" w:pos="8306"/>
            </w:tabs>
          </w:pPr>
          <w:r>
            <w:rPr>
              <w:bCs/>
              <w:szCs w:val="32"/>
              <w:lang w:val="zh-CN"/>
            </w:rPr>
            <w:fldChar w:fldCharType="begin"/>
          </w:r>
          <w:r>
            <w:rPr>
              <w:bCs/>
              <w:szCs w:val="32"/>
              <w:lang w:val="zh-CN"/>
            </w:rPr>
            <w:instrText xml:space="preserve"> HYPERLINK \l _Toc30523 </w:instrText>
          </w:r>
          <w:r>
            <w:rPr>
              <w:bCs/>
              <w:szCs w:val="32"/>
              <w:lang w:val="zh-CN"/>
            </w:rPr>
            <w:fldChar w:fldCharType="separate"/>
          </w:r>
          <w:r>
            <w:rPr>
              <w:rFonts w:hint="eastAsia" w:ascii="方正楷体_GB2312" w:hAnsi="方正楷体_GB2312" w:eastAsia="方正楷体_GB2312" w:cs="方正楷体_GB2312"/>
              <w:bCs/>
              <w:kern w:val="0"/>
              <w:szCs w:val="32"/>
            </w:rPr>
            <w:t>（</w:t>
          </w:r>
          <w:r>
            <w:rPr>
              <w:rFonts w:hint="eastAsia" w:ascii="方正楷体_GB2312" w:hAnsi="方正楷体_GB2312" w:eastAsia="方正楷体_GB2312" w:cs="方正楷体_GB2312"/>
              <w:bCs/>
              <w:kern w:val="0"/>
              <w:szCs w:val="32"/>
              <w:lang w:val="en-US" w:eastAsia="zh-CN"/>
            </w:rPr>
            <w:t>八</w:t>
          </w:r>
          <w:r>
            <w:rPr>
              <w:rFonts w:hint="eastAsia" w:ascii="方正楷体_GB2312" w:hAnsi="方正楷体_GB2312" w:eastAsia="方正楷体_GB2312" w:cs="方正楷体_GB2312"/>
              <w:bCs/>
              <w:kern w:val="0"/>
              <w:szCs w:val="32"/>
            </w:rPr>
            <w:t>）完善普惠养老托育机构照护服务体系</w:t>
          </w:r>
          <w:r>
            <w:tab/>
          </w:r>
          <w:r>
            <w:fldChar w:fldCharType="begin"/>
          </w:r>
          <w:r>
            <w:instrText xml:space="preserve"> PAGEREF _Toc30523 \h </w:instrText>
          </w:r>
          <w:r>
            <w:fldChar w:fldCharType="separate"/>
          </w:r>
          <w:r>
            <w:t>24</w:t>
          </w:r>
          <w:r>
            <w:fldChar w:fldCharType="end"/>
          </w:r>
          <w:r>
            <w:rPr>
              <w:bCs/>
              <w:szCs w:val="32"/>
              <w:lang w:val="zh-CN"/>
            </w:rPr>
            <w:fldChar w:fldCharType="end"/>
          </w:r>
        </w:p>
        <w:p>
          <w:pPr>
            <w:pStyle w:val="12"/>
            <w:tabs>
              <w:tab w:val="right" w:leader="dot" w:pos="8306"/>
            </w:tabs>
          </w:pPr>
          <w:r>
            <w:rPr>
              <w:bCs/>
              <w:szCs w:val="32"/>
              <w:lang w:val="zh-CN"/>
            </w:rPr>
            <w:fldChar w:fldCharType="begin"/>
          </w:r>
          <w:r>
            <w:rPr>
              <w:bCs/>
              <w:szCs w:val="32"/>
              <w:lang w:val="zh-CN"/>
            </w:rPr>
            <w:instrText xml:space="preserve"> HYPERLINK \l _Toc22246 </w:instrText>
          </w:r>
          <w:r>
            <w:rPr>
              <w:bCs/>
              <w:szCs w:val="32"/>
              <w:lang w:val="zh-CN"/>
            </w:rPr>
            <w:fldChar w:fldCharType="separate"/>
          </w:r>
          <w:r>
            <w:rPr>
              <w:rFonts w:ascii="方正仿宋_GB2312" w:hAnsi="方正仿宋_GB2312" w:eastAsia="方正仿宋_GB2312" w:cs="方正仿宋_GB2312"/>
              <w:bCs w:val="0"/>
            </w:rPr>
            <w:t>1</w:t>
          </w:r>
          <w:r>
            <w:rPr>
              <w:rFonts w:hint="eastAsia" w:ascii="方正仿宋_GB2312" w:hAnsi="方正仿宋_GB2312" w:eastAsia="方正仿宋_GB2312" w:cs="方正仿宋_GB2312"/>
              <w:bCs w:val="0"/>
            </w:rPr>
            <w:t>.强化兜底保障能力</w:t>
          </w:r>
          <w:r>
            <w:tab/>
          </w:r>
          <w:r>
            <w:fldChar w:fldCharType="begin"/>
          </w:r>
          <w:r>
            <w:instrText xml:space="preserve"> PAGEREF _Toc22246 \h </w:instrText>
          </w:r>
          <w:r>
            <w:fldChar w:fldCharType="separate"/>
          </w:r>
          <w:r>
            <w:t>24</w:t>
          </w:r>
          <w:r>
            <w:fldChar w:fldCharType="end"/>
          </w:r>
          <w:r>
            <w:rPr>
              <w:bCs/>
              <w:szCs w:val="32"/>
              <w:lang w:val="zh-CN"/>
            </w:rPr>
            <w:fldChar w:fldCharType="end"/>
          </w:r>
        </w:p>
        <w:p>
          <w:pPr>
            <w:pStyle w:val="12"/>
            <w:tabs>
              <w:tab w:val="right" w:leader="dot" w:pos="8306"/>
            </w:tabs>
          </w:pPr>
          <w:r>
            <w:rPr>
              <w:bCs/>
              <w:szCs w:val="32"/>
              <w:lang w:val="zh-CN"/>
            </w:rPr>
            <w:fldChar w:fldCharType="begin"/>
          </w:r>
          <w:r>
            <w:rPr>
              <w:bCs/>
              <w:szCs w:val="32"/>
              <w:lang w:val="zh-CN"/>
            </w:rPr>
            <w:instrText xml:space="preserve"> HYPERLINK \l _Toc28157 </w:instrText>
          </w:r>
          <w:r>
            <w:rPr>
              <w:bCs/>
              <w:szCs w:val="32"/>
              <w:lang w:val="zh-CN"/>
            </w:rPr>
            <w:fldChar w:fldCharType="separate"/>
          </w:r>
          <w:r>
            <w:rPr>
              <w:rFonts w:hint="eastAsia" w:ascii="方正仿宋_GB2312" w:hAnsi="方正仿宋_GB2312" w:eastAsia="方正仿宋_GB2312" w:cs="方正仿宋_GB2312"/>
              <w:bCs w:val="0"/>
            </w:rPr>
            <w:t>2.提升公办机构服务水平</w:t>
          </w:r>
          <w:r>
            <w:tab/>
          </w:r>
          <w:r>
            <w:fldChar w:fldCharType="begin"/>
          </w:r>
          <w:r>
            <w:instrText xml:space="preserve"> PAGEREF _Toc28157 \h </w:instrText>
          </w:r>
          <w:r>
            <w:fldChar w:fldCharType="separate"/>
          </w:r>
          <w:r>
            <w:t>25</w:t>
          </w:r>
          <w:r>
            <w:fldChar w:fldCharType="end"/>
          </w:r>
          <w:r>
            <w:rPr>
              <w:bCs/>
              <w:szCs w:val="32"/>
              <w:lang w:val="zh-CN"/>
            </w:rPr>
            <w:fldChar w:fldCharType="end"/>
          </w:r>
        </w:p>
        <w:p>
          <w:pPr>
            <w:pStyle w:val="12"/>
            <w:tabs>
              <w:tab w:val="right" w:leader="dot" w:pos="8306"/>
            </w:tabs>
          </w:pPr>
          <w:r>
            <w:rPr>
              <w:bCs/>
              <w:szCs w:val="32"/>
              <w:lang w:val="zh-CN"/>
            </w:rPr>
            <w:fldChar w:fldCharType="begin"/>
          </w:r>
          <w:r>
            <w:rPr>
              <w:bCs/>
              <w:szCs w:val="32"/>
              <w:lang w:val="zh-CN"/>
            </w:rPr>
            <w:instrText xml:space="preserve"> HYPERLINK \l _Toc2789 </w:instrText>
          </w:r>
          <w:r>
            <w:rPr>
              <w:bCs/>
              <w:szCs w:val="32"/>
              <w:lang w:val="zh-CN"/>
            </w:rPr>
            <w:fldChar w:fldCharType="separate"/>
          </w:r>
          <w:r>
            <w:rPr>
              <w:rFonts w:hint="eastAsia" w:ascii="方正仿宋_GB2312" w:hAnsi="方正仿宋_GB2312" w:eastAsia="方正仿宋_GB2312" w:cs="方正仿宋_GB2312"/>
              <w:bCs w:val="0"/>
            </w:rPr>
            <w:t>3.支持普惠性养老托育服务发展</w:t>
          </w:r>
          <w:r>
            <w:tab/>
          </w:r>
          <w:r>
            <w:fldChar w:fldCharType="begin"/>
          </w:r>
          <w:r>
            <w:instrText xml:space="preserve"> PAGEREF _Toc2789 \h </w:instrText>
          </w:r>
          <w:r>
            <w:fldChar w:fldCharType="separate"/>
          </w:r>
          <w:r>
            <w:t>26</w:t>
          </w:r>
          <w:r>
            <w:fldChar w:fldCharType="end"/>
          </w:r>
          <w:r>
            <w:rPr>
              <w:bCs/>
              <w:szCs w:val="32"/>
              <w:lang w:val="zh-CN"/>
            </w:rPr>
            <w:fldChar w:fldCharType="end"/>
          </w:r>
        </w:p>
        <w:p>
          <w:pPr>
            <w:pStyle w:val="12"/>
            <w:tabs>
              <w:tab w:val="right" w:leader="dot" w:pos="8306"/>
            </w:tabs>
          </w:pPr>
          <w:r>
            <w:rPr>
              <w:bCs/>
              <w:szCs w:val="32"/>
              <w:lang w:val="zh-CN"/>
            </w:rPr>
            <w:fldChar w:fldCharType="begin"/>
          </w:r>
          <w:r>
            <w:rPr>
              <w:bCs/>
              <w:szCs w:val="32"/>
              <w:lang w:val="zh-CN"/>
            </w:rPr>
            <w:instrText xml:space="preserve"> HYPERLINK \l _Toc16470 </w:instrText>
          </w:r>
          <w:r>
            <w:rPr>
              <w:bCs/>
              <w:szCs w:val="32"/>
              <w:lang w:val="zh-CN"/>
            </w:rPr>
            <w:fldChar w:fldCharType="separate"/>
          </w:r>
          <w:r>
            <w:rPr>
              <w:rFonts w:hint="eastAsia" w:ascii="方正仿宋_GB2312" w:hAnsi="方正仿宋_GB2312" w:eastAsia="方正仿宋_GB2312" w:cs="方正仿宋_GB2312"/>
              <w:bCs w:val="0"/>
            </w:rPr>
            <w:t>4.增加养老服务市场化供给</w:t>
          </w:r>
          <w:r>
            <w:tab/>
          </w:r>
          <w:r>
            <w:fldChar w:fldCharType="begin"/>
          </w:r>
          <w:r>
            <w:instrText xml:space="preserve"> PAGEREF _Toc16470 \h </w:instrText>
          </w:r>
          <w:r>
            <w:fldChar w:fldCharType="separate"/>
          </w:r>
          <w:r>
            <w:t>27</w:t>
          </w:r>
          <w:r>
            <w:fldChar w:fldCharType="end"/>
          </w:r>
          <w:r>
            <w:rPr>
              <w:bCs/>
              <w:szCs w:val="32"/>
              <w:lang w:val="zh-CN"/>
            </w:rPr>
            <w:fldChar w:fldCharType="end"/>
          </w:r>
        </w:p>
        <w:p>
          <w:pPr>
            <w:pStyle w:val="12"/>
            <w:tabs>
              <w:tab w:val="right" w:leader="dot" w:pos="8306"/>
            </w:tabs>
          </w:pPr>
          <w:r>
            <w:rPr>
              <w:bCs/>
              <w:szCs w:val="32"/>
              <w:lang w:val="zh-CN"/>
            </w:rPr>
            <w:fldChar w:fldCharType="begin"/>
          </w:r>
          <w:r>
            <w:rPr>
              <w:bCs/>
              <w:szCs w:val="32"/>
              <w:lang w:val="zh-CN"/>
            </w:rPr>
            <w:instrText xml:space="preserve"> HYPERLINK \l _Toc9080 </w:instrText>
          </w:r>
          <w:r>
            <w:rPr>
              <w:bCs/>
              <w:szCs w:val="32"/>
              <w:lang w:val="zh-CN"/>
            </w:rPr>
            <w:fldChar w:fldCharType="separate"/>
          </w:r>
          <w:r>
            <w:rPr>
              <w:rFonts w:hint="eastAsia" w:ascii="方正仿宋_GB2312" w:hAnsi="方正仿宋_GB2312" w:eastAsia="方正仿宋_GB2312" w:cs="方正仿宋_GB2312"/>
              <w:bCs w:val="0"/>
            </w:rPr>
            <w:t>5.扩大普惠性托育服务供给</w:t>
          </w:r>
          <w:r>
            <w:tab/>
          </w:r>
          <w:r>
            <w:fldChar w:fldCharType="begin"/>
          </w:r>
          <w:r>
            <w:instrText xml:space="preserve"> PAGEREF _Toc9080 \h </w:instrText>
          </w:r>
          <w:r>
            <w:fldChar w:fldCharType="separate"/>
          </w:r>
          <w:r>
            <w:t>27</w:t>
          </w:r>
          <w:r>
            <w:fldChar w:fldCharType="end"/>
          </w:r>
          <w:r>
            <w:rPr>
              <w:bCs/>
              <w:szCs w:val="32"/>
              <w:lang w:val="zh-CN"/>
            </w:rPr>
            <w:fldChar w:fldCharType="end"/>
          </w:r>
        </w:p>
        <w:p>
          <w:pPr>
            <w:pStyle w:val="12"/>
            <w:tabs>
              <w:tab w:val="right" w:leader="dot" w:pos="8306"/>
            </w:tabs>
          </w:pPr>
          <w:r>
            <w:rPr>
              <w:bCs/>
              <w:szCs w:val="32"/>
              <w:lang w:val="zh-CN"/>
            </w:rPr>
            <w:fldChar w:fldCharType="begin"/>
          </w:r>
          <w:r>
            <w:rPr>
              <w:bCs/>
              <w:szCs w:val="32"/>
              <w:lang w:val="zh-CN"/>
            </w:rPr>
            <w:instrText xml:space="preserve"> HYPERLINK \l _Toc14309 </w:instrText>
          </w:r>
          <w:r>
            <w:rPr>
              <w:bCs/>
              <w:szCs w:val="32"/>
              <w:lang w:val="zh-CN"/>
            </w:rPr>
            <w:fldChar w:fldCharType="separate"/>
          </w:r>
          <w:r>
            <w:rPr>
              <w:rFonts w:hint="eastAsia" w:ascii="方正仿宋_GB2312" w:hAnsi="方正仿宋_GB2312" w:eastAsia="方正仿宋_GB2312" w:cs="方正仿宋_GB2312"/>
              <w:bCs w:val="0"/>
            </w:rPr>
            <w:t>6.支持社会力量开办托育服务</w:t>
          </w:r>
          <w:r>
            <w:tab/>
          </w:r>
          <w:r>
            <w:fldChar w:fldCharType="begin"/>
          </w:r>
          <w:r>
            <w:instrText xml:space="preserve"> PAGEREF _Toc14309 \h </w:instrText>
          </w:r>
          <w:r>
            <w:fldChar w:fldCharType="separate"/>
          </w:r>
          <w:r>
            <w:t>28</w:t>
          </w:r>
          <w:r>
            <w:fldChar w:fldCharType="end"/>
          </w:r>
          <w:r>
            <w:rPr>
              <w:bCs/>
              <w:szCs w:val="32"/>
              <w:lang w:val="zh-CN"/>
            </w:rPr>
            <w:fldChar w:fldCharType="end"/>
          </w:r>
        </w:p>
        <w:p>
          <w:pPr>
            <w:pStyle w:val="19"/>
            <w:tabs>
              <w:tab w:val="right" w:leader="dot" w:pos="8306"/>
            </w:tabs>
          </w:pPr>
          <w:r>
            <w:rPr>
              <w:bCs/>
              <w:szCs w:val="32"/>
              <w:lang w:val="zh-CN"/>
            </w:rPr>
            <w:fldChar w:fldCharType="begin"/>
          </w:r>
          <w:r>
            <w:rPr>
              <w:bCs/>
              <w:szCs w:val="32"/>
              <w:lang w:val="zh-CN"/>
            </w:rPr>
            <w:instrText xml:space="preserve"> HYPERLINK \l _Toc22103 </w:instrText>
          </w:r>
          <w:r>
            <w:rPr>
              <w:bCs/>
              <w:szCs w:val="32"/>
              <w:lang w:val="zh-CN"/>
            </w:rPr>
            <w:fldChar w:fldCharType="separate"/>
          </w:r>
          <w:r>
            <w:rPr>
              <w:rFonts w:hint="eastAsia" w:ascii="方正楷体_GB2312" w:hAnsi="方正楷体_GB2312" w:eastAsia="方正楷体_GB2312" w:cs="方正楷体_GB2312"/>
              <w:bCs/>
              <w:kern w:val="0"/>
              <w:szCs w:val="32"/>
            </w:rPr>
            <w:t>（</w:t>
          </w:r>
          <w:r>
            <w:rPr>
              <w:rFonts w:hint="eastAsia" w:ascii="方正楷体_GB2312" w:hAnsi="方正楷体_GB2312" w:eastAsia="方正楷体_GB2312" w:cs="方正楷体_GB2312"/>
              <w:bCs/>
              <w:kern w:val="0"/>
              <w:szCs w:val="32"/>
              <w:lang w:val="en-US" w:eastAsia="zh-CN"/>
            </w:rPr>
            <w:t>九</w:t>
          </w:r>
          <w:r>
            <w:rPr>
              <w:rFonts w:hint="eastAsia" w:ascii="方正楷体_GB2312" w:hAnsi="方正楷体_GB2312" w:eastAsia="方正楷体_GB2312" w:cs="方正楷体_GB2312"/>
              <w:bCs/>
              <w:kern w:val="0"/>
              <w:szCs w:val="32"/>
            </w:rPr>
            <w:t>）养老托育健康服务体系</w:t>
          </w:r>
          <w:r>
            <w:tab/>
          </w:r>
          <w:r>
            <w:fldChar w:fldCharType="begin"/>
          </w:r>
          <w:r>
            <w:instrText xml:space="preserve"> PAGEREF _Toc22103 \h </w:instrText>
          </w:r>
          <w:r>
            <w:fldChar w:fldCharType="separate"/>
          </w:r>
          <w:r>
            <w:t>29</w:t>
          </w:r>
          <w:r>
            <w:fldChar w:fldCharType="end"/>
          </w:r>
          <w:r>
            <w:rPr>
              <w:bCs/>
              <w:szCs w:val="32"/>
              <w:lang w:val="zh-CN"/>
            </w:rPr>
            <w:fldChar w:fldCharType="end"/>
          </w:r>
        </w:p>
        <w:p>
          <w:pPr>
            <w:pStyle w:val="12"/>
            <w:tabs>
              <w:tab w:val="right" w:leader="dot" w:pos="8306"/>
            </w:tabs>
          </w:pPr>
          <w:r>
            <w:rPr>
              <w:bCs/>
              <w:szCs w:val="32"/>
              <w:lang w:val="zh-CN"/>
            </w:rPr>
            <w:fldChar w:fldCharType="begin"/>
          </w:r>
          <w:r>
            <w:rPr>
              <w:bCs/>
              <w:szCs w:val="32"/>
              <w:lang w:val="zh-CN"/>
            </w:rPr>
            <w:instrText xml:space="preserve"> HYPERLINK \l _Toc28822 </w:instrText>
          </w:r>
          <w:r>
            <w:rPr>
              <w:bCs/>
              <w:szCs w:val="32"/>
              <w:lang w:val="zh-CN"/>
            </w:rPr>
            <w:fldChar w:fldCharType="separate"/>
          </w:r>
          <w:r>
            <w:rPr>
              <w:rFonts w:ascii="方正仿宋_GB2312" w:hAnsi="方正仿宋_GB2312" w:eastAsia="方正仿宋_GB2312" w:cs="方正仿宋_GB2312"/>
              <w:bCs w:val="0"/>
            </w:rPr>
            <w:t>1</w:t>
          </w:r>
          <w:r>
            <w:rPr>
              <w:rFonts w:hint="eastAsia" w:ascii="方正仿宋_GB2312" w:hAnsi="方正仿宋_GB2312" w:eastAsia="方正仿宋_GB2312" w:cs="方正仿宋_GB2312"/>
              <w:bCs w:val="0"/>
            </w:rPr>
            <w:t>.深化医养康养有机结合</w:t>
          </w:r>
          <w:r>
            <w:tab/>
          </w:r>
          <w:r>
            <w:fldChar w:fldCharType="begin"/>
          </w:r>
          <w:r>
            <w:instrText xml:space="preserve"> PAGEREF _Toc28822 \h </w:instrText>
          </w:r>
          <w:r>
            <w:fldChar w:fldCharType="separate"/>
          </w:r>
          <w:r>
            <w:t>29</w:t>
          </w:r>
          <w:r>
            <w:fldChar w:fldCharType="end"/>
          </w:r>
          <w:r>
            <w:rPr>
              <w:bCs/>
              <w:szCs w:val="32"/>
              <w:lang w:val="zh-CN"/>
            </w:rPr>
            <w:fldChar w:fldCharType="end"/>
          </w:r>
        </w:p>
        <w:p>
          <w:pPr>
            <w:pStyle w:val="12"/>
            <w:tabs>
              <w:tab w:val="right" w:leader="dot" w:pos="8306"/>
            </w:tabs>
          </w:pPr>
          <w:r>
            <w:rPr>
              <w:bCs/>
              <w:szCs w:val="32"/>
              <w:lang w:val="zh-CN"/>
            </w:rPr>
            <w:fldChar w:fldCharType="begin"/>
          </w:r>
          <w:r>
            <w:rPr>
              <w:bCs/>
              <w:szCs w:val="32"/>
              <w:lang w:val="zh-CN"/>
            </w:rPr>
            <w:instrText xml:space="preserve"> HYPERLINK \l _Toc3686 </w:instrText>
          </w:r>
          <w:r>
            <w:rPr>
              <w:bCs/>
              <w:szCs w:val="32"/>
              <w:lang w:val="zh-CN"/>
            </w:rPr>
            <w:fldChar w:fldCharType="separate"/>
          </w:r>
          <w:r>
            <w:rPr>
              <w:rFonts w:ascii="方正仿宋_GB2312" w:hAnsi="方正仿宋_GB2312" w:eastAsia="方正仿宋_GB2312" w:cs="方正仿宋_GB2312"/>
              <w:bCs w:val="0"/>
            </w:rPr>
            <w:t>2</w:t>
          </w:r>
          <w:r>
            <w:rPr>
              <w:rFonts w:hint="eastAsia" w:ascii="方正仿宋_GB2312" w:hAnsi="方正仿宋_GB2312" w:eastAsia="方正仿宋_GB2312" w:cs="方正仿宋_GB2312"/>
              <w:bCs w:val="0"/>
            </w:rPr>
            <w:t>.提高医疗卫生服务能力</w:t>
          </w:r>
          <w:r>
            <w:tab/>
          </w:r>
          <w:r>
            <w:fldChar w:fldCharType="begin"/>
          </w:r>
          <w:r>
            <w:instrText xml:space="preserve"> PAGEREF _Toc3686 \h </w:instrText>
          </w:r>
          <w:r>
            <w:fldChar w:fldCharType="separate"/>
          </w:r>
          <w:r>
            <w:t>29</w:t>
          </w:r>
          <w:r>
            <w:fldChar w:fldCharType="end"/>
          </w:r>
          <w:r>
            <w:rPr>
              <w:bCs/>
              <w:szCs w:val="32"/>
              <w:lang w:val="zh-CN"/>
            </w:rPr>
            <w:fldChar w:fldCharType="end"/>
          </w:r>
        </w:p>
        <w:p>
          <w:pPr>
            <w:pStyle w:val="12"/>
            <w:tabs>
              <w:tab w:val="right" w:leader="dot" w:pos="8306"/>
            </w:tabs>
          </w:pPr>
          <w:r>
            <w:rPr>
              <w:bCs/>
              <w:szCs w:val="32"/>
              <w:lang w:val="zh-CN"/>
            </w:rPr>
            <w:fldChar w:fldCharType="begin"/>
          </w:r>
          <w:r>
            <w:rPr>
              <w:bCs/>
              <w:szCs w:val="32"/>
              <w:lang w:val="zh-CN"/>
            </w:rPr>
            <w:instrText xml:space="preserve"> HYPERLINK \l _Toc10690 </w:instrText>
          </w:r>
          <w:r>
            <w:rPr>
              <w:bCs/>
              <w:szCs w:val="32"/>
              <w:lang w:val="zh-CN"/>
            </w:rPr>
            <w:fldChar w:fldCharType="separate"/>
          </w:r>
          <w:r>
            <w:rPr>
              <w:rFonts w:ascii="方正仿宋_GB2312" w:hAnsi="方正仿宋_GB2312" w:eastAsia="方正仿宋_GB2312" w:cs="方正仿宋_GB2312"/>
              <w:bCs w:val="0"/>
            </w:rPr>
            <w:t>3</w:t>
          </w:r>
          <w:r>
            <w:rPr>
              <w:rFonts w:hint="eastAsia" w:ascii="方正仿宋_GB2312" w:hAnsi="方正仿宋_GB2312" w:eastAsia="方正仿宋_GB2312" w:cs="方正仿宋_GB2312"/>
              <w:bCs w:val="0"/>
            </w:rPr>
            <w:t>.加强老年人健康管理和服务</w:t>
          </w:r>
          <w:r>
            <w:tab/>
          </w:r>
          <w:r>
            <w:fldChar w:fldCharType="begin"/>
          </w:r>
          <w:r>
            <w:instrText xml:space="preserve"> PAGEREF _Toc10690 \h </w:instrText>
          </w:r>
          <w:r>
            <w:fldChar w:fldCharType="separate"/>
          </w:r>
          <w:r>
            <w:t>30</w:t>
          </w:r>
          <w:r>
            <w:fldChar w:fldCharType="end"/>
          </w:r>
          <w:r>
            <w:rPr>
              <w:bCs/>
              <w:szCs w:val="32"/>
              <w:lang w:val="zh-CN"/>
            </w:rPr>
            <w:fldChar w:fldCharType="end"/>
          </w:r>
        </w:p>
        <w:p>
          <w:pPr>
            <w:pStyle w:val="12"/>
            <w:tabs>
              <w:tab w:val="right" w:leader="dot" w:pos="8306"/>
            </w:tabs>
          </w:pPr>
          <w:r>
            <w:rPr>
              <w:bCs/>
              <w:szCs w:val="32"/>
              <w:lang w:val="zh-CN"/>
            </w:rPr>
            <w:fldChar w:fldCharType="begin"/>
          </w:r>
          <w:r>
            <w:rPr>
              <w:bCs/>
              <w:szCs w:val="32"/>
              <w:lang w:val="zh-CN"/>
            </w:rPr>
            <w:instrText xml:space="preserve"> HYPERLINK \l _Toc2552 </w:instrText>
          </w:r>
          <w:r>
            <w:rPr>
              <w:bCs/>
              <w:szCs w:val="32"/>
              <w:lang w:val="zh-CN"/>
            </w:rPr>
            <w:fldChar w:fldCharType="separate"/>
          </w:r>
          <w:r>
            <w:rPr>
              <w:rFonts w:hint="eastAsia" w:ascii="方正仿宋_GB2312" w:hAnsi="方正仿宋_GB2312" w:eastAsia="方正仿宋_GB2312" w:cs="方正仿宋_GB2312"/>
              <w:bCs w:val="0"/>
            </w:rPr>
            <w:t>4.提高妇女儿童医疗卫生服务能力</w:t>
          </w:r>
          <w:r>
            <w:tab/>
          </w:r>
          <w:r>
            <w:fldChar w:fldCharType="begin"/>
          </w:r>
          <w:r>
            <w:instrText xml:space="preserve"> PAGEREF _Toc2552 \h </w:instrText>
          </w:r>
          <w:r>
            <w:fldChar w:fldCharType="separate"/>
          </w:r>
          <w:r>
            <w:t>30</w:t>
          </w:r>
          <w:r>
            <w:fldChar w:fldCharType="end"/>
          </w:r>
          <w:r>
            <w:rPr>
              <w:bCs/>
              <w:szCs w:val="32"/>
              <w:lang w:val="zh-CN"/>
            </w:rPr>
            <w:fldChar w:fldCharType="end"/>
          </w:r>
        </w:p>
        <w:p>
          <w:pPr>
            <w:pStyle w:val="12"/>
            <w:tabs>
              <w:tab w:val="right" w:leader="dot" w:pos="8306"/>
            </w:tabs>
          </w:pPr>
          <w:r>
            <w:rPr>
              <w:bCs/>
              <w:szCs w:val="32"/>
              <w:lang w:val="zh-CN"/>
            </w:rPr>
            <w:fldChar w:fldCharType="begin"/>
          </w:r>
          <w:r>
            <w:rPr>
              <w:bCs/>
              <w:szCs w:val="32"/>
              <w:lang w:val="zh-CN"/>
            </w:rPr>
            <w:instrText xml:space="preserve"> HYPERLINK \l _Toc24678 </w:instrText>
          </w:r>
          <w:r>
            <w:rPr>
              <w:bCs/>
              <w:szCs w:val="32"/>
              <w:lang w:val="zh-CN"/>
            </w:rPr>
            <w:fldChar w:fldCharType="separate"/>
          </w:r>
          <w:r>
            <w:rPr>
              <w:rFonts w:hint="eastAsia" w:ascii="方正仿宋_GB2312" w:hAnsi="方正仿宋_GB2312" w:eastAsia="方正仿宋_GB2312" w:cs="方正仿宋_GB2312"/>
              <w:bCs w:val="0"/>
            </w:rPr>
            <w:t>5.加强儿童健康管理和服务</w:t>
          </w:r>
          <w:r>
            <w:tab/>
          </w:r>
          <w:r>
            <w:fldChar w:fldCharType="begin"/>
          </w:r>
          <w:r>
            <w:instrText xml:space="preserve"> PAGEREF _Toc24678 \h </w:instrText>
          </w:r>
          <w:r>
            <w:fldChar w:fldCharType="separate"/>
          </w:r>
          <w:r>
            <w:t>31</w:t>
          </w:r>
          <w:r>
            <w:fldChar w:fldCharType="end"/>
          </w:r>
          <w:r>
            <w:rPr>
              <w:bCs/>
              <w:szCs w:val="32"/>
              <w:lang w:val="zh-CN"/>
            </w:rPr>
            <w:fldChar w:fldCharType="end"/>
          </w:r>
        </w:p>
        <w:p>
          <w:pPr>
            <w:pStyle w:val="19"/>
            <w:tabs>
              <w:tab w:val="right" w:leader="dot" w:pos="8306"/>
            </w:tabs>
          </w:pPr>
          <w:r>
            <w:rPr>
              <w:bCs/>
              <w:szCs w:val="32"/>
              <w:lang w:val="zh-CN"/>
            </w:rPr>
            <w:fldChar w:fldCharType="begin"/>
          </w:r>
          <w:r>
            <w:rPr>
              <w:bCs/>
              <w:szCs w:val="32"/>
              <w:lang w:val="zh-CN"/>
            </w:rPr>
            <w:instrText xml:space="preserve"> HYPERLINK \l _Toc3613 </w:instrText>
          </w:r>
          <w:r>
            <w:rPr>
              <w:bCs/>
              <w:szCs w:val="32"/>
              <w:lang w:val="zh-CN"/>
            </w:rPr>
            <w:fldChar w:fldCharType="separate"/>
          </w:r>
          <w:r>
            <w:rPr>
              <w:rFonts w:hint="eastAsia" w:ascii="方正楷体_GB2312" w:hAnsi="方正楷体_GB2312" w:eastAsia="方正楷体_GB2312" w:cs="方正楷体_GB2312"/>
              <w:bCs/>
              <w:kern w:val="0"/>
              <w:szCs w:val="32"/>
            </w:rPr>
            <w:t>（</w:t>
          </w:r>
          <w:r>
            <w:rPr>
              <w:rFonts w:hint="eastAsia" w:ascii="方正楷体_GB2312" w:hAnsi="方正楷体_GB2312" w:eastAsia="方正楷体_GB2312" w:cs="方正楷体_GB2312"/>
              <w:bCs/>
              <w:kern w:val="0"/>
              <w:szCs w:val="32"/>
              <w:lang w:val="en-US" w:eastAsia="zh-CN"/>
            </w:rPr>
            <w:t>十</w:t>
          </w:r>
          <w:r>
            <w:rPr>
              <w:rFonts w:hint="eastAsia" w:ascii="方正楷体_GB2312" w:hAnsi="方正楷体_GB2312" w:eastAsia="方正楷体_GB2312" w:cs="方正楷体_GB2312"/>
              <w:bCs/>
              <w:kern w:val="0"/>
              <w:szCs w:val="32"/>
            </w:rPr>
            <w:t>）打造京西养老托育人才培养体系</w:t>
          </w:r>
          <w:r>
            <w:tab/>
          </w:r>
          <w:r>
            <w:fldChar w:fldCharType="begin"/>
          </w:r>
          <w:r>
            <w:instrText xml:space="preserve"> PAGEREF _Toc3613 \h </w:instrText>
          </w:r>
          <w:r>
            <w:fldChar w:fldCharType="separate"/>
          </w:r>
          <w:r>
            <w:t>32</w:t>
          </w:r>
          <w:r>
            <w:fldChar w:fldCharType="end"/>
          </w:r>
          <w:r>
            <w:rPr>
              <w:bCs/>
              <w:szCs w:val="32"/>
              <w:lang w:val="zh-CN"/>
            </w:rPr>
            <w:fldChar w:fldCharType="end"/>
          </w:r>
        </w:p>
        <w:p>
          <w:pPr>
            <w:pStyle w:val="12"/>
            <w:tabs>
              <w:tab w:val="right" w:leader="dot" w:pos="8306"/>
            </w:tabs>
          </w:pPr>
          <w:r>
            <w:rPr>
              <w:bCs/>
              <w:szCs w:val="32"/>
              <w:lang w:val="zh-CN"/>
            </w:rPr>
            <w:fldChar w:fldCharType="begin"/>
          </w:r>
          <w:r>
            <w:rPr>
              <w:bCs/>
              <w:szCs w:val="32"/>
              <w:lang w:val="zh-CN"/>
            </w:rPr>
            <w:instrText xml:space="preserve"> HYPERLINK \l _Toc28517 </w:instrText>
          </w:r>
          <w:r>
            <w:rPr>
              <w:bCs/>
              <w:szCs w:val="32"/>
              <w:lang w:val="zh-CN"/>
            </w:rPr>
            <w:fldChar w:fldCharType="separate"/>
          </w:r>
          <w:r>
            <w:rPr>
              <w:rFonts w:hint="eastAsia" w:ascii="方正仿宋_GB2312" w:hAnsi="方正仿宋_GB2312" w:eastAsia="方正仿宋_GB2312" w:cs="方正仿宋_GB2312"/>
              <w:bCs w:val="0"/>
            </w:rPr>
            <w:t>1.强化养老在职人员技能培训</w:t>
          </w:r>
          <w:r>
            <w:tab/>
          </w:r>
          <w:r>
            <w:fldChar w:fldCharType="begin"/>
          </w:r>
          <w:r>
            <w:instrText xml:space="preserve"> PAGEREF _Toc28517 \h </w:instrText>
          </w:r>
          <w:r>
            <w:fldChar w:fldCharType="separate"/>
          </w:r>
          <w:r>
            <w:t>32</w:t>
          </w:r>
          <w:r>
            <w:fldChar w:fldCharType="end"/>
          </w:r>
          <w:r>
            <w:rPr>
              <w:bCs/>
              <w:szCs w:val="32"/>
              <w:lang w:val="zh-CN"/>
            </w:rPr>
            <w:fldChar w:fldCharType="end"/>
          </w:r>
        </w:p>
        <w:p>
          <w:pPr>
            <w:pStyle w:val="12"/>
            <w:tabs>
              <w:tab w:val="right" w:leader="dot" w:pos="8306"/>
            </w:tabs>
          </w:pPr>
          <w:r>
            <w:rPr>
              <w:bCs/>
              <w:szCs w:val="32"/>
              <w:lang w:val="zh-CN"/>
            </w:rPr>
            <w:fldChar w:fldCharType="begin"/>
          </w:r>
          <w:r>
            <w:rPr>
              <w:bCs/>
              <w:szCs w:val="32"/>
              <w:lang w:val="zh-CN"/>
            </w:rPr>
            <w:instrText xml:space="preserve"> HYPERLINK \l _Toc21492 </w:instrText>
          </w:r>
          <w:r>
            <w:rPr>
              <w:bCs/>
              <w:szCs w:val="32"/>
              <w:lang w:val="zh-CN"/>
            </w:rPr>
            <w:fldChar w:fldCharType="separate"/>
          </w:r>
          <w:r>
            <w:rPr>
              <w:rFonts w:hint="eastAsia" w:ascii="方正仿宋_GB2312" w:hAnsi="方正仿宋_GB2312" w:eastAsia="方正仿宋_GB2312" w:cs="方正仿宋_GB2312"/>
              <w:bCs w:val="0"/>
            </w:rPr>
            <w:t>2.完善人才激励保障政策</w:t>
          </w:r>
          <w:r>
            <w:tab/>
          </w:r>
          <w:r>
            <w:fldChar w:fldCharType="begin"/>
          </w:r>
          <w:r>
            <w:instrText xml:space="preserve"> PAGEREF _Toc21492 \h </w:instrText>
          </w:r>
          <w:r>
            <w:fldChar w:fldCharType="separate"/>
          </w:r>
          <w:r>
            <w:t>32</w:t>
          </w:r>
          <w:r>
            <w:fldChar w:fldCharType="end"/>
          </w:r>
          <w:r>
            <w:rPr>
              <w:bCs/>
              <w:szCs w:val="32"/>
              <w:lang w:val="zh-CN"/>
            </w:rPr>
            <w:fldChar w:fldCharType="end"/>
          </w:r>
        </w:p>
        <w:p>
          <w:pPr>
            <w:pStyle w:val="12"/>
            <w:tabs>
              <w:tab w:val="right" w:leader="dot" w:pos="8306"/>
            </w:tabs>
          </w:pPr>
          <w:r>
            <w:rPr>
              <w:bCs/>
              <w:szCs w:val="32"/>
              <w:lang w:val="zh-CN"/>
            </w:rPr>
            <w:fldChar w:fldCharType="begin"/>
          </w:r>
          <w:r>
            <w:rPr>
              <w:bCs/>
              <w:szCs w:val="32"/>
              <w:lang w:val="zh-CN"/>
            </w:rPr>
            <w:instrText xml:space="preserve"> HYPERLINK \l _Toc30214 </w:instrText>
          </w:r>
          <w:r>
            <w:rPr>
              <w:bCs/>
              <w:szCs w:val="32"/>
              <w:lang w:val="zh-CN"/>
            </w:rPr>
            <w:fldChar w:fldCharType="separate"/>
          </w:r>
          <w:r>
            <w:rPr>
              <w:rFonts w:hint="eastAsia" w:ascii="方正仿宋_GB2312" w:hAnsi="方正仿宋_GB2312" w:eastAsia="方正仿宋_GB2312" w:cs="方正仿宋_GB2312"/>
              <w:bCs w:val="0"/>
            </w:rPr>
            <w:t>3.多措并举扩大托育人才队伍</w:t>
          </w:r>
          <w:r>
            <w:tab/>
          </w:r>
          <w:r>
            <w:fldChar w:fldCharType="begin"/>
          </w:r>
          <w:r>
            <w:instrText xml:space="preserve"> PAGEREF _Toc30214 \h </w:instrText>
          </w:r>
          <w:r>
            <w:fldChar w:fldCharType="separate"/>
          </w:r>
          <w:r>
            <w:t>33</w:t>
          </w:r>
          <w:r>
            <w:fldChar w:fldCharType="end"/>
          </w:r>
          <w:r>
            <w:rPr>
              <w:bCs/>
              <w:szCs w:val="32"/>
              <w:lang w:val="zh-CN"/>
            </w:rPr>
            <w:fldChar w:fldCharType="end"/>
          </w:r>
        </w:p>
        <w:p>
          <w:pPr>
            <w:pStyle w:val="19"/>
            <w:tabs>
              <w:tab w:val="right" w:leader="dot" w:pos="8306"/>
            </w:tabs>
          </w:pPr>
          <w:r>
            <w:rPr>
              <w:bCs/>
              <w:szCs w:val="32"/>
              <w:lang w:val="zh-CN"/>
            </w:rPr>
            <w:fldChar w:fldCharType="begin"/>
          </w:r>
          <w:r>
            <w:rPr>
              <w:bCs/>
              <w:szCs w:val="32"/>
              <w:lang w:val="zh-CN"/>
            </w:rPr>
            <w:instrText xml:space="preserve"> HYPERLINK \l _Toc9664 </w:instrText>
          </w:r>
          <w:r>
            <w:rPr>
              <w:bCs/>
              <w:szCs w:val="32"/>
              <w:lang w:val="zh-CN"/>
            </w:rPr>
            <w:fldChar w:fldCharType="separate"/>
          </w:r>
          <w:r>
            <w:rPr>
              <w:rFonts w:hint="eastAsia" w:ascii="方正楷体_GB2312" w:hAnsi="方正楷体_GB2312" w:eastAsia="方正楷体_GB2312" w:cs="方正楷体_GB2312"/>
              <w:bCs/>
              <w:kern w:val="0"/>
              <w:szCs w:val="32"/>
            </w:rPr>
            <w:t>（十</w:t>
          </w:r>
          <w:r>
            <w:rPr>
              <w:rFonts w:hint="eastAsia" w:ascii="方正楷体_GB2312" w:hAnsi="方正楷体_GB2312" w:eastAsia="方正楷体_GB2312" w:cs="方正楷体_GB2312"/>
              <w:bCs/>
              <w:kern w:val="0"/>
              <w:szCs w:val="32"/>
              <w:lang w:val="en-US" w:eastAsia="zh-CN"/>
            </w:rPr>
            <w:t>一</w:t>
          </w:r>
          <w:r>
            <w:rPr>
              <w:rFonts w:hint="eastAsia" w:ascii="方正楷体_GB2312" w:hAnsi="方正楷体_GB2312" w:eastAsia="方正楷体_GB2312" w:cs="方正楷体_GB2312"/>
              <w:bCs/>
              <w:kern w:val="0"/>
              <w:szCs w:val="32"/>
            </w:rPr>
            <w:t>）健全养老托育服务行业综合监管体系</w:t>
          </w:r>
          <w:r>
            <w:tab/>
          </w:r>
          <w:r>
            <w:fldChar w:fldCharType="begin"/>
          </w:r>
          <w:r>
            <w:instrText xml:space="preserve"> PAGEREF _Toc9664 \h </w:instrText>
          </w:r>
          <w:r>
            <w:fldChar w:fldCharType="separate"/>
          </w:r>
          <w:r>
            <w:t>34</w:t>
          </w:r>
          <w:r>
            <w:fldChar w:fldCharType="end"/>
          </w:r>
          <w:r>
            <w:rPr>
              <w:bCs/>
              <w:szCs w:val="32"/>
              <w:lang w:val="zh-CN"/>
            </w:rPr>
            <w:fldChar w:fldCharType="end"/>
          </w:r>
        </w:p>
        <w:p>
          <w:pPr>
            <w:pStyle w:val="12"/>
            <w:tabs>
              <w:tab w:val="right" w:leader="dot" w:pos="8306"/>
            </w:tabs>
          </w:pPr>
          <w:r>
            <w:rPr>
              <w:bCs/>
              <w:szCs w:val="32"/>
              <w:lang w:val="zh-CN"/>
            </w:rPr>
            <w:fldChar w:fldCharType="begin"/>
          </w:r>
          <w:r>
            <w:rPr>
              <w:bCs/>
              <w:szCs w:val="32"/>
              <w:lang w:val="zh-CN"/>
            </w:rPr>
            <w:instrText xml:space="preserve"> HYPERLINK \l _Toc1328 </w:instrText>
          </w:r>
          <w:r>
            <w:rPr>
              <w:bCs/>
              <w:szCs w:val="32"/>
              <w:lang w:val="zh-CN"/>
            </w:rPr>
            <w:fldChar w:fldCharType="separate"/>
          </w:r>
          <w:r>
            <w:rPr>
              <w:rFonts w:hint="eastAsia" w:ascii="方正仿宋_GB2312" w:hAnsi="方正仿宋_GB2312" w:eastAsia="方正仿宋_GB2312" w:cs="方正仿宋_GB2312"/>
              <w:bCs w:val="0"/>
            </w:rPr>
            <w:t>1.健全服务基本规范和实施指南</w:t>
          </w:r>
          <w:r>
            <w:tab/>
          </w:r>
          <w:r>
            <w:fldChar w:fldCharType="begin"/>
          </w:r>
          <w:r>
            <w:instrText xml:space="preserve"> PAGEREF _Toc1328 \h </w:instrText>
          </w:r>
          <w:r>
            <w:fldChar w:fldCharType="separate"/>
          </w:r>
          <w:r>
            <w:t>34</w:t>
          </w:r>
          <w:r>
            <w:fldChar w:fldCharType="end"/>
          </w:r>
          <w:r>
            <w:rPr>
              <w:bCs/>
              <w:szCs w:val="32"/>
              <w:lang w:val="zh-CN"/>
            </w:rPr>
            <w:fldChar w:fldCharType="end"/>
          </w:r>
        </w:p>
        <w:p>
          <w:pPr>
            <w:pStyle w:val="12"/>
            <w:tabs>
              <w:tab w:val="right" w:leader="dot" w:pos="8306"/>
            </w:tabs>
          </w:pPr>
          <w:r>
            <w:rPr>
              <w:bCs/>
              <w:szCs w:val="32"/>
              <w:lang w:val="zh-CN"/>
            </w:rPr>
            <w:fldChar w:fldCharType="begin"/>
          </w:r>
          <w:r>
            <w:rPr>
              <w:bCs/>
              <w:szCs w:val="32"/>
              <w:lang w:val="zh-CN"/>
            </w:rPr>
            <w:instrText xml:space="preserve"> HYPERLINK \l _Toc18875 </w:instrText>
          </w:r>
          <w:r>
            <w:rPr>
              <w:bCs/>
              <w:szCs w:val="32"/>
              <w:lang w:val="zh-CN"/>
            </w:rPr>
            <w:fldChar w:fldCharType="separate"/>
          </w:r>
          <w:r>
            <w:rPr>
              <w:rFonts w:ascii="方正仿宋_GB2312" w:hAnsi="方正仿宋_GB2312" w:eastAsia="方正仿宋_GB2312" w:cs="方正仿宋_GB2312"/>
              <w:bCs w:val="0"/>
            </w:rPr>
            <w:t>2</w:t>
          </w:r>
          <w:r>
            <w:rPr>
              <w:rFonts w:hint="eastAsia" w:ascii="方正仿宋_GB2312" w:hAnsi="方正仿宋_GB2312" w:eastAsia="方正仿宋_GB2312" w:cs="方正仿宋_GB2312"/>
              <w:bCs w:val="0"/>
            </w:rPr>
            <w:t>.加强养老托育监督管理</w:t>
          </w:r>
          <w:r>
            <w:tab/>
          </w:r>
          <w:r>
            <w:fldChar w:fldCharType="begin"/>
          </w:r>
          <w:r>
            <w:instrText xml:space="preserve"> PAGEREF _Toc18875 \h </w:instrText>
          </w:r>
          <w:r>
            <w:fldChar w:fldCharType="separate"/>
          </w:r>
          <w:r>
            <w:t>35</w:t>
          </w:r>
          <w:r>
            <w:fldChar w:fldCharType="end"/>
          </w:r>
          <w:r>
            <w:rPr>
              <w:bCs/>
              <w:szCs w:val="32"/>
              <w:lang w:val="zh-CN"/>
            </w:rPr>
            <w:fldChar w:fldCharType="end"/>
          </w:r>
        </w:p>
        <w:p>
          <w:pPr>
            <w:pStyle w:val="12"/>
            <w:tabs>
              <w:tab w:val="right" w:leader="dot" w:pos="8306"/>
            </w:tabs>
          </w:pPr>
          <w:r>
            <w:rPr>
              <w:bCs/>
              <w:szCs w:val="32"/>
              <w:lang w:val="zh-CN"/>
            </w:rPr>
            <w:fldChar w:fldCharType="begin"/>
          </w:r>
          <w:r>
            <w:rPr>
              <w:bCs/>
              <w:szCs w:val="32"/>
              <w:lang w:val="zh-CN"/>
            </w:rPr>
            <w:instrText xml:space="preserve"> HYPERLINK \l _Toc1908 </w:instrText>
          </w:r>
          <w:r>
            <w:rPr>
              <w:bCs/>
              <w:szCs w:val="32"/>
              <w:lang w:val="zh-CN"/>
            </w:rPr>
            <w:fldChar w:fldCharType="separate"/>
          </w:r>
          <w:r>
            <w:rPr>
              <w:rFonts w:ascii="方正仿宋_GB2312" w:hAnsi="方正仿宋_GB2312" w:eastAsia="方正仿宋_GB2312" w:cs="方正仿宋_GB2312"/>
              <w:bCs w:val="0"/>
            </w:rPr>
            <w:t>3</w:t>
          </w:r>
          <w:r>
            <w:rPr>
              <w:rFonts w:hint="eastAsia" w:ascii="方正仿宋_GB2312" w:hAnsi="方正仿宋_GB2312" w:eastAsia="方正仿宋_GB2312" w:cs="方正仿宋_GB2312"/>
              <w:bCs w:val="0"/>
            </w:rPr>
            <w:t>.落实安全责任</w:t>
          </w:r>
          <w:r>
            <w:tab/>
          </w:r>
          <w:r>
            <w:fldChar w:fldCharType="begin"/>
          </w:r>
          <w:r>
            <w:instrText xml:space="preserve"> PAGEREF _Toc1908 \h </w:instrText>
          </w:r>
          <w:r>
            <w:fldChar w:fldCharType="separate"/>
          </w:r>
          <w:r>
            <w:t>36</w:t>
          </w:r>
          <w:r>
            <w:fldChar w:fldCharType="end"/>
          </w:r>
          <w:r>
            <w:rPr>
              <w:bCs/>
              <w:szCs w:val="32"/>
              <w:lang w:val="zh-CN"/>
            </w:rPr>
            <w:fldChar w:fldCharType="end"/>
          </w:r>
        </w:p>
        <w:p>
          <w:pPr>
            <w:pStyle w:val="19"/>
            <w:tabs>
              <w:tab w:val="right" w:leader="dot" w:pos="8306"/>
            </w:tabs>
          </w:pPr>
          <w:r>
            <w:rPr>
              <w:bCs/>
              <w:szCs w:val="32"/>
              <w:lang w:val="zh-CN"/>
            </w:rPr>
            <w:fldChar w:fldCharType="begin"/>
          </w:r>
          <w:r>
            <w:rPr>
              <w:bCs/>
              <w:szCs w:val="32"/>
              <w:lang w:val="zh-CN"/>
            </w:rPr>
            <w:instrText xml:space="preserve"> HYPERLINK \l _Toc20585 </w:instrText>
          </w:r>
          <w:r>
            <w:rPr>
              <w:bCs/>
              <w:szCs w:val="32"/>
              <w:lang w:val="zh-CN"/>
            </w:rPr>
            <w:fldChar w:fldCharType="separate"/>
          </w:r>
          <w:r>
            <w:rPr>
              <w:rFonts w:hint="eastAsia" w:ascii="方正楷体_GB2312" w:hAnsi="方正楷体_GB2312" w:eastAsia="方正楷体_GB2312" w:cs="方正楷体_GB2312"/>
              <w:bCs/>
              <w:kern w:val="0"/>
              <w:szCs w:val="32"/>
            </w:rPr>
            <w:t>（十</w:t>
          </w:r>
          <w:r>
            <w:rPr>
              <w:rFonts w:hint="eastAsia" w:ascii="方正楷体_GB2312" w:hAnsi="方正楷体_GB2312" w:eastAsia="方正楷体_GB2312" w:cs="方正楷体_GB2312"/>
              <w:bCs/>
              <w:kern w:val="0"/>
              <w:szCs w:val="32"/>
              <w:lang w:val="en-US" w:eastAsia="zh-CN"/>
            </w:rPr>
            <w:t>二</w:t>
          </w:r>
          <w:r>
            <w:rPr>
              <w:rFonts w:hint="eastAsia" w:ascii="方正楷体_GB2312" w:hAnsi="方正楷体_GB2312" w:eastAsia="方正楷体_GB2312" w:cs="方正楷体_GB2312"/>
              <w:bCs/>
              <w:kern w:val="0"/>
              <w:szCs w:val="32"/>
            </w:rPr>
            <w:t>）营造有利于社会力量参与养老托育发展新生态</w:t>
          </w:r>
          <w:r>
            <w:tab/>
          </w:r>
          <w:r>
            <w:fldChar w:fldCharType="begin"/>
          </w:r>
          <w:r>
            <w:instrText xml:space="preserve"> PAGEREF _Toc20585 \h </w:instrText>
          </w:r>
          <w:r>
            <w:fldChar w:fldCharType="separate"/>
          </w:r>
          <w:r>
            <w:t>36</w:t>
          </w:r>
          <w:r>
            <w:fldChar w:fldCharType="end"/>
          </w:r>
          <w:r>
            <w:rPr>
              <w:bCs/>
              <w:szCs w:val="32"/>
              <w:lang w:val="zh-CN"/>
            </w:rPr>
            <w:fldChar w:fldCharType="end"/>
          </w:r>
        </w:p>
        <w:p>
          <w:pPr>
            <w:pStyle w:val="12"/>
            <w:tabs>
              <w:tab w:val="right" w:leader="dot" w:pos="8306"/>
            </w:tabs>
          </w:pPr>
          <w:r>
            <w:rPr>
              <w:bCs/>
              <w:szCs w:val="32"/>
              <w:lang w:val="zh-CN"/>
            </w:rPr>
            <w:fldChar w:fldCharType="begin"/>
          </w:r>
          <w:r>
            <w:rPr>
              <w:bCs/>
              <w:szCs w:val="32"/>
              <w:lang w:val="zh-CN"/>
            </w:rPr>
            <w:instrText xml:space="preserve"> HYPERLINK \l _Toc17055 </w:instrText>
          </w:r>
          <w:r>
            <w:rPr>
              <w:bCs/>
              <w:szCs w:val="32"/>
              <w:lang w:val="zh-CN"/>
            </w:rPr>
            <w:fldChar w:fldCharType="separate"/>
          </w:r>
          <w:r>
            <w:rPr>
              <w:rFonts w:hint="eastAsia" w:ascii="方正仿宋_GB2312" w:hAnsi="方正仿宋_GB2312" w:eastAsia="方正仿宋_GB2312" w:cs="方正仿宋_GB2312"/>
              <w:bCs w:val="0"/>
            </w:rPr>
            <w:t>1.引入社会力量发展养老托育服务</w:t>
          </w:r>
          <w:r>
            <w:tab/>
          </w:r>
          <w:r>
            <w:fldChar w:fldCharType="begin"/>
          </w:r>
          <w:r>
            <w:instrText xml:space="preserve"> PAGEREF _Toc17055 \h </w:instrText>
          </w:r>
          <w:r>
            <w:fldChar w:fldCharType="separate"/>
          </w:r>
          <w:r>
            <w:t>36</w:t>
          </w:r>
          <w:r>
            <w:fldChar w:fldCharType="end"/>
          </w:r>
          <w:r>
            <w:rPr>
              <w:bCs/>
              <w:szCs w:val="32"/>
              <w:lang w:val="zh-CN"/>
            </w:rPr>
            <w:fldChar w:fldCharType="end"/>
          </w:r>
        </w:p>
        <w:p>
          <w:pPr>
            <w:pStyle w:val="12"/>
            <w:tabs>
              <w:tab w:val="right" w:leader="dot" w:pos="8306"/>
            </w:tabs>
          </w:pPr>
          <w:r>
            <w:rPr>
              <w:bCs/>
              <w:szCs w:val="32"/>
              <w:lang w:val="zh-CN"/>
            </w:rPr>
            <w:fldChar w:fldCharType="begin"/>
          </w:r>
          <w:r>
            <w:rPr>
              <w:bCs/>
              <w:szCs w:val="32"/>
              <w:lang w:val="zh-CN"/>
            </w:rPr>
            <w:instrText xml:space="preserve"> HYPERLINK \l _Toc19051 </w:instrText>
          </w:r>
          <w:r>
            <w:rPr>
              <w:bCs/>
              <w:szCs w:val="32"/>
              <w:lang w:val="zh-CN"/>
            </w:rPr>
            <w:fldChar w:fldCharType="separate"/>
          </w:r>
          <w:r>
            <w:rPr>
              <w:rFonts w:ascii="方正仿宋_GB2312" w:hAnsi="方正仿宋_GB2312" w:eastAsia="方正仿宋_GB2312" w:cs="方正仿宋_GB2312"/>
              <w:bCs w:val="0"/>
            </w:rPr>
            <w:t>2</w:t>
          </w:r>
          <w:r>
            <w:rPr>
              <w:rFonts w:hint="eastAsia" w:ascii="方正仿宋_GB2312" w:hAnsi="方正仿宋_GB2312" w:eastAsia="方正仿宋_GB2312" w:cs="方正仿宋_GB2312"/>
              <w:bCs w:val="0"/>
            </w:rPr>
            <w:t>.促进</w:t>
          </w:r>
          <w:r>
            <w:rPr>
              <w:rFonts w:hint="eastAsia" w:ascii="方正仿宋_GB2312" w:hAnsi="方正仿宋_GB2312" w:eastAsia="方正仿宋_GB2312" w:cs="方正仿宋_GB2312"/>
              <w:bCs w:val="0"/>
              <w:lang w:val="en-US" w:eastAsia="zh-CN"/>
            </w:rPr>
            <w:t>银发</w:t>
          </w:r>
          <w:r>
            <w:rPr>
              <w:rFonts w:hint="eastAsia" w:ascii="方正仿宋_GB2312" w:hAnsi="方正仿宋_GB2312" w:eastAsia="方正仿宋_GB2312" w:cs="方正仿宋_GB2312"/>
              <w:bCs w:val="0"/>
            </w:rPr>
            <w:t>康养产业发展</w:t>
          </w:r>
          <w:r>
            <w:tab/>
          </w:r>
          <w:r>
            <w:fldChar w:fldCharType="begin"/>
          </w:r>
          <w:r>
            <w:instrText xml:space="preserve"> PAGEREF _Toc19051 \h </w:instrText>
          </w:r>
          <w:r>
            <w:fldChar w:fldCharType="separate"/>
          </w:r>
          <w:r>
            <w:t>37</w:t>
          </w:r>
          <w:r>
            <w:fldChar w:fldCharType="end"/>
          </w:r>
          <w:r>
            <w:rPr>
              <w:bCs/>
              <w:szCs w:val="32"/>
              <w:lang w:val="zh-CN"/>
            </w:rPr>
            <w:fldChar w:fldCharType="end"/>
          </w:r>
        </w:p>
        <w:p>
          <w:pPr>
            <w:pStyle w:val="12"/>
            <w:tabs>
              <w:tab w:val="right" w:leader="dot" w:pos="8306"/>
            </w:tabs>
          </w:pPr>
          <w:r>
            <w:rPr>
              <w:bCs/>
              <w:szCs w:val="32"/>
              <w:lang w:val="zh-CN"/>
            </w:rPr>
            <w:fldChar w:fldCharType="begin"/>
          </w:r>
          <w:r>
            <w:rPr>
              <w:bCs/>
              <w:szCs w:val="32"/>
              <w:lang w:val="zh-CN"/>
            </w:rPr>
            <w:instrText xml:space="preserve"> HYPERLINK \l _Toc1707 </w:instrText>
          </w:r>
          <w:r>
            <w:rPr>
              <w:bCs/>
              <w:szCs w:val="32"/>
              <w:lang w:val="zh-CN"/>
            </w:rPr>
            <w:fldChar w:fldCharType="separate"/>
          </w:r>
          <w:r>
            <w:rPr>
              <w:rFonts w:hint="eastAsia" w:ascii="方正仿宋_GB2312" w:hAnsi="方正仿宋_GB2312" w:eastAsia="方正仿宋_GB2312" w:cs="方正仿宋_GB2312"/>
              <w:bCs w:val="0"/>
              <w:lang w:val="en-US" w:eastAsia="zh-CN"/>
            </w:rPr>
            <w:t>3</w:t>
          </w:r>
          <w:r>
            <w:rPr>
              <w:rFonts w:hint="eastAsia" w:ascii="方正仿宋_GB2312" w:hAnsi="方正仿宋_GB2312" w:eastAsia="方正仿宋_GB2312" w:cs="方正仿宋_GB2312"/>
              <w:bCs w:val="0"/>
            </w:rPr>
            <w:t>.激发老年教育发展活力</w:t>
          </w:r>
          <w:r>
            <w:tab/>
          </w:r>
          <w:r>
            <w:fldChar w:fldCharType="begin"/>
          </w:r>
          <w:r>
            <w:instrText xml:space="preserve"> PAGEREF _Toc1707 \h </w:instrText>
          </w:r>
          <w:r>
            <w:fldChar w:fldCharType="separate"/>
          </w:r>
          <w:r>
            <w:t>37</w:t>
          </w:r>
          <w:r>
            <w:fldChar w:fldCharType="end"/>
          </w:r>
          <w:r>
            <w:rPr>
              <w:bCs/>
              <w:szCs w:val="32"/>
              <w:lang w:val="zh-CN"/>
            </w:rPr>
            <w:fldChar w:fldCharType="end"/>
          </w:r>
        </w:p>
        <w:p>
          <w:pPr>
            <w:pStyle w:val="12"/>
            <w:tabs>
              <w:tab w:val="right" w:leader="dot" w:pos="8306"/>
            </w:tabs>
          </w:pPr>
          <w:r>
            <w:rPr>
              <w:bCs/>
              <w:szCs w:val="32"/>
              <w:lang w:val="zh-CN"/>
            </w:rPr>
            <w:fldChar w:fldCharType="begin"/>
          </w:r>
          <w:r>
            <w:rPr>
              <w:bCs/>
              <w:szCs w:val="32"/>
              <w:lang w:val="zh-CN"/>
            </w:rPr>
            <w:instrText xml:space="preserve"> HYPERLINK \l _Toc18993 </w:instrText>
          </w:r>
          <w:r>
            <w:rPr>
              <w:bCs/>
              <w:szCs w:val="32"/>
              <w:lang w:val="zh-CN"/>
            </w:rPr>
            <w:fldChar w:fldCharType="separate"/>
          </w:r>
          <w:r>
            <w:rPr>
              <w:rFonts w:hint="eastAsia" w:ascii="方正仿宋_GB2312" w:hAnsi="方正仿宋_GB2312" w:eastAsia="方正仿宋_GB2312" w:cs="方正仿宋_GB2312"/>
              <w:bCs w:val="0"/>
              <w:lang w:val="en-US" w:eastAsia="zh-CN"/>
            </w:rPr>
            <w:t>4</w:t>
          </w:r>
          <w:r>
            <w:rPr>
              <w:rFonts w:hint="eastAsia" w:ascii="方正仿宋_GB2312" w:hAnsi="方正仿宋_GB2312" w:eastAsia="方正仿宋_GB2312" w:cs="方正仿宋_GB2312"/>
              <w:bCs w:val="0"/>
            </w:rPr>
            <w:t>.加强开发老年人力资源</w:t>
          </w:r>
          <w:r>
            <w:tab/>
          </w:r>
          <w:r>
            <w:fldChar w:fldCharType="begin"/>
          </w:r>
          <w:r>
            <w:instrText xml:space="preserve"> PAGEREF _Toc18993 \h </w:instrText>
          </w:r>
          <w:r>
            <w:fldChar w:fldCharType="separate"/>
          </w:r>
          <w:r>
            <w:t>38</w:t>
          </w:r>
          <w:r>
            <w:fldChar w:fldCharType="end"/>
          </w:r>
          <w:r>
            <w:rPr>
              <w:bCs/>
              <w:szCs w:val="32"/>
              <w:lang w:val="zh-CN"/>
            </w:rPr>
            <w:fldChar w:fldCharType="end"/>
          </w:r>
        </w:p>
        <w:p>
          <w:pPr>
            <w:pStyle w:val="12"/>
            <w:tabs>
              <w:tab w:val="right" w:leader="dot" w:pos="8306"/>
            </w:tabs>
          </w:pPr>
          <w:r>
            <w:rPr>
              <w:bCs/>
              <w:szCs w:val="32"/>
              <w:lang w:val="zh-CN"/>
            </w:rPr>
            <w:fldChar w:fldCharType="begin"/>
          </w:r>
          <w:r>
            <w:rPr>
              <w:bCs/>
              <w:szCs w:val="32"/>
              <w:lang w:val="zh-CN"/>
            </w:rPr>
            <w:instrText xml:space="preserve"> HYPERLINK \l _Toc32059 </w:instrText>
          </w:r>
          <w:r>
            <w:rPr>
              <w:bCs/>
              <w:szCs w:val="32"/>
              <w:lang w:val="zh-CN"/>
            </w:rPr>
            <w:fldChar w:fldCharType="separate"/>
          </w:r>
          <w:r>
            <w:rPr>
              <w:rFonts w:hint="eastAsia" w:ascii="方正仿宋_GB2312" w:hAnsi="方正仿宋_GB2312" w:eastAsia="方正仿宋_GB2312" w:cs="方正仿宋_GB2312"/>
              <w:bCs w:val="0"/>
              <w:lang w:val="en-US" w:eastAsia="zh-CN"/>
            </w:rPr>
            <w:t>5</w:t>
          </w:r>
          <w:r>
            <w:rPr>
              <w:rFonts w:hint="eastAsia" w:ascii="方正仿宋_GB2312" w:hAnsi="方正仿宋_GB2312" w:eastAsia="方正仿宋_GB2312" w:cs="方正仿宋_GB2312"/>
              <w:bCs w:val="0"/>
            </w:rPr>
            <w:t>.加大</w:t>
          </w:r>
          <w:r>
            <w:rPr>
              <w:rFonts w:hint="eastAsia" w:ascii="方正仿宋_GB2312" w:hAnsi="方正仿宋_GB2312" w:eastAsia="方正仿宋_GB2312" w:cs="方正仿宋_GB2312"/>
              <w:bCs w:val="0"/>
              <w:lang w:val="en-US" w:eastAsia="zh-CN"/>
            </w:rPr>
            <w:t>养老</w:t>
          </w:r>
          <w:r>
            <w:rPr>
              <w:rFonts w:hint="eastAsia" w:ascii="方正仿宋_GB2312" w:hAnsi="方正仿宋_GB2312" w:eastAsia="方正仿宋_GB2312" w:cs="方正仿宋_GB2312"/>
              <w:bCs w:val="0"/>
            </w:rPr>
            <w:t>托育知识宣传教育</w:t>
          </w:r>
          <w:r>
            <w:tab/>
          </w:r>
          <w:r>
            <w:fldChar w:fldCharType="begin"/>
          </w:r>
          <w:r>
            <w:instrText xml:space="preserve"> PAGEREF _Toc32059 \h </w:instrText>
          </w:r>
          <w:r>
            <w:fldChar w:fldCharType="separate"/>
          </w:r>
          <w:r>
            <w:t>38</w:t>
          </w:r>
          <w:r>
            <w:fldChar w:fldCharType="end"/>
          </w:r>
          <w:r>
            <w:rPr>
              <w:bCs/>
              <w:szCs w:val="32"/>
              <w:lang w:val="zh-CN"/>
            </w:rPr>
            <w:fldChar w:fldCharType="end"/>
          </w:r>
        </w:p>
        <w:p>
          <w:pPr>
            <w:pStyle w:val="17"/>
            <w:tabs>
              <w:tab w:val="right" w:leader="dot" w:pos="8306"/>
            </w:tabs>
          </w:pPr>
          <w:r>
            <w:rPr>
              <w:bCs/>
              <w:szCs w:val="32"/>
              <w:lang w:val="zh-CN"/>
            </w:rPr>
            <w:fldChar w:fldCharType="begin"/>
          </w:r>
          <w:r>
            <w:rPr>
              <w:bCs/>
              <w:szCs w:val="32"/>
              <w:lang w:val="zh-CN"/>
            </w:rPr>
            <w:instrText xml:space="preserve"> HYPERLINK \l _Toc30716 </w:instrText>
          </w:r>
          <w:r>
            <w:rPr>
              <w:bCs/>
              <w:szCs w:val="32"/>
              <w:lang w:val="zh-CN"/>
            </w:rPr>
            <w:fldChar w:fldCharType="separate"/>
          </w:r>
          <w:r>
            <w:rPr>
              <w:rFonts w:hint="eastAsia" w:ascii="黑体" w:hAnsi="黑体" w:eastAsia="黑体" w:cs="黑体"/>
              <w:kern w:val="0"/>
              <w:szCs w:val="32"/>
            </w:rPr>
            <w:t>四、保障措施</w:t>
          </w:r>
          <w:r>
            <w:tab/>
          </w:r>
          <w:r>
            <w:fldChar w:fldCharType="begin"/>
          </w:r>
          <w:r>
            <w:instrText xml:space="preserve"> PAGEREF _Toc30716 \h </w:instrText>
          </w:r>
          <w:r>
            <w:fldChar w:fldCharType="separate"/>
          </w:r>
          <w:r>
            <w:t>39</w:t>
          </w:r>
          <w:r>
            <w:fldChar w:fldCharType="end"/>
          </w:r>
          <w:r>
            <w:rPr>
              <w:bCs/>
              <w:szCs w:val="32"/>
              <w:lang w:val="zh-CN"/>
            </w:rPr>
            <w:fldChar w:fldCharType="end"/>
          </w:r>
        </w:p>
        <w:p>
          <w:pPr>
            <w:pStyle w:val="19"/>
            <w:tabs>
              <w:tab w:val="right" w:leader="dot" w:pos="8306"/>
            </w:tabs>
          </w:pPr>
          <w:r>
            <w:rPr>
              <w:bCs/>
              <w:szCs w:val="32"/>
              <w:lang w:val="zh-CN"/>
            </w:rPr>
            <w:fldChar w:fldCharType="begin"/>
          </w:r>
          <w:r>
            <w:rPr>
              <w:bCs/>
              <w:szCs w:val="32"/>
              <w:lang w:val="zh-CN"/>
            </w:rPr>
            <w:instrText xml:space="preserve"> HYPERLINK \l _Toc26127 </w:instrText>
          </w:r>
          <w:r>
            <w:rPr>
              <w:bCs/>
              <w:szCs w:val="32"/>
              <w:lang w:val="zh-CN"/>
            </w:rPr>
            <w:fldChar w:fldCharType="separate"/>
          </w:r>
          <w:r>
            <w:rPr>
              <w:rFonts w:hint="eastAsia" w:ascii="方正楷体_GB2312" w:hAnsi="方正楷体_GB2312" w:eastAsia="方正楷体_GB2312" w:cs="方正楷体_GB2312"/>
              <w:bCs/>
              <w:kern w:val="0"/>
              <w:szCs w:val="32"/>
            </w:rPr>
            <w:t>（十</w:t>
          </w:r>
          <w:r>
            <w:rPr>
              <w:rFonts w:hint="eastAsia" w:ascii="方正楷体_GB2312" w:hAnsi="方正楷体_GB2312" w:eastAsia="方正楷体_GB2312" w:cs="方正楷体_GB2312"/>
              <w:bCs/>
              <w:kern w:val="0"/>
              <w:szCs w:val="32"/>
              <w:lang w:val="en-US" w:eastAsia="zh-CN"/>
            </w:rPr>
            <w:t>三</w:t>
          </w:r>
          <w:r>
            <w:rPr>
              <w:rFonts w:hint="eastAsia" w:ascii="方正楷体_GB2312" w:hAnsi="方正楷体_GB2312" w:eastAsia="方正楷体_GB2312" w:cs="方正楷体_GB2312"/>
              <w:bCs/>
              <w:kern w:val="0"/>
              <w:szCs w:val="32"/>
            </w:rPr>
            <w:t>）健全工作机制</w:t>
          </w:r>
          <w:r>
            <w:tab/>
          </w:r>
          <w:r>
            <w:fldChar w:fldCharType="begin"/>
          </w:r>
          <w:r>
            <w:instrText xml:space="preserve"> PAGEREF _Toc26127 \h </w:instrText>
          </w:r>
          <w:r>
            <w:fldChar w:fldCharType="separate"/>
          </w:r>
          <w:r>
            <w:t>39</w:t>
          </w:r>
          <w:r>
            <w:fldChar w:fldCharType="end"/>
          </w:r>
          <w:r>
            <w:rPr>
              <w:bCs/>
              <w:szCs w:val="32"/>
              <w:lang w:val="zh-CN"/>
            </w:rPr>
            <w:fldChar w:fldCharType="end"/>
          </w:r>
        </w:p>
        <w:p>
          <w:pPr>
            <w:pStyle w:val="19"/>
            <w:tabs>
              <w:tab w:val="right" w:leader="dot" w:pos="8306"/>
            </w:tabs>
          </w:pPr>
          <w:r>
            <w:rPr>
              <w:bCs/>
              <w:szCs w:val="32"/>
              <w:lang w:val="zh-CN"/>
            </w:rPr>
            <w:fldChar w:fldCharType="begin"/>
          </w:r>
          <w:r>
            <w:rPr>
              <w:bCs/>
              <w:szCs w:val="32"/>
              <w:lang w:val="zh-CN"/>
            </w:rPr>
            <w:instrText xml:space="preserve"> HYPERLINK \l _Toc29441 </w:instrText>
          </w:r>
          <w:r>
            <w:rPr>
              <w:bCs/>
              <w:szCs w:val="32"/>
              <w:lang w:val="zh-CN"/>
            </w:rPr>
            <w:fldChar w:fldCharType="separate"/>
          </w:r>
          <w:r>
            <w:rPr>
              <w:rFonts w:hint="eastAsia" w:ascii="方正楷体_GB2312" w:hAnsi="方正楷体_GB2312" w:eastAsia="方正楷体_GB2312" w:cs="方正楷体_GB2312"/>
              <w:bCs/>
              <w:kern w:val="0"/>
              <w:szCs w:val="32"/>
            </w:rPr>
            <w:t>（十</w:t>
          </w:r>
          <w:r>
            <w:rPr>
              <w:rFonts w:hint="eastAsia" w:ascii="方正楷体_GB2312" w:hAnsi="方正楷体_GB2312" w:eastAsia="方正楷体_GB2312" w:cs="方正楷体_GB2312"/>
              <w:bCs/>
              <w:kern w:val="0"/>
              <w:szCs w:val="32"/>
              <w:lang w:val="en-US" w:eastAsia="zh-CN"/>
            </w:rPr>
            <w:t>四</w:t>
          </w:r>
          <w:r>
            <w:rPr>
              <w:rFonts w:hint="eastAsia" w:ascii="方正楷体_GB2312" w:hAnsi="方正楷体_GB2312" w:eastAsia="方正楷体_GB2312" w:cs="方正楷体_GB2312"/>
              <w:bCs/>
              <w:kern w:val="0"/>
              <w:szCs w:val="32"/>
            </w:rPr>
            <w:t>）加大资金投入</w:t>
          </w:r>
          <w:r>
            <w:tab/>
          </w:r>
          <w:r>
            <w:fldChar w:fldCharType="begin"/>
          </w:r>
          <w:r>
            <w:instrText xml:space="preserve"> PAGEREF _Toc29441 \h </w:instrText>
          </w:r>
          <w:r>
            <w:fldChar w:fldCharType="separate"/>
          </w:r>
          <w:r>
            <w:t>39</w:t>
          </w:r>
          <w:r>
            <w:fldChar w:fldCharType="end"/>
          </w:r>
          <w:r>
            <w:rPr>
              <w:bCs/>
              <w:szCs w:val="32"/>
              <w:lang w:val="zh-CN"/>
            </w:rPr>
            <w:fldChar w:fldCharType="end"/>
          </w:r>
        </w:p>
        <w:p>
          <w:pPr>
            <w:pStyle w:val="19"/>
            <w:tabs>
              <w:tab w:val="right" w:leader="dot" w:pos="8306"/>
            </w:tabs>
          </w:pPr>
          <w:r>
            <w:rPr>
              <w:bCs/>
              <w:szCs w:val="32"/>
              <w:lang w:val="zh-CN"/>
            </w:rPr>
            <w:fldChar w:fldCharType="begin"/>
          </w:r>
          <w:r>
            <w:rPr>
              <w:bCs/>
              <w:szCs w:val="32"/>
              <w:lang w:val="zh-CN"/>
            </w:rPr>
            <w:instrText xml:space="preserve"> HYPERLINK \l _Toc12313 </w:instrText>
          </w:r>
          <w:r>
            <w:rPr>
              <w:bCs/>
              <w:szCs w:val="32"/>
              <w:lang w:val="zh-CN"/>
            </w:rPr>
            <w:fldChar w:fldCharType="separate"/>
          </w:r>
          <w:r>
            <w:rPr>
              <w:rFonts w:hint="eastAsia" w:ascii="方正楷体_GB2312" w:hAnsi="方正楷体_GB2312" w:eastAsia="方正楷体_GB2312" w:cs="方正楷体_GB2312"/>
              <w:bCs/>
              <w:kern w:val="0"/>
              <w:szCs w:val="32"/>
            </w:rPr>
            <w:t>（十</w:t>
          </w:r>
          <w:r>
            <w:rPr>
              <w:rFonts w:hint="eastAsia" w:ascii="方正楷体_GB2312" w:hAnsi="方正楷体_GB2312" w:eastAsia="方正楷体_GB2312" w:cs="方正楷体_GB2312"/>
              <w:bCs/>
              <w:kern w:val="0"/>
              <w:szCs w:val="32"/>
              <w:lang w:val="en-US" w:eastAsia="zh-CN"/>
            </w:rPr>
            <w:t>五</w:t>
          </w:r>
          <w:r>
            <w:rPr>
              <w:rFonts w:hint="eastAsia" w:ascii="方正楷体_GB2312" w:hAnsi="方正楷体_GB2312" w:eastAsia="方正楷体_GB2312" w:cs="方正楷体_GB2312"/>
              <w:bCs/>
              <w:kern w:val="0"/>
              <w:szCs w:val="32"/>
            </w:rPr>
            <w:t>）创新支持政策</w:t>
          </w:r>
          <w:r>
            <w:tab/>
          </w:r>
          <w:r>
            <w:fldChar w:fldCharType="begin"/>
          </w:r>
          <w:r>
            <w:instrText xml:space="preserve"> PAGEREF _Toc12313 \h </w:instrText>
          </w:r>
          <w:r>
            <w:fldChar w:fldCharType="separate"/>
          </w:r>
          <w:r>
            <w:t>40</w:t>
          </w:r>
          <w:r>
            <w:fldChar w:fldCharType="end"/>
          </w:r>
          <w:r>
            <w:rPr>
              <w:bCs/>
              <w:szCs w:val="32"/>
              <w:lang w:val="zh-CN"/>
            </w:rPr>
            <w:fldChar w:fldCharType="end"/>
          </w:r>
        </w:p>
        <w:p>
          <w:pPr>
            <w:pStyle w:val="19"/>
            <w:tabs>
              <w:tab w:val="right" w:leader="dot" w:pos="8306"/>
            </w:tabs>
            <w:rPr>
              <w:sz w:val="24"/>
              <w:szCs w:val="32"/>
            </w:rPr>
          </w:pPr>
          <w:r>
            <w:rPr>
              <w:bCs/>
              <w:szCs w:val="32"/>
              <w:lang w:val="zh-CN"/>
            </w:rPr>
            <w:fldChar w:fldCharType="end"/>
          </w:r>
        </w:p>
      </w:sdtContent>
    </w:sdt>
    <w:p>
      <w:pPr>
        <w:rPr>
          <w:lang w:eastAsia="zh-Hans"/>
        </w:rPr>
      </w:pPr>
    </w:p>
    <w:p>
      <w:pPr>
        <w:rPr>
          <w:lang w:eastAsia="zh-Hans"/>
        </w:rPr>
      </w:pPr>
    </w:p>
    <w:p>
      <w:pPr>
        <w:rPr>
          <w:lang w:eastAsia="zh-Hans"/>
        </w:rPr>
      </w:pPr>
    </w:p>
    <w:p>
      <w:pPr>
        <w:rPr>
          <w:lang w:eastAsia="zh-Hans"/>
        </w:rPr>
        <w:sectPr>
          <w:footerReference r:id="rId4" w:type="default"/>
          <w:pgSz w:w="11906" w:h="16838"/>
          <w:pgMar w:top="1440" w:right="1800" w:bottom="1440" w:left="1800" w:header="851" w:footer="992" w:gutter="0"/>
          <w:pgNumType w:start="1"/>
          <w:cols w:space="425" w:num="1"/>
          <w:docGrid w:type="lines" w:linePitch="312" w:charSpace="0"/>
        </w:sectPr>
      </w:pPr>
    </w:p>
    <w:p>
      <w:pPr>
        <w:rPr>
          <w:lang w:eastAsia="zh-Hans"/>
        </w:rPr>
      </w:pPr>
    </w:p>
    <w:p>
      <w:pPr>
        <w:pStyle w:val="3"/>
        <w:spacing w:before="0" w:after="0" w:line="240" w:lineRule="auto"/>
        <w:jc w:val="center"/>
        <w:rPr>
          <w:rFonts w:ascii="黑体" w:hAnsi="黑体" w:eastAsia="黑体" w:cs="黑体"/>
          <w:kern w:val="0"/>
          <w:sz w:val="32"/>
          <w:szCs w:val="32"/>
        </w:rPr>
      </w:pPr>
      <w:bookmarkStart w:id="9" w:name="_Toc100671591"/>
      <w:bookmarkStart w:id="10" w:name="_Toc8875"/>
      <w:bookmarkStart w:id="11" w:name="_Toc29410"/>
      <w:r>
        <w:rPr>
          <w:rFonts w:hint="eastAsia" w:ascii="黑体" w:hAnsi="黑体" w:eastAsia="黑体" w:cs="黑体"/>
          <w:kern w:val="0"/>
          <w:sz w:val="32"/>
          <w:szCs w:val="32"/>
        </w:rPr>
        <w:t xml:space="preserve">前 </w:t>
      </w:r>
      <w:r>
        <w:rPr>
          <w:rFonts w:ascii="黑体" w:hAnsi="黑体" w:eastAsia="黑体" w:cs="黑体"/>
          <w:kern w:val="0"/>
          <w:sz w:val="32"/>
          <w:szCs w:val="32"/>
        </w:rPr>
        <w:t xml:space="preserve"> </w:t>
      </w:r>
      <w:r>
        <w:rPr>
          <w:rFonts w:hint="eastAsia" w:ascii="黑体" w:hAnsi="黑体" w:eastAsia="黑体" w:cs="黑体"/>
          <w:kern w:val="0"/>
          <w:sz w:val="32"/>
          <w:szCs w:val="32"/>
        </w:rPr>
        <w:t>言</w:t>
      </w:r>
      <w:bookmarkEnd w:id="9"/>
      <w:bookmarkEnd w:id="10"/>
      <w:bookmarkEnd w:id="11"/>
    </w:p>
    <w:p>
      <w:pPr>
        <w:ind w:firstLine="640" w:firstLineChars="200"/>
        <w:rPr>
          <w:rFonts w:ascii="方正仿宋_GB2312" w:eastAsia="方正仿宋_GB2312"/>
          <w:sz w:val="32"/>
          <w:szCs w:val="40"/>
        </w:rPr>
      </w:pPr>
      <w:r>
        <w:rPr>
          <w:rFonts w:hint="eastAsia" w:ascii="方正仿宋_GB2312" w:eastAsia="方正仿宋_GB2312"/>
          <w:sz w:val="32"/>
          <w:szCs w:val="40"/>
          <w:lang w:eastAsia="zh-Hans"/>
        </w:rPr>
        <w:t>门头沟区是京津冀协同发展格局中生态涵养区的重要组成部分，</w:t>
      </w:r>
      <w:r>
        <w:rPr>
          <w:rFonts w:hint="eastAsia" w:ascii="方正仿宋_GB2312" w:eastAsia="方正仿宋_GB2312"/>
          <w:sz w:val="32"/>
          <w:szCs w:val="40"/>
        </w:rPr>
        <w:t>是距离市中心最近的生态涵养区，</w:t>
      </w:r>
      <w:r>
        <w:rPr>
          <w:rFonts w:hint="eastAsia" w:ascii="方正仿宋_GB2312" w:eastAsia="方正仿宋_GB2312"/>
          <w:sz w:val="32"/>
          <w:szCs w:val="40"/>
          <w:lang w:eastAsia="zh-Hans"/>
        </w:rPr>
        <w:t>是保障首都可持续发展的关键区域，也是首都的重要生态屏障和水源保护地。综合经济的平稳增长和经济结构</w:t>
      </w:r>
      <w:r>
        <w:rPr>
          <w:rFonts w:hint="eastAsia" w:ascii="方正仿宋_GB2312" w:eastAsia="方正仿宋_GB2312"/>
          <w:sz w:val="32"/>
          <w:szCs w:val="40"/>
        </w:rPr>
        <w:t>的</w:t>
      </w:r>
      <w:r>
        <w:rPr>
          <w:rFonts w:hint="eastAsia" w:ascii="方正仿宋_GB2312" w:eastAsia="方正仿宋_GB2312"/>
          <w:sz w:val="32"/>
          <w:szCs w:val="40"/>
          <w:lang w:eastAsia="zh-Hans"/>
        </w:rPr>
        <w:t>持续优化，以及市财政对生态涵养区实施的倾斜支持政策，为门头沟</w:t>
      </w:r>
      <w:r>
        <w:rPr>
          <w:rFonts w:hint="eastAsia" w:ascii="方正仿宋_GB2312" w:eastAsia="方正仿宋_GB2312"/>
          <w:sz w:val="32"/>
          <w:szCs w:val="40"/>
        </w:rPr>
        <w:t>区</w:t>
      </w:r>
      <w:r>
        <w:rPr>
          <w:rFonts w:hint="eastAsia" w:ascii="方正仿宋_GB2312" w:eastAsia="方正仿宋_GB2312"/>
          <w:sz w:val="32"/>
          <w:szCs w:val="40"/>
          <w:lang w:eastAsia="zh-Hans"/>
        </w:rPr>
        <w:t>养老托育工作开展提供了发展基础。第七次全国人口普查相关数据显示，门头沟区60岁及以上人口8.88万人，老龄化占比</w:t>
      </w:r>
      <w:r>
        <w:rPr>
          <w:rFonts w:hint="eastAsia" w:ascii="方正仿宋_GB2312" w:eastAsia="方正仿宋_GB2312"/>
          <w:sz w:val="32"/>
          <w:szCs w:val="40"/>
        </w:rPr>
        <w:t>达到22.61%，高于全国3.91个百分点、高于北京市3.01个百分点，</w:t>
      </w:r>
      <w:r>
        <w:rPr>
          <w:rFonts w:hint="eastAsia" w:ascii="方正仿宋_GB2312" w:eastAsia="方正仿宋_GB2312"/>
          <w:sz w:val="32"/>
          <w:szCs w:val="40"/>
          <w:lang w:eastAsia="zh-Hans"/>
        </w:rPr>
        <w:t>已经进入中度老龄化</w:t>
      </w:r>
      <w:r>
        <w:rPr>
          <w:rFonts w:hint="eastAsia" w:ascii="方正仿宋_GB2312" w:eastAsia="方正仿宋_GB2312"/>
          <w:sz w:val="32"/>
          <w:szCs w:val="40"/>
          <w:lang w:val="en-US" w:eastAsia="zh-CN"/>
        </w:rPr>
        <w:t>阶段</w:t>
      </w:r>
      <w:r>
        <w:rPr>
          <w:rFonts w:hint="eastAsia" w:ascii="方正仿宋_GB2312" w:eastAsia="方正仿宋_GB2312"/>
          <w:sz w:val="32"/>
          <w:szCs w:val="40"/>
          <w:lang w:eastAsia="zh-Hans"/>
        </w:rPr>
        <w:t>；2020年门头沟区人口出生率为7.6‰</w:t>
      </w:r>
      <w:r>
        <w:rPr>
          <w:rStyle w:val="27"/>
          <w:rFonts w:ascii="方正仿宋_GB2312" w:eastAsia="方正仿宋_GB2312"/>
          <w:sz w:val="32"/>
          <w:szCs w:val="40"/>
          <w:lang w:eastAsia="zh-Hans"/>
        </w:rPr>
        <w:footnoteReference w:id="0"/>
      </w:r>
      <w:r>
        <w:rPr>
          <w:rFonts w:hint="eastAsia" w:ascii="方正仿宋_GB2312" w:eastAsia="方正仿宋_GB2312"/>
          <w:sz w:val="32"/>
          <w:szCs w:val="40"/>
          <w:lang w:eastAsia="zh-Hans"/>
        </w:rPr>
        <w:t>，较2016年下降4.91‰。</w:t>
      </w:r>
      <w:r>
        <w:rPr>
          <w:rFonts w:hint="eastAsia" w:ascii="方正仿宋_GB2312" w:eastAsia="方正仿宋_GB2312"/>
          <w:sz w:val="32"/>
          <w:szCs w:val="40"/>
        </w:rPr>
        <w:t>根据北京市整体城市战略定位和市委市政府“七有”“五性”要求，结合门头沟区城市规划和资源空间布局，全区经济社会发展水平，以及养老和托育实际需求，</w:t>
      </w:r>
      <w:r>
        <w:rPr>
          <w:rFonts w:hint="eastAsia" w:ascii="方正仿宋_GB2312" w:eastAsia="方正仿宋_GB2312"/>
          <w:sz w:val="32"/>
          <w:szCs w:val="40"/>
          <w:lang w:val="en-US" w:eastAsia="zh-CN"/>
        </w:rPr>
        <w:t>并</w:t>
      </w:r>
      <w:r>
        <w:rPr>
          <w:rFonts w:hint="eastAsia" w:ascii="方正仿宋_GB2312" w:eastAsia="方正仿宋_GB2312"/>
          <w:sz w:val="32"/>
          <w:szCs w:val="40"/>
          <w:lang w:eastAsia="zh-Hans"/>
        </w:rPr>
        <w:t>基于门头沟</w:t>
      </w:r>
      <w:r>
        <w:rPr>
          <w:rFonts w:hint="eastAsia" w:ascii="方正仿宋_GB2312" w:eastAsia="方正仿宋_GB2312"/>
          <w:sz w:val="32"/>
          <w:szCs w:val="40"/>
        </w:rPr>
        <w:t>区</w:t>
      </w:r>
      <w:r>
        <w:rPr>
          <w:rFonts w:hint="eastAsia" w:ascii="方正仿宋_GB2312" w:eastAsia="方正仿宋_GB2312"/>
          <w:sz w:val="32"/>
          <w:szCs w:val="40"/>
          <w:lang w:eastAsia="zh-Hans"/>
        </w:rPr>
        <w:t>的生态区位优势和区域特点，“十四五”时期，应建立</w:t>
      </w:r>
      <w:r>
        <w:rPr>
          <w:rFonts w:hint="eastAsia" w:ascii="方正仿宋_GB2312" w:eastAsia="方正仿宋_GB2312"/>
          <w:sz w:val="32"/>
          <w:szCs w:val="40"/>
        </w:rPr>
        <w:t>具有门头沟生态涵养区特色的</w:t>
      </w:r>
      <w:r>
        <w:rPr>
          <w:rFonts w:hint="eastAsia" w:ascii="方正仿宋_GB2312" w:eastAsia="方正仿宋_GB2312"/>
          <w:sz w:val="32"/>
          <w:szCs w:val="40"/>
          <w:lang w:eastAsia="zh-Hans"/>
        </w:rPr>
        <w:t>养老托育服务体系，</w:t>
      </w:r>
      <w:r>
        <w:rPr>
          <w:rFonts w:hint="eastAsia" w:ascii="方正仿宋_GB2312" w:eastAsia="方正仿宋_GB2312"/>
          <w:sz w:val="32"/>
          <w:szCs w:val="40"/>
        </w:rPr>
        <w:t>率先</w:t>
      </w:r>
      <w:r>
        <w:rPr>
          <w:rFonts w:hint="eastAsia" w:ascii="方正仿宋_GB2312" w:eastAsia="方正仿宋_GB2312"/>
          <w:sz w:val="32"/>
          <w:szCs w:val="40"/>
          <w:lang w:eastAsia="zh-Hans"/>
        </w:rPr>
        <w:t>打造首都养老托育服务示范区，综合提高“一老一小”服务能力</w:t>
      </w:r>
      <w:r>
        <w:rPr>
          <w:rFonts w:hint="eastAsia" w:ascii="方正仿宋_GB2312" w:eastAsia="方正仿宋_GB2312"/>
          <w:sz w:val="32"/>
          <w:szCs w:val="40"/>
        </w:rPr>
        <w:t>，发挥引领带动作用</w:t>
      </w:r>
      <w:r>
        <w:rPr>
          <w:rFonts w:hint="eastAsia" w:ascii="方正仿宋_GB2312" w:eastAsia="方正仿宋_GB2312"/>
          <w:sz w:val="32"/>
          <w:szCs w:val="40"/>
          <w:lang w:eastAsia="zh-Hans"/>
        </w:rPr>
        <w:t>。</w:t>
      </w:r>
    </w:p>
    <w:p>
      <w:pPr>
        <w:ind w:firstLine="640" w:firstLineChars="200"/>
        <w:rPr>
          <w:rFonts w:ascii="方正仿宋_GB2312" w:eastAsia="方正仿宋_GB2312"/>
          <w:sz w:val="32"/>
          <w:szCs w:val="40"/>
          <w:lang w:eastAsia="zh-Hans"/>
        </w:rPr>
      </w:pPr>
      <w:r>
        <w:rPr>
          <w:rFonts w:hint="eastAsia" w:ascii="方正仿宋_GB2312" w:eastAsia="方正仿宋_GB2312"/>
          <w:sz w:val="32"/>
          <w:szCs w:val="40"/>
          <w:lang w:eastAsia="zh-Hans"/>
        </w:rPr>
        <w:t>为推进实施积极应对人口老龄化国家战略，以“一老一小”为重点完善人口服务体系，扩大养老托育服务有效供给，提升服务质量，完善服务体系，不断满足人民日益增长的美好生活需要，根据《中华人民共和国国民经济和社会发展第十四个五年规划和2035年远景目标纲要》和中共中央、国务院印发的《国家积极应对人口老龄化中长期规划》《国务院办公厅关于促进养老托育服务健康发展的意见》（国办发〔2020〕52号）等有关文件要求，制定《“十四五”门头沟区“一老一小”整体解决方案》。</w:t>
      </w:r>
    </w:p>
    <w:p>
      <w:pPr>
        <w:pStyle w:val="3"/>
        <w:spacing w:before="0" w:after="0" w:line="240" w:lineRule="auto"/>
        <w:ind w:firstLine="643" w:firstLineChars="200"/>
        <w:rPr>
          <w:rFonts w:ascii="黑体" w:hAnsi="黑体" w:eastAsia="黑体" w:cs="黑体"/>
          <w:kern w:val="0"/>
          <w:sz w:val="32"/>
          <w:szCs w:val="32"/>
        </w:rPr>
      </w:pPr>
      <w:bookmarkStart w:id="12" w:name="_Toc23366"/>
      <w:bookmarkStart w:id="13" w:name="_Toc100671592"/>
      <w:bookmarkStart w:id="14" w:name="_Toc15081"/>
      <w:r>
        <w:rPr>
          <w:rFonts w:hint="eastAsia" w:ascii="黑体" w:hAnsi="黑体" w:eastAsia="黑体" w:cs="黑体"/>
          <w:kern w:val="0"/>
          <w:sz w:val="32"/>
          <w:szCs w:val="32"/>
        </w:rPr>
        <w:t>一、实施背景</w:t>
      </w:r>
      <w:bookmarkEnd w:id="12"/>
      <w:bookmarkEnd w:id="13"/>
      <w:bookmarkEnd w:id="14"/>
    </w:p>
    <w:p>
      <w:pPr>
        <w:spacing w:line="540" w:lineRule="exact"/>
        <w:ind w:firstLine="640" w:firstLineChars="200"/>
        <w:rPr>
          <w:rFonts w:ascii="方正仿宋_GB2312" w:hAnsi="宋体" w:eastAsia="方正仿宋_GB2312" w:cs="宋体"/>
          <w:sz w:val="32"/>
          <w:szCs w:val="32"/>
          <w:lang w:val="zh-TW" w:eastAsia="zh-TW" w:bidi="zh-TW"/>
        </w:rPr>
      </w:pPr>
      <w:r>
        <w:rPr>
          <w:rFonts w:hint="eastAsia" w:ascii="方正仿宋_GB2312" w:hAnsi="宋体" w:eastAsia="方正仿宋_GB2312" w:cs="宋体"/>
          <w:sz w:val="32"/>
          <w:szCs w:val="32"/>
          <w:lang w:val="zh-TW" w:eastAsia="zh-TW" w:bidi="zh-TW"/>
        </w:rPr>
        <w:t>“十三五”时期，门头沟区坚决贯彻落实党中央、国务院以及市委、市政府关于养老托育照护服务高质量发展的一系列决策部署和指示精神，坚持以人民为中心，切实加强政策配套，完善服务体系，提升服务质量，积极应对人口老龄化带来的冲击挑战，聚焦“一老一小”领域</w:t>
      </w:r>
      <w:r>
        <w:rPr>
          <w:rFonts w:hint="eastAsia" w:ascii="方正仿宋_GB2312" w:hAnsi="宋体" w:eastAsia="方正仿宋_GB2312" w:cs="宋体"/>
          <w:sz w:val="32"/>
          <w:szCs w:val="32"/>
          <w:lang w:val="zh-TW" w:bidi="zh-TW"/>
        </w:rPr>
        <w:t>，</w:t>
      </w:r>
      <w:r>
        <w:rPr>
          <w:rFonts w:hint="eastAsia" w:ascii="方正仿宋_GB2312" w:hAnsi="宋体" w:eastAsia="方正仿宋_GB2312" w:cs="宋体"/>
          <w:sz w:val="32"/>
          <w:szCs w:val="32"/>
          <w:lang w:val="zh-TW" w:eastAsia="zh-TW" w:bidi="zh-TW"/>
        </w:rPr>
        <w:t>扩大并提高养老托育照护服务有效供给，着力构建全方位体系和体制机制，促进人口长期均衡发展。</w:t>
      </w:r>
    </w:p>
    <w:p>
      <w:pPr>
        <w:ind w:firstLine="643" w:firstLineChars="200"/>
        <w:contextualSpacing/>
        <w:outlineLvl w:val="1"/>
        <w:rPr>
          <w:rFonts w:ascii="方正楷体_GB2312" w:hAnsi="方正楷体_GB2312" w:eastAsia="方正楷体_GB2312" w:cs="方正楷体_GB2312"/>
          <w:b/>
          <w:bCs/>
          <w:kern w:val="0"/>
          <w:sz w:val="32"/>
          <w:szCs w:val="32"/>
        </w:rPr>
      </w:pPr>
      <w:bookmarkStart w:id="15" w:name="_Toc23598"/>
      <w:bookmarkStart w:id="16" w:name="_Toc100671593"/>
      <w:bookmarkStart w:id="17" w:name="_Toc7807"/>
      <w:r>
        <w:rPr>
          <w:rFonts w:hint="eastAsia" w:ascii="方正楷体_GB2312" w:hAnsi="方正楷体_GB2312" w:eastAsia="方正楷体_GB2312" w:cs="方正楷体_GB2312"/>
          <w:b/>
          <w:bCs/>
          <w:kern w:val="0"/>
          <w:sz w:val="32"/>
          <w:szCs w:val="32"/>
        </w:rPr>
        <w:t>（一）发展基础</w:t>
      </w:r>
      <w:bookmarkEnd w:id="15"/>
      <w:bookmarkEnd w:id="16"/>
      <w:bookmarkEnd w:id="17"/>
    </w:p>
    <w:p>
      <w:pPr>
        <w:pStyle w:val="37"/>
        <w:spacing w:line="360" w:lineRule="auto"/>
        <w:ind w:firstLine="643" w:firstLineChars="200"/>
        <w:rPr>
          <w:rFonts w:ascii="方正仿宋_GB2312" w:hAnsi="方正仿宋_GB2312" w:eastAsia="方正仿宋_GB2312" w:cs="方正仿宋_GB2312"/>
          <w:kern w:val="0"/>
          <w:sz w:val="32"/>
          <w:szCs w:val="32"/>
          <w:u w:val="single"/>
          <w:lang w:val="en-US" w:eastAsia="zh-CN" w:bidi="ar-SA"/>
        </w:rPr>
      </w:pPr>
      <w:r>
        <w:rPr>
          <w:rFonts w:hint="eastAsia" w:ascii="方正仿宋_GB2312" w:hAnsi="方正仿宋_GB2312" w:eastAsia="方正仿宋_GB2312" w:cs="方正仿宋_GB2312"/>
          <w:b/>
          <w:bCs/>
          <w:kern w:val="0"/>
          <w:sz w:val="32"/>
          <w:szCs w:val="32"/>
          <w:lang w:val="en-US" w:eastAsia="zh-CN" w:bidi="ar-SA"/>
        </w:rPr>
        <w:t>1</w:t>
      </w:r>
      <w:r>
        <w:rPr>
          <w:rFonts w:ascii="方正仿宋_GB2312" w:hAnsi="方正仿宋_GB2312" w:eastAsia="方正仿宋_GB2312" w:cs="方正仿宋_GB2312"/>
          <w:b/>
          <w:bCs/>
          <w:kern w:val="0"/>
          <w:sz w:val="32"/>
          <w:szCs w:val="32"/>
          <w:lang w:val="en-US" w:eastAsia="zh-CN" w:bidi="ar-SA"/>
        </w:rPr>
        <w:t>.</w:t>
      </w:r>
      <w:r>
        <w:rPr>
          <w:rFonts w:hint="eastAsia" w:ascii="方正仿宋_GB2312" w:hAnsi="方正仿宋_GB2312" w:eastAsia="方正仿宋_GB2312" w:cs="方正仿宋_GB2312"/>
          <w:b/>
          <w:bCs/>
          <w:kern w:val="0"/>
          <w:sz w:val="32"/>
          <w:szCs w:val="32"/>
          <w:lang w:val="en-US" w:eastAsia="zh-CN" w:bidi="ar-SA"/>
        </w:rPr>
        <w:t>工作机制不断健全。</w:t>
      </w:r>
      <w:r>
        <w:rPr>
          <w:rFonts w:hint="eastAsia" w:ascii="方正仿宋_GB2312" w:hAnsi="方正仿宋_GB2312" w:eastAsia="方正仿宋_GB2312" w:cs="方正仿宋_GB2312"/>
          <w:kern w:val="0"/>
          <w:sz w:val="32"/>
          <w:szCs w:val="32"/>
          <w:lang w:val="en-US" w:eastAsia="zh-CN" w:bidi="ar-SA"/>
        </w:rPr>
        <w:t>门头沟区委、区政府高度重视老龄工作，老龄委工作机制不断健全和完善。建立养老服务部门联席会议制度，将养老服务工作纳入政府年度绩效考核范围和“七有”“五性”评价监测体系，明确区、街道（镇）、社区（村）养老服务工作责任，深化党委领导、政府主导、部门负责、社会参与的养老服务工作格局。</w:t>
      </w:r>
    </w:p>
    <w:p>
      <w:pPr>
        <w:pStyle w:val="37"/>
        <w:spacing w:line="360" w:lineRule="auto"/>
        <w:ind w:firstLine="643" w:firstLineChars="200"/>
        <w:rPr>
          <w:rFonts w:ascii="方正仿宋_GB2312" w:eastAsia="PMingLiU-ExtB"/>
          <w:sz w:val="32"/>
          <w:szCs w:val="32"/>
        </w:rPr>
      </w:pPr>
      <w:r>
        <w:rPr>
          <w:rFonts w:hint="eastAsia" w:ascii="方正仿宋_GB2312" w:hAnsi="方正仿宋_GB2312" w:eastAsia="方正仿宋_GB2312" w:cs="方正仿宋_GB2312"/>
          <w:b/>
          <w:bCs/>
          <w:kern w:val="0"/>
          <w:sz w:val="32"/>
          <w:szCs w:val="32"/>
          <w:lang w:val="en-US" w:eastAsia="zh-CN" w:bidi="ar-SA"/>
        </w:rPr>
        <w:t>2</w:t>
      </w:r>
      <w:r>
        <w:rPr>
          <w:rFonts w:ascii="方正仿宋_GB2312" w:hAnsi="方正仿宋_GB2312" w:eastAsia="方正仿宋_GB2312" w:cs="方正仿宋_GB2312"/>
          <w:b/>
          <w:bCs/>
          <w:kern w:val="0"/>
          <w:sz w:val="32"/>
          <w:szCs w:val="32"/>
          <w:lang w:val="en-US" w:eastAsia="zh-CN" w:bidi="ar-SA"/>
        </w:rPr>
        <w:t>.</w:t>
      </w:r>
      <w:r>
        <w:rPr>
          <w:rFonts w:hint="eastAsia" w:ascii="方正仿宋_GB2312" w:hAnsi="方正仿宋_GB2312" w:eastAsia="方正仿宋_GB2312" w:cs="方正仿宋_GB2312"/>
          <w:b/>
          <w:bCs/>
          <w:kern w:val="0"/>
          <w:sz w:val="32"/>
          <w:szCs w:val="32"/>
          <w:lang w:val="en-US" w:eastAsia="zh-CN" w:bidi="ar-SA"/>
        </w:rPr>
        <w:t>养老托育政策体系基本建立。</w:t>
      </w:r>
      <w:r>
        <w:rPr>
          <w:rFonts w:hint="eastAsia" w:ascii="方正仿宋_GB2312" w:eastAsia="方正仿宋_GB2312"/>
          <w:sz w:val="32"/>
          <w:szCs w:val="32"/>
        </w:rPr>
        <w:t>门头沟区委</w:t>
      </w:r>
      <w:r>
        <w:rPr>
          <w:rFonts w:hint="eastAsia" w:ascii="方正仿宋_GB2312" w:eastAsia="方正仿宋_GB2312"/>
          <w:sz w:val="32"/>
          <w:szCs w:val="32"/>
          <w:lang w:eastAsia="zh-CN"/>
        </w:rPr>
        <w:t>、</w:t>
      </w:r>
      <w:r>
        <w:rPr>
          <w:rFonts w:hint="eastAsia" w:ascii="方正仿宋_GB2312" w:eastAsia="方正仿宋_GB2312"/>
          <w:sz w:val="32"/>
          <w:szCs w:val="32"/>
        </w:rPr>
        <w:t>区政府高度重视养老托育服务发展，颁布并实施《门头沟区养老服务设施与殡葬设施专项规划（2017-2035）》《门头沟区“十三五”时期儿童发展规划》《北京市门头沟区“十三五”时期教育改革和发展规划（2016年—2020年）》《门头沟区“十四五”时期妇女儿童发展规划（2021-2025年）》</w:t>
      </w:r>
      <w:r>
        <w:rPr>
          <w:rFonts w:hint="eastAsia" w:ascii="方正仿宋_GB2312" w:eastAsia="方正仿宋_GB2312"/>
          <w:sz w:val="32"/>
          <w:szCs w:val="32"/>
          <w:lang w:eastAsia="zh-CN"/>
        </w:rPr>
        <w:t>《门头沟区“十四五”时期卫生健康事业发展规划》</w:t>
      </w:r>
      <w:r>
        <w:rPr>
          <w:rFonts w:hint="eastAsia" w:ascii="方正仿宋_GB2312" w:eastAsia="方正仿宋_GB2312"/>
          <w:sz w:val="32"/>
          <w:szCs w:val="32"/>
        </w:rPr>
        <w:t>《门头沟区推进老年友好型社会建设行动方案（2021-2023年）》等多项中长期规划，将养老服务和儿童发展纳入国民经济和社会发展总体规划，强化主体责任，完善政策机制，有力地保障了“十三五”各项规划的顺利实施。出台《门头沟区关于深化公办养老机构管理体制改革的实施意见》</w:t>
      </w:r>
      <w:r>
        <w:rPr>
          <w:rFonts w:hint="eastAsia" w:ascii="方正仿宋_GB2312" w:eastAsia="方正仿宋_GB2312"/>
          <w:sz w:val="32"/>
          <w:szCs w:val="32"/>
          <w:lang w:eastAsia="zh-CN"/>
        </w:rPr>
        <w:t>《门头沟区社区养老服务驿站运营扶持办法》</w:t>
      </w:r>
      <w:r>
        <w:rPr>
          <w:rFonts w:hint="eastAsia" w:ascii="方正仿宋_GB2312" w:eastAsia="方正仿宋_GB2312"/>
          <w:sz w:val="32"/>
          <w:szCs w:val="32"/>
        </w:rPr>
        <w:t>《</w:t>
      </w:r>
      <w:r>
        <w:rPr>
          <w:rFonts w:hint="eastAsia" w:ascii="方正仿宋_GB2312" w:eastAsia="方正仿宋_GB2312"/>
          <w:sz w:val="32"/>
          <w:szCs w:val="32"/>
          <w:lang w:val="zh-TW" w:eastAsia="zh-CN"/>
        </w:rPr>
        <w:t>门头沟区养老家庭照护床位服务管理实施细则（试行）</w:t>
      </w:r>
      <w:r>
        <w:rPr>
          <w:rFonts w:hint="eastAsia" w:ascii="方正仿宋_GB2312" w:eastAsia="方正仿宋_GB2312"/>
          <w:sz w:val="32"/>
          <w:szCs w:val="32"/>
        </w:rPr>
        <w:t>》《门头沟区社区养老服务驿站扶持资金补助暂行办法》</w:t>
      </w:r>
      <w:r>
        <w:rPr>
          <w:rFonts w:hint="eastAsia" w:ascii="方正仿宋_GB2312" w:eastAsia="方正仿宋_GB2312"/>
          <w:sz w:val="32"/>
          <w:szCs w:val="32"/>
          <w:lang w:eastAsia="zh-CN"/>
        </w:rPr>
        <w:t>《</w:t>
      </w:r>
      <w:r>
        <w:rPr>
          <w:rFonts w:hint="eastAsia" w:ascii="方正仿宋_GB2312" w:eastAsia="方正仿宋_GB2312"/>
          <w:sz w:val="32"/>
          <w:szCs w:val="32"/>
          <w:lang w:val="zh-TW" w:eastAsia="zh-CN"/>
        </w:rPr>
        <w:t>门头沟区养老助餐服务管理办法（试行）</w:t>
      </w:r>
      <w:r>
        <w:rPr>
          <w:rFonts w:hint="eastAsia" w:ascii="方正仿宋_GB2312" w:eastAsia="方正仿宋_GB2312"/>
          <w:sz w:val="32"/>
          <w:szCs w:val="32"/>
          <w:lang w:eastAsia="zh-CN"/>
        </w:rPr>
        <w:t>》《</w:t>
      </w:r>
      <w:r>
        <w:rPr>
          <w:rFonts w:hint="eastAsia" w:ascii="方正仿宋_GB2312" w:eastAsia="方正仿宋_GB2312"/>
          <w:sz w:val="32"/>
          <w:szCs w:val="32"/>
          <w:lang w:val="zh-TW" w:eastAsia="zh-CN"/>
        </w:rPr>
        <w:t>门头沟区开展</w:t>
      </w:r>
      <w:r>
        <w:rPr>
          <w:rFonts w:hint="eastAsia" w:ascii="方正仿宋_GB2312" w:eastAsia="方正仿宋_GB2312"/>
          <w:sz w:val="32"/>
          <w:szCs w:val="32"/>
        </w:rPr>
        <w:t>“物业服务+养老服务”</w:t>
      </w:r>
      <w:r>
        <w:rPr>
          <w:rFonts w:hint="eastAsia" w:ascii="方正仿宋_GB2312" w:eastAsia="方正仿宋_GB2312"/>
          <w:sz w:val="32"/>
          <w:szCs w:val="32"/>
          <w:lang w:val="zh-TW" w:eastAsia="zh-CN"/>
        </w:rPr>
        <w:t>工作实施细则（试行）</w:t>
      </w:r>
      <w:r>
        <w:rPr>
          <w:rFonts w:hint="eastAsia" w:ascii="方正仿宋_GB2312" w:eastAsia="方正仿宋_GB2312"/>
          <w:sz w:val="32"/>
          <w:szCs w:val="32"/>
          <w:lang w:eastAsia="zh-CN"/>
        </w:rPr>
        <w:t>》</w:t>
      </w:r>
      <w:r>
        <w:rPr>
          <w:rFonts w:hint="eastAsia" w:ascii="方正仿宋_GB2312" w:eastAsia="方正仿宋_GB2312"/>
          <w:sz w:val="32"/>
          <w:szCs w:val="32"/>
        </w:rPr>
        <w:t>《门头沟区普惠性幼儿园认定与管理细则（试行）》等多项政策，进一步发挥机构养老效能，提升养老服务行业整体质量，规范普惠性</w:t>
      </w:r>
      <w:r>
        <w:rPr>
          <w:rFonts w:hint="eastAsia" w:ascii="方正仿宋_GB2312" w:eastAsia="方正仿宋_GB2312"/>
          <w:sz w:val="32"/>
          <w:szCs w:val="32"/>
          <w:lang w:val="en-US" w:eastAsia="zh-Hans"/>
        </w:rPr>
        <w:t>托育机构及</w:t>
      </w:r>
      <w:r>
        <w:rPr>
          <w:rFonts w:hint="eastAsia" w:ascii="方正仿宋_GB2312" w:eastAsia="方正仿宋_GB2312"/>
          <w:sz w:val="32"/>
          <w:szCs w:val="32"/>
        </w:rPr>
        <w:t>幼儿园管理，切实提升托育服务能力，促进普惠性学前教育事业发展。加快推进全区托育服务发展，构建具有门头沟区特色的养老设施体系，创造良好的政策环境。</w:t>
      </w:r>
    </w:p>
    <w:p>
      <w:pPr>
        <w:spacing w:line="560" w:lineRule="exact"/>
        <w:ind w:firstLine="643" w:firstLineChars="200"/>
        <w:rPr>
          <w:rFonts w:ascii="方正仿宋_GB2312" w:hAnsi="方正仿宋_GB2312" w:eastAsia="PMingLiU-ExtB" w:cs="方正仿宋_GB2312"/>
          <w:sz w:val="32"/>
          <w:szCs w:val="32"/>
        </w:rPr>
      </w:pPr>
      <w:r>
        <w:rPr>
          <w:rFonts w:hint="eastAsia" w:ascii="方正仿宋_GB2312" w:hAnsi="方正仿宋_GB2312" w:eastAsia="方正仿宋_GB2312" w:cs="方正仿宋_GB2312"/>
          <w:b/>
          <w:bCs/>
          <w:kern w:val="0"/>
          <w:sz w:val="32"/>
          <w:szCs w:val="32"/>
        </w:rPr>
        <w:t>3</w:t>
      </w:r>
      <w:r>
        <w:rPr>
          <w:rFonts w:ascii="方正仿宋_GB2312" w:hAnsi="方正仿宋_GB2312" w:eastAsia="方正仿宋_GB2312" w:cs="方正仿宋_GB2312"/>
          <w:b/>
          <w:bCs/>
          <w:kern w:val="0"/>
          <w:sz w:val="32"/>
          <w:szCs w:val="32"/>
        </w:rPr>
        <w:t>.</w:t>
      </w:r>
      <w:r>
        <w:rPr>
          <w:rFonts w:hint="eastAsia" w:ascii="方正仿宋_GB2312" w:hAnsi="方正仿宋_GB2312" w:eastAsia="方正仿宋_GB2312" w:cs="方正仿宋_GB2312"/>
          <w:b/>
          <w:bCs/>
          <w:kern w:val="0"/>
          <w:sz w:val="32"/>
          <w:szCs w:val="32"/>
        </w:rPr>
        <w:t>社会保障体系加快完善</w:t>
      </w:r>
      <w:r>
        <w:rPr>
          <w:rFonts w:hint="eastAsia" w:ascii="方正仿宋_GB2312" w:eastAsia="方正仿宋_GB2312"/>
          <w:b/>
          <w:bCs/>
          <w:sz w:val="32"/>
          <w:szCs w:val="32"/>
        </w:rPr>
        <w:t>。</w:t>
      </w:r>
      <w:r>
        <w:rPr>
          <w:rFonts w:hint="eastAsia" w:ascii="方正仿宋_GB2312" w:eastAsia="方正仿宋_GB2312"/>
          <w:sz w:val="32"/>
          <w:szCs w:val="32"/>
        </w:rPr>
        <w:t>截至2020年底，全区参加城乡居民养老保险13994人，社会保险覆盖面不断扩大。企业退休人员基本养老金、城乡居民养老保险待遇均有较大幅度的提高。落实《北京市高龄老年人津贴发放办法》，老年人福利保障和优待制度进一步完善。</w:t>
      </w:r>
      <w:r>
        <w:rPr>
          <w:rFonts w:ascii="Times New Roman" w:hAnsi="Times New Roman" w:eastAsia="方正仿宋_GB2312" w:cs="Times New Roman"/>
          <w:kern w:val="0"/>
          <w:sz w:val="32"/>
          <w:szCs w:val="32"/>
        </w:rPr>
        <w:t>统筹建立老年人服务补贴津贴制度，符合条件的老年人</w:t>
      </w:r>
      <w:r>
        <w:rPr>
          <w:rFonts w:ascii="方正仿宋_GB2312" w:hAnsi="方正仿宋_GB2312" w:eastAsia="方正仿宋_GB2312" w:cs="方正仿宋_GB2312"/>
          <w:kern w:val="0"/>
          <w:sz w:val="32"/>
          <w:szCs w:val="32"/>
        </w:rPr>
        <w:t>每月可领取100元</w:t>
      </w:r>
      <w:r>
        <w:rPr>
          <w:rFonts w:hint="eastAsia" w:ascii="方正仿宋_GB2312" w:hAnsi="方正仿宋_GB2312" w:eastAsia="方正仿宋_GB2312" w:cs="方正仿宋_GB2312"/>
          <w:kern w:val="0"/>
          <w:sz w:val="32"/>
          <w:szCs w:val="32"/>
        </w:rPr>
        <w:t>至</w:t>
      </w:r>
      <w:r>
        <w:rPr>
          <w:rFonts w:ascii="方正仿宋_GB2312" w:hAnsi="方正仿宋_GB2312" w:eastAsia="方正仿宋_GB2312" w:cs="方正仿宋_GB2312"/>
          <w:kern w:val="0"/>
          <w:sz w:val="32"/>
          <w:szCs w:val="32"/>
        </w:rPr>
        <w:t>300元的养老服务补贴，200元</w:t>
      </w:r>
      <w:r>
        <w:rPr>
          <w:rFonts w:hint="eastAsia" w:ascii="方正仿宋_GB2312" w:hAnsi="方正仿宋_GB2312" w:eastAsia="方正仿宋_GB2312" w:cs="方正仿宋_GB2312"/>
          <w:kern w:val="0"/>
          <w:sz w:val="32"/>
          <w:szCs w:val="32"/>
        </w:rPr>
        <w:t>至</w:t>
      </w:r>
      <w:r>
        <w:rPr>
          <w:rFonts w:ascii="方正仿宋_GB2312" w:hAnsi="方正仿宋_GB2312" w:eastAsia="方正仿宋_GB2312" w:cs="方正仿宋_GB2312"/>
          <w:kern w:val="0"/>
          <w:sz w:val="32"/>
          <w:szCs w:val="32"/>
        </w:rPr>
        <w:t>600元的失能护理补贴，100元</w:t>
      </w:r>
      <w:r>
        <w:rPr>
          <w:rFonts w:hint="eastAsia" w:ascii="方正仿宋_GB2312" w:hAnsi="方正仿宋_GB2312" w:eastAsia="方正仿宋_GB2312" w:cs="方正仿宋_GB2312"/>
          <w:kern w:val="0"/>
          <w:sz w:val="32"/>
          <w:szCs w:val="32"/>
        </w:rPr>
        <w:t>至</w:t>
      </w:r>
      <w:r>
        <w:rPr>
          <w:rFonts w:ascii="方正仿宋_GB2312" w:hAnsi="方正仿宋_GB2312" w:eastAsia="方正仿宋_GB2312" w:cs="方正仿宋_GB2312"/>
          <w:kern w:val="0"/>
          <w:sz w:val="32"/>
          <w:szCs w:val="32"/>
        </w:rPr>
        <w:t>800元的高龄津贴。老年人社会优待</w:t>
      </w:r>
      <w:r>
        <w:rPr>
          <w:rFonts w:hint="eastAsia" w:ascii="方正仿宋_GB2312" w:hAnsi="方正仿宋_GB2312" w:eastAsia="方正仿宋_GB2312" w:cs="方正仿宋_GB2312"/>
          <w:kern w:val="0"/>
          <w:sz w:val="32"/>
          <w:szCs w:val="32"/>
        </w:rPr>
        <w:t>范围进一步拓展，服务对象从65周岁及以上常住老年人口调整为60周岁及以上常住老年人口。</w:t>
      </w:r>
      <w:r>
        <w:rPr>
          <w:rFonts w:hint="eastAsia" w:ascii="方正仿宋_GB2312" w:hAnsi="方正仿宋_GB2312" w:eastAsia="方正仿宋_GB2312" w:cs="方正仿宋_GB2312"/>
          <w:sz w:val="32"/>
          <w:szCs w:val="32"/>
        </w:rPr>
        <w:t>“十三五”期间共发放</w:t>
      </w:r>
      <w:bookmarkStart w:id="18" w:name="OLE_LINK1"/>
      <w:r>
        <w:rPr>
          <w:rFonts w:hint="eastAsia" w:ascii="方正仿宋_GB2312" w:hAnsi="方正仿宋_GB2312" w:eastAsia="方正仿宋_GB2312" w:cs="方正仿宋_GB2312"/>
          <w:sz w:val="32"/>
          <w:szCs w:val="32"/>
        </w:rPr>
        <w:t>老年福利津贴9916万元。</w:t>
      </w:r>
    </w:p>
    <w:p>
      <w:pPr>
        <w:pStyle w:val="37"/>
        <w:spacing w:line="360" w:lineRule="auto"/>
        <w:ind w:firstLine="643" w:firstLineChars="200"/>
        <w:rPr>
          <w:rFonts w:ascii="方正仿宋_GB2312" w:hAnsi="方正仿宋_GB2312" w:eastAsia="方正仿宋_GB2312" w:cs="方正仿宋_GB2312"/>
          <w:kern w:val="0"/>
          <w:sz w:val="32"/>
          <w:szCs w:val="32"/>
          <w:lang w:val="en-US" w:eastAsia="zh-CN" w:bidi="ar-SA"/>
        </w:rPr>
      </w:pPr>
      <w:r>
        <w:rPr>
          <w:rFonts w:hint="eastAsia" w:ascii="方正仿宋_GB2312" w:hAnsi="方正仿宋_GB2312" w:eastAsia="方正仿宋_GB2312" w:cs="方正仿宋_GB2312"/>
          <w:b/>
          <w:bCs/>
          <w:kern w:val="0"/>
          <w:sz w:val="32"/>
          <w:szCs w:val="32"/>
          <w:lang w:val="en-US" w:eastAsia="zh-CN" w:bidi="ar-SA"/>
        </w:rPr>
        <w:t>4</w:t>
      </w:r>
      <w:r>
        <w:rPr>
          <w:rFonts w:ascii="方正仿宋_GB2312" w:hAnsi="方正仿宋_GB2312" w:eastAsia="方正仿宋_GB2312" w:cs="方正仿宋_GB2312"/>
          <w:b/>
          <w:bCs/>
          <w:kern w:val="0"/>
          <w:sz w:val="32"/>
          <w:szCs w:val="32"/>
          <w:lang w:val="en-US" w:eastAsia="zh-CN" w:bidi="ar-SA"/>
        </w:rPr>
        <w:t>.</w:t>
      </w:r>
      <w:r>
        <w:rPr>
          <w:rFonts w:hint="eastAsia" w:ascii="方正仿宋_GB2312" w:hAnsi="方正仿宋_GB2312" w:eastAsia="方正仿宋_GB2312" w:cs="方正仿宋_GB2312"/>
          <w:b/>
          <w:bCs/>
          <w:kern w:val="0"/>
          <w:sz w:val="32"/>
          <w:szCs w:val="32"/>
          <w:lang w:val="en-US" w:eastAsia="zh-CN" w:bidi="ar-SA"/>
        </w:rPr>
        <w:t>资金投入</w:t>
      </w:r>
      <w:bookmarkEnd w:id="18"/>
      <w:r>
        <w:rPr>
          <w:rFonts w:hint="eastAsia" w:ascii="方正仿宋_GB2312" w:hAnsi="方正仿宋_GB2312" w:eastAsia="方正仿宋_GB2312" w:cs="方正仿宋_GB2312"/>
          <w:b/>
          <w:bCs/>
          <w:kern w:val="0"/>
          <w:sz w:val="32"/>
          <w:szCs w:val="32"/>
          <w:lang w:val="en-US" w:eastAsia="zh-CN" w:bidi="ar-SA"/>
        </w:rPr>
        <w:t>不断加大。</w:t>
      </w:r>
      <w:r>
        <w:rPr>
          <w:rFonts w:hint="eastAsia" w:ascii="方正仿宋_GB2312" w:hAnsi="方正仿宋_GB2312" w:eastAsia="方正仿宋_GB2312" w:cs="方正仿宋_GB2312"/>
          <w:kern w:val="0"/>
          <w:sz w:val="32"/>
          <w:szCs w:val="32"/>
          <w:lang w:val="en-US" w:eastAsia="zh-CN" w:bidi="ar-SA"/>
        </w:rPr>
        <w:t>为扩大养老托育照护服务有效供给，在设施和服务方面不断增加投入。“十三五”时期，养老机构及驿站建设补贴累计投入6987万元，运营补贴累计投入1093万元，养老事业累计投入19786万元。发挥区级财政教育经费对促进学前教育事业发展的引领示范作用，“入园难”问题得到有效缓解，幼儿园办园条件和办园质量显著改善。大力发展普惠型幼儿园，在生均定额补助、人员补助、扩学位补助等方面给予资金支持，鼓励和支持一批多元普惠幼儿园。</w:t>
      </w:r>
    </w:p>
    <w:p>
      <w:pPr>
        <w:pStyle w:val="37"/>
        <w:spacing w:line="360" w:lineRule="auto"/>
        <w:ind w:firstLine="643" w:firstLineChars="200"/>
        <w:rPr>
          <w:rFonts w:ascii="方正仿宋_GB2312" w:hAnsi="方正仿宋_GB2312" w:eastAsia="PMingLiU-ExtB" w:cs="方正仿宋_GB2312"/>
          <w:sz w:val="32"/>
          <w:szCs w:val="32"/>
        </w:rPr>
      </w:pPr>
      <w:r>
        <w:rPr>
          <w:rFonts w:hint="eastAsia" w:ascii="方正仿宋_GB2312" w:hAnsi="仿宋" w:eastAsia="方正仿宋_GB2312" w:cs="仿宋"/>
          <w:b/>
          <w:bCs/>
          <w:sz w:val="32"/>
          <w:szCs w:val="32"/>
        </w:rPr>
        <w:t>5.养老托育服务基础设施不断完善</w:t>
      </w:r>
      <w:r>
        <w:rPr>
          <w:rFonts w:hint="eastAsia" w:ascii="方正仿宋_GB2312" w:hAnsi="仿宋" w:eastAsia="方正仿宋_GB2312" w:cs="仿宋"/>
          <w:b/>
          <w:bCs/>
          <w:sz w:val="32"/>
          <w:szCs w:val="32"/>
          <w:lang w:eastAsia="zh-Hans"/>
        </w:rPr>
        <w:t>。</w:t>
      </w:r>
      <w:r>
        <w:rPr>
          <w:rFonts w:hint="eastAsia" w:ascii="方正仿宋_GB2312" w:hAnsi="方正仿宋_GB2312" w:eastAsia="方正仿宋_GB2312" w:cs="方正仿宋_GB2312"/>
          <w:sz w:val="32"/>
          <w:szCs w:val="32"/>
        </w:rPr>
        <w:t>全区运营养老机构6所、养老照料中心</w:t>
      </w:r>
      <w:r>
        <w:rPr>
          <w:rFonts w:hint="eastAsia" w:ascii="方正仿宋_GB2312" w:hAnsi="方正仿宋_GB2312" w:eastAsia="方正仿宋_GB2312" w:cs="方正仿宋_GB2312"/>
          <w:kern w:val="0"/>
          <w:sz w:val="32"/>
          <w:szCs w:val="32"/>
          <w:lang w:val="en-US" w:eastAsia="zh-CN" w:bidi="ar-SA"/>
        </w:rPr>
        <w:t>4家、社区养老服务驿站33家、老年餐桌30家，运营养老床位1806张。通过公建民营方式运营区级公办养老机构，发展普惠养老满足不同层次的市场需求。</w:t>
      </w:r>
      <w:r>
        <w:rPr>
          <w:rFonts w:hint="eastAsia" w:ascii="方正仿宋_GB2312" w:hAnsi="方正仿宋_GB2312" w:eastAsia="方正仿宋_GB2312" w:cs="方正仿宋_GB2312"/>
          <w:kern w:val="0"/>
          <w:sz w:val="32"/>
          <w:szCs w:val="32"/>
          <w:lang w:val="zh-CN" w:eastAsia="zh-CN" w:bidi="ar-SA"/>
        </w:rPr>
        <w:t>落实门头沟区新建居住区配建养老设施建设移交与</w:t>
      </w:r>
      <w:r>
        <w:rPr>
          <w:rFonts w:hint="eastAsia" w:ascii="方正仿宋_GB2312" w:hAnsi="方正仿宋_GB2312" w:eastAsia="方正仿宋_GB2312" w:cs="方正仿宋_GB2312"/>
          <w:sz w:val="32"/>
          <w:szCs w:val="32"/>
          <w:lang w:val="zh-CN"/>
        </w:rPr>
        <w:t>管理工作，先后配合住建部门审核液压支架厂安置房、杨坨二期安置房、潭柘寺安置房二期、永定镇3751地块、门头沟站货场铁路职工住房等</w:t>
      </w:r>
      <w:r>
        <w:rPr>
          <w:rFonts w:hint="eastAsia" w:ascii="方正仿宋_GB2312" w:hAnsi="方正仿宋_GB2312" w:eastAsia="方正仿宋_GB2312" w:cs="方正仿宋_GB2312"/>
          <w:sz w:val="32"/>
          <w:szCs w:val="32"/>
          <w:lang w:val="en-US" w:eastAsia="zh-CN"/>
        </w:rPr>
        <w:t>29</w:t>
      </w:r>
      <w:r>
        <w:rPr>
          <w:rFonts w:hint="eastAsia" w:ascii="方正仿宋_GB2312" w:hAnsi="方正仿宋_GB2312" w:eastAsia="方正仿宋_GB2312" w:cs="方正仿宋_GB2312"/>
          <w:sz w:val="32"/>
          <w:szCs w:val="32"/>
          <w:lang w:val="zh-CN"/>
        </w:rPr>
        <w:t>个新建住宅项目的养老设施配建方案，并及时按照规定签订移交协议。</w:t>
      </w:r>
      <w:r>
        <w:rPr>
          <w:rFonts w:hint="eastAsia" w:ascii="方正仿宋_GB2312" w:hAnsi="方正仿宋_GB2312" w:eastAsia="方正仿宋_GB2312" w:cs="方正仿宋_GB2312"/>
          <w:sz w:val="32"/>
          <w:szCs w:val="32"/>
          <w:lang w:eastAsia="zh-CN"/>
        </w:rPr>
        <w:t>积极开展老年友好型社区创建工作，</w:t>
      </w:r>
      <w:r>
        <w:rPr>
          <w:rFonts w:hint="eastAsia" w:ascii="方正仿宋_GB2312" w:eastAsia="方正仿宋_GB2312"/>
          <w:sz w:val="32"/>
          <w:szCs w:val="32"/>
          <w:lang w:eastAsia="zh-CN"/>
        </w:rPr>
        <w:t>妙峰山镇炭厂村</w:t>
      </w:r>
      <w:r>
        <w:rPr>
          <w:rFonts w:hint="eastAsia" w:ascii="方正仿宋_GB2312" w:hAnsi="方正仿宋_GB2312" w:eastAsia="方正仿宋_GB2312" w:cs="方正仿宋_GB2312"/>
          <w:sz w:val="32"/>
          <w:szCs w:val="32"/>
          <w:lang w:eastAsia="zh-CN"/>
        </w:rPr>
        <w:t>被命名为“北京市老年友好型社区”，</w:t>
      </w:r>
      <w:r>
        <w:rPr>
          <w:rFonts w:hint="eastAsia" w:ascii="方正仿宋_GB2312" w:hAnsi="方正仿宋_GB2312" w:eastAsia="方正仿宋_GB2312" w:cs="方正仿宋_GB2312"/>
          <w:sz w:val="32"/>
          <w:szCs w:val="32"/>
          <w:lang w:val="en-US" w:eastAsia="zh-CN"/>
        </w:rPr>
        <w:t>社区规范化建设达标单位4家。</w:t>
      </w:r>
      <w:r>
        <w:rPr>
          <w:rFonts w:hint="eastAsia" w:ascii="方正仿宋_GB2312" w:hAnsi="方正仿宋_GB2312" w:eastAsia="方正仿宋_GB2312" w:cs="方正仿宋_GB2312"/>
          <w:kern w:val="0"/>
          <w:sz w:val="32"/>
          <w:szCs w:val="32"/>
          <w:lang w:val="en-US" w:eastAsia="zh-CN" w:bidi="ar-SA"/>
        </w:rPr>
        <w:t>全区妇女保健、儿童保健门诊规范化建设实现全覆盖，爱婴社区全覆盖，爱婴医院3家。市场监管局已注册托育服务机构7家，其中</w:t>
      </w:r>
      <w:r>
        <w:rPr>
          <w:rFonts w:ascii="方正仿宋_GB2312" w:hAnsi="方正仿宋_GB2312" w:eastAsia="方正仿宋_GB2312" w:cs="方正仿宋_GB2312"/>
          <w:kern w:val="0"/>
          <w:sz w:val="32"/>
          <w:szCs w:val="32"/>
          <w:lang w:eastAsia="zh-CN" w:bidi="ar-SA"/>
        </w:rPr>
        <w:t>5</w:t>
      </w:r>
      <w:r>
        <w:rPr>
          <w:rFonts w:hint="eastAsia" w:ascii="方正仿宋_GB2312" w:hAnsi="方正仿宋_GB2312" w:eastAsia="方正仿宋_GB2312" w:cs="方正仿宋_GB2312"/>
          <w:kern w:val="0"/>
          <w:sz w:val="32"/>
          <w:szCs w:val="32"/>
          <w:lang w:val="en-US" w:eastAsia="zh-CN" w:bidi="ar-SA"/>
        </w:rPr>
        <w:t>家已完成备案。区托育服务机构全职从业人员50人，其中全职保育人员16人，托育从业人员持证上岗率达100%。大型商场超市等公共场所母婴设施基本普及。</w:t>
      </w:r>
    </w:p>
    <w:p>
      <w:pPr>
        <w:spacing w:line="560" w:lineRule="exact"/>
        <w:ind w:firstLine="643" w:firstLineChars="200"/>
        <w:rPr>
          <w:rFonts w:ascii="方正仿宋_GB2312" w:hAnsi="方正仿宋_GB2312" w:eastAsia="方正仿宋_GB2312" w:cs="方正仿宋_GB2312"/>
          <w:kern w:val="0"/>
          <w:sz w:val="32"/>
          <w:szCs w:val="32"/>
          <w:lang w:val="en"/>
        </w:rPr>
      </w:pPr>
      <w:r>
        <w:rPr>
          <w:rFonts w:hint="eastAsia" w:ascii="方正仿宋_GB2312" w:hAnsi="仿宋" w:eastAsia="方正仿宋_GB2312" w:cs="仿宋"/>
          <w:b/>
          <w:bCs/>
          <w:sz w:val="32"/>
          <w:szCs w:val="32"/>
        </w:rPr>
        <w:t>6</w:t>
      </w:r>
      <w:r>
        <w:rPr>
          <w:rFonts w:ascii="方正仿宋_GB2312" w:hAnsi="仿宋" w:eastAsia="方正仿宋_GB2312" w:cs="仿宋"/>
          <w:b/>
          <w:bCs/>
          <w:sz w:val="32"/>
          <w:szCs w:val="32"/>
        </w:rPr>
        <w:t>.</w:t>
      </w:r>
      <w:r>
        <w:rPr>
          <w:rFonts w:hint="eastAsia" w:ascii="方正仿宋_GB2312" w:hAnsi="仿宋" w:eastAsia="方正仿宋_GB2312" w:cs="仿宋"/>
          <w:b/>
          <w:bCs/>
          <w:sz w:val="32"/>
          <w:szCs w:val="32"/>
        </w:rPr>
        <w:t>“一老一小”健康服务体系持续推进</w:t>
      </w:r>
      <w:r>
        <w:rPr>
          <w:rFonts w:hint="eastAsia" w:ascii="方正仿宋_GB2312" w:hAnsi="方正仿宋_GB2312" w:eastAsia="方正仿宋_GB2312" w:cs="方正仿宋_GB2312"/>
          <w:b/>
          <w:bCs/>
          <w:sz w:val="32"/>
          <w:szCs w:val="32"/>
        </w:rPr>
        <w:t>。</w:t>
      </w:r>
      <w:r>
        <w:rPr>
          <w:rFonts w:hint="eastAsia" w:ascii="方正仿宋_GB2312" w:hAnsi="方正仿宋_GB2312" w:eastAsia="方正仿宋_GB2312" w:cs="方正仿宋_GB2312"/>
          <w:sz w:val="32"/>
          <w:szCs w:val="32"/>
        </w:rPr>
        <w:t>公共卫生服务不断丰富，65周岁及以上户籍老年人可以享受免费体检、痴呆风险筛查以及流感疫苗、肺炎球菌疫苗免费接种等服务，</w:t>
      </w:r>
      <w:r>
        <w:rPr>
          <w:rFonts w:ascii="方正仿宋_GB2312" w:hAnsi="方正仿宋_GB2312" w:eastAsia="方正仿宋_GB2312" w:cs="方正仿宋_GB2312"/>
          <w:kern w:val="0"/>
          <w:sz w:val="32"/>
          <w:szCs w:val="32"/>
        </w:rPr>
        <w:t>百岁户籍老</w:t>
      </w:r>
      <w:r>
        <w:rPr>
          <w:rFonts w:hint="eastAsia" w:ascii="方正仿宋_GB2312" w:hAnsi="方正仿宋_GB2312" w:eastAsia="方正仿宋_GB2312" w:cs="方正仿宋_GB2312"/>
          <w:kern w:val="0"/>
          <w:sz w:val="32"/>
          <w:szCs w:val="32"/>
        </w:rPr>
        <w:t>年</w:t>
      </w:r>
      <w:r>
        <w:rPr>
          <w:rFonts w:ascii="方正仿宋_GB2312" w:hAnsi="方正仿宋_GB2312" w:eastAsia="方正仿宋_GB2312" w:cs="方正仿宋_GB2312"/>
          <w:kern w:val="0"/>
          <w:sz w:val="32"/>
          <w:szCs w:val="32"/>
        </w:rPr>
        <w:t>人可以享受价值3000元的居家健康服务。</w:t>
      </w:r>
      <w:r>
        <w:rPr>
          <w:rFonts w:ascii="方正仿宋_GB2312" w:eastAsia="方正仿宋_GB2312"/>
          <w:sz w:val="32"/>
          <w:szCs w:val="32"/>
        </w:rPr>
        <w:t>积极开展疾病筛查和健康指导，扎实做好老年</w:t>
      </w:r>
      <w:r>
        <w:rPr>
          <w:rFonts w:hint="eastAsia" w:ascii="方正仿宋_GB2312" w:eastAsia="方正仿宋_GB2312"/>
          <w:sz w:val="32"/>
          <w:szCs w:val="32"/>
        </w:rPr>
        <w:t>、儿童</w:t>
      </w:r>
      <w:r>
        <w:rPr>
          <w:rFonts w:ascii="方正仿宋_GB2312" w:eastAsia="方正仿宋_GB2312"/>
          <w:sz w:val="32"/>
          <w:szCs w:val="32"/>
        </w:rPr>
        <w:t>群体疫情防控，做实老年人</w:t>
      </w:r>
      <w:r>
        <w:rPr>
          <w:rFonts w:ascii="方正仿宋_GB2312" w:hAnsi="方正仿宋_GB2312" w:eastAsia="方正仿宋_GB2312" w:cs="方正仿宋_GB2312"/>
          <w:sz w:val="32"/>
          <w:szCs w:val="32"/>
        </w:rPr>
        <w:t>健康管理服务，</w:t>
      </w:r>
      <w:r>
        <w:rPr>
          <w:rFonts w:hint="eastAsia" w:ascii="方正仿宋_GB2312" w:hAnsi="仿宋" w:eastAsia="方正仿宋_GB2312" w:cs="Times New Roman"/>
          <w:sz w:val="32"/>
          <w:szCs w:val="32"/>
        </w:rPr>
        <w:t>家庭医生重点人群签约率</w:t>
      </w:r>
      <w:r>
        <w:rPr>
          <w:rFonts w:hint="eastAsia" w:ascii="方正仿宋_GB2312" w:hAnsi="仿宋" w:eastAsia="方正仿宋_GB2312" w:cs="Times New Roman"/>
          <w:sz w:val="32"/>
          <w:szCs w:val="32"/>
          <w:lang w:val="en-US" w:eastAsia="zh-CN"/>
        </w:rPr>
        <w:t>达</w:t>
      </w:r>
      <w:r>
        <w:rPr>
          <w:rFonts w:hint="eastAsia" w:ascii="方正仿宋_GB2312" w:hAnsi="仿宋" w:eastAsia="方正仿宋_GB2312" w:cs="Times New Roman"/>
          <w:sz w:val="32"/>
          <w:szCs w:val="32"/>
        </w:rPr>
        <w:t>93.95%。</w:t>
      </w:r>
      <w:r>
        <w:rPr>
          <w:rFonts w:hint="eastAsia" w:ascii="方正仿宋_GB2312" w:hAnsi="方正仿宋_GB2312" w:eastAsia="方正仿宋_GB2312" w:cs="方正仿宋_GB2312"/>
          <w:kern w:val="0"/>
          <w:sz w:val="32"/>
          <w:szCs w:val="32"/>
        </w:rPr>
        <w:t>东辛房社区卫生服务中心创建成为北京市老年健康服务示范基地，</w:t>
      </w:r>
      <w:r>
        <w:rPr>
          <w:rFonts w:hint="eastAsia" w:ascii="方正仿宋_GB2312" w:hAnsi="方正仿宋_GB2312" w:eastAsia="方正仿宋_GB2312" w:cs="方正仿宋_GB2312"/>
          <w:sz w:val="32"/>
          <w:szCs w:val="32"/>
        </w:rPr>
        <w:t>创建成功老年友善医疗机构</w:t>
      </w:r>
      <w:r>
        <w:rPr>
          <w:rFonts w:hint="eastAsia" w:ascii="方正仿宋_GB2312" w:hAnsi="方正仿宋_GB2312" w:eastAsia="方正仿宋_GB2312" w:cs="方正仿宋_GB2312"/>
          <w:kern w:val="0"/>
          <w:sz w:val="32"/>
          <w:szCs w:val="32"/>
        </w:rPr>
        <w:t>11家。区内6家社区卫生服务中心与阜外医院国家心血管病研究中心开展基于互联网医疗的慢性病防治试点工作。依托门头沟区中医医院建成区级老年健康和医养结合服务指导中心，</w:t>
      </w:r>
      <w:r>
        <w:rPr>
          <w:rFonts w:ascii="方正仿宋_GB2312" w:hAnsi="方正仿宋_GB2312" w:eastAsia="方正仿宋_GB2312" w:cs="方正仿宋_GB2312"/>
          <w:kern w:val="0"/>
          <w:sz w:val="32"/>
          <w:szCs w:val="32"/>
        </w:rPr>
        <w:t>初步形成医疗机构</w:t>
      </w:r>
      <w:r>
        <w:rPr>
          <w:rFonts w:hint="eastAsia" w:ascii="方正仿宋_GB2312" w:hAnsi="方正仿宋_GB2312" w:eastAsia="方正仿宋_GB2312" w:cs="方正仿宋_GB2312"/>
          <w:kern w:val="0"/>
          <w:sz w:val="32"/>
          <w:szCs w:val="32"/>
        </w:rPr>
        <w:t>与</w:t>
      </w:r>
      <w:r>
        <w:rPr>
          <w:rFonts w:ascii="方正仿宋_GB2312" w:hAnsi="方正仿宋_GB2312" w:eastAsia="方正仿宋_GB2312" w:cs="方正仿宋_GB2312"/>
          <w:kern w:val="0"/>
          <w:sz w:val="32"/>
          <w:szCs w:val="32"/>
        </w:rPr>
        <w:t>养老机构签约合作、养老机构设立医疗机构、医疗机构开展养老服务、医疗卫生服务延伸至社区家庭等相对成熟的融合发展服务模式</w:t>
      </w:r>
      <w:r>
        <w:rPr>
          <w:rFonts w:hint="eastAsia" w:ascii="方正仿宋_GB2312" w:hAnsi="方正仿宋_GB2312" w:eastAsia="方正仿宋_GB2312" w:cs="方正仿宋_GB2312"/>
          <w:kern w:val="0"/>
          <w:sz w:val="32"/>
          <w:szCs w:val="32"/>
          <w:lang w:eastAsia="zh-CN"/>
        </w:rPr>
        <w:t>。</w:t>
      </w:r>
      <w:r>
        <w:rPr>
          <w:rFonts w:ascii="方正仿宋_GB2312" w:hAnsi="方正仿宋_GB2312" w:eastAsia="方正仿宋_GB2312" w:cs="方正仿宋_GB2312"/>
          <w:kern w:val="0"/>
          <w:sz w:val="32"/>
          <w:szCs w:val="32"/>
        </w:rPr>
        <w:t>全</w:t>
      </w:r>
      <w:r>
        <w:rPr>
          <w:rFonts w:hint="eastAsia" w:ascii="方正仿宋_GB2312" w:hAnsi="方正仿宋_GB2312" w:eastAsia="方正仿宋_GB2312" w:cs="方正仿宋_GB2312"/>
          <w:kern w:val="0"/>
          <w:sz w:val="32"/>
          <w:szCs w:val="32"/>
        </w:rPr>
        <w:t>区</w:t>
      </w:r>
      <w:r>
        <w:rPr>
          <w:rFonts w:hint="eastAsia" w:ascii="方正仿宋_GB2312" w:hAnsi="方正仿宋_GB2312" w:eastAsia="方正仿宋_GB2312" w:cs="方正仿宋_GB2312"/>
          <w:kern w:val="0"/>
          <w:sz w:val="32"/>
          <w:szCs w:val="32"/>
          <w:lang w:val="en-US" w:eastAsia="zh-CN"/>
        </w:rPr>
        <w:t>10</w:t>
      </w:r>
      <w:r>
        <w:rPr>
          <w:rFonts w:ascii="方正仿宋_GB2312" w:hAnsi="方正仿宋_GB2312" w:eastAsia="方正仿宋_GB2312" w:cs="方正仿宋_GB2312"/>
          <w:kern w:val="0"/>
          <w:sz w:val="32"/>
          <w:szCs w:val="32"/>
        </w:rPr>
        <w:t>家养老机构实现医疗服务全覆盖</w:t>
      </w:r>
      <w:r>
        <w:rPr>
          <w:rFonts w:hint="eastAsia" w:ascii="方正仿宋_GB2312" w:hAnsi="方正仿宋_GB2312" w:eastAsia="方正仿宋_GB2312" w:cs="方正仿宋_GB2312"/>
          <w:kern w:val="0"/>
          <w:sz w:val="32"/>
          <w:szCs w:val="32"/>
        </w:rPr>
        <w:t>，</w:t>
      </w:r>
      <w:r>
        <w:rPr>
          <w:rFonts w:hint="eastAsia" w:ascii="方正仿宋_GB2312" w:hAnsi="方正仿宋_GB2312" w:eastAsia="方正仿宋_GB2312" w:cs="方正仿宋_GB2312"/>
          <w:kern w:val="0"/>
          <w:sz w:val="32"/>
          <w:szCs w:val="32"/>
          <w:lang w:val="en"/>
        </w:rPr>
        <w:t>门头沟区龙泉镇宁馨养老照料中心（医务室）顺利通过国家卫生健康委甄选，成为第二批老龄健康医养结合远程协同服务试点机构。</w:t>
      </w:r>
    </w:p>
    <w:p>
      <w:pPr>
        <w:spacing w:line="560" w:lineRule="exact"/>
        <w:ind w:firstLine="640" w:firstLineChars="200"/>
        <w:rPr>
          <w:rFonts w:ascii="方正仿宋_GB2312" w:hAnsi="方正仿宋_GB2312" w:eastAsia="方正仿宋_GB2312" w:cs="方正仿宋_GB2312"/>
          <w:kern w:val="0"/>
          <w:sz w:val="32"/>
          <w:szCs w:val="32"/>
        </w:rPr>
      </w:pPr>
      <w:r>
        <w:rPr>
          <w:rFonts w:hint="eastAsia" w:ascii="方正仿宋_GB2312" w:hAnsi="方正仿宋_GB2312" w:eastAsia="方正仿宋_GB2312" w:cs="方正仿宋_GB2312"/>
          <w:kern w:val="0"/>
          <w:sz w:val="32"/>
          <w:szCs w:val="32"/>
        </w:rPr>
        <w:t>深入贯彻落实全面两孩生育政策，做好计划生育家庭奖励扶助和特别扶助工作，开展独生子女家庭一次性经济帮助和一次性家庭救助，“十三五”期间共完成生育登记11723例，及时足额发放扶助资金5430.4万元。做好妇幼健康服务管理工作，圆满完成了市区妇女儿童“十三五”规划的19项指标任务，并全部达标。5岁以下婴儿死亡率控制在2.28‰，孕产妇系统服务率达到99.34%，儿童保健系统服务率达到99.02%，新生儿访视率达98.95%，儿童疫苗预防接种率99.98%。率先在全市完成了社区妇女保健和儿童保健规范化门诊建设及爱婴医院的全覆盖。加强出生缺陷三级预防，“十三五”时期，为12069名新生儿免费进行先天性疾病筛查，开展0-6岁儿童免费体检109815人次、0-6岁儿童残疾筛查43926人次。</w:t>
      </w:r>
    </w:p>
    <w:p>
      <w:pPr>
        <w:ind w:firstLine="643" w:firstLineChars="200"/>
        <w:contextualSpacing/>
        <w:outlineLvl w:val="1"/>
        <w:rPr>
          <w:rFonts w:ascii="方正楷体_GB2312" w:hAnsi="方正楷体_GB2312" w:eastAsia="方正楷体_GB2312" w:cs="方正楷体_GB2312"/>
          <w:b/>
          <w:bCs/>
          <w:kern w:val="0"/>
          <w:sz w:val="32"/>
          <w:szCs w:val="32"/>
        </w:rPr>
      </w:pPr>
      <w:bookmarkStart w:id="19" w:name="_Toc100671594"/>
      <w:bookmarkStart w:id="20" w:name="_Toc18958"/>
      <w:bookmarkStart w:id="21" w:name="_Toc21910"/>
      <w:r>
        <w:rPr>
          <w:rFonts w:hint="eastAsia" w:ascii="方正楷体_GB2312" w:hAnsi="方正楷体_GB2312" w:eastAsia="方正楷体_GB2312" w:cs="方正楷体_GB2312"/>
          <w:b/>
          <w:bCs/>
          <w:kern w:val="0"/>
          <w:sz w:val="32"/>
          <w:szCs w:val="32"/>
        </w:rPr>
        <w:t>（二）发展趋势</w:t>
      </w:r>
      <w:bookmarkEnd w:id="19"/>
      <w:bookmarkEnd w:id="20"/>
      <w:bookmarkEnd w:id="21"/>
    </w:p>
    <w:p>
      <w:pPr>
        <w:ind w:firstLine="640" w:firstLineChars="200"/>
        <w:rPr>
          <w:rFonts w:ascii="方正仿宋_GB2312" w:hAnsi="仿宋" w:eastAsia="方正仿宋_GB2312" w:cs="仿宋"/>
          <w:sz w:val="32"/>
          <w:szCs w:val="32"/>
          <w:highlight w:val="lightGray"/>
        </w:rPr>
      </w:pPr>
      <w:r>
        <w:rPr>
          <w:rFonts w:hint="eastAsia" w:ascii="方正仿宋_GB2312" w:hAnsi="仿宋" w:eastAsia="方正仿宋_GB2312" w:cs="仿宋"/>
          <w:sz w:val="32"/>
          <w:szCs w:val="32"/>
        </w:rPr>
        <w:t>“</w:t>
      </w:r>
      <w:r>
        <w:rPr>
          <w:rFonts w:ascii="方正仿宋_GB2312" w:hAnsi="仿宋" w:eastAsia="方正仿宋_GB2312" w:cs="仿宋"/>
          <w:sz w:val="32"/>
          <w:szCs w:val="32"/>
        </w:rPr>
        <w:t>十四五”时期是门头沟区实现新的更大发展的关键时期，也是</w:t>
      </w:r>
      <w:r>
        <w:rPr>
          <w:rFonts w:hint="eastAsia" w:ascii="方正仿宋_GB2312" w:hAnsi="仿宋" w:eastAsia="方正仿宋_GB2312" w:cs="仿宋"/>
          <w:sz w:val="32"/>
          <w:szCs w:val="32"/>
        </w:rPr>
        <w:t>养老托育</w:t>
      </w:r>
      <w:r>
        <w:rPr>
          <w:rFonts w:ascii="方正仿宋_GB2312" w:hAnsi="仿宋" w:eastAsia="方正仿宋_GB2312" w:cs="仿宋"/>
          <w:sz w:val="32"/>
          <w:szCs w:val="32"/>
        </w:rPr>
        <w:t>补齐短板、夯实基础、提高质量的战略</w:t>
      </w:r>
      <w:r>
        <w:rPr>
          <w:rFonts w:hint="eastAsia" w:ascii="方正仿宋_GB2312" w:hAnsi="仿宋" w:eastAsia="方正仿宋_GB2312" w:cs="仿宋"/>
          <w:sz w:val="32"/>
          <w:szCs w:val="32"/>
        </w:rPr>
        <w:t>机遇</w:t>
      </w:r>
      <w:r>
        <w:rPr>
          <w:rFonts w:ascii="方正仿宋_GB2312" w:hAnsi="仿宋" w:eastAsia="方正仿宋_GB2312" w:cs="仿宋"/>
          <w:sz w:val="32"/>
          <w:szCs w:val="32"/>
        </w:rPr>
        <w:t>期，</w:t>
      </w:r>
      <w:r>
        <w:rPr>
          <w:rFonts w:hint="eastAsia" w:ascii="方正仿宋_GB2312" w:hAnsi="仿宋" w:eastAsia="方正仿宋_GB2312" w:cs="仿宋"/>
          <w:sz w:val="32"/>
          <w:szCs w:val="32"/>
        </w:rPr>
        <w:t>养老托育服务将呈现高质量发展趋势。</w:t>
      </w:r>
    </w:p>
    <w:p>
      <w:pPr>
        <w:ind w:firstLine="643" w:firstLineChars="200"/>
        <w:rPr>
          <w:rFonts w:ascii="方正仿宋_GB2312" w:hAnsi="仿宋" w:eastAsia="方正仿宋_GB2312" w:cs="仿宋"/>
          <w:b/>
          <w:bCs/>
          <w:sz w:val="32"/>
          <w:szCs w:val="32"/>
        </w:rPr>
      </w:pPr>
      <w:r>
        <w:rPr>
          <w:rFonts w:hint="eastAsia" w:ascii="方正仿宋_GB2312" w:hAnsi="仿宋" w:eastAsia="方正仿宋_GB2312" w:cs="仿宋"/>
          <w:b/>
          <w:bCs/>
          <w:sz w:val="32"/>
          <w:szCs w:val="32"/>
        </w:rPr>
        <w:t>1.首都超大城市养老体系建设持续增强全区养老发展新动能</w:t>
      </w:r>
    </w:p>
    <w:p>
      <w:pPr>
        <w:ind w:firstLine="640" w:firstLineChars="200"/>
        <w:rPr>
          <w:rFonts w:ascii="方正仿宋_GB2312" w:hAnsi="仿宋" w:eastAsia="方正仿宋_GB2312" w:cs="仿宋"/>
          <w:sz w:val="32"/>
          <w:szCs w:val="32"/>
        </w:rPr>
      </w:pPr>
      <w:r>
        <w:rPr>
          <w:rFonts w:hint="eastAsia" w:ascii="方正仿宋_GB2312" w:hAnsi="仿宋" w:eastAsia="方正仿宋_GB2312" w:cs="仿宋"/>
          <w:sz w:val="32"/>
          <w:szCs w:val="32"/>
        </w:rPr>
        <w:t>“十三五”期间，北京市在围绕促进养老服务业发展、加强老年人照顾服务、全面放开养老服务市场、推进社区养老服务驿站建设、深化医养结合、加快发展老年教育、加强老年人权益维护等累计出台百余项政策文件，形成了相对完备、相互衔接的“四梁八柱”老龄政策制度体系。随着《北京市养老服务专项规划（2021年-2035年）》</w:t>
      </w:r>
      <w:bookmarkStart w:id="22" w:name="_Hlk38378912"/>
      <w:r>
        <w:rPr>
          <w:rFonts w:hint="eastAsia" w:ascii="方正仿宋_GB2312" w:hAnsi="仿宋" w:eastAsia="方正仿宋_GB2312" w:cs="仿宋"/>
          <w:sz w:val="32"/>
          <w:szCs w:val="32"/>
        </w:rPr>
        <w:t>实施，国际一流的和谐宜居之都及老年友好型城市</w:t>
      </w:r>
      <w:bookmarkEnd w:id="22"/>
      <w:r>
        <w:rPr>
          <w:rFonts w:hint="eastAsia" w:ascii="方正仿宋_GB2312" w:hAnsi="仿宋" w:eastAsia="方正仿宋_GB2312" w:cs="仿宋"/>
          <w:sz w:val="32"/>
          <w:szCs w:val="32"/>
        </w:rPr>
        <w:t>建设，将为区域养老生态提供良好的发展环境。</w:t>
      </w:r>
    </w:p>
    <w:p>
      <w:pPr>
        <w:ind w:firstLine="643" w:firstLineChars="200"/>
        <w:rPr>
          <w:rFonts w:ascii="方正仿宋_GB2312" w:hAnsi="仿宋" w:eastAsia="方正仿宋_GB2312" w:cs="仿宋"/>
          <w:b/>
          <w:bCs/>
          <w:sz w:val="32"/>
          <w:szCs w:val="32"/>
        </w:rPr>
      </w:pPr>
      <w:r>
        <w:rPr>
          <w:rFonts w:hint="eastAsia" w:ascii="方正仿宋_GB2312" w:hAnsi="仿宋" w:eastAsia="方正仿宋_GB2312" w:cs="仿宋"/>
          <w:b/>
          <w:bCs/>
          <w:sz w:val="32"/>
          <w:szCs w:val="32"/>
        </w:rPr>
        <w:t>2.老龄化和</w:t>
      </w:r>
      <w:r>
        <w:rPr>
          <w:rFonts w:ascii="方正仿宋_GB2312" w:hAnsi="仿宋" w:eastAsia="方正仿宋_GB2312" w:cs="仿宋"/>
          <w:b/>
          <w:bCs/>
          <w:sz w:val="32"/>
          <w:szCs w:val="32"/>
        </w:rPr>
        <w:t>少子化</w:t>
      </w:r>
      <w:r>
        <w:rPr>
          <w:rStyle w:val="27"/>
          <w:rFonts w:ascii="方正仿宋_GB2312" w:hAnsi="仿宋" w:eastAsia="方正仿宋_GB2312" w:cs="仿宋"/>
          <w:b/>
          <w:bCs/>
          <w:sz w:val="32"/>
          <w:szCs w:val="32"/>
        </w:rPr>
        <w:footnoteReference w:id="1"/>
      </w:r>
      <w:r>
        <w:rPr>
          <w:rFonts w:hint="eastAsia" w:ascii="方正仿宋_GB2312" w:hAnsi="仿宋" w:eastAsia="方正仿宋_GB2312" w:cs="仿宋"/>
          <w:b/>
          <w:bCs/>
          <w:sz w:val="32"/>
          <w:szCs w:val="32"/>
        </w:rPr>
        <w:t>将持续扩大社会化养老托育需求</w:t>
      </w:r>
    </w:p>
    <w:p>
      <w:pPr>
        <w:adjustRightInd w:val="0"/>
        <w:snapToGrid w:val="0"/>
        <w:spacing w:line="560" w:lineRule="atLeast"/>
        <w:ind w:firstLine="643" w:firstLineChars="0"/>
        <w:rPr>
          <w:rFonts w:hint="eastAsia" w:ascii="方正仿宋_GB2312" w:hAnsi="方正仿宋_GB2312" w:eastAsia="方正仿宋_GB2312" w:cs="方正仿宋_GB2312"/>
          <w:kern w:val="0"/>
          <w:sz w:val="32"/>
          <w:szCs w:val="32"/>
        </w:rPr>
      </w:pPr>
      <w:r>
        <w:rPr>
          <w:rFonts w:hint="eastAsia" w:ascii="方正仿宋_GB2312" w:hAnsi="仿宋" w:eastAsia="方正仿宋_GB2312" w:cs="仿宋"/>
          <w:kern w:val="0"/>
          <w:sz w:val="32"/>
          <w:szCs w:val="32"/>
          <w:lang w:bidi="ar"/>
        </w:rPr>
        <w:t>第七次人口普查数据显示，</w:t>
      </w:r>
      <w:r>
        <w:rPr>
          <w:rFonts w:hint="eastAsia" w:ascii="方正仿宋_GB2312" w:hAnsi="方正仿宋_GB2312" w:eastAsia="方正仿宋_GB2312" w:cs="方正仿宋_GB2312"/>
          <w:kern w:val="0"/>
          <w:sz w:val="32"/>
          <w:szCs w:val="32"/>
        </w:rPr>
        <w:t>门头沟</w:t>
      </w:r>
      <w:r>
        <w:rPr>
          <w:rFonts w:hint="eastAsia" w:ascii="方正仿宋_GB2312" w:hAnsi="仿宋" w:eastAsia="方正仿宋_GB2312" w:cs="仿宋"/>
          <w:kern w:val="0"/>
          <w:sz w:val="32"/>
          <w:szCs w:val="32"/>
          <w:lang w:bidi="ar"/>
        </w:rPr>
        <w:t>区常住人口为39.3万（其中常住外来人口11.5万），</w:t>
      </w:r>
      <w:r>
        <w:rPr>
          <w:rFonts w:hint="eastAsia" w:ascii="方正仿宋_GB2312" w:hAnsi="方正仿宋_GB2312" w:eastAsia="方正仿宋_GB2312" w:cs="方正仿宋_GB2312"/>
          <w:kern w:val="0"/>
          <w:sz w:val="32"/>
          <w:szCs w:val="32"/>
        </w:rPr>
        <w:t>60岁及以上人口为8.88万人，老龄化占比为22.61%，高于全国3.91个百分点、高于北京市3.01个百分点，居于全市第8位，预计</w:t>
      </w:r>
      <w:bookmarkStart w:id="23" w:name="OLE_LINK9"/>
      <w:r>
        <w:rPr>
          <w:rFonts w:hint="eastAsia" w:ascii="方正仿宋_GB2312" w:hAnsi="方正仿宋_GB2312" w:eastAsia="方正仿宋_GB2312" w:cs="方正仿宋_GB2312"/>
          <w:kern w:val="0"/>
          <w:sz w:val="32"/>
          <w:szCs w:val="32"/>
        </w:rPr>
        <w:t>2025年门头沟老年人口将达到</w:t>
      </w:r>
      <w:bookmarkEnd w:id="23"/>
      <w:r>
        <w:rPr>
          <w:rFonts w:hint="eastAsia" w:ascii="方正仿宋_GB2312" w:hAnsi="方正仿宋_GB2312" w:eastAsia="方正仿宋_GB2312" w:cs="方正仿宋_GB2312"/>
          <w:kern w:val="0"/>
          <w:sz w:val="32"/>
          <w:szCs w:val="32"/>
        </w:rPr>
        <w:t>11万，2035年门头沟区老年人口将达到15万，老龄化占比将达到37%。</w:t>
      </w:r>
      <w:r>
        <w:rPr>
          <w:rStyle w:val="27"/>
          <w:rFonts w:hint="eastAsia" w:ascii="方正仿宋_GB2312" w:hAnsi="方正仿宋_GB2312" w:eastAsia="方正仿宋_GB2312" w:cs="方正仿宋_GB2312"/>
          <w:kern w:val="0"/>
          <w:sz w:val="32"/>
          <w:szCs w:val="32"/>
        </w:rPr>
        <w:footnoteReference w:id="2"/>
      </w:r>
      <w:r>
        <w:rPr>
          <w:rFonts w:hint="eastAsia" w:ascii="方正仿宋_GB2312" w:hAnsi="方正仿宋_GB2312" w:eastAsia="方正仿宋_GB2312" w:cs="方正仿宋_GB2312"/>
          <w:kern w:val="0"/>
          <w:sz w:val="32"/>
          <w:szCs w:val="32"/>
        </w:rPr>
        <w:t>深山和门城地区的人口分布呈现出较为严重分化趋势，山区常住人口数量少、分布散，且老年人口比重大，达到了40.54%；门城地区居住着全区83.04%的常住人口、76.55%的常住老年人口，老年人口居住相对集中，老龄化程度高于全市水平。另一方面，截</w:t>
      </w:r>
      <w:r>
        <w:rPr>
          <w:rFonts w:hint="eastAsia" w:ascii="方正仿宋_GB2312" w:hAnsi="方正仿宋_GB2312" w:eastAsia="方正仿宋_GB2312" w:cs="方正仿宋_GB2312"/>
          <w:kern w:val="0"/>
          <w:sz w:val="32"/>
          <w:szCs w:val="32"/>
          <w:lang w:val="en-US" w:eastAsia="zh-CN"/>
        </w:rPr>
        <w:t>至</w:t>
      </w:r>
      <w:r>
        <w:rPr>
          <w:rFonts w:hint="eastAsia" w:ascii="方正仿宋_GB2312" w:hAnsi="方正仿宋_GB2312" w:eastAsia="方正仿宋_GB2312" w:cs="方正仿宋_GB2312"/>
          <w:kern w:val="0"/>
          <w:sz w:val="32"/>
          <w:szCs w:val="32"/>
        </w:rPr>
        <w:t>2021年末，门头沟区0-3岁婴幼儿共计3636人，全年出生人口1569人，人口出生率6.1‰。随着鼓励生育的各项配套政策出台，全市新生儿人口规模预计呈增长态势。据第七次人口普查数据推算，全区常住人口中，育龄妇女</w:t>
      </w:r>
      <w:r>
        <w:rPr>
          <w:rFonts w:hint="eastAsia" w:ascii="方正仿宋_GB2312" w:hAnsi="方正仿宋_GB2312" w:eastAsia="方正仿宋_GB2312" w:cs="方正仿宋_GB2312"/>
          <w:kern w:val="0"/>
          <w:sz w:val="32"/>
          <w:szCs w:val="32"/>
          <w:vertAlign w:val="superscript"/>
        </w:rPr>
        <w:footnoteReference w:id="3"/>
      </w:r>
      <w:r>
        <w:rPr>
          <w:rFonts w:hint="eastAsia" w:ascii="方正仿宋_GB2312" w:hAnsi="方正仿宋_GB2312" w:eastAsia="方正仿宋_GB2312" w:cs="方正仿宋_GB2312"/>
          <w:kern w:val="0"/>
          <w:sz w:val="32"/>
          <w:szCs w:val="32"/>
        </w:rPr>
        <w:t>人口数约为9.01万人</w:t>
      </w:r>
      <w:r>
        <w:rPr>
          <w:rFonts w:hint="eastAsia" w:ascii="方正仿宋_GB2312" w:hAnsi="方正仿宋_GB2312" w:eastAsia="方正仿宋_GB2312" w:cs="方正仿宋_GB2312"/>
          <w:kern w:val="0"/>
          <w:sz w:val="32"/>
          <w:szCs w:val="32"/>
          <w:vertAlign w:val="superscript"/>
        </w:rPr>
        <w:footnoteReference w:id="4"/>
      </w:r>
      <w:r>
        <w:rPr>
          <w:rFonts w:hint="eastAsia" w:ascii="方正仿宋_GB2312" w:hAnsi="方正仿宋_GB2312" w:eastAsia="方正仿宋_GB2312" w:cs="方正仿宋_GB2312"/>
          <w:kern w:val="0"/>
          <w:sz w:val="32"/>
          <w:szCs w:val="32"/>
        </w:rPr>
        <w:t>，到2035年，全区0-3岁婴幼儿人口规模预计为2.02万人</w:t>
      </w:r>
      <w:r>
        <w:rPr>
          <w:rFonts w:hint="eastAsia" w:ascii="方正仿宋_GB2312" w:hAnsi="方正仿宋_GB2312" w:eastAsia="方正仿宋_GB2312" w:cs="方正仿宋_GB2312"/>
          <w:kern w:val="0"/>
          <w:sz w:val="32"/>
          <w:szCs w:val="32"/>
          <w:vertAlign w:val="superscript"/>
        </w:rPr>
        <w:footnoteReference w:id="5"/>
      </w:r>
      <w:r>
        <w:rPr>
          <w:rFonts w:hint="eastAsia" w:ascii="方正仿宋_GB2312" w:hAnsi="方正仿宋_GB2312" w:eastAsia="方正仿宋_GB2312" w:cs="方正仿宋_GB2312"/>
          <w:kern w:val="0"/>
          <w:sz w:val="32"/>
          <w:szCs w:val="32"/>
        </w:rPr>
        <w:t>，呈增长态势，社会养老托育照护服务和医疗健康需求巨大。人民群众对托育服务的品质、效率、便利性、均等化的要求和预期不断提高，特别是伴随“三孩”政策的实施，全社会对托育照护服务的需求将越来越凸显。兜底性、普惠性、市场化相结合，满足多元化、多层次需求的养老托育服务体系</w:t>
      </w:r>
      <w:r>
        <w:rPr>
          <w:rFonts w:hint="eastAsia" w:ascii="方正仿宋_GB2312" w:hAnsi="方正仿宋_GB2312" w:eastAsia="方正仿宋_GB2312" w:cs="方正仿宋_GB2312"/>
          <w:kern w:val="0"/>
          <w:sz w:val="32"/>
          <w:szCs w:val="32"/>
          <w:lang w:val="en-US" w:eastAsia="zh-CN"/>
        </w:rPr>
        <w:t>将快速发展</w:t>
      </w:r>
      <w:r>
        <w:rPr>
          <w:rFonts w:hint="eastAsia" w:ascii="方正仿宋_GB2312" w:hAnsi="方正仿宋_GB2312" w:eastAsia="方正仿宋_GB2312" w:cs="方正仿宋_GB2312"/>
          <w:kern w:val="0"/>
          <w:sz w:val="32"/>
          <w:szCs w:val="32"/>
        </w:rPr>
        <w:t>。</w:t>
      </w:r>
    </w:p>
    <w:p>
      <w:pPr>
        <w:ind w:firstLine="643" w:firstLineChars="200"/>
        <w:rPr>
          <w:rFonts w:ascii="方正仿宋_GB2312" w:hAnsi="仿宋" w:eastAsia="方正仿宋_GB2312" w:cs="仿宋"/>
          <w:b/>
          <w:bCs/>
          <w:sz w:val="32"/>
          <w:szCs w:val="32"/>
        </w:rPr>
      </w:pPr>
      <w:r>
        <w:rPr>
          <w:rFonts w:hint="eastAsia" w:ascii="方正仿宋_GB2312" w:hAnsi="仿宋" w:eastAsia="方正仿宋_GB2312" w:cs="仿宋"/>
          <w:b/>
          <w:bCs/>
          <w:sz w:val="32"/>
          <w:szCs w:val="32"/>
        </w:rPr>
        <w:t>3.高质量经济发展将进一步带动产业发展</w:t>
      </w:r>
    </w:p>
    <w:p>
      <w:pPr>
        <w:ind w:firstLine="640" w:firstLineChars="200"/>
        <w:rPr>
          <w:rFonts w:hint="eastAsia" w:ascii="方正仿宋_GB2312" w:hAnsi="仿宋" w:eastAsia="方正仿宋_GB2312" w:cs="仿宋"/>
          <w:sz w:val="32"/>
          <w:szCs w:val="32"/>
          <w:lang w:val="en-US" w:eastAsia="zh-CN"/>
        </w:rPr>
      </w:pPr>
      <w:r>
        <w:rPr>
          <w:rFonts w:hint="eastAsia" w:ascii="方正仿宋_GB2312" w:hAnsi="仿宋" w:eastAsia="方正仿宋_GB2312" w:cs="仿宋"/>
          <w:sz w:val="32"/>
          <w:szCs w:val="32"/>
        </w:rPr>
        <w:t>老年人需求从生存型向发展型转变，从简单的生活照料向多层次、多样化、个性化转变。首都经济圈经济发展水平较高，北京市</w:t>
      </w:r>
      <w:r>
        <w:rPr>
          <w:rFonts w:ascii="方正仿宋_GB2312" w:hAnsi="仿宋" w:eastAsia="方正仿宋_GB2312" w:cs="仿宋"/>
          <w:sz w:val="32"/>
          <w:szCs w:val="32"/>
        </w:rPr>
        <w:t>人均GDP均超过2万美元，具有较高的消费水平，对</w:t>
      </w:r>
      <w:r>
        <w:rPr>
          <w:rFonts w:hint="eastAsia" w:ascii="方正仿宋_GB2312" w:hAnsi="仿宋" w:eastAsia="方正仿宋_GB2312" w:cs="仿宋"/>
          <w:sz w:val="32"/>
          <w:szCs w:val="32"/>
        </w:rPr>
        <w:t>门头沟区</w:t>
      </w:r>
      <w:r>
        <w:rPr>
          <w:rFonts w:ascii="方正仿宋_GB2312" w:hAnsi="仿宋" w:eastAsia="方正仿宋_GB2312" w:cs="仿宋"/>
          <w:sz w:val="32"/>
          <w:szCs w:val="32"/>
        </w:rPr>
        <w:t>养老产业发展具有溢出带动效应。</w:t>
      </w:r>
      <w:r>
        <w:rPr>
          <w:rFonts w:hint="eastAsia" w:ascii="方正仿宋_GB2312" w:hAnsi="仿宋" w:eastAsia="方正仿宋_GB2312" w:cs="仿宋"/>
          <w:sz w:val="32"/>
          <w:szCs w:val="32"/>
        </w:rPr>
        <w:t>门头沟区</w:t>
      </w:r>
      <w:r>
        <w:rPr>
          <w:rFonts w:ascii="方正仿宋_GB2312" w:hAnsi="仿宋" w:eastAsia="方正仿宋_GB2312" w:cs="仿宋"/>
          <w:sz w:val="32"/>
          <w:szCs w:val="32"/>
        </w:rPr>
        <w:t>构建具有吸引力</w:t>
      </w:r>
      <w:r>
        <w:rPr>
          <w:rFonts w:hint="eastAsia" w:ascii="方正仿宋_GB2312" w:hAnsi="仿宋" w:eastAsia="方正仿宋_GB2312" w:cs="仿宋"/>
          <w:sz w:val="32"/>
          <w:szCs w:val="32"/>
          <w:lang w:val="en-US" w:eastAsia="zh-CN"/>
        </w:rPr>
        <w:t>的</w:t>
      </w:r>
      <w:r>
        <w:rPr>
          <w:rFonts w:ascii="方正仿宋_GB2312" w:hAnsi="仿宋" w:eastAsia="方正仿宋_GB2312" w:cs="仿宋"/>
          <w:sz w:val="32"/>
          <w:szCs w:val="32"/>
        </w:rPr>
        <w:t>京西特色历史文化旅游休闲区</w:t>
      </w:r>
      <w:r>
        <w:rPr>
          <w:rFonts w:hint="eastAsia" w:ascii="方正仿宋_GB2312" w:hAnsi="仿宋" w:eastAsia="方正仿宋_GB2312" w:cs="仿宋"/>
          <w:sz w:val="32"/>
          <w:szCs w:val="32"/>
        </w:rPr>
        <w:t>，提出了生态立区</w:t>
      </w:r>
      <w:r>
        <w:rPr>
          <w:rFonts w:hint="eastAsia" w:ascii="方正仿宋_GB2312" w:hAnsi="仿宋" w:eastAsia="方正仿宋_GB2312" w:cs="仿宋"/>
          <w:sz w:val="32"/>
          <w:szCs w:val="32"/>
          <w:lang w:eastAsia="zh-CN"/>
        </w:rPr>
        <w:t>、</w:t>
      </w:r>
      <w:r>
        <w:rPr>
          <w:rFonts w:hint="eastAsia" w:ascii="方正仿宋_GB2312" w:hAnsi="仿宋" w:eastAsia="方正仿宋_GB2312" w:cs="仿宋"/>
          <w:sz w:val="32"/>
          <w:szCs w:val="32"/>
        </w:rPr>
        <w:t>文化兴区</w:t>
      </w:r>
      <w:r>
        <w:rPr>
          <w:rFonts w:hint="eastAsia" w:ascii="方正仿宋_GB2312" w:hAnsi="仿宋" w:eastAsia="方正仿宋_GB2312" w:cs="仿宋"/>
          <w:sz w:val="32"/>
          <w:szCs w:val="32"/>
          <w:lang w:eastAsia="zh-CN"/>
        </w:rPr>
        <w:t>、</w:t>
      </w:r>
      <w:r>
        <w:rPr>
          <w:rFonts w:hint="eastAsia" w:ascii="方正仿宋_GB2312" w:hAnsi="仿宋" w:eastAsia="方正仿宋_GB2312" w:cs="仿宋"/>
          <w:sz w:val="32"/>
          <w:szCs w:val="32"/>
        </w:rPr>
        <w:t>科技强区发展战略，培育绿色发展新动能，推动门头沟新城与山区协调发展，形成</w:t>
      </w:r>
      <w:r>
        <w:rPr>
          <w:rFonts w:ascii="方正仿宋_GB2312" w:hAnsi="仿宋" w:eastAsia="方正仿宋_GB2312" w:cs="仿宋"/>
          <w:sz w:val="32"/>
          <w:szCs w:val="32"/>
        </w:rPr>
        <w:t>“</w:t>
      </w:r>
      <w:r>
        <w:rPr>
          <w:rFonts w:hint="eastAsia" w:ascii="方正仿宋_GB2312" w:hAnsi="仿宋" w:eastAsia="方正仿宋_GB2312" w:cs="仿宋"/>
          <w:sz w:val="32"/>
          <w:szCs w:val="32"/>
        </w:rPr>
        <w:t>绿水青山门头沟”高质量发展新格局，极大</w:t>
      </w:r>
      <w:r>
        <w:rPr>
          <w:rFonts w:hint="eastAsia" w:ascii="方正仿宋_GB2312" w:hAnsi="仿宋" w:eastAsia="方正仿宋_GB2312" w:cs="仿宋"/>
          <w:sz w:val="32"/>
          <w:szCs w:val="32"/>
          <w:lang w:val="en-US" w:eastAsia="zh-CN"/>
        </w:rPr>
        <w:t>地</w:t>
      </w:r>
      <w:r>
        <w:rPr>
          <w:rFonts w:hint="eastAsia" w:ascii="方正仿宋_GB2312" w:hAnsi="仿宋" w:eastAsia="方正仿宋_GB2312" w:cs="仿宋"/>
          <w:sz w:val="32"/>
          <w:szCs w:val="32"/>
        </w:rPr>
        <w:t>带动本地老年文旅、健康医疗、老年用品产业发展。同时，全区路网格局加快完善，109新线高速贯通将带动清水、斋堂、雁翅、军庄、王平、妙峰山、龙泉等沿线镇域发展，具有京西特色的绿色老年产业将实现飞跃发展。</w:t>
      </w:r>
      <w:r>
        <w:rPr>
          <w:rFonts w:hint="eastAsia" w:ascii="方正仿宋_GB2312" w:hAnsi="仿宋" w:eastAsia="方正仿宋_GB2312" w:cs="仿宋"/>
          <w:sz w:val="32"/>
          <w:szCs w:val="32"/>
          <w:lang w:val="en-US" w:eastAsia="zh-CN"/>
        </w:rPr>
        <w:t>此外，</w:t>
      </w:r>
      <w:r>
        <w:rPr>
          <w:rFonts w:hint="eastAsia" w:ascii="方正仿宋_GB2312" w:hAnsi="仿宋" w:eastAsia="方正仿宋_GB2312" w:cs="仿宋"/>
          <w:sz w:val="32"/>
          <w:szCs w:val="32"/>
        </w:rPr>
        <w:t>随着大数据、人工智能等信息技术和智能硬件在养老托育领域的</w:t>
      </w:r>
      <w:r>
        <w:rPr>
          <w:rFonts w:hint="eastAsia" w:ascii="方正仿宋_GB2312" w:hAnsi="仿宋" w:eastAsia="方正仿宋_GB2312" w:cs="仿宋"/>
          <w:sz w:val="32"/>
          <w:szCs w:val="32"/>
          <w:lang w:val="en-US" w:eastAsia="zh-CN"/>
        </w:rPr>
        <w:t>日益广泛</w:t>
      </w:r>
      <w:r>
        <w:rPr>
          <w:rFonts w:hint="eastAsia" w:ascii="方正仿宋_GB2312" w:hAnsi="仿宋" w:eastAsia="方正仿宋_GB2312" w:cs="仿宋"/>
          <w:sz w:val="32"/>
          <w:szCs w:val="32"/>
        </w:rPr>
        <w:t>应用,推动养老托育服务消费升级和模式创新</w:t>
      </w:r>
      <w:r>
        <w:rPr>
          <w:rFonts w:hint="eastAsia" w:ascii="方正仿宋_GB2312" w:hAnsi="仿宋" w:eastAsia="方正仿宋_GB2312" w:cs="仿宋"/>
          <w:sz w:val="32"/>
          <w:szCs w:val="32"/>
          <w:lang w:val="en-US" w:eastAsia="zh-CN"/>
        </w:rPr>
        <w:t>,将</w:t>
      </w:r>
      <w:r>
        <w:rPr>
          <w:rFonts w:hint="eastAsia" w:ascii="方正仿宋_GB2312" w:hAnsi="仿宋" w:eastAsia="方正仿宋_GB2312" w:cs="仿宋"/>
          <w:sz w:val="32"/>
          <w:szCs w:val="32"/>
        </w:rPr>
        <w:t>为养老托育服务发展注入新活力。</w:t>
      </w:r>
    </w:p>
    <w:p>
      <w:pPr>
        <w:widowControl/>
        <w:ind w:firstLine="640" w:firstLineChars="200"/>
        <w:rPr>
          <w:rFonts w:ascii="方正仿宋_GB2312" w:hAnsi="仿宋" w:eastAsia="方正仿宋_GB2312" w:cs="仿宋"/>
          <w:sz w:val="32"/>
          <w:szCs w:val="32"/>
        </w:rPr>
      </w:pPr>
      <w:r>
        <w:rPr>
          <w:rFonts w:hint="eastAsia" w:ascii="方正仿宋_GB2312" w:hAnsi="仿宋" w:eastAsia="方正仿宋_GB2312" w:cs="仿宋"/>
          <w:sz w:val="32"/>
          <w:szCs w:val="32"/>
        </w:rPr>
        <w:t>进入快速发展阶段的门头沟区“一老一小”体系建设，具备坚实的社会基础，正处在重大发展</w:t>
      </w:r>
      <w:r>
        <w:rPr>
          <w:rFonts w:hint="eastAsia" w:ascii="方正仿宋_GB2312" w:hAnsi="仿宋" w:eastAsia="方正仿宋_GB2312" w:cs="仿宋"/>
          <w:sz w:val="32"/>
          <w:szCs w:val="32"/>
          <w:lang w:eastAsia="zh-Hans"/>
        </w:rPr>
        <w:t>战略</w:t>
      </w:r>
      <w:r>
        <w:rPr>
          <w:rFonts w:hint="eastAsia" w:ascii="方正仿宋_GB2312" w:hAnsi="仿宋" w:eastAsia="方正仿宋_GB2312" w:cs="仿宋"/>
          <w:sz w:val="32"/>
          <w:szCs w:val="32"/>
        </w:rPr>
        <w:t>机遇期。同时，受经济条件和人口规模等因素的影响，也面临一系列结构性困难与提升性挑战。</w:t>
      </w:r>
    </w:p>
    <w:p>
      <w:pPr>
        <w:widowControl/>
        <w:ind w:firstLine="643" w:firstLineChars="200"/>
        <w:rPr>
          <w:rFonts w:ascii="方正仿宋_GB2312" w:hAnsi="仿宋" w:eastAsia="方正仿宋_GB2312" w:cs="仿宋"/>
          <w:sz w:val="32"/>
          <w:szCs w:val="32"/>
        </w:rPr>
      </w:pPr>
      <w:r>
        <w:rPr>
          <w:rFonts w:hint="eastAsia" w:ascii="方正仿宋_GB2312" w:hAnsi="仿宋" w:eastAsia="方正仿宋_GB2312" w:cs="仿宋"/>
          <w:b/>
          <w:bCs/>
          <w:sz w:val="32"/>
          <w:szCs w:val="32"/>
        </w:rPr>
        <w:t>在养老服务方面：</w:t>
      </w:r>
    </w:p>
    <w:p>
      <w:pPr>
        <w:widowControl/>
        <w:ind w:firstLine="640" w:firstLineChars="200"/>
        <w:rPr>
          <w:rFonts w:hint="eastAsia" w:ascii="方正仿宋_GB2312" w:hAnsi="仿宋" w:eastAsia="方正仿宋_GB2312" w:cs="仿宋"/>
          <w:sz w:val="32"/>
          <w:szCs w:val="32"/>
        </w:rPr>
      </w:pPr>
      <w:r>
        <w:rPr>
          <w:rFonts w:hint="eastAsia" w:ascii="方正仿宋_GB2312" w:hAnsi="仿宋" w:eastAsia="方正仿宋_GB2312" w:cs="仿宋"/>
          <w:sz w:val="32"/>
          <w:szCs w:val="32"/>
        </w:rPr>
        <w:t>一是老年人消费能力不足，全区仅有1家民办养老机构，社会参与度低。门头沟区老龄人口的抽样调查显示，</w:t>
      </w:r>
      <w:r>
        <w:rPr>
          <w:rStyle w:val="27"/>
          <w:rFonts w:hint="eastAsia" w:ascii="方正仿宋_GB2312" w:hAnsi="仿宋" w:eastAsia="方正仿宋_GB2312" w:cs="仿宋"/>
          <w:sz w:val="32"/>
          <w:szCs w:val="32"/>
        </w:rPr>
        <w:footnoteReference w:id="6"/>
      </w:r>
      <w:r>
        <w:rPr>
          <w:rFonts w:hint="eastAsia" w:ascii="方正仿宋_GB2312" w:hAnsi="仿宋" w:eastAsia="方正仿宋_GB2312" w:cs="仿宋"/>
          <w:sz w:val="32"/>
          <w:szCs w:val="32"/>
        </w:rPr>
        <w:t>54%老人的月经济收入在2000-5000元，32%老人在2000元以下，88%的老人能承受3000元以下的养老费用，能承受3000元以上的养老费用仅占12%，老年人养老付费意愿不强。</w:t>
      </w:r>
    </w:p>
    <w:p>
      <w:pPr>
        <w:widowControl/>
        <w:ind w:firstLine="640" w:firstLineChars="200"/>
        <w:rPr>
          <w:rFonts w:ascii="方正仿宋_GB2312" w:hAnsi="仿宋" w:eastAsia="方正仿宋_GB2312" w:cs="仿宋"/>
          <w:sz w:val="32"/>
          <w:szCs w:val="32"/>
        </w:rPr>
      </w:pPr>
      <w:r>
        <w:rPr>
          <w:rFonts w:hint="eastAsia" w:ascii="方正仿宋_GB2312" w:hAnsi="仿宋" w:eastAsia="方正仿宋_GB2312" w:cs="仿宋"/>
          <w:sz w:val="32"/>
          <w:szCs w:val="32"/>
        </w:rPr>
        <w:t>二是养老基础设施建设及布局亟待优化，社区养老服务设施不足与养老机构床位闲置并存。全区仍有</w:t>
      </w:r>
      <w:r>
        <w:rPr>
          <w:rFonts w:hint="eastAsia" w:ascii="方正仿宋_GB2312" w:hAnsi="仿宋" w:eastAsia="方正仿宋_GB2312" w:cs="仿宋"/>
          <w:sz w:val="32"/>
          <w:szCs w:val="32"/>
          <w:lang w:val="en-US" w:eastAsia="zh-CN"/>
        </w:rPr>
        <w:t>4</w:t>
      </w:r>
      <w:r>
        <w:rPr>
          <w:rFonts w:hint="eastAsia" w:ascii="方正仿宋_GB2312" w:hAnsi="仿宋" w:eastAsia="方正仿宋_GB2312" w:cs="仿宋"/>
          <w:sz w:val="32"/>
          <w:szCs w:val="32"/>
        </w:rPr>
        <w:t>个镇街</w:t>
      </w:r>
      <w:r>
        <w:rPr>
          <w:rFonts w:hint="eastAsia" w:ascii="方正仿宋_GB2312" w:hAnsi="仿宋" w:eastAsia="方正仿宋_GB2312" w:cs="仿宋"/>
          <w:sz w:val="32"/>
          <w:szCs w:val="32"/>
          <w:lang w:eastAsia="zh-CN"/>
        </w:rPr>
        <w:t>为</w:t>
      </w:r>
      <w:r>
        <w:rPr>
          <w:rFonts w:hint="eastAsia" w:ascii="方正仿宋_GB2312" w:hAnsi="仿宋" w:eastAsia="方正仿宋_GB2312" w:cs="仿宋"/>
          <w:sz w:val="32"/>
          <w:szCs w:val="32"/>
        </w:rPr>
        <w:t>养老照料中心</w:t>
      </w:r>
      <w:r>
        <w:rPr>
          <w:rFonts w:hint="eastAsia" w:ascii="方正仿宋_GB2312" w:hAnsi="仿宋" w:eastAsia="方正仿宋_GB2312" w:cs="仿宋"/>
          <w:sz w:val="32"/>
          <w:szCs w:val="32"/>
          <w:lang w:eastAsia="zh-CN"/>
        </w:rPr>
        <w:t>空白点</w:t>
      </w:r>
      <w:r>
        <w:rPr>
          <w:rFonts w:hint="eastAsia" w:ascii="方正仿宋_GB2312" w:hAnsi="仿宋" w:eastAsia="方正仿宋_GB2312" w:cs="仿宋"/>
          <w:sz w:val="32"/>
          <w:szCs w:val="32"/>
        </w:rPr>
        <w:t>，有2个镇街为驿站和餐桌的空白区域，门城地区的镇街驿站建设数量不足，覆盖能力有限；深山区老年人口数量少，千人床位数均能达标，但床位使用率不高，</w:t>
      </w:r>
      <w:r>
        <w:rPr>
          <w:rFonts w:hint="eastAsia" w:ascii="方正仿宋_GB2312" w:hAnsi="方正仿宋_GB2312" w:eastAsia="方正仿宋_GB2312" w:cs="方正仿宋_GB2312"/>
          <w:kern w:val="0"/>
          <w:sz w:val="32"/>
          <w:szCs w:val="32"/>
        </w:rPr>
        <w:t>门城地区各镇街的老年人口基数大、养老机构数量和床位规模小，床位供给不足，城乡供需存在矛盾。</w:t>
      </w:r>
    </w:p>
    <w:p>
      <w:pPr>
        <w:pStyle w:val="17"/>
        <w:ind w:firstLine="640" w:firstLineChars="200"/>
        <w:rPr>
          <w:rFonts w:ascii="方正仿宋_GB2312" w:hAnsi="仿宋" w:eastAsia="方正仿宋_GB2312" w:cs="仿宋"/>
          <w:sz w:val="32"/>
          <w:szCs w:val="32"/>
        </w:rPr>
      </w:pPr>
      <w:r>
        <w:rPr>
          <w:rFonts w:hint="eastAsia" w:ascii="方正仿宋_GB2312" w:hAnsi="仿宋" w:eastAsia="方正仿宋_GB2312" w:cs="仿宋"/>
          <w:sz w:val="32"/>
          <w:szCs w:val="32"/>
        </w:rPr>
        <w:t>三是养老服务供给城乡之间、区域之间、机构之间的差距较大。</w:t>
      </w:r>
      <w:r>
        <w:rPr>
          <w:rFonts w:hint="eastAsia" w:ascii="方正仿宋_GB2312" w:hAnsi="方正仿宋_GB2312" w:eastAsia="方正仿宋_GB2312" w:cs="方正仿宋_GB2312"/>
          <w:kern w:val="0"/>
          <w:sz w:val="32"/>
          <w:szCs w:val="32"/>
        </w:rPr>
        <w:t>山区养老机构床位使用率明显低于门城地区养老机构，镇级公办养老机构床位使用率低于民营（公办民营）养老机构，特别是</w:t>
      </w:r>
      <w:r>
        <w:rPr>
          <w:rFonts w:hint="eastAsia" w:ascii="方正仿宋_GB2312" w:hAnsi="仿宋" w:eastAsia="方正仿宋_GB2312" w:cs="仿宋"/>
          <w:sz w:val="32"/>
          <w:szCs w:val="32"/>
        </w:rPr>
        <w:t>山区基础条件差，对</w:t>
      </w:r>
      <w:r>
        <w:rPr>
          <w:rFonts w:hint="eastAsia" w:ascii="方正仿宋_GB2312" w:hAnsi="方正仿宋_GB2312" w:eastAsia="方正仿宋_GB2312" w:cs="方正仿宋_GB2312"/>
          <w:kern w:val="0"/>
          <w:sz w:val="32"/>
          <w:szCs w:val="32"/>
        </w:rPr>
        <w:t>中型企业和国有企业等社会力量吸引不大，</w:t>
      </w:r>
      <w:r>
        <w:rPr>
          <w:rFonts w:hint="eastAsia" w:ascii="方正仿宋_GB2312" w:hAnsi="仿宋" w:eastAsia="方正仿宋_GB2312" w:cs="仿宋"/>
          <w:sz w:val="32"/>
          <w:szCs w:val="32"/>
        </w:rPr>
        <w:t>养老发展存在困难，总体服务质量不高、服务内容单一</w:t>
      </w:r>
      <w:r>
        <w:rPr>
          <w:rFonts w:hint="eastAsia" w:ascii="方正仿宋_GB2312" w:hAnsi="方正仿宋_GB2312" w:eastAsia="方正仿宋_GB2312" w:cs="方正仿宋_GB2312"/>
          <w:kern w:val="0"/>
          <w:sz w:val="32"/>
          <w:szCs w:val="32"/>
        </w:rPr>
        <w:t>。</w:t>
      </w:r>
    </w:p>
    <w:p>
      <w:pPr>
        <w:widowControl/>
        <w:ind w:firstLine="640" w:firstLineChars="200"/>
        <w:rPr>
          <w:rFonts w:ascii="方正仿宋_GB2312" w:hAnsi="仿宋" w:eastAsia="方正仿宋_GB2312" w:cs="仿宋"/>
          <w:sz w:val="32"/>
          <w:szCs w:val="32"/>
        </w:rPr>
      </w:pPr>
      <w:r>
        <w:rPr>
          <w:rFonts w:hint="eastAsia" w:ascii="方正仿宋_GB2312" w:hAnsi="仿宋" w:eastAsia="方正仿宋_GB2312" w:cs="仿宋"/>
          <w:sz w:val="32"/>
          <w:szCs w:val="32"/>
        </w:rPr>
        <w:t>四是跨区域、跨部门之间还没有形成共建共治共享的长效机制，</w:t>
      </w:r>
      <w:r>
        <w:rPr>
          <w:rFonts w:hint="eastAsia" w:ascii="方正仿宋_GB2312" w:hAnsi="方正仿宋_GB2312" w:eastAsia="方正仿宋_GB2312" w:cs="方正仿宋_GB2312"/>
          <w:kern w:val="0"/>
          <w:sz w:val="32"/>
          <w:szCs w:val="32"/>
        </w:rPr>
        <w:t>相关涉老服务资源的整合缺乏相应的载体和平台，老年人生活需求和服务供给对接还不够精准和及时。</w:t>
      </w:r>
      <w:r>
        <w:rPr>
          <w:rFonts w:hint="eastAsia" w:ascii="方正仿宋_GB2312" w:hAnsi="仿宋" w:eastAsia="方正仿宋_GB2312" w:cs="仿宋"/>
          <w:sz w:val="32"/>
          <w:szCs w:val="32"/>
        </w:rPr>
        <w:t>养老服务人才短缺，流动性大，基层服务力量不足。</w:t>
      </w:r>
    </w:p>
    <w:p>
      <w:pPr>
        <w:widowControl/>
        <w:ind w:firstLine="640" w:firstLineChars="200"/>
        <w:rPr>
          <w:rFonts w:ascii="方正仿宋_GB2312" w:hAnsi="仿宋" w:eastAsia="方正仿宋_GB2312" w:cs="仿宋"/>
          <w:sz w:val="32"/>
          <w:szCs w:val="32"/>
        </w:rPr>
      </w:pPr>
      <w:r>
        <w:rPr>
          <w:rFonts w:hint="eastAsia" w:ascii="方正仿宋_GB2312" w:hAnsi="仿宋" w:eastAsia="方正仿宋_GB2312" w:cs="仿宋"/>
          <w:sz w:val="32"/>
          <w:szCs w:val="32"/>
        </w:rPr>
        <w:t>五是产业和市场培育不充分，养老服务产业化程度不高，养老服务市场活力尚未充分激发。</w:t>
      </w:r>
    </w:p>
    <w:p>
      <w:pPr>
        <w:widowControl/>
        <w:ind w:firstLine="643" w:firstLineChars="200"/>
        <w:rPr>
          <w:rFonts w:ascii="方正仿宋_GB2312" w:hAnsi="仿宋" w:eastAsia="方正仿宋_GB2312" w:cs="仿宋"/>
          <w:sz w:val="32"/>
          <w:szCs w:val="32"/>
        </w:rPr>
      </w:pPr>
      <w:r>
        <w:rPr>
          <w:rFonts w:hint="eastAsia" w:ascii="方正仿宋_GB2312" w:hAnsi="仿宋" w:eastAsia="方正仿宋_GB2312" w:cs="仿宋"/>
          <w:b/>
          <w:bCs/>
          <w:sz w:val="32"/>
          <w:szCs w:val="32"/>
        </w:rPr>
        <w:t>在托育服务方面：</w:t>
      </w:r>
    </w:p>
    <w:p>
      <w:pPr>
        <w:widowControl/>
        <w:ind w:firstLine="640" w:firstLineChars="200"/>
        <w:rPr>
          <w:rFonts w:hint="eastAsia" w:ascii="方正仿宋_GB2312" w:hAnsi="仿宋" w:eastAsia="方正仿宋_GB2312" w:cs="仿宋"/>
          <w:sz w:val="32"/>
          <w:szCs w:val="32"/>
        </w:rPr>
      </w:pPr>
      <w:r>
        <w:rPr>
          <w:rFonts w:hint="eastAsia" w:ascii="方正仿宋_GB2312" w:hAnsi="仿宋" w:eastAsia="方正仿宋_GB2312" w:cs="仿宋"/>
          <w:sz w:val="32"/>
          <w:szCs w:val="32"/>
        </w:rPr>
        <w:t>一是托育服务供给总量不足</w:t>
      </w:r>
      <w:r>
        <w:rPr>
          <w:rFonts w:hint="eastAsia" w:ascii="方正仿宋_GB2312" w:hAnsi="仿宋" w:eastAsia="方正仿宋_GB2312" w:cs="仿宋"/>
          <w:sz w:val="32"/>
          <w:szCs w:val="32"/>
          <w:lang w:eastAsia="zh-Hans"/>
        </w:rPr>
        <w:t>。</w:t>
      </w:r>
      <w:r>
        <w:rPr>
          <w:rFonts w:hint="eastAsia" w:ascii="方正仿宋_GB2312" w:hAnsi="仿宋" w:eastAsia="方正仿宋_GB2312" w:cs="仿宋"/>
          <w:sz w:val="32"/>
          <w:szCs w:val="32"/>
        </w:rPr>
        <w:t>目前</w:t>
      </w:r>
      <w:r>
        <w:rPr>
          <w:rFonts w:hint="eastAsia" w:ascii="方正仿宋_GB2312" w:hAnsi="仿宋" w:eastAsia="方正仿宋_GB2312" w:cs="仿宋"/>
          <w:sz w:val="32"/>
          <w:szCs w:val="32"/>
          <w:lang w:eastAsia="zh-Hans"/>
        </w:rPr>
        <w:t>全区</w:t>
      </w:r>
      <w:r>
        <w:rPr>
          <w:rFonts w:hint="eastAsia" w:ascii="方正仿宋_GB2312" w:hAnsi="仿宋" w:eastAsia="方正仿宋_GB2312" w:cs="仿宋"/>
          <w:sz w:val="32"/>
          <w:szCs w:val="32"/>
        </w:rPr>
        <w:t>0-3岁婴幼儿约为3636人，</w:t>
      </w:r>
      <w:r>
        <w:rPr>
          <w:rFonts w:hint="eastAsia" w:ascii="方正仿宋_GB2312" w:hAnsi="仿宋" w:eastAsia="方正仿宋_GB2312" w:cs="仿宋"/>
          <w:sz w:val="32"/>
          <w:szCs w:val="32"/>
          <w:lang w:eastAsia="zh-Hans"/>
        </w:rPr>
        <w:t>主要集中在门城地区</w:t>
      </w:r>
      <w:r>
        <w:rPr>
          <w:rFonts w:hint="eastAsia" w:ascii="方正仿宋_GB2312" w:hAnsi="仿宋" w:eastAsia="方正仿宋_GB2312" w:cs="仿宋"/>
          <w:sz w:val="32"/>
          <w:szCs w:val="32"/>
          <w:lang w:eastAsia="zh-CN"/>
        </w:rPr>
        <w:t>。</w:t>
      </w:r>
      <w:r>
        <w:rPr>
          <w:rFonts w:hint="eastAsia" w:ascii="方正仿宋_GB2312" w:hAnsi="仿宋" w:eastAsia="方正仿宋_GB2312" w:cs="仿宋"/>
          <w:sz w:val="32"/>
          <w:szCs w:val="32"/>
        </w:rPr>
        <w:t>随着三孩生育政策的落地，预计到2025年，全区0-3岁婴幼儿数量为2.02万人，社会对托育服务的需求势必日益强烈。</w:t>
      </w:r>
      <w:r>
        <w:rPr>
          <w:rFonts w:hint="eastAsia" w:ascii="方正仿宋_GB2312" w:hAnsi="仿宋" w:eastAsia="方正仿宋_GB2312" w:cs="仿宋"/>
          <w:sz w:val="32"/>
          <w:szCs w:val="32"/>
          <w:lang w:eastAsia="zh-Hans"/>
        </w:rPr>
        <w:t>但目前全区</w:t>
      </w:r>
      <w:r>
        <w:rPr>
          <w:rFonts w:hint="eastAsia" w:ascii="方正仿宋_GB2312" w:hAnsi="仿宋" w:eastAsia="方正仿宋_GB2312" w:cs="仿宋"/>
          <w:sz w:val="32"/>
          <w:szCs w:val="32"/>
        </w:rPr>
        <w:t>现有托位</w:t>
      </w:r>
      <w:r>
        <w:rPr>
          <w:rFonts w:hint="eastAsia" w:ascii="方正仿宋_GB2312" w:hAnsi="仿宋" w:eastAsia="方正仿宋_GB2312" w:cs="仿宋"/>
          <w:sz w:val="32"/>
          <w:szCs w:val="32"/>
          <w:lang w:val="en-US" w:eastAsia="zh-CN"/>
        </w:rPr>
        <w:t>405</w:t>
      </w:r>
      <w:r>
        <w:rPr>
          <w:rFonts w:hint="eastAsia" w:ascii="方正仿宋_GB2312" w:hAnsi="仿宋" w:eastAsia="方正仿宋_GB2312" w:cs="仿宋"/>
          <w:sz w:val="32"/>
          <w:szCs w:val="32"/>
        </w:rPr>
        <w:t>个</w:t>
      </w:r>
      <w:r>
        <w:rPr>
          <w:rFonts w:hint="eastAsia" w:ascii="方正仿宋_GB2312" w:hAnsi="仿宋" w:eastAsia="方正仿宋_GB2312" w:cs="仿宋"/>
          <w:sz w:val="32"/>
          <w:szCs w:val="32"/>
          <w:vertAlign w:val="superscript"/>
        </w:rPr>
        <w:footnoteReference w:id="7"/>
      </w:r>
      <w:r>
        <w:rPr>
          <w:rFonts w:hint="eastAsia" w:ascii="方正仿宋_GB2312" w:hAnsi="仿宋" w:eastAsia="方正仿宋_GB2312" w:cs="仿宋"/>
          <w:sz w:val="32"/>
          <w:szCs w:val="32"/>
        </w:rPr>
        <w:t>，</w:t>
      </w:r>
      <w:r>
        <w:rPr>
          <w:rFonts w:hint="eastAsia" w:ascii="方正仿宋_GB2312" w:hAnsi="仿宋" w:eastAsia="方正仿宋_GB2312" w:cs="仿宋"/>
          <w:sz w:val="32"/>
          <w:szCs w:val="32"/>
          <w:lang w:eastAsia="zh-Hans"/>
        </w:rPr>
        <w:t>每千人口托位数仅为</w:t>
      </w:r>
      <w:r>
        <w:rPr>
          <w:rFonts w:hint="eastAsia" w:ascii="方正仿宋_GB2312" w:hAnsi="仿宋" w:eastAsia="方正仿宋_GB2312" w:cs="仿宋"/>
          <w:sz w:val="32"/>
          <w:szCs w:val="32"/>
          <w:lang w:val="en-US" w:eastAsia="zh-CN"/>
        </w:rPr>
        <w:t>1.03</w:t>
      </w:r>
      <w:r>
        <w:rPr>
          <w:rFonts w:hint="eastAsia" w:ascii="方正仿宋_GB2312" w:hAnsi="仿宋" w:eastAsia="方正仿宋_GB2312" w:cs="仿宋"/>
          <w:sz w:val="32"/>
          <w:szCs w:val="32"/>
          <w:lang w:eastAsia="zh-Hans"/>
        </w:rPr>
        <w:t>，</w:t>
      </w:r>
      <w:r>
        <w:rPr>
          <w:rFonts w:hint="eastAsia" w:ascii="方正仿宋_GB2312" w:hAnsi="仿宋" w:eastAsia="方正仿宋_GB2312" w:cs="仿宋"/>
          <w:sz w:val="32"/>
          <w:szCs w:val="32"/>
        </w:rPr>
        <w:t>暂无普惠性托位，托位数量不足和结构性矛盾并存，</w:t>
      </w:r>
      <w:r>
        <w:rPr>
          <w:rFonts w:hint="eastAsia" w:ascii="方正仿宋_GB2312" w:hAnsi="仿宋" w:eastAsia="方正仿宋_GB2312" w:cs="仿宋"/>
          <w:sz w:val="32"/>
          <w:szCs w:val="32"/>
          <w:lang w:eastAsia="zh-CN"/>
        </w:rPr>
        <w:t>与</w:t>
      </w:r>
      <w:r>
        <w:rPr>
          <w:rFonts w:hint="eastAsia" w:ascii="方正仿宋_GB2312" w:hAnsi="仿宋" w:eastAsia="方正仿宋_GB2312" w:cs="仿宋"/>
          <w:sz w:val="32"/>
          <w:szCs w:val="32"/>
          <w:lang w:eastAsia="zh-Hans"/>
        </w:rPr>
        <w:t>既</w:t>
      </w:r>
      <w:r>
        <w:rPr>
          <w:rFonts w:hint="eastAsia" w:ascii="方正仿宋_GB2312" w:hAnsi="仿宋" w:eastAsia="方正仿宋_GB2312" w:cs="仿宋"/>
          <w:sz w:val="32"/>
          <w:szCs w:val="32"/>
          <w:lang w:eastAsia="zh-CN"/>
        </w:rPr>
        <w:t>定目标差距</w:t>
      </w:r>
      <w:r>
        <w:rPr>
          <w:rFonts w:hint="eastAsia" w:ascii="方正仿宋_GB2312" w:hAnsi="仿宋" w:eastAsia="方正仿宋_GB2312" w:cs="仿宋"/>
          <w:sz w:val="32"/>
          <w:szCs w:val="32"/>
        </w:rPr>
        <w:t>依然较大。</w:t>
      </w:r>
    </w:p>
    <w:p>
      <w:pPr>
        <w:widowControl/>
        <w:ind w:firstLine="640" w:firstLineChars="200"/>
        <w:rPr>
          <w:rFonts w:hint="eastAsia" w:ascii="方正仿宋_GB2312" w:hAnsi="仿宋" w:eastAsia="方正仿宋_GB2312" w:cs="仿宋"/>
          <w:sz w:val="32"/>
          <w:szCs w:val="32"/>
        </w:rPr>
      </w:pPr>
      <w:r>
        <w:rPr>
          <w:rFonts w:hint="eastAsia" w:ascii="方正仿宋_GB2312" w:hAnsi="仿宋" w:eastAsia="方正仿宋_GB2312" w:cs="仿宋"/>
          <w:sz w:val="32"/>
          <w:szCs w:val="32"/>
        </w:rPr>
        <w:t>二是托育服务形式单一，普惠性缺乏。</w:t>
      </w:r>
      <w:r>
        <w:rPr>
          <w:rFonts w:hint="eastAsia" w:ascii="方正仿宋_GB2312" w:hAnsi="仿宋" w:eastAsia="方正仿宋_GB2312" w:cs="仿宋"/>
          <w:sz w:val="32"/>
          <w:szCs w:val="32"/>
          <w:lang w:eastAsia="zh-Hans"/>
        </w:rPr>
        <w:t>全区尚未建成</w:t>
      </w:r>
      <w:r>
        <w:rPr>
          <w:rFonts w:hint="eastAsia" w:ascii="方正仿宋_GB2312" w:hAnsi="仿宋" w:eastAsia="方正仿宋_GB2312" w:cs="仿宋"/>
          <w:sz w:val="32"/>
          <w:szCs w:val="32"/>
        </w:rPr>
        <w:t>公办托育服务</w:t>
      </w:r>
      <w:r>
        <w:rPr>
          <w:rFonts w:hint="eastAsia" w:ascii="方正仿宋_GB2312" w:hAnsi="仿宋" w:eastAsia="方正仿宋_GB2312" w:cs="仿宋"/>
          <w:sz w:val="32"/>
          <w:szCs w:val="32"/>
          <w:lang w:eastAsia="zh-Hans"/>
        </w:rPr>
        <w:t>机构，</w:t>
      </w:r>
      <w:r>
        <w:rPr>
          <w:rFonts w:hint="eastAsia" w:ascii="方正仿宋_GB2312" w:hAnsi="仿宋" w:eastAsia="方正仿宋_GB2312" w:cs="仿宋"/>
          <w:sz w:val="32"/>
          <w:szCs w:val="32"/>
        </w:rPr>
        <w:t>民营托育服务机构</w:t>
      </w:r>
      <w:r>
        <w:rPr>
          <w:rFonts w:hint="eastAsia" w:ascii="方正仿宋_GB2312" w:hAnsi="仿宋" w:eastAsia="方正仿宋_GB2312" w:cs="仿宋"/>
          <w:sz w:val="32"/>
          <w:szCs w:val="32"/>
          <w:lang w:val="en-US" w:eastAsia="zh-CN"/>
        </w:rPr>
        <w:t>5</w:t>
      </w:r>
      <w:r>
        <w:rPr>
          <w:rFonts w:hint="eastAsia" w:ascii="方正仿宋_GB2312" w:hAnsi="仿宋" w:eastAsia="方正仿宋_GB2312" w:cs="仿宋"/>
          <w:sz w:val="32"/>
          <w:szCs w:val="32"/>
        </w:rPr>
        <w:t>家；托育服务质量参差不齐，市场化机构收费过高，部分提供全日制托育服务机构收费</w:t>
      </w:r>
      <w:r>
        <w:rPr>
          <w:rFonts w:hint="eastAsia" w:ascii="方正仿宋_GB2312" w:hAnsi="仿宋" w:eastAsia="方正仿宋_GB2312" w:cs="仿宋"/>
          <w:sz w:val="32"/>
          <w:szCs w:val="32"/>
          <w:lang w:eastAsia="zh-Hans"/>
        </w:rPr>
        <w:t>在3000-4000元/月，</w:t>
      </w:r>
      <w:r>
        <w:rPr>
          <w:rFonts w:hint="eastAsia" w:ascii="方正仿宋_GB2312" w:hAnsi="仿宋" w:eastAsia="方正仿宋_GB2312" w:cs="仿宋"/>
          <w:sz w:val="32"/>
          <w:szCs w:val="32"/>
        </w:rPr>
        <w:t>即每年36000-48000元，约</w:t>
      </w:r>
      <w:r>
        <w:rPr>
          <w:rFonts w:hint="eastAsia" w:ascii="方正仿宋_GB2312" w:hAnsi="仿宋" w:eastAsia="方正仿宋_GB2312" w:cs="仿宋"/>
          <w:sz w:val="32"/>
          <w:szCs w:val="32"/>
          <w:lang w:eastAsia="zh-Hans"/>
        </w:rPr>
        <w:t>占</w:t>
      </w:r>
      <w:r>
        <w:rPr>
          <w:rFonts w:hint="eastAsia" w:ascii="方正仿宋_GB2312" w:hAnsi="仿宋" w:eastAsia="方正仿宋_GB2312" w:cs="仿宋"/>
          <w:sz w:val="32"/>
          <w:szCs w:val="32"/>
        </w:rPr>
        <w:t>全区人均年</w:t>
      </w:r>
      <w:r>
        <w:rPr>
          <w:rFonts w:hint="eastAsia" w:ascii="方正仿宋_GB2312" w:hAnsi="仿宋" w:eastAsia="方正仿宋_GB2312" w:cs="仿宋"/>
          <w:sz w:val="32"/>
          <w:szCs w:val="32"/>
          <w:lang w:eastAsia="zh-Hans"/>
        </w:rPr>
        <w:t>收入</w:t>
      </w:r>
      <w:r>
        <w:rPr>
          <w:rFonts w:hint="eastAsia" w:ascii="方正仿宋_GB2312" w:hAnsi="仿宋" w:eastAsia="方正仿宋_GB2312" w:cs="仿宋"/>
          <w:sz w:val="32"/>
          <w:szCs w:val="32"/>
        </w:rPr>
        <w:t>80</w:t>
      </w:r>
      <w:r>
        <w:rPr>
          <w:rFonts w:ascii="方正仿宋_GB2312" w:hAnsi="仿宋" w:eastAsia="方正仿宋_GB2312" w:cs="仿宋"/>
          <w:sz w:val="32"/>
          <w:szCs w:val="32"/>
          <w:lang w:eastAsia="zh-Hans"/>
        </w:rPr>
        <w:t>%</w:t>
      </w:r>
      <w:r>
        <w:rPr>
          <w:rStyle w:val="27"/>
          <w:rFonts w:ascii="方正仿宋_GB2312" w:hAnsi="仿宋" w:eastAsia="方正仿宋_GB2312" w:cs="仿宋"/>
          <w:sz w:val="32"/>
          <w:szCs w:val="32"/>
          <w:lang w:eastAsia="zh-Hans"/>
        </w:rPr>
        <w:footnoteReference w:id="8"/>
      </w:r>
      <w:r>
        <w:rPr>
          <w:rFonts w:hint="eastAsia" w:ascii="方正仿宋_GB2312" w:hAnsi="仿宋" w:eastAsia="方正仿宋_GB2312" w:cs="仿宋"/>
          <w:sz w:val="32"/>
          <w:szCs w:val="32"/>
          <w:lang w:eastAsia="zh-Hans"/>
        </w:rPr>
        <w:t>，为</w:t>
      </w:r>
      <w:r>
        <w:rPr>
          <w:rFonts w:ascii="方正仿宋_GB2312" w:hAnsi="仿宋" w:eastAsia="方正仿宋_GB2312" w:cs="仿宋"/>
          <w:sz w:val="32"/>
          <w:szCs w:val="32"/>
        </w:rPr>
        <w:t>家庭带来</w:t>
      </w:r>
      <w:r>
        <w:rPr>
          <w:rFonts w:hint="eastAsia" w:ascii="方正仿宋_GB2312" w:hAnsi="仿宋" w:eastAsia="方正仿宋_GB2312" w:cs="仿宋"/>
          <w:sz w:val="32"/>
          <w:szCs w:val="32"/>
          <w:lang w:eastAsia="zh-Hans"/>
        </w:rPr>
        <w:t>一定</w:t>
      </w:r>
      <w:r>
        <w:rPr>
          <w:rFonts w:ascii="方正仿宋_GB2312" w:hAnsi="仿宋" w:eastAsia="方正仿宋_GB2312" w:cs="仿宋"/>
          <w:sz w:val="32"/>
          <w:szCs w:val="32"/>
        </w:rPr>
        <w:t>的经济负担。</w:t>
      </w:r>
    </w:p>
    <w:p>
      <w:pPr>
        <w:widowControl/>
        <w:ind w:firstLine="640" w:firstLineChars="200"/>
        <w:rPr>
          <w:rFonts w:ascii="方正仿宋_GB2312" w:hAnsi="仿宋" w:eastAsia="方正仿宋_GB2312" w:cs="仿宋"/>
          <w:sz w:val="32"/>
          <w:szCs w:val="32"/>
        </w:rPr>
      </w:pPr>
      <w:r>
        <w:rPr>
          <w:rFonts w:hint="eastAsia" w:ascii="方正仿宋_GB2312" w:hAnsi="仿宋" w:eastAsia="方正仿宋_GB2312" w:cs="仿宋"/>
          <w:sz w:val="32"/>
          <w:szCs w:val="32"/>
          <w:lang w:eastAsia="zh-Hans"/>
        </w:rPr>
        <w:t>三是</w:t>
      </w:r>
      <w:r>
        <w:rPr>
          <w:rFonts w:hint="eastAsia" w:ascii="方正仿宋_GB2312" w:hAnsi="仿宋" w:eastAsia="方正仿宋_GB2312" w:cs="仿宋"/>
          <w:sz w:val="32"/>
          <w:szCs w:val="32"/>
        </w:rPr>
        <w:t>托育设施建设和相关政策配套不够完善，资金扶持力度仍需加强，婴幼儿托育照护服务产业仍处于起步探索阶段，与人民群众的需求及期待仍存在一定差距。</w:t>
      </w:r>
    </w:p>
    <w:p>
      <w:pPr>
        <w:pStyle w:val="3"/>
        <w:spacing w:before="0" w:after="0" w:line="240" w:lineRule="auto"/>
        <w:ind w:firstLine="643" w:firstLineChars="200"/>
        <w:rPr>
          <w:rFonts w:ascii="黑体" w:hAnsi="黑体" w:eastAsia="黑体" w:cs="黑体"/>
          <w:kern w:val="0"/>
          <w:sz w:val="32"/>
          <w:szCs w:val="32"/>
        </w:rPr>
      </w:pPr>
      <w:bookmarkStart w:id="24" w:name="_Toc7249"/>
      <w:bookmarkStart w:id="25" w:name="_Toc100671595"/>
      <w:bookmarkStart w:id="26" w:name="_Toc3131"/>
      <w:r>
        <w:rPr>
          <w:rFonts w:hint="eastAsia" w:ascii="黑体" w:hAnsi="黑体" w:eastAsia="黑体" w:cs="黑体"/>
          <w:kern w:val="0"/>
          <w:sz w:val="32"/>
          <w:szCs w:val="32"/>
        </w:rPr>
        <w:t>二、发展目标</w:t>
      </w:r>
      <w:bookmarkEnd w:id="24"/>
      <w:bookmarkEnd w:id="25"/>
      <w:bookmarkEnd w:id="26"/>
    </w:p>
    <w:p>
      <w:pPr>
        <w:ind w:firstLine="643" w:firstLineChars="200"/>
        <w:contextualSpacing/>
        <w:outlineLvl w:val="1"/>
        <w:rPr>
          <w:rFonts w:hint="default" w:ascii="方正楷体_GB2312" w:hAnsi="方正楷体_GB2312" w:eastAsia="方正楷体_GB2312" w:cs="方正楷体_GB2312"/>
          <w:b/>
          <w:bCs/>
          <w:color w:val="auto"/>
          <w:kern w:val="0"/>
          <w:sz w:val="32"/>
          <w:szCs w:val="32"/>
          <w:lang w:val="en-US" w:eastAsia="zh-CN"/>
        </w:rPr>
      </w:pPr>
      <w:bookmarkStart w:id="27" w:name="_Toc31230"/>
      <w:bookmarkStart w:id="28" w:name="_Toc100671596"/>
      <w:bookmarkStart w:id="29" w:name="_Toc24340"/>
      <w:r>
        <w:rPr>
          <w:rFonts w:hint="eastAsia" w:ascii="方正楷体_GB2312" w:hAnsi="方正楷体_GB2312" w:eastAsia="方正楷体_GB2312" w:cs="方正楷体_GB2312"/>
          <w:b/>
          <w:bCs/>
          <w:color w:val="auto"/>
          <w:kern w:val="0"/>
          <w:sz w:val="32"/>
          <w:szCs w:val="32"/>
        </w:rPr>
        <w:t>（</w:t>
      </w:r>
      <w:r>
        <w:rPr>
          <w:rFonts w:hint="eastAsia" w:ascii="方正楷体_GB2312" w:hAnsi="方正楷体_GB2312" w:eastAsia="方正楷体_GB2312" w:cs="方正楷体_GB2312"/>
          <w:b/>
          <w:bCs/>
          <w:color w:val="auto"/>
          <w:kern w:val="0"/>
          <w:sz w:val="32"/>
          <w:szCs w:val="32"/>
          <w:lang w:val="en-US" w:eastAsia="zh-CN"/>
        </w:rPr>
        <w:t>三</w:t>
      </w:r>
      <w:r>
        <w:rPr>
          <w:rFonts w:hint="eastAsia" w:ascii="方正楷体_GB2312" w:hAnsi="方正楷体_GB2312" w:eastAsia="方正楷体_GB2312" w:cs="方正楷体_GB2312"/>
          <w:b/>
          <w:bCs/>
          <w:color w:val="auto"/>
          <w:kern w:val="0"/>
          <w:sz w:val="32"/>
          <w:szCs w:val="32"/>
        </w:rPr>
        <w:t>）</w:t>
      </w:r>
      <w:r>
        <w:rPr>
          <w:rFonts w:hint="eastAsia" w:ascii="方正楷体_GB2312" w:hAnsi="方正楷体_GB2312" w:eastAsia="方正楷体_GB2312" w:cs="方正楷体_GB2312"/>
          <w:b/>
          <w:bCs/>
          <w:color w:val="auto"/>
          <w:kern w:val="0"/>
          <w:sz w:val="32"/>
          <w:szCs w:val="32"/>
          <w:lang w:val="en-US" w:eastAsia="zh-CN"/>
        </w:rPr>
        <w:t>基本原则</w:t>
      </w:r>
      <w:bookmarkEnd w:id="27"/>
    </w:p>
    <w:p>
      <w:pPr>
        <w:spacing w:line="560" w:lineRule="atLeast"/>
        <w:ind w:firstLine="643" w:firstLineChars="200"/>
        <w:rPr>
          <w:color w:val="auto"/>
        </w:rPr>
      </w:pPr>
      <w:r>
        <w:rPr>
          <w:rFonts w:hint="eastAsia" w:eastAsia="方正仿宋_GB2312" w:cs="方正仿宋_GB2312"/>
          <w:b/>
          <w:bCs/>
          <w:color w:val="auto"/>
          <w:sz w:val="32"/>
          <w:szCs w:val="32"/>
          <w:highlight w:val="none"/>
        </w:rPr>
        <w:t>——坚持</w:t>
      </w:r>
      <w:r>
        <w:rPr>
          <w:rFonts w:hint="eastAsia" w:eastAsia="方正仿宋_GB2312" w:cs="方正仿宋_GB2312"/>
          <w:b/>
          <w:bCs/>
          <w:color w:val="auto"/>
          <w:sz w:val="32"/>
          <w:szCs w:val="32"/>
          <w:highlight w:val="none"/>
          <w:lang w:val="en-US" w:eastAsia="zh-CN"/>
        </w:rPr>
        <w:t>兜底</w:t>
      </w:r>
      <w:r>
        <w:rPr>
          <w:rFonts w:hint="eastAsia" w:eastAsia="方正仿宋_GB2312" w:cs="方正仿宋_GB2312"/>
          <w:b/>
          <w:bCs/>
          <w:color w:val="auto"/>
          <w:sz w:val="32"/>
          <w:szCs w:val="32"/>
          <w:highlight w:val="none"/>
        </w:rPr>
        <w:t>普惠。</w:t>
      </w:r>
      <w:r>
        <w:rPr>
          <w:rFonts w:hint="eastAsia" w:eastAsia="方正仿宋_GB2312" w:cs="方正仿宋_GB2312"/>
          <w:color w:val="auto"/>
          <w:sz w:val="32"/>
          <w:szCs w:val="32"/>
          <w:highlight w:val="none"/>
        </w:rPr>
        <w:t>强化政府保基本兜底线职能，补齐重点人群、重点领域、重点地区设施短板。坚持尽力而为、量力而行，支持和引导各类主体发展质量有保障、成本可负担、全民可享有的普惠性服务。</w:t>
      </w:r>
    </w:p>
    <w:p>
      <w:pPr>
        <w:spacing w:line="560" w:lineRule="atLeast"/>
        <w:ind w:firstLine="643" w:firstLineChars="200"/>
        <w:rPr>
          <w:color w:val="auto"/>
        </w:rPr>
      </w:pPr>
      <w:r>
        <w:rPr>
          <w:rFonts w:hint="eastAsia" w:eastAsia="方正仿宋_GB2312" w:cs="方正仿宋_GB2312"/>
          <w:b/>
          <w:bCs/>
          <w:color w:val="auto"/>
          <w:sz w:val="32"/>
          <w:szCs w:val="32"/>
          <w:highlight w:val="none"/>
        </w:rPr>
        <w:t>——坚持统筹布局。</w:t>
      </w:r>
      <w:r>
        <w:rPr>
          <w:rFonts w:hint="eastAsia" w:ascii="方正仿宋_GB2312" w:hAnsi="方正仿宋_GB2312" w:eastAsia="方正仿宋_GB2312" w:cs="方正仿宋_GB2312"/>
          <w:color w:val="auto"/>
          <w:sz w:val="32"/>
          <w:szCs w:val="32"/>
          <w:highlight w:val="none"/>
        </w:rPr>
        <w:t>充分考虑服务人口和半径等实际情况，结合国土空间规划，进一步优化资源配置，统筹</w:t>
      </w:r>
      <w:r>
        <w:rPr>
          <w:rFonts w:hint="eastAsia" w:ascii="方正仿宋_GB2312" w:hAnsi="方正仿宋_GB2312" w:eastAsia="方正仿宋_GB2312" w:cs="方正仿宋_GB2312"/>
          <w:color w:val="auto"/>
          <w:sz w:val="32"/>
          <w:szCs w:val="32"/>
          <w:highlight w:val="none"/>
          <w:lang w:val="en-US" w:eastAsia="zh-CN"/>
        </w:rPr>
        <w:t>全区</w:t>
      </w:r>
      <w:r>
        <w:rPr>
          <w:rFonts w:hint="eastAsia" w:ascii="方正仿宋_GB2312" w:hAnsi="方正仿宋_GB2312" w:eastAsia="方正仿宋_GB2312" w:cs="方正仿宋_GB2312"/>
          <w:color w:val="auto"/>
          <w:sz w:val="32"/>
          <w:szCs w:val="32"/>
          <w:highlight w:val="none"/>
        </w:rPr>
        <w:t>“一老一小”服务设施数量、规模和布局，保障人民群众就近就便享受服务。</w:t>
      </w:r>
    </w:p>
    <w:p>
      <w:pPr>
        <w:spacing w:line="560" w:lineRule="atLeast"/>
        <w:ind w:firstLine="643" w:firstLineChars="200"/>
        <w:rPr>
          <w:rFonts w:hint="eastAsia" w:ascii="方正仿宋_GB2312" w:hAnsi="方正仿宋_GB2312" w:eastAsia="方正仿宋_GB2312" w:cs="方正仿宋_GB2312"/>
          <w:color w:val="auto"/>
          <w:sz w:val="32"/>
          <w:szCs w:val="32"/>
          <w:highlight w:val="none"/>
        </w:rPr>
      </w:pPr>
      <w:r>
        <w:rPr>
          <w:rFonts w:hint="eastAsia" w:eastAsia="方正仿宋_GB2312" w:cs="方正仿宋_GB2312"/>
          <w:b/>
          <w:bCs/>
          <w:color w:val="auto"/>
          <w:sz w:val="32"/>
          <w:szCs w:val="32"/>
          <w:highlight w:val="none"/>
        </w:rPr>
        <w:t>——坚持</w:t>
      </w:r>
      <w:r>
        <w:rPr>
          <w:rFonts w:hint="eastAsia" w:eastAsia="方正仿宋_GB2312" w:cs="方正仿宋_GB2312"/>
          <w:b/>
          <w:bCs/>
          <w:color w:val="auto"/>
          <w:sz w:val="32"/>
          <w:szCs w:val="32"/>
          <w:highlight w:val="none"/>
          <w:lang w:val="en-US" w:eastAsia="zh-CN"/>
        </w:rPr>
        <w:t>需求</w:t>
      </w:r>
      <w:r>
        <w:rPr>
          <w:rFonts w:hint="eastAsia" w:eastAsia="方正仿宋_GB2312" w:cs="方正仿宋_GB2312"/>
          <w:b/>
          <w:bCs/>
          <w:color w:val="auto"/>
          <w:sz w:val="32"/>
          <w:szCs w:val="32"/>
          <w:highlight w:val="none"/>
        </w:rPr>
        <w:t>导向。</w:t>
      </w:r>
      <w:r>
        <w:rPr>
          <w:rFonts w:hint="eastAsia" w:ascii="方正仿宋_GB2312" w:hAnsi="方正仿宋_GB2312" w:eastAsia="方正仿宋_GB2312" w:cs="方正仿宋_GB2312"/>
          <w:color w:val="auto"/>
          <w:sz w:val="32"/>
          <w:szCs w:val="32"/>
          <w:highlight w:val="none"/>
        </w:rPr>
        <w:t>聚焦“一老一小”高频需求事项、服务供给短板和重大共性问题，建立场地、资金、人才等要素保障长效机制，切实保障“一老一小”群体基本服务需要。</w:t>
      </w:r>
    </w:p>
    <w:p>
      <w:pPr>
        <w:ind w:firstLine="643" w:firstLineChars="200"/>
        <w:contextualSpacing w:val="0"/>
        <w:outlineLvl w:val="9"/>
        <w:rPr>
          <w:rFonts w:hint="eastAsia" w:ascii="方正楷体_GB2312" w:hAnsi="方正楷体_GB2312" w:eastAsia="方正楷体_GB2312" w:cs="方正楷体_GB2312"/>
          <w:b/>
          <w:bCs/>
          <w:color w:val="auto"/>
          <w:kern w:val="0"/>
          <w:sz w:val="32"/>
          <w:szCs w:val="32"/>
        </w:rPr>
      </w:pPr>
      <w:r>
        <w:rPr>
          <w:rFonts w:hint="eastAsia" w:ascii="方正仿宋_GB2312" w:hAnsi="方正仿宋_GB2312" w:eastAsia="方正仿宋_GB2312" w:cs="方正仿宋_GB2312"/>
          <w:b/>
          <w:bCs/>
          <w:color w:val="auto"/>
          <w:sz w:val="32"/>
          <w:szCs w:val="32"/>
          <w:highlight w:val="none"/>
        </w:rPr>
        <w:t>——坚持</w:t>
      </w:r>
      <w:r>
        <w:rPr>
          <w:rFonts w:hint="eastAsia" w:ascii="方正仿宋_GB2312" w:hAnsi="方正仿宋_GB2312" w:eastAsia="方正仿宋_GB2312" w:cs="方正仿宋_GB2312"/>
          <w:b/>
          <w:bCs/>
          <w:color w:val="auto"/>
          <w:sz w:val="32"/>
          <w:szCs w:val="32"/>
          <w:highlight w:val="none"/>
          <w:lang w:val="en-US" w:eastAsia="zh-CN"/>
        </w:rPr>
        <w:t>创新发展</w:t>
      </w:r>
      <w:r>
        <w:rPr>
          <w:rFonts w:hint="eastAsia" w:ascii="方正仿宋_GB2312" w:hAnsi="方正仿宋_GB2312" w:eastAsia="方正仿宋_GB2312" w:cs="方正仿宋_GB2312"/>
          <w:b/>
          <w:bCs/>
          <w:color w:val="auto"/>
          <w:sz w:val="32"/>
          <w:szCs w:val="32"/>
          <w:highlight w:val="none"/>
        </w:rPr>
        <w:t>。</w:t>
      </w:r>
      <w:r>
        <w:rPr>
          <w:rFonts w:hint="eastAsia" w:ascii="方正仿宋_GB2312" w:hAnsi="方正仿宋_GB2312" w:eastAsia="方正仿宋_GB2312" w:cs="方正仿宋_GB2312"/>
          <w:color w:val="auto"/>
          <w:sz w:val="32"/>
          <w:szCs w:val="32"/>
          <w:highlight w:val="none"/>
          <w:lang w:val="en-US" w:eastAsia="zh-CN"/>
        </w:rPr>
        <w:t>打造</w:t>
      </w:r>
      <w:r>
        <w:rPr>
          <w:rFonts w:hint="eastAsia" w:ascii="方正仿宋_GB2312" w:eastAsia="方正仿宋_GB2312"/>
          <w:color w:val="auto"/>
          <w:sz w:val="32"/>
          <w:szCs w:val="40"/>
        </w:rPr>
        <w:t>具有门头沟生态涵养区特色的</w:t>
      </w:r>
      <w:r>
        <w:rPr>
          <w:rFonts w:hint="eastAsia" w:ascii="方正仿宋_GB2312" w:eastAsia="方正仿宋_GB2312"/>
          <w:color w:val="auto"/>
          <w:sz w:val="32"/>
          <w:szCs w:val="40"/>
          <w:lang w:eastAsia="zh-Hans"/>
        </w:rPr>
        <w:t>养老托育服务体系，</w:t>
      </w:r>
      <w:r>
        <w:rPr>
          <w:rFonts w:hint="eastAsia" w:ascii="方正仿宋_GB2312" w:hAnsi="方正仿宋_GB2312" w:eastAsia="方正仿宋_GB2312" w:cs="方正仿宋_GB2312"/>
          <w:color w:val="auto"/>
          <w:sz w:val="32"/>
          <w:szCs w:val="32"/>
          <w:highlight w:val="none"/>
        </w:rPr>
        <w:t>推动探索专业化的养老</w:t>
      </w:r>
      <w:r>
        <w:rPr>
          <w:rFonts w:hint="eastAsia" w:ascii="方正仿宋_GB2312" w:hAnsi="方正仿宋_GB2312" w:eastAsia="方正仿宋_GB2312" w:cs="方正仿宋_GB2312"/>
          <w:color w:val="auto"/>
          <w:sz w:val="32"/>
          <w:szCs w:val="32"/>
          <w:highlight w:val="none"/>
          <w:lang w:val="en-US" w:eastAsia="zh-CN"/>
        </w:rPr>
        <w:t>托育</w:t>
      </w:r>
      <w:r>
        <w:rPr>
          <w:rFonts w:hint="eastAsia" w:ascii="方正仿宋_GB2312" w:hAnsi="方正仿宋_GB2312" w:eastAsia="方正仿宋_GB2312" w:cs="方正仿宋_GB2312"/>
          <w:color w:val="auto"/>
          <w:sz w:val="32"/>
          <w:szCs w:val="32"/>
          <w:highlight w:val="none"/>
        </w:rPr>
        <w:t>服务运营模式，</w:t>
      </w:r>
      <w:r>
        <w:rPr>
          <w:rFonts w:hint="eastAsia" w:ascii="方正仿宋_GB2312" w:eastAsia="方正仿宋_GB2312"/>
          <w:color w:val="auto"/>
          <w:sz w:val="32"/>
          <w:szCs w:val="40"/>
        </w:rPr>
        <w:t>发挥引领带动作用</w:t>
      </w:r>
      <w:r>
        <w:rPr>
          <w:rFonts w:hint="eastAsia" w:ascii="方正仿宋_GB2312" w:eastAsia="方正仿宋_GB2312"/>
          <w:color w:val="auto"/>
          <w:sz w:val="32"/>
          <w:szCs w:val="40"/>
          <w:lang w:eastAsia="zh-Hans"/>
        </w:rPr>
        <w:t>。</w:t>
      </w:r>
    </w:p>
    <w:p>
      <w:pPr>
        <w:ind w:firstLine="643" w:firstLineChars="200"/>
        <w:contextualSpacing/>
        <w:outlineLvl w:val="1"/>
        <w:rPr>
          <w:rFonts w:ascii="方正楷体_GB2312" w:hAnsi="方正楷体_GB2312" w:eastAsia="方正楷体_GB2312" w:cs="方正楷体_GB2312"/>
          <w:b/>
          <w:bCs/>
          <w:kern w:val="0"/>
          <w:sz w:val="32"/>
          <w:szCs w:val="32"/>
        </w:rPr>
      </w:pPr>
      <w:bookmarkStart w:id="30" w:name="_Toc19285"/>
      <w:r>
        <w:rPr>
          <w:rFonts w:hint="eastAsia" w:ascii="方正楷体_GB2312" w:hAnsi="方正楷体_GB2312" w:eastAsia="方正楷体_GB2312" w:cs="方正楷体_GB2312"/>
          <w:b/>
          <w:bCs/>
          <w:kern w:val="0"/>
          <w:sz w:val="32"/>
          <w:szCs w:val="32"/>
        </w:rPr>
        <w:t>（</w:t>
      </w:r>
      <w:r>
        <w:rPr>
          <w:rFonts w:hint="eastAsia" w:ascii="方正楷体_GB2312" w:hAnsi="方正楷体_GB2312" w:eastAsia="方正楷体_GB2312" w:cs="方正楷体_GB2312"/>
          <w:b/>
          <w:bCs/>
          <w:kern w:val="0"/>
          <w:sz w:val="32"/>
          <w:szCs w:val="32"/>
          <w:lang w:val="en-US" w:eastAsia="zh-CN"/>
        </w:rPr>
        <w:t>四</w:t>
      </w:r>
      <w:r>
        <w:rPr>
          <w:rFonts w:hint="eastAsia" w:ascii="方正楷体_GB2312" w:hAnsi="方正楷体_GB2312" w:eastAsia="方正楷体_GB2312" w:cs="方正楷体_GB2312"/>
          <w:b/>
          <w:bCs/>
          <w:kern w:val="0"/>
          <w:sz w:val="32"/>
          <w:szCs w:val="32"/>
        </w:rPr>
        <w:t>）总体目标</w:t>
      </w:r>
      <w:bookmarkEnd w:id="28"/>
      <w:bookmarkEnd w:id="29"/>
      <w:bookmarkEnd w:id="30"/>
    </w:p>
    <w:p>
      <w:pPr>
        <w:widowControl/>
        <w:ind w:firstLine="640" w:firstLineChars="200"/>
        <w:rPr>
          <w:rFonts w:hint="eastAsia" w:ascii="方正仿宋_GB2312" w:hAnsi="仿宋" w:eastAsia="方正仿宋_GB2312" w:cs="仿宋"/>
          <w:sz w:val="32"/>
          <w:szCs w:val="32"/>
        </w:rPr>
      </w:pPr>
      <w:r>
        <w:rPr>
          <w:rFonts w:hint="eastAsia" w:ascii="方正仿宋_GB2312" w:hAnsi="仿宋" w:eastAsia="方正仿宋_GB2312" w:cs="仿宋"/>
          <w:sz w:val="32"/>
          <w:szCs w:val="32"/>
        </w:rPr>
        <w:t>到2025年底，门头沟区在满足本地区发展需求基础上，承接核心城区的需求转移能力大幅提升，率先建成布局合理、功能齐全、服务便捷、供需精准对接的养老托育服务格局，</w:t>
      </w:r>
      <w:r>
        <w:rPr>
          <w:rFonts w:hint="eastAsia" w:ascii="方正仿宋_GB2312" w:hAnsi="仿宋" w:eastAsia="方正仿宋_GB2312" w:cs="仿宋"/>
          <w:kern w:val="0"/>
          <w:sz w:val="32"/>
          <w:szCs w:val="32"/>
          <w:lang w:bidi="ar"/>
        </w:rPr>
        <w:t>初步建</w:t>
      </w:r>
      <w:r>
        <w:rPr>
          <w:rFonts w:hint="eastAsia" w:ascii="方正仿宋_GB2312" w:hAnsi="仿宋" w:eastAsia="方正仿宋_GB2312" w:cs="仿宋"/>
          <w:kern w:val="0"/>
          <w:sz w:val="32"/>
          <w:szCs w:val="32"/>
          <w:lang w:eastAsia="zh-Hans" w:bidi="ar"/>
        </w:rPr>
        <w:t>成</w:t>
      </w:r>
      <w:r>
        <w:rPr>
          <w:rFonts w:hint="eastAsia" w:ascii="方正仿宋_GB2312" w:hAnsi="仿宋" w:eastAsia="方正仿宋_GB2312" w:cs="仿宋"/>
          <w:sz w:val="32"/>
          <w:szCs w:val="32"/>
        </w:rPr>
        <w:t>首都养老托育服务示范区</w:t>
      </w:r>
      <w:r>
        <w:rPr>
          <w:rFonts w:hint="eastAsia" w:ascii="方正仿宋_GB2312" w:hAnsi="仿宋" w:eastAsia="方正仿宋_GB2312" w:cs="仿宋"/>
          <w:kern w:val="0"/>
          <w:sz w:val="32"/>
          <w:szCs w:val="32"/>
          <w:lang w:eastAsia="zh-Hans" w:bidi="ar"/>
        </w:rPr>
        <w:t>。</w:t>
      </w:r>
      <w:r>
        <w:rPr>
          <w:rFonts w:hint="eastAsia" w:ascii="方正仿宋_GB2312" w:hAnsi="仿宋" w:eastAsia="方正仿宋_GB2312" w:cs="仿宋"/>
          <w:sz w:val="32"/>
          <w:szCs w:val="32"/>
        </w:rPr>
        <w:t>“一老一小”整体推进机制更加健全，养老托育政策体系和照护服务体系更加完善，政府主导、家庭为主、多方参与，教养医相结合的托育服务发展局面基本形成。以养老机构、养老驿站、居家养老</w:t>
      </w:r>
      <w:r>
        <w:rPr>
          <w:rFonts w:hint="eastAsia" w:ascii="方正仿宋_GB2312" w:hAnsi="仿宋" w:eastAsia="方正仿宋_GB2312" w:cs="仿宋"/>
          <w:sz w:val="32"/>
          <w:szCs w:val="32"/>
          <w:lang w:eastAsia="zh-CN"/>
        </w:rPr>
        <w:t>照护</w:t>
      </w:r>
      <w:r>
        <w:rPr>
          <w:rFonts w:hint="eastAsia" w:ascii="方正仿宋_GB2312" w:hAnsi="仿宋" w:eastAsia="方正仿宋_GB2312" w:cs="仿宋"/>
          <w:sz w:val="32"/>
          <w:szCs w:val="32"/>
        </w:rPr>
        <w:t>床位建设为基础，老年餐桌为服务补充，</w:t>
      </w:r>
      <w:r>
        <w:rPr>
          <w:rFonts w:hint="eastAsia" w:ascii="方正仿宋_GB2312" w:hAnsi="仿宋" w:eastAsia="方正仿宋_GB2312" w:cs="仿宋"/>
          <w:sz w:val="32"/>
          <w:szCs w:val="32"/>
          <w:lang w:val="en-US" w:eastAsia="zh-CN"/>
        </w:rPr>
        <w:t>试点探索“物业+养老”、“庭院+养老”、构筑镇街养老服务联合体</w:t>
      </w:r>
      <w:r>
        <w:rPr>
          <w:rFonts w:hint="eastAsia" w:ascii="方正仿宋_GB2312" w:hAnsi="仿宋" w:eastAsia="方正仿宋_GB2312" w:cs="仿宋"/>
          <w:sz w:val="32"/>
          <w:szCs w:val="32"/>
        </w:rPr>
        <w:t>的“3+1+N”养老服务品牌基本形成。人才队伍更加专业，养老托育服务质量明显提升。改革创新活力充分激发，发展新动能充分挖潜，具有京西生态涵养区特色的康养经济显著发展，银发产业规模扩大。“一老一小”得到系统推进，事业产业协同发展，政府在养老托育事业发展中体现主导作用，深化简政放权、放管结合、优化服务改革，营商环境不断改善；市场在配置资源中起决定性作用，供给结构逐渐优化，服务群体消费潜能有效激发。“一老一小”家庭的获得感、幸福感、安全感进一步增强。</w:t>
      </w:r>
    </w:p>
    <w:p>
      <w:pPr>
        <w:ind w:firstLine="643" w:firstLineChars="200"/>
        <w:contextualSpacing/>
        <w:outlineLvl w:val="1"/>
        <w:rPr>
          <w:rFonts w:ascii="方正楷体_GB2312" w:hAnsi="方正楷体_GB2312" w:eastAsia="方正楷体_GB2312" w:cs="方正楷体_GB2312"/>
          <w:b/>
          <w:bCs/>
          <w:kern w:val="0"/>
          <w:sz w:val="32"/>
          <w:szCs w:val="32"/>
        </w:rPr>
      </w:pPr>
      <w:bookmarkStart w:id="31" w:name="_Toc22625"/>
      <w:bookmarkStart w:id="32" w:name="_Toc665"/>
      <w:bookmarkStart w:id="33" w:name="_Toc100671597"/>
      <w:r>
        <w:rPr>
          <w:rFonts w:hint="eastAsia" w:ascii="方正楷体_GB2312" w:hAnsi="方正楷体_GB2312" w:eastAsia="方正楷体_GB2312" w:cs="方正楷体_GB2312"/>
          <w:b/>
          <w:bCs/>
          <w:kern w:val="0"/>
          <w:sz w:val="32"/>
          <w:szCs w:val="32"/>
        </w:rPr>
        <w:t>（</w:t>
      </w:r>
      <w:r>
        <w:rPr>
          <w:rFonts w:hint="eastAsia" w:ascii="方正楷体_GB2312" w:hAnsi="方正楷体_GB2312" w:eastAsia="方正楷体_GB2312" w:cs="方正楷体_GB2312"/>
          <w:b/>
          <w:bCs/>
          <w:kern w:val="0"/>
          <w:sz w:val="32"/>
          <w:szCs w:val="32"/>
          <w:lang w:val="en-US" w:eastAsia="zh-CN"/>
        </w:rPr>
        <w:t>五</w:t>
      </w:r>
      <w:r>
        <w:rPr>
          <w:rFonts w:hint="eastAsia" w:ascii="方正楷体_GB2312" w:hAnsi="方正楷体_GB2312" w:eastAsia="方正楷体_GB2312" w:cs="方正楷体_GB2312"/>
          <w:b/>
          <w:bCs/>
          <w:kern w:val="0"/>
          <w:sz w:val="32"/>
          <w:szCs w:val="32"/>
        </w:rPr>
        <w:t>）具体指标</w:t>
      </w:r>
      <w:bookmarkEnd w:id="31"/>
      <w:bookmarkEnd w:id="32"/>
      <w:bookmarkEnd w:id="33"/>
    </w:p>
    <w:tbl>
      <w:tblPr>
        <w:tblStyle w:val="22"/>
        <w:tblW w:w="8326" w:type="dxa"/>
        <w:tblInd w:w="0" w:type="dxa"/>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Layout w:type="fixed"/>
        <w:tblCellMar>
          <w:top w:w="0" w:type="dxa"/>
          <w:left w:w="10" w:type="dxa"/>
          <w:bottom w:w="0" w:type="dxa"/>
          <w:right w:w="10" w:type="dxa"/>
        </w:tblCellMar>
      </w:tblPr>
      <w:tblGrid>
        <w:gridCol w:w="629"/>
        <w:gridCol w:w="515"/>
        <w:gridCol w:w="3919"/>
        <w:gridCol w:w="1036"/>
        <w:gridCol w:w="1394"/>
        <w:gridCol w:w="833"/>
      </w:tblGrid>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10" w:type="dxa"/>
            <w:bottom w:w="0" w:type="dxa"/>
            <w:right w:w="10" w:type="dxa"/>
          </w:tblCellMar>
        </w:tblPrEx>
        <w:trPr>
          <w:trHeight w:val="450" w:hRule="atLeast"/>
        </w:trPr>
        <w:tc>
          <w:tcPr>
            <w:tcW w:w="8326" w:type="dxa"/>
            <w:gridSpan w:val="6"/>
            <w:shd w:val="clear" w:color="auto" w:fill="B4C6E7"/>
            <w:vAlign w:val="center"/>
          </w:tcPr>
          <w:p>
            <w:pPr>
              <w:jc w:val="center"/>
              <w:rPr>
                <w:rFonts w:ascii="宋体" w:hAnsi="宋体" w:eastAsia="宋体" w:cs="仿宋"/>
                <w:b/>
                <w:kern w:val="0"/>
                <w:sz w:val="22"/>
                <w:szCs w:val="22"/>
              </w:rPr>
            </w:pPr>
            <w:bookmarkStart w:id="34" w:name="_Toc79569715"/>
            <w:bookmarkStart w:id="35" w:name="_Toc81315007"/>
            <w:r>
              <w:rPr>
                <w:rFonts w:hint="eastAsia" w:ascii="仿宋" w:hAnsi="仿宋" w:eastAsia="仿宋" w:cs="仿宋"/>
                <w:b/>
                <w:bCs/>
                <w:kern w:val="0"/>
                <w:sz w:val="24"/>
              </w:rPr>
              <w:t>专栏</w:t>
            </w:r>
            <w:r>
              <w:rPr>
                <w:rFonts w:hint="eastAsia" w:ascii="仿宋" w:hAnsi="仿宋" w:eastAsia="仿宋" w:cs="仿宋"/>
                <w:b/>
                <w:bCs/>
                <w:kern w:val="0"/>
                <w:sz w:val="24"/>
              </w:rPr>
              <w:fldChar w:fldCharType="begin"/>
            </w:r>
            <w:r>
              <w:rPr>
                <w:rFonts w:hint="eastAsia" w:ascii="仿宋" w:hAnsi="仿宋" w:eastAsia="仿宋" w:cs="仿宋"/>
                <w:b/>
                <w:bCs/>
                <w:kern w:val="0"/>
                <w:sz w:val="24"/>
              </w:rPr>
              <w:instrText xml:space="preserve"> SEQ 专栏 \* ARABIC </w:instrText>
            </w:r>
            <w:r>
              <w:rPr>
                <w:rFonts w:hint="eastAsia" w:ascii="仿宋" w:hAnsi="仿宋" w:eastAsia="仿宋" w:cs="仿宋"/>
                <w:b/>
                <w:bCs/>
                <w:kern w:val="0"/>
                <w:sz w:val="24"/>
              </w:rPr>
              <w:fldChar w:fldCharType="separate"/>
            </w:r>
            <w:r>
              <w:rPr>
                <w:rFonts w:ascii="仿宋" w:hAnsi="仿宋" w:eastAsia="仿宋" w:cs="仿宋"/>
                <w:b/>
                <w:bCs/>
                <w:kern w:val="0"/>
                <w:sz w:val="24"/>
              </w:rPr>
              <w:t>1</w:t>
            </w:r>
            <w:r>
              <w:rPr>
                <w:rFonts w:hint="eastAsia" w:ascii="仿宋" w:hAnsi="仿宋" w:eastAsia="仿宋" w:cs="仿宋"/>
                <w:b/>
                <w:bCs/>
                <w:kern w:val="0"/>
                <w:sz w:val="24"/>
              </w:rPr>
              <w:fldChar w:fldCharType="end"/>
            </w:r>
            <w:r>
              <w:rPr>
                <w:rFonts w:ascii="仿宋" w:hAnsi="仿宋" w:eastAsia="仿宋" w:cs="仿宋"/>
                <w:b/>
                <w:bCs/>
                <w:kern w:val="0"/>
                <w:sz w:val="24"/>
              </w:rPr>
              <w:t xml:space="preserve"> </w:t>
            </w:r>
            <w:r>
              <w:rPr>
                <w:rFonts w:hint="eastAsia" w:ascii="仿宋" w:hAnsi="仿宋" w:eastAsia="仿宋" w:cs="仿宋"/>
                <w:b/>
                <w:bCs/>
                <w:kern w:val="0"/>
                <w:sz w:val="24"/>
              </w:rPr>
              <w:t>“十四五”时期</w:t>
            </w:r>
            <w:r>
              <w:rPr>
                <w:rFonts w:hint="eastAsia" w:ascii="仿宋" w:hAnsi="仿宋" w:eastAsia="仿宋" w:cs="仿宋"/>
                <w:b/>
                <w:bCs/>
                <w:kern w:val="0"/>
                <w:sz w:val="24"/>
                <w:lang w:eastAsia="zh-Hans"/>
              </w:rPr>
              <w:t>门头沟区养老托育</w:t>
            </w:r>
            <w:r>
              <w:rPr>
                <w:rFonts w:hint="eastAsia" w:ascii="仿宋" w:hAnsi="仿宋" w:eastAsia="仿宋" w:cs="仿宋"/>
                <w:b/>
                <w:bCs/>
                <w:kern w:val="0"/>
                <w:sz w:val="24"/>
              </w:rPr>
              <w:t>服务</w:t>
            </w:r>
            <w:r>
              <w:rPr>
                <w:rFonts w:hint="eastAsia" w:ascii="仿宋" w:hAnsi="仿宋" w:eastAsia="仿宋" w:cs="仿宋"/>
                <w:b/>
                <w:bCs/>
                <w:kern w:val="0"/>
                <w:sz w:val="24"/>
                <w:lang w:eastAsia="zh-Hans"/>
              </w:rPr>
              <w:t>体系</w:t>
            </w:r>
            <w:r>
              <w:rPr>
                <w:rFonts w:hint="eastAsia" w:ascii="仿宋" w:hAnsi="仿宋" w:eastAsia="仿宋" w:cs="仿宋"/>
                <w:b/>
                <w:bCs/>
                <w:kern w:val="0"/>
                <w:sz w:val="24"/>
              </w:rPr>
              <w:t>建设主要指标</w:t>
            </w:r>
            <w:bookmarkEnd w:id="34"/>
            <w:bookmarkEnd w:id="35"/>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10" w:type="dxa"/>
            <w:bottom w:w="0" w:type="dxa"/>
            <w:right w:w="10" w:type="dxa"/>
          </w:tblCellMar>
        </w:tblPrEx>
        <w:trPr>
          <w:trHeight w:val="450" w:hRule="atLeast"/>
        </w:trPr>
        <w:tc>
          <w:tcPr>
            <w:tcW w:w="629" w:type="dxa"/>
            <w:shd w:val="clear" w:color="auto" w:fill="B4C6E7"/>
            <w:vAlign w:val="center"/>
          </w:tcPr>
          <w:p>
            <w:pPr>
              <w:jc w:val="center"/>
              <w:rPr>
                <w:rFonts w:ascii="宋体" w:hAnsi="宋体" w:eastAsia="宋体" w:cs="仿宋"/>
                <w:kern w:val="0"/>
                <w:sz w:val="22"/>
                <w:szCs w:val="22"/>
              </w:rPr>
            </w:pPr>
            <w:r>
              <w:rPr>
                <w:rFonts w:hint="eastAsia" w:ascii="宋体" w:hAnsi="宋体" w:eastAsia="宋体" w:cs="仿宋"/>
                <w:b/>
                <w:kern w:val="0"/>
                <w:sz w:val="22"/>
                <w:szCs w:val="22"/>
              </w:rPr>
              <w:t>类别</w:t>
            </w:r>
          </w:p>
        </w:tc>
        <w:tc>
          <w:tcPr>
            <w:tcW w:w="515" w:type="dxa"/>
            <w:shd w:val="clear" w:color="auto" w:fill="B4C6E7"/>
            <w:vAlign w:val="center"/>
          </w:tcPr>
          <w:p>
            <w:pPr>
              <w:jc w:val="center"/>
              <w:rPr>
                <w:rFonts w:ascii="宋体" w:hAnsi="宋体" w:eastAsia="宋体" w:cs="仿宋"/>
                <w:kern w:val="0"/>
                <w:sz w:val="22"/>
                <w:szCs w:val="22"/>
              </w:rPr>
            </w:pPr>
            <w:r>
              <w:rPr>
                <w:rFonts w:hint="eastAsia" w:ascii="宋体" w:hAnsi="宋体" w:eastAsia="宋体" w:cs="仿宋"/>
                <w:b/>
                <w:kern w:val="0"/>
                <w:sz w:val="22"/>
                <w:szCs w:val="22"/>
              </w:rPr>
              <w:t>序号</w:t>
            </w:r>
          </w:p>
        </w:tc>
        <w:tc>
          <w:tcPr>
            <w:tcW w:w="3919" w:type="dxa"/>
            <w:shd w:val="clear" w:color="auto" w:fill="B4C6E7"/>
            <w:vAlign w:val="center"/>
          </w:tcPr>
          <w:p>
            <w:pPr>
              <w:jc w:val="center"/>
              <w:rPr>
                <w:rFonts w:ascii="宋体" w:hAnsi="宋体" w:eastAsia="宋体" w:cs="仿宋"/>
                <w:kern w:val="0"/>
                <w:sz w:val="22"/>
                <w:szCs w:val="22"/>
              </w:rPr>
            </w:pPr>
            <w:r>
              <w:rPr>
                <w:rFonts w:hint="eastAsia" w:ascii="宋体" w:hAnsi="宋体" w:eastAsia="宋体" w:cs="仿宋"/>
                <w:b/>
                <w:kern w:val="0"/>
                <w:sz w:val="22"/>
                <w:szCs w:val="22"/>
              </w:rPr>
              <w:t>具体指标</w:t>
            </w:r>
          </w:p>
        </w:tc>
        <w:tc>
          <w:tcPr>
            <w:tcW w:w="1036" w:type="dxa"/>
            <w:shd w:val="clear" w:color="auto" w:fill="B4C6E7"/>
            <w:vAlign w:val="center"/>
          </w:tcPr>
          <w:p>
            <w:pPr>
              <w:jc w:val="center"/>
              <w:rPr>
                <w:rFonts w:ascii="宋体" w:hAnsi="宋体" w:eastAsia="宋体" w:cs="仿宋"/>
                <w:kern w:val="0"/>
                <w:sz w:val="22"/>
                <w:szCs w:val="22"/>
              </w:rPr>
            </w:pPr>
            <w:r>
              <w:rPr>
                <w:rFonts w:hint="eastAsia" w:ascii="宋体" w:hAnsi="宋体" w:eastAsia="宋体" w:cs="仿宋"/>
                <w:b/>
                <w:kern w:val="0"/>
                <w:sz w:val="22"/>
                <w:szCs w:val="22"/>
              </w:rPr>
              <w:t>2020年</w:t>
            </w:r>
          </w:p>
          <w:p>
            <w:pPr>
              <w:jc w:val="center"/>
              <w:rPr>
                <w:rFonts w:ascii="宋体" w:hAnsi="宋体" w:eastAsia="宋体" w:cs="仿宋"/>
                <w:kern w:val="0"/>
                <w:sz w:val="22"/>
                <w:szCs w:val="22"/>
              </w:rPr>
            </w:pPr>
            <w:r>
              <w:rPr>
                <w:rFonts w:hint="eastAsia" w:ascii="宋体" w:hAnsi="宋体" w:eastAsia="宋体" w:cs="仿宋"/>
                <w:b/>
                <w:kern w:val="0"/>
                <w:sz w:val="22"/>
                <w:szCs w:val="22"/>
              </w:rPr>
              <w:t>基期值</w:t>
            </w:r>
          </w:p>
        </w:tc>
        <w:tc>
          <w:tcPr>
            <w:tcW w:w="1394" w:type="dxa"/>
            <w:shd w:val="clear" w:color="auto" w:fill="B4C6E7"/>
            <w:vAlign w:val="center"/>
          </w:tcPr>
          <w:p>
            <w:pPr>
              <w:jc w:val="center"/>
              <w:rPr>
                <w:rFonts w:ascii="宋体" w:hAnsi="宋体" w:eastAsia="宋体" w:cs="仿宋"/>
                <w:kern w:val="0"/>
                <w:sz w:val="22"/>
                <w:szCs w:val="22"/>
              </w:rPr>
            </w:pPr>
            <w:r>
              <w:rPr>
                <w:rFonts w:hint="eastAsia" w:ascii="宋体" w:hAnsi="宋体" w:eastAsia="宋体" w:cs="仿宋"/>
                <w:b/>
                <w:kern w:val="0"/>
                <w:sz w:val="22"/>
                <w:szCs w:val="22"/>
              </w:rPr>
              <w:t>2025年</w:t>
            </w:r>
          </w:p>
          <w:p>
            <w:pPr>
              <w:jc w:val="center"/>
              <w:rPr>
                <w:rFonts w:ascii="宋体" w:hAnsi="宋体" w:eastAsia="宋体" w:cs="仿宋"/>
                <w:kern w:val="0"/>
                <w:sz w:val="22"/>
                <w:szCs w:val="22"/>
              </w:rPr>
            </w:pPr>
            <w:r>
              <w:rPr>
                <w:rFonts w:hint="eastAsia" w:ascii="宋体" w:hAnsi="宋体" w:eastAsia="宋体" w:cs="仿宋"/>
                <w:b/>
                <w:kern w:val="0"/>
                <w:sz w:val="22"/>
                <w:szCs w:val="22"/>
              </w:rPr>
              <w:t>目标值</w:t>
            </w:r>
          </w:p>
        </w:tc>
        <w:tc>
          <w:tcPr>
            <w:tcW w:w="833" w:type="dxa"/>
            <w:shd w:val="clear" w:color="auto" w:fill="B4C6E7"/>
            <w:vAlign w:val="center"/>
          </w:tcPr>
          <w:p>
            <w:pPr>
              <w:jc w:val="center"/>
              <w:rPr>
                <w:rFonts w:ascii="宋体" w:hAnsi="宋体" w:eastAsia="宋体" w:cs="仿宋"/>
                <w:kern w:val="0"/>
                <w:sz w:val="22"/>
                <w:szCs w:val="22"/>
              </w:rPr>
            </w:pPr>
            <w:r>
              <w:rPr>
                <w:rFonts w:hint="eastAsia" w:ascii="宋体" w:hAnsi="宋体" w:eastAsia="宋体" w:cs="仿宋"/>
                <w:b/>
                <w:kern w:val="0"/>
                <w:sz w:val="22"/>
                <w:szCs w:val="22"/>
              </w:rPr>
              <w:t>指标</w:t>
            </w:r>
          </w:p>
          <w:p>
            <w:pPr>
              <w:jc w:val="center"/>
              <w:rPr>
                <w:rFonts w:ascii="宋体" w:hAnsi="宋体" w:eastAsia="宋体" w:cs="仿宋"/>
                <w:kern w:val="0"/>
                <w:sz w:val="22"/>
                <w:szCs w:val="22"/>
              </w:rPr>
            </w:pPr>
            <w:r>
              <w:rPr>
                <w:rFonts w:hint="eastAsia" w:ascii="宋体" w:hAnsi="宋体" w:eastAsia="宋体" w:cs="仿宋"/>
                <w:b/>
                <w:kern w:val="0"/>
                <w:sz w:val="22"/>
                <w:szCs w:val="22"/>
              </w:rPr>
              <w:t>属性</w:t>
            </w: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10" w:type="dxa"/>
            <w:bottom w:w="0" w:type="dxa"/>
            <w:right w:w="10" w:type="dxa"/>
          </w:tblCellMar>
        </w:tblPrEx>
        <w:trPr>
          <w:trHeight w:val="351" w:hRule="atLeast"/>
        </w:trPr>
        <w:tc>
          <w:tcPr>
            <w:tcW w:w="629" w:type="dxa"/>
            <w:vMerge w:val="restart"/>
            <w:shd w:val="clear" w:color="auto" w:fill="DCF3F8"/>
            <w:vAlign w:val="center"/>
          </w:tcPr>
          <w:p>
            <w:pPr>
              <w:jc w:val="center"/>
              <w:rPr>
                <w:rFonts w:ascii="宋体" w:hAnsi="宋体" w:eastAsia="宋体" w:cs="仿宋"/>
                <w:b/>
                <w:bCs/>
                <w:kern w:val="0"/>
                <w:sz w:val="22"/>
                <w:szCs w:val="22"/>
              </w:rPr>
            </w:pPr>
            <w:r>
              <w:rPr>
                <w:rFonts w:hint="eastAsia" w:ascii="宋体" w:hAnsi="宋体" w:eastAsia="宋体" w:cs="仿宋"/>
                <w:b/>
                <w:bCs/>
                <w:kern w:val="0"/>
                <w:sz w:val="22"/>
                <w:szCs w:val="22"/>
              </w:rPr>
              <w:t>老年社会保障</w:t>
            </w:r>
          </w:p>
        </w:tc>
        <w:tc>
          <w:tcPr>
            <w:tcW w:w="515" w:type="dxa"/>
            <w:shd w:val="clear" w:color="auto" w:fill="DCF3F8"/>
            <w:vAlign w:val="center"/>
          </w:tcPr>
          <w:p>
            <w:pPr>
              <w:jc w:val="center"/>
              <w:rPr>
                <w:rFonts w:ascii="宋体" w:hAnsi="宋体" w:eastAsia="宋体" w:cs="仿宋"/>
                <w:kern w:val="0"/>
                <w:sz w:val="22"/>
                <w:szCs w:val="22"/>
              </w:rPr>
            </w:pPr>
            <w:r>
              <w:rPr>
                <w:rFonts w:hint="eastAsia" w:ascii="宋体" w:hAnsi="宋体" w:eastAsia="宋体" w:cs="仿宋"/>
                <w:kern w:val="0"/>
                <w:sz w:val="22"/>
                <w:szCs w:val="22"/>
              </w:rPr>
              <w:t>1</w:t>
            </w:r>
          </w:p>
        </w:tc>
        <w:tc>
          <w:tcPr>
            <w:tcW w:w="3919" w:type="dxa"/>
            <w:shd w:val="clear" w:color="auto" w:fill="DCF3F8"/>
            <w:vAlign w:val="center"/>
          </w:tcPr>
          <w:p>
            <w:pPr>
              <w:rPr>
                <w:rFonts w:ascii="宋体" w:hAnsi="宋体" w:eastAsia="宋体" w:cs="仿宋"/>
                <w:kern w:val="0"/>
                <w:sz w:val="22"/>
                <w:szCs w:val="22"/>
                <w:lang w:eastAsia="zh-Hans"/>
              </w:rPr>
            </w:pPr>
            <w:r>
              <w:rPr>
                <w:rFonts w:hint="eastAsia" w:ascii="宋体" w:hAnsi="宋体" w:eastAsia="宋体" w:cs="宋体"/>
                <w:kern w:val="0"/>
                <w:sz w:val="22"/>
                <w:szCs w:val="22"/>
                <w:lang w:bidi="ar"/>
              </w:rPr>
              <w:t>基本养老保险参保率</w:t>
            </w:r>
            <w:r>
              <w:rPr>
                <w:rStyle w:val="27"/>
                <w:rFonts w:hint="eastAsia" w:ascii="宋体" w:hAnsi="宋体" w:eastAsia="宋体" w:cs="宋体"/>
                <w:kern w:val="0"/>
                <w:sz w:val="22"/>
                <w:szCs w:val="22"/>
                <w:lang w:bidi="ar"/>
              </w:rPr>
              <w:footnoteReference w:id="9"/>
            </w:r>
          </w:p>
        </w:tc>
        <w:tc>
          <w:tcPr>
            <w:tcW w:w="1036" w:type="dxa"/>
            <w:shd w:val="clear" w:color="auto" w:fill="DCF3F8"/>
            <w:vAlign w:val="center"/>
          </w:tcPr>
          <w:p>
            <w:pPr>
              <w:rPr>
                <w:rFonts w:ascii="宋体" w:hAnsi="宋体" w:eastAsia="宋体" w:cs="仿宋"/>
                <w:kern w:val="0"/>
                <w:sz w:val="22"/>
                <w:szCs w:val="22"/>
              </w:rPr>
            </w:pPr>
          </w:p>
        </w:tc>
        <w:tc>
          <w:tcPr>
            <w:tcW w:w="1394" w:type="dxa"/>
            <w:shd w:val="clear" w:color="auto" w:fill="DCF3F8"/>
            <w:vAlign w:val="center"/>
          </w:tcPr>
          <w:p>
            <w:pPr>
              <w:rPr>
                <w:rFonts w:ascii="宋体" w:hAnsi="宋体" w:eastAsia="宋体" w:cs="仿宋"/>
                <w:kern w:val="0"/>
                <w:sz w:val="22"/>
                <w:szCs w:val="22"/>
                <w:lang w:eastAsia="zh-Hans"/>
              </w:rPr>
            </w:pPr>
            <w:r>
              <w:rPr>
                <w:rFonts w:hint="eastAsia" w:ascii="宋体" w:hAnsi="宋体" w:eastAsia="宋体" w:cs="宋体"/>
                <w:sz w:val="22"/>
                <w:szCs w:val="22"/>
              </w:rPr>
              <w:t>100%</w:t>
            </w:r>
          </w:p>
        </w:tc>
        <w:tc>
          <w:tcPr>
            <w:tcW w:w="833" w:type="dxa"/>
            <w:shd w:val="clear" w:color="auto" w:fill="DCF3F8"/>
            <w:vAlign w:val="center"/>
          </w:tcPr>
          <w:p>
            <w:pPr>
              <w:rPr>
                <w:rFonts w:ascii="宋体" w:hAnsi="宋体" w:eastAsia="宋体" w:cs="仿宋"/>
                <w:kern w:val="0"/>
                <w:sz w:val="22"/>
                <w:szCs w:val="22"/>
                <w:lang w:eastAsia="zh-Hans"/>
              </w:rPr>
            </w:pPr>
            <w:r>
              <w:rPr>
                <w:rFonts w:hint="eastAsia" w:ascii="宋体" w:hAnsi="宋体" w:eastAsia="宋体" w:cs="宋体"/>
                <w:sz w:val="22"/>
                <w:szCs w:val="22"/>
              </w:rPr>
              <w:t>约束性</w:t>
            </w: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10" w:type="dxa"/>
            <w:bottom w:w="0" w:type="dxa"/>
            <w:right w:w="10" w:type="dxa"/>
          </w:tblCellMar>
        </w:tblPrEx>
        <w:trPr>
          <w:trHeight w:val="270" w:hRule="atLeast"/>
        </w:trPr>
        <w:tc>
          <w:tcPr>
            <w:tcW w:w="629" w:type="dxa"/>
            <w:vMerge w:val="continue"/>
            <w:shd w:val="clear" w:color="auto" w:fill="DCF3F8"/>
            <w:vAlign w:val="center"/>
          </w:tcPr>
          <w:p>
            <w:pPr>
              <w:jc w:val="center"/>
              <w:rPr>
                <w:rFonts w:ascii="宋体" w:hAnsi="宋体" w:eastAsia="宋体" w:cs="仿宋"/>
                <w:b/>
                <w:bCs/>
                <w:kern w:val="0"/>
                <w:sz w:val="22"/>
                <w:szCs w:val="22"/>
              </w:rPr>
            </w:pPr>
          </w:p>
        </w:tc>
        <w:tc>
          <w:tcPr>
            <w:tcW w:w="515" w:type="dxa"/>
            <w:shd w:val="clear" w:color="auto" w:fill="DCF3F8"/>
            <w:vAlign w:val="center"/>
          </w:tcPr>
          <w:p>
            <w:pPr>
              <w:jc w:val="center"/>
              <w:rPr>
                <w:rFonts w:ascii="宋体" w:hAnsi="宋体" w:eastAsia="宋体" w:cs="仿宋"/>
                <w:kern w:val="0"/>
                <w:sz w:val="22"/>
                <w:szCs w:val="22"/>
              </w:rPr>
            </w:pPr>
            <w:r>
              <w:rPr>
                <w:rFonts w:hint="eastAsia" w:ascii="宋体" w:hAnsi="宋体" w:eastAsia="宋体" w:cs="仿宋"/>
                <w:kern w:val="0"/>
                <w:sz w:val="22"/>
                <w:szCs w:val="22"/>
              </w:rPr>
              <w:t>2</w:t>
            </w:r>
          </w:p>
        </w:tc>
        <w:tc>
          <w:tcPr>
            <w:tcW w:w="3919" w:type="dxa"/>
            <w:shd w:val="clear" w:color="auto" w:fill="DCF3F8"/>
            <w:vAlign w:val="center"/>
          </w:tcPr>
          <w:p>
            <w:pPr>
              <w:rPr>
                <w:rFonts w:ascii="宋体" w:hAnsi="宋体" w:eastAsia="宋体" w:cs="仿宋"/>
                <w:kern w:val="0"/>
                <w:sz w:val="22"/>
                <w:szCs w:val="22"/>
                <w:lang w:eastAsia="zh-Hans"/>
              </w:rPr>
            </w:pPr>
            <w:r>
              <w:rPr>
                <w:rFonts w:hint="eastAsia" w:ascii="宋体" w:hAnsi="宋体" w:eastAsia="宋体" w:cs="宋体"/>
                <w:kern w:val="0"/>
                <w:sz w:val="22"/>
                <w:szCs w:val="22"/>
                <w:lang w:bidi="ar"/>
              </w:rPr>
              <w:t>基本医疗保险参保率</w:t>
            </w:r>
            <w:r>
              <w:rPr>
                <w:rStyle w:val="27"/>
                <w:rFonts w:hint="eastAsia" w:ascii="宋体" w:hAnsi="宋体" w:eastAsia="宋体" w:cs="宋体"/>
                <w:kern w:val="0"/>
                <w:sz w:val="22"/>
                <w:szCs w:val="22"/>
                <w:lang w:bidi="ar"/>
              </w:rPr>
              <w:footnoteReference w:id="10"/>
            </w:r>
          </w:p>
        </w:tc>
        <w:tc>
          <w:tcPr>
            <w:tcW w:w="1036" w:type="dxa"/>
            <w:shd w:val="clear" w:color="auto" w:fill="DCF3F8"/>
            <w:vAlign w:val="center"/>
          </w:tcPr>
          <w:p>
            <w:pPr>
              <w:rPr>
                <w:rFonts w:ascii="宋体" w:hAnsi="宋体" w:eastAsia="宋体" w:cs="仿宋"/>
                <w:kern w:val="0"/>
                <w:sz w:val="22"/>
                <w:szCs w:val="22"/>
              </w:rPr>
            </w:pPr>
          </w:p>
        </w:tc>
        <w:tc>
          <w:tcPr>
            <w:tcW w:w="1394" w:type="dxa"/>
            <w:shd w:val="clear" w:color="auto" w:fill="DCF3F8"/>
            <w:vAlign w:val="center"/>
          </w:tcPr>
          <w:p>
            <w:pPr>
              <w:rPr>
                <w:rFonts w:ascii="宋体" w:hAnsi="宋体" w:eastAsia="宋体" w:cs="仿宋"/>
                <w:kern w:val="0"/>
                <w:sz w:val="22"/>
                <w:szCs w:val="22"/>
              </w:rPr>
            </w:pPr>
            <w:r>
              <w:rPr>
                <w:rFonts w:hint="eastAsia" w:ascii="宋体" w:hAnsi="宋体" w:eastAsia="宋体" w:cs="宋体"/>
                <w:sz w:val="22"/>
                <w:szCs w:val="22"/>
              </w:rPr>
              <w:t>制度和人群全覆盖</w:t>
            </w:r>
          </w:p>
        </w:tc>
        <w:tc>
          <w:tcPr>
            <w:tcW w:w="833" w:type="dxa"/>
            <w:shd w:val="clear" w:color="auto" w:fill="DCF3F8"/>
            <w:vAlign w:val="center"/>
          </w:tcPr>
          <w:p>
            <w:pPr>
              <w:rPr>
                <w:rFonts w:ascii="宋体" w:hAnsi="宋体" w:eastAsia="宋体" w:cs="仿宋"/>
                <w:kern w:val="0"/>
                <w:sz w:val="22"/>
                <w:szCs w:val="22"/>
                <w:lang w:eastAsia="zh-Hans"/>
              </w:rPr>
            </w:pPr>
            <w:r>
              <w:rPr>
                <w:rFonts w:hint="eastAsia" w:ascii="宋体" w:hAnsi="宋体" w:eastAsia="宋体" w:cs="宋体"/>
                <w:sz w:val="22"/>
                <w:szCs w:val="22"/>
              </w:rPr>
              <w:t>约束性</w:t>
            </w: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10" w:type="dxa"/>
            <w:bottom w:w="0" w:type="dxa"/>
            <w:right w:w="10" w:type="dxa"/>
          </w:tblCellMar>
        </w:tblPrEx>
        <w:trPr>
          <w:trHeight w:val="361" w:hRule="atLeast"/>
        </w:trPr>
        <w:tc>
          <w:tcPr>
            <w:tcW w:w="629" w:type="dxa"/>
            <w:vMerge w:val="continue"/>
            <w:shd w:val="clear" w:color="auto" w:fill="DCF3F8"/>
            <w:vAlign w:val="center"/>
          </w:tcPr>
          <w:p>
            <w:pPr>
              <w:jc w:val="center"/>
              <w:rPr>
                <w:rFonts w:ascii="宋体" w:hAnsi="宋体" w:eastAsia="宋体" w:cs="仿宋"/>
                <w:b/>
                <w:bCs/>
                <w:kern w:val="0"/>
                <w:sz w:val="22"/>
                <w:szCs w:val="22"/>
              </w:rPr>
            </w:pPr>
          </w:p>
        </w:tc>
        <w:tc>
          <w:tcPr>
            <w:tcW w:w="515" w:type="dxa"/>
            <w:shd w:val="clear" w:color="auto" w:fill="DCF3F8"/>
            <w:vAlign w:val="center"/>
          </w:tcPr>
          <w:p>
            <w:pPr>
              <w:jc w:val="center"/>
              <w:rPr>
                <w:rFonts w:ascii="宋体" w:hAnsi="宋体" w:eastAsia="宋体" w:cs="仿宋"/>
                <w:kern w:val="0"/>
                <w:sz w:val="22"/>
                <w:szCs w:val="22"/>
              </w:rPr>
            </w:pPr>
            <w:r>
              <w:rPr>
                <w:rFonts w:hint="eastAsia" w:ascii="宋体" w:hAnsi="宋体" w:eastAsia="宋体" w:cs="仿宋"/>
                <w:kern w:val="0"/>
                <w:sz w:val="22"/>
                <w:szCs w:val="22"/>
              </w:rPr>
              <w:t>3</w:t>
            </w:r>
          </w:p>
        </w:tc>
        <w:tc>
          <w:tcPr>
            <w:tcW w:w="3919" w:type="dxa"/>
            <w:shd w:val="clear" w:color="auto" w:fill="DCF3F8"/>
            <w:vAlign w:val="center"/>
          </w:tcPr>
          <w:p>
            <w:pPr>
              <w:rPr>
                <w:rFonts w:ascii="宋体" w:hAnsi="宋体" w:eastAsia="宋体" w:cs="仿宋"/>
                <w:kern w:val="0"/>
                <w:sz w:val="22"/>
                <w:szCs w:val="22"/>
                <w:lang w:eastAsia="zh-Hans"/>
              </w:rPr>
            </w:pPr>
            <w:r>
              <w:rPr>
                <w:rFonts w:hint="eastAsia" w:ascii="宋体" w:hAnsi="宋体" w:eastAsia="宋体" w:cs="宋体"/>
                <w:kern w:val="0"/>
                <w:sz w:val="22"/>
                <w:szCs w:val="22"/>
                <w:lang w:bidi="ar"/>
              </w:rPr>
              <w:t>长期护理保险</w:t>
            </w:r>
            <w:r>
              <w:rPr>
                <w:rFonts w:hint="eastAsia" w:ascii="宋体" w:hAnsi="宋体" w:eastAsia="宋体" w:cs="宋体"/>
                <w:color w:val="0000FF"/>
                <w:kern w:val="0"/>
                <w:sz w:val="22"/>
                <w:szCs w:val="22"/>
                <w:lang w:val="en-US" w:eastAsia="zh-CN" w:bidi="ar"/>
              </w:rPr>
              <w:t>制度</w:t>
            </w:r>
          </w:p>
        </w:tc>
        <w:tc>
          <w:tcPr>
            <w:tcW w:w="1036" w:type="dxa"/>
            <w:shd w:val="clear" w:color="auto" w:fill="DCF3F8"/>
            <w:vAlign w:val="center"/>
          </w:tcPr>
          <w:p>
            <w:pPr>
              <w:rPr>
                <w:rFonts w:ascii="宋体" w:hAnsi="宋体" w:eastAsia="宋体" w:cs="仿宋"/>
                <w:kern w:val="0"/>
                <w:sz w:val="22"/>
                <w:szCs w:val="22"/>
              </w:rPr>
            </w:pPr>
          </w:p>
        </w:tc>
        <w:tc>
          <w:tcPr>
            <w:tcW w:w="1394" w:type="dxa"/>
            <w:shd w:val="clear" w:color="auto" w:fill="DCF3F8"/>
            <w:vAlign w:val="center"/>
          </w:tcPr>
          <w:p>
            <w:pPr>
              <w:rPr>
                <w:rFonts w:ascii="宋体" w:hAnsi="宋体" w:eastAsia="宋体" w:cs="仿宋"/>
                <w:color w:val="0000FF"/>
                <w:kern w:val="0"/>
                <w:sz w:val="22"/>
                <w:szCs w:val="22"/>
              </w:rPr>
            </w:pPr>
            <w:r>
              <w:rPr>
                <w:rFonts w:hint="eastAsia" w:ascii="宋体" w:hAnsi="宋体" w:eastAsia="宋体" w:cs="仿宋"/>
                <w:color w:val="0000FF"/>
                <w:kern w:val="0"/>
                <w:sz w:val="22"/>
                <w:szCs w:val="22"/>
                <w:lang w:val="en-US" w:eastAsia="zh-CN"/>
              </w:rPr>
              <w:t>建立</w:t>
            </w:r>
          </w:p>
        </w:tc>
        <w:tc>
          <w:tcPr>
            <w:tcW w:w="833" w:type="dxa"/>
            <w:shd w:val="clear" w:color="auto" w:fill="DCF3F8"/>
            <w:vAlign w:val="center"/>
          </w:tcPr>
          <w:p>
            <w:pPr>
              <w:rPr>
                <w:rFonts w:hint="default" w:ascii="宋体" w:hAnsi="宋体" w:eastAsia="宋体" w:cs="仿宋"/>
                <w:color w:val="0000FF"/>
                <w:kern w:val="0"/>
                <w:sz w:val="22"/>
                <w:szCs w:val="22"/>
                <w:lang w:val="en-US" w:eastAsia="zh-CN"/>
              </w:rPr>
            </w:pPr>
            <w:r>
              <w:rPr>
                <w:rFonts w:hint="eastAsia" w:ascii="宋体" w:hAnsi="宋体" w:eastAsia="宋体" w:cs="仿宋"/>
                <w:color w:val="0000FF"/>
                <w:kern w:val="0"/>
                <w:sz w:val="22"/>
                <w:szCs w:val="22"/>
                <w:lang w:val="en-US" w:eastAsia="zh-CN"/>
              </w:rPr>
              <w:t>预期性</w:t>
            </w: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10" w:type="dxa"/>
            <w:bottom w:w="0" w:type="dxa"/>
            <w:right w:w="10" w:type="dxa"/>
          </w:tblCellMar>
        </w:tblPrEx>
        <w:trPr>
          <w:trHeight w:val="384" w:hRule="atLeast"/>
        </w:trPr>
        <w:tc>
          <w:tcPr>
            <w:tcW w:w="629" w:type="dxa"/>
            <w:vMerge w:val="continue"/>
            <w:shd w:val="clear" w:color="auto" w:fill="DCF3F8"/>
            <w:vAlign w:val="center"/>
          </w:tcPr>
          <w:p>
            <w:pPr>
              <w:jc w:val="center"/>
              <w:rPr>
                <w:rFonts w:ascii="宋体" w:hAnsi="宋体" w:eastAsia="宋体" w:cs="仿宋"/>
                <w:b/>
                <w:bCs/>
                <w:kern w:val="0"/>
                <w:sz w:val="22"/>
                <w:szCs w:val="22"/>
              </w:rPr>
            </w:pPr>
          </w:p>
        </w:tc>
        <w:tc>
          <w:tcPr>
            <w:tcW w:w="515" w:type="dxa"/>
            <w:shd w:val="clear" w:color="auto" w:fill="DCF3F8"/>
            <w:vAlign w:val="center"/>
          </w:tcPr>
          <w:p>
            <w:pPr>
              <w:jc w:val="center"/>
              <w:rPr>
                <w:rFonts w:ascii="宋体" w:hAnsi="宋体" w:eastAsia="宋体" w:cs="仿宋"/>
                <w:kern w:val="0"/>
                <w:sz w:val="22"/>
                <w:szCs w:val="22"/>
              </w:rPr>
            </w:pPr>
            <w:r>
              <w:rPr>
                <w:rFonts w:hint="eastAsia" w:ascii="宋体" w:hAnsi="宋体" w:eastAsia="宋体" w:cs="仿宋"/>
                <w:kern w:val="0"/>
                <w:sz w:val="22"/>
                <w:szCs w:val="22"/>
              </w:rPr>
              <w:t>4</w:t>
            </w:r>
          </w:p>
        </w:tc>
        <w:tc>
          <w:tcPr>
            <w:tcW w:w="3919" w:type="dxa"/>
            <w:shd w:val="clear" w:color="auto" w:fill="DCF3F8"/>
            <w:vAlign w:val="center"/>
          </w:tcPr>
          <w:p>
            <w:pPr>
              <w:rPr>
                <w:rFonts w:ascii="宋体" w:hAnsi="宋体" w:eastAsia="宋体" w:cs="宋体"/>
                <w:kern w:val="0"/>
                <w:sz w:val="22"/>
                <w:szCs w:val="22"/>
                <w:lang w:bidi="ar"/>
              </w:rPr>
            </w:pPr>
            <w:r>
              <w:rPr>
                <w:rFonts w:hint="eastAsia" w:ascii="宋体" w:hAnsi="宋体" w:eastAsia="宋体" w:cs="宋体"/>
                <w:szCs w:val="21"/>
              </w:rPr>
              <w:t>生活不能自理和有集中供养需要的特困对象集中供养率</w:t>
            </w:r>
            <w:r>
              <w:rPr>
                <w:rStyle w:val="27"/>
                <w:rFonts w:hint="eastAsia" w:ascii="宋体" w:hAnsi="宋体" w:eastAsia="宋体" w:cs="宋体"/>
                <w:kern w:val="0"/>
                <w:sz w:val="22"/>
                <w:szCs w:val="22"/>
                <w:lang w:bidi="ar"/>
              </w:rPr>
              <w:footnoteReference w:id="11"/>
            </w:r>
          </w:p>
        </w:tc>
        <w:tc>
          <w:tcPr>
            <w:tcW w:w="1036" w:type="dxa"/>
            <w:shd w:val="clear" w:color="auto" w:fill="DCF3F8"/>
            <w:vAlign w:val="center"/>
          </w:tcPr>
          <w:p>
            <w:pPr>
              <w:rPr>
                <w:rFonts w:ascii="宋体" w:hAnsi="宋体" w:eastAsia="宋体" w:cs="仿宋"/>
                <w:kern w:val="0"/>
                <w:sz w:val="22"/>
                <w:szCs w:val="22"/>
              </w:rPr>
            </w:pPr>
          </w:p>
        </w:tc>
        <w:tc>
          <w:tcPr>
            <w:tcW w:w="1394" w:type="dxa"/>
            <w:shd w:val="clear" w:color="auto" w:fill="DCF3F8"/>
            <w:vAlign w:val="center"/>
          </w:tcPr>
          <w:p>
            <w:pPr>
              <w:rPr>
                <w:rFonts w:ascii="宋体" w:hAnsi="宋体" w:eastAsia="宋体" w:cs="宋体"/>
                <w:sz w:val="22"/>
                <w:szCs w:val="22"/>
              </w:rPr>
            </w:pPr>
            <w:r>
              <w:rPr>
                <w:rFonts w:hint="eastAsia" w:ascii="宋体" w:hAnsi="宋体" w:eastAsia="宋体" w:cs="宋体"/>
                <w:sz w:val="22"/>
                <w:szCs w:val="22"/>
              </w:rPr>
              <w:t>100%</w:t>
            </w:r>
          </w:p>
        </w:tc>
        <w:tc>
          <w:tcPr>
            <w:tcW w:w="833" w:type="dxa"/>
            <w:shd w:val="clear" w:color="auto" w:fill="DCF3F8"/>
            <w:vAlign w:val="center"/>
          </w:tcPr>
          <w:p>
            <w:pPr>
              <w:rPr>
                <w:rFonts w:ascii="宋体" w:hAnsi="宋体" w:eastAsia="宋体" w:cs="宋体"/>
                <w:sz w:val="22"/>
                <w:szCs w:val="22"/>
              </w:rPr>
            </w:pPr>
            <w:r>
              <w:rPr>
                <w:rFonts w:hint="eastAsia" w:ascii="宋体" w:hAnsi="宋体" w:eastAsia="宋体" w:cs="宋体"/>
                <w:sz w:val="22"/>
                <w:szCs w:val="22"/>
              </w:rPr>
              <w:t>约束性</w:t>
            </w: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10" w:type="dxa"/>
            <w:bottom w:w="0" w:type="dxa"/>
            <w:right w:w="10" w:type="dxa"/>
          </w:tblCellMar>
        </w:tblPrEx>
        <w:trPr>
          <w:trHeight w:val="335" w:hRule="atLeast"/>
        </w:trPr>
        <w:tc>
          <w:tcPr>
            <w:tcW w:w="629" w:type="dxa"/>
            <w:vMerge w:val="restart"/>
            <w:shd w:val="clear" w:color="auto" w:fill="DCF3F8"/>
            <w:vAlign w:val="center"/>
          </w:tcPr>
          <w:p>
            <w:pPr>
              <w:jc w:val="center"/>
              <w:rPr>
                <w:rFonts w:ascii="宋体" w:hAnsi="宋体" w:eastAsia="宋体" w:cs="仿宋"/>
                <w:b/>
                <w:bCs/>
                <w:kern w:val="0"/>
                <w:sz w:val="22"/>
                <w:szCs w:val="22"/>
              </w:rPr>
            </w:pPr>
            <w:r>
              <w:rPr>
                <w:rFonts w:hint="eastAsia" w:ascii="宋体" w:hAnsi="宋体" w:eastAsia="宋体" w:cs="仿宋"/>
                <w:b/>
                <w:bCs/>
                <w:kern w:val="0"/>
                <w:sz w:val="22"/>
                <w:szCs w:val="22"/>
              </w:rPr>
              <w:t>服务</w:t>
            </w:r>
          </w:p>
          <w:p>
            <w:pPr>
              <w:jc w:val="center"/>
              <w:rPr>
                <w:rFonts w:ascii="宋体" w:hAnsi="宋体" w:eastAsia="宋体" w:cs="仿宋"/>
                <w:b/>
                <w:bCs/>
                <w:kern w:val="0"/>
                <w:sz w:val="22"/>
                <w:szCs w:val="22"/>
              </w:rPr>
            </w:pPr>
            <w:r>
              <w:rPr>
                <w:rFonts w:hint="eastAsia" w:ascii="宋体" w:hAnsi="宋体" w:eastAsia="宋体" w:cs="仿宋"/>
                <w:b/>
                <w:bCs/>
                <w:kern w:val="0"/>
                <w:sz w:val="22"/>
                <w:szCs w:val="22"/>
              </w:rPr>
              <w:t>体系</w:t>
            </w:r>
          </w:p>
        </w:tc>
        <w:tc>
          <w:tcPr>
            <w:tcW w:w="515" w:type="dxa"/>
            <w:shd w:val="clear" w:color="auto" w:fill="DCF3F8"/>
            <w:vAlign w:val="center"/>
          </w:tcPr>
          <w:p>
            <w:pPr>
              <w:jc w:val="center"/>
              <w:rPr>
                <w:rFonts w:ascii="宋体" w:hAnsi="宋体" w:eastAsia="宋体" w:cs="仿宋"/>
                <w:kern w:val="0"/>
                <w:sz w:val="22"/>
                <w:szCs w:val="22"/>
              </w:rPr>
            </w:pPr>
            <w:r>
              <w:rPr>
                <w:rFonts w:hint="eastAsia" w:ascii="宋体" w:hAnsi="宋体" w:eastAsia="宋体" w:cs="仿宋"/>
                <w:kern w:val="0"/>
                <w:sz w:val="22"/>
                <w:szCs w:val="22"/>
              </w:rPr>
              <w:t>5</w:t>
            </w:r>
          </w:p>
        </w:tc>
        <w:tc>
          <w:tcPr>
            <w:tcW w:w="3919" w:type="dxa"/>
            <w:shd w:val="clear" w:color="auto" w:fill="DCF3F8"/>
            <w:vAlign w:val="center"/>
          </w:tcPr>
          <w:p>
            <w:pPr>
              <w:rPr>
                <w:rFonts w:ascii="宋体" w:hAnsi="宋体" w:eastAsia="宋体" w:cs="仿宋"/>
                <w:kern w:val="0"/>
                <w:sz w:val="22"/>
                <w:szCs w:val="22"/>
                <w:lang w:eastAsia="zh-Hans"/>
              </w:rPr>
            </w:pPr>
            <w:r>
              <w:rPr>
                <w:rFonts w:hint="eastAsia" w:ascii="宋体" w:hAnsi="宋体" w:eastAsia="宋体" w:cs="宋体"/>
                <w:kern w:val="0"/>
                <w:sz w:val="22"/>
                <w:szCs w:val="22"/>
                <w:lang w:bidi="ar"/>
              </w:rPr>
              <w:t>居家社区养老服务覆盖率</w:t>
            </w:r>
            <w:r>
              <w:rPr>
                <w:rStyle w:val="27"/>
                <w:rFonts w:hint="eastAsia" w:ascii="宋体" w:hAnsi="宋体" w:eastAsia="宋体" w:cs="宋体"/>
                <w:kern w:val="0"/>
                <w:sz w:val="22"/>
                <w:szCs w:val="22"/>
                <w:lang w:bidi="ar"/>
              </w:rPr>
              <w:footnoteReference w:id="12"/>
            </w:r>
          </w:p>
        </w:tc>
        <w:tc>
          <w:tcPr>
            <w:tcW w:w="1036" w:type="dxa"/>
            <w:shd w:val="clear" w:color="auto" w:fill="DCF3F8"/>
            <w:vAlign w:val="center"/>
          </w:tcPr>
          <w:p>
            <w:pPr>
              <w:rPr>
                <w:rFonts w:ascii="宋体" w:hAnsi="宋体" w:eastAsia="宋体" w:cs="仿宋"/>
                <w:kern w:val="0"/>
                <w:sz w:val="22"/>
                <w:szCs w:val="22"/>
              </w:rPr>
            </w:pPr>
          </w:p>
        </w:tc>
        <w:tc>
          <w:tcPr>
            <w:tcW w:w="1394" w:type="dxa"/>
            <w:shd w:val="clear" w:color="auto" w:fill="DCF3F8"/>
            <w:vAlign w:val="center"/>
          </w:tcPr>
          <w:p>
            <w:pPr>
              <w:rPr>
                <w:rFonts w:ascii="宋体" w:hAnsi="宋体" w:eastAsia="宋体" w:cs="仿宋"/>
                <w:kern w:val="0"/>
                <w:sz w:val="22"/>
                <w:szCs w:val="22"/>
                <w:lang w:eastAsia="zh-Hans"/>
              </w:rPr>
            </w:pPr>
            <w:r>
              <w:rPr>
                <w:rFonts w:hint="eastAsia" w:ascii="宋体" w:hAnsi="宋体" w:eastAsia="宋体" w:cs="宋体"/>
                <w:sz w:val="22"/>
                <w:szCs w:val="22"/>
              </w:rPr>
              <w:t>100%</w:t>
            </w:r>
          </w:p>
        </w:tc>
        <w:tc>
          <w:tcPr>
            <w:tcW w:w="833" w:type="dxa"/>
            <w:shd w:val="clear" w:color="auto" w:fill="DCF3F8"/>
            <w:vAlign w:val="center"/>
          </w:tcPr>
          <w:p>
            <w:pPr>
              <w:rPr>
                <w:rFonts w:ascii="宋体" w:hAnsi="宋体" w:eastAsia="宋体" w:cs="仿宋"/>
                <w:kern w:val="0"/>
                <w:sz w:val="22"/>
                <w:szCs w:val="22"/>
                <w:lang w:eastAsia="zh-Hans"/>
              </w:rPr>
            </w:pPr>
            <w:r>
              <w:rPr>
                <w:rFonts w:hint="eastAsia" w:ascii="宋体" w:hAnsi="宋体" w:eastAsia="宋体" w:cs="宋体"/>
                <w:sz w:val="22"/>
                <w:szCs w:val="22"/>
              </w:rPr>
              <w:t>约束性</w:t>
            </w: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10" w:type="dxa"/>
            <w:bottom w:w="0" w:type="dxa"/>
            <w:right w:w="10" w:type="dxa"/>
          </w:tblCellMar>
        </w:tblPrEx>
        <w:trPr>
          <w:trHeight w:val="416" w:hRule="atLeast"/>
        </w:trPr>
        <w:tc>
          <w:tcPr>
            <w:tcW w:w="629" w:type="dxa"/>
            <w:vMerge w:val="continue"/>
            <w:shd w:val="clear" w:color="auto" w:fill="DCF3F8"/>
            <w:vAlign w:val="center"/>
          </w:tcPr>
          <w:p>
            <w:pPr>
              <w:jc w:val="center"/>
              <w:rPr>
                <w:rFonts w:ascii="宋体" w:hAnsi="宋体" w:eastAsia="宋体" w:cs="仿宋"/>
                <w:b/>
                <w:bCs/>
                <w:kern w:val="0"/>
                <w:sz w:val="22"/>
                <w:szCs w:val="22"/>
              </w:rPr>
            </w:pPr>
          </w:p>
        </w:tc>
        <w:tc>
          <w:tcPr>
            <w:tcW w:w="515" w:type="dxa"/>
            <w:shd w:val="clear" w:color="auto" w:fill="DCF3F8"/>
            <w:vAlign w:val="center"/>
          </w:tcPr>
          <w:p>
            <w:pPr>
              <w:jc w:val="center"/>
              <w:rPr>
                <w:rFonts w:ascii="宋体" w:hAnsi="宋体" w:eastAsia="宋体" w:cs="仿宋"/>
                <w:kern w:val="0"/>
                <w:sz w:val="22"/>
                <w:szCs w:val="22"/>
              </w:rPr>
            </w:pPr>
            <w:r>
              <w:rPr>
                <w:rFonts w:hint="eastAsia" w:ascii="宋体" w:hAnsi="宋体" w:eastAsia="宋体" w:cs="仿宋"/>
                <w:kern w:val="0"/>
                <w:sz w:val="22"/>
                <w:szCs w:val="22"/>
              </w:rPr>
              <w:t>6</w:t>
            </w:r>
          </w:p>
        </w:tc>
        <w:tc>
          <w:tcPr>
            <w:tcW w:w="3919" w:type="dxa"/>
            <w:shd w:val="clear" w:color="auto" w:fill="DCF3F8"/>
            <w:vAlign w:val="center"/>
          </w:tcPr>
          <w:p>
            <w:pPr>
              <w:rPr>
                <w:rFonts w:ascii="宋体" w:hAnsi="宋体" w:eastAsia="宋体" w:cs="仿宋"/>
                <w:kern w:val="0"/>
                <w:sz w:val="22"/>
                <w:szCs w:val="22"/>
                <w:lang w:eastAsia="zh-Hans"/>
              </w:rPr>
            </w:pPr>
            <w:r>
              <w:rPr>
                <w:rFonts w:hint="eastAsia" w:ascii="宋体" w:hAnsi="宋体" w:eastAsia="宋体" w:cs="宋体"/>
                <w:kern w:val="0"/>
                <w:sz w:val="22"/>
                <w:szCs w:val="22"/>
                <w:lang w:bidi="ar"/>
              </w:rPr>
              <w:t>镇街道养老照料中心覆盖率</w:t>
            </w:r>
            <w:r>
              <w:rPr>
                <w:rStyle w:val="27"/>
                <w:rFonts w:hint="eastAsia" w:ascii="宋体" w:hAnsi="宋体" w:eastAsia="宋体" w:cs="宋体"/>
                <w:kern w:val="0"/>
                <w:sz w:val="22"/>
                <w:szCs w:val="22"/>
                <w:lang w:bidi="ar"/>
              </w:rPr>
              <w:footnoteReference w:id="13"/>
            </w:r>
          </w:p>
        </w:tc>
        <w:tc>
          <w:tcPr>
            <w:tcW w:w="1036" w:type="dxa"/>
            <w:shd w:val="clear" w:color="auto" w:fill="DCF3F8"/>
            <w:vAlign w:val="center"/>
          </w:tcPr>
          <w:p>
            <w:pPr>
              <w:rPr>
                <w:rFonts w:ascii="宋体" w:hAnsi="宋体" w:eastAsia="宋体" w:cs="仿宋"/>
                <w:kern w:val="0"/>
                <w:sz w:val="22"/>
                <w:szCs w:val="22"/>
              </w:rPr>
            </w:pPr>
            <w:r>
              <w:rPr>
                <w:rFonts w:hint="eastAsia" w:ascii="宋体" w:hAnsi="宋体" w:eastAsia="宋体" w:cs="仿宋"/>
                <w:kern w:val="0"/>
                <w:sz w:val="22"/>
                <w:szCs w:val="22"/>
              </w:rPr>
              <w:t>3</w:t>
            </w:r>
            <w:r>
              <w:rPr>
                <w:rFonts w:ascii="宋体" w:hAnsi="宋体" w:eastAsia="宋体" w:cs="仿宋"/>
                <w:kern w:val="0"/>
                <w:sz w:val="22"/>
                <w:szCs w:val="22"/>
              </w:rPr>
              <w:t>0%</w:t>
            </w:r>
          </w:p>
        </w:tc>
        <w:tc>
          <w:tcPr>
            <w:tcW w:w="1394" w:type="dxa"/>
            <w:shd w:val="clear" w:color="auto" w:fill="DCF3F8"/>
            <w:vAlign w:val="center"/>
          </w:tcPr>
          <w:p>
            <w:pPr>
              <w:rPr>
                <w:rFonts w:ascii="宋体" w:hAnsi="宋体" w:eastAsia="宋体" w:cs="仿宋"/>
                <w:kern w:val="0"/>
                <w:sz w:val="22"/>
                <w:szCs w:val="22"/>
                <w:lang w:eastAsia="zh-Hans"/>
              </w:rPr>
            </w:pPr>
            <w:r>
              <w:rPr>
                <w:rFonts w:hint="eastAsia" w:ascii="宋体" w:hAnsi="宋体" w:eastAsia="宋体" w:cs="宋体"/>
                <w:sz w:val="22"/>
                <w:szCs w:val="22"/>
              </w:rPr>
              <w:t>100%</w:t>
            </w:r>
          </w:p>
        </w:tc>
        <w:tc>
          <w:tcPr>
            <w:tcW w:w="833" w:type="dxa"/>
            <w:shd w:val="clear" w:color="auto" w:fill="DCF3F8"/>
            <w:vAlign w:val="center"/>
          </w:tcPr>
          <w:p>
            <w:pPr>
              <w:rPr>
                <w:rFonts w:ascii="宋体" w:hAnsi="宋体" w:eastAsia="宋体" w:cs="仿宋"/>
                <w:kern w:val="0"/>
                <w:sz w:val="22"/>
                <w:szCs w:val="22"/>
                <w:lang w:eastAsia="zh-Hans"/>
              </w:rPr>
            </w:pPr>
            <w:r>
              <w:rPr>
                <w:rFonts w:hint="eastAsia" w:ascii="宋体" w:hAnsi="宋体" w:eastAsia="宋体" w:cs="宋体"/>
                <w:sz w:val="22"/>
                <w:szCs w:val="22"/>
              </w:rPr>
              <w:t>约束性</w:t>
            </w: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10" w:type="dxa"/>
            <w:bottom w:w="0" w:type="dxa"/>
            <w:right w:w="10" w:type="dxa"/>
          </w:tblCellMar>
        </w:tblPrEx>
        <w:trPr>
          <w:trHeight w:val="529" w:hRule="atLeast"/>
        </w:trPr>
        <w:tc>
          <w:tcPr>
            <w:tcW w:w="629" w:type="dxa"/>
            <w:vMerge w:val="continue"/>
            <w:shd w:val="clear" w:color="auto" w:fill="DCF3F8"/>
            <w:vAlign w:val="center"/>
          </w:tcPr>
          <w:p>
            <w:pPr>
              <w:jc w:val="center"/>
              <w:rPr>
                <w:rFonts w:ascii="宋体" w:hAnsi="宋体" w:eastAsia="宋体" w:cs="仿宋"/>
                <w:b/>
                <w:bCs/>
                <w:kern w:val="0"/>
                <w:sz w:val="22"/>
                <w:szCs w:val="22"/>
              </w:rPr>
            </w:pPr>
          </w:p>
        </w:tc>
        <w:tc>
          <w:tcPr>
            <w:tcW w:w="515" w:type="dxa"/>
            <w:shd w:val="clear" w:color="auto" w:fill="DCF3F8"/>
            <w:vAlign w:val="center"/>
          </w:tcPr>
          <w:p>
            <w:pPr>
              <w:jc w:val="center"/>
              <w:rPr>
                <w:rFonts w:ascii="宋体" w:hAnsi="宋体" w:eastAsia="宋体" w:cs="仿宋"/>
                <w:kern w:val="0"/>
                <w:sz w:val="22"/>
                <w:szCs w:val="22"/>
              </w:rPr>
            </w:pPr>
            <w:r>
              <w:rPr>
                <w:rFonts w:hint="eastAsia" w:ascii="宋体" w:hAnsi="宋体" w:eastAsia="宋体" w:cs="仿宋"/>
                <w:kern w:val="0"/>
                <w:sz w:val="22"/>
                <w:szCs w:val="22"/>
              </w:rPr>
              <w:t>7</w:t>
            </w:r>
          </w:p>
        </w:tc>
        <w:tc>
          <w:tcPr>
            <w:tcW w:w="3919" w:type="dxa"/>
            <w:shd w:val="clear" w:color="auto" w:fill="DCF3F8"/>
            <w:vAlign w:val="center"/>
          </w:tcPr>
          <w:p>
            <w:pPr>
              <w:rPr>
                <w:rFonts w:ascii="宋体" w:hAnsi="宋体" w:eastAsia="宋体" w:cs="仿宋"/>
                <w:kern w:val="0"/>
                <w:sz w:val="22"/>
                <w:szCs w:val="22"/>
                <w:lang w:eastAsia="zh-Hans"/>
              </w:rPr>
            </w:pPr>
            <w:r>
              <w:rPr>
                <w:rFonts w:hint="eastAsia" w:ascii="宋体" w:hAnsi="宋体" w:eastAsia="宋体" w:cs="宋体"/>
                <w:kern w:val="0"/>
                <w:sz w:val="22"/>
                <w:szCs w:val="22"/>
                <w:lang w:bidi="ar"/>
              </w:rPr>
              <w:t>新建城区和新建居住区配套建设养老服务设施达标率</w:t>
            </w:r>
            <w:r>
              <w:rPr>
                <w:rStyle w:val="27"/>
                <w:rFonts w:hint="eastAsia" w:ascii="宋体" w:hAnsi="宋体" w:eastAsia="宋体" w:cs="宋体"/>
                <w:kern w:val="0"/>
                <w:sz w:val="22"/>
                <w:szCs w:val="22"/>
                <w:lang w:bidi="ar"/>
              </w:rPr>
              <w:footnoteReference w:id="14"/>
            </w:r>
          </w:p>
        </w:tc>
        <w:tc>
          <w:tcPr>
            <w:tcW w:w="1036" w:type="dxa"/>
            <w:shd w:val="clear" w:color="auto" w:fill="DCF3F8"/>
            <w:vAlign w:val="center"/>
          </w:tcPr>
          <w:p>
            <w:pPr>
              <w:rPr>
                <w:rFonts w:ascii="宋体" w:hAnsi="宋体" w:eastAsia="宋体" w:cs="仿宋"/>
                <w:kern w:val="0"/>
                <w:sz w:val="22"/>
                <w:szCs w:val="22"/>
              </w:rPr>
            </w:pPr>
          </w:p>
        </w:tc>
        <w:tc>
          <w:tcPr>
            <w:tcW w:w="1394" w:type="dxa"/>
            <w:shd w:val="clear" w:color="auto" w:fill="DCF3F8"/>
            <w:vAlign w:val="center"/>
          </w:tcPr>
          <w:p>
            <w:pPr>
              <w:rPr>
                <w:rFonts w:ascii="宋体" w:hAnsi="宋体" w:eastAsia="宋体" w:cs="仿宋"/>
                <w:kern w:val="0"/>
                <w:sz w:val="22"/>
                <w:szCs w:val="22"/>
                <w:lang w:eastAsia="zh-Hans"/>
              </w:rPr>
            </w:pPr>
            <w:r>
              <w:rPr>
                <w:rFonts w:hint="eastAsia" w:ascii="宋体" w:hAnsi="宋体" w:eastAsia="宋体" w:cs="宋体"/>
                <w:sz w:val="22"/>
                <w:szCs w:val="22"/>
              </w:rPr>
              <w:t>100%</w:t>
            </w:r>
          </w:p>
        </w:tc>
        <w:tc>
          <w:tcPr>
            <w:tcW w:w="833" w:type="dxa"/>
            <w:shd w:val="clear" w:color="auto" w:fill="DCF3F8"/>
            <w:vAlign w:val="center"/>
          </w:tcPr>
          <w:p>
            <w:pPr>
              <w:rPr>
                <w:rFonts w:ascii="宋体" w:hAnsi="宋体" w:eastAsia="宋体" w:cs="仿宋"/>
                <w:kern w:val="0"/>
                <w:sz w:val="22"/>
                <w:szCs w:val="22"/>
                <w:lang w:eastAsia="zh-Hans"/>
              </w:rPr>
            </w:pPr>
            <w:r>
              <w:rPr>
                <w:rFonts w:hint="eastAsia" w:ascii="宋体" w:hAnsi="宋体" w:eastAsia="宋体" w:cs="宋体"/>
                <w:sz w:val="22"/>
                <w:szCs w:val="22"/>
              </w:rPr>
              <w:t>约束性</w:t>
            </w: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10" w:type="dxa"/>
            <w:bottom w:w="0" w:type="dxa"/>
            <w:right w:w="10" w:type="dxa"/>
          </w:tblCellMar>
        </w:tblPrEx>
        <w:trPr>
          <w:trHeight w:val="346" w:hRule="atLeast"/>
        </w:trPr>
        <w:tc>
          <w:tcPr>
            <w:tcW w:w="629" w:type="dxa"/>
            <w:vMerge w:val="continue"/>
            <w:shd w:val="clear" w:color="auto" w:fill="DCF3F8"/>
            <w:vAlign w:val="center"/>
          </w:tcPr>
          <w:p>
            <w:pPr>
              <w:jc w:val="center"/>
              <w:rPr>
                <w:rFonts w:ascii="宋体" w:hAnsi="宋体" w:eastAsia="宋体" w:cs="仿宋"/>
                <w:b/>
                <w:bCs/>
                <w:kern w:val="0"/>
                <w:sz w:val="22"/>
                <w:szCs w:val="22"/>
              </w:rPr>
            </w:pPr>
          </w:p>
        </w:tc>
        <w:tc>
          <w:tcPr>
            <w:tcW w:w="515" w:type="dxa"/>
            <w:shd w:val="clear" w:color="auto" w:fill="DCF3F8"/>
            <w:vAlign w:val="center"/>
          </w:tcPr>
          <w:p>
            <w:pPr>
              <w:jc w:val="center"/>
              <w:rPr>
                <w:rFonts w:ascii="宋体" w:hAnsi="宋体" w:eastAsia="宋体" w:cs="仿宋"/>
                <w:kern w:val="0"/>
                <w:sz w:val="22"/>
                <w:szCs w:val="22"/>
              </w:rPr>
            </w:pPr>
            <w:r>
              <w:rPr>
                <w:rFonts w:hint="eastAsia" w:ascii="宋体" w:hAnsi="宋体" w:eastAsia="宋体" w:cs="仿宋"/>
                <w:kern w:val="0"/>
                <w:sz w:val="22"/>
                <w:szCs w:val="22"/>
              </w:rPr>
              <w:t>8</w:t>
            </w:r>
          </w:p>
        </w:tc>
        <w:tc>
          <w:tcPr>
            <w:tcW w:w="3919" w:type="dxa"/>
            <w:shd w:val="clear" w:color="auto" w:fill="DCF3F8"/>
            <w:vAlign w:val="center"/>
          </w:tcPr>
          <w:p>
            <w:pPr>
              <w:rPr>
                <w:rFonts w:ascii="宋体" w:hAnsi="宋体" w:eastAsia="宋体" w:cs="仿宋"/>
                <w:kern w:val="0"/>
                <w:sz w:val="22"/>
                <w:szCs w:val="22"/>
                <w:lang w:eastAsia="zh-Hans"/>
              </w:rPr>
            </w:pPr>
            <w:r>
              <w:rPr>
                <w:rFonts w:hint="eastAsia" w:ascii="宋体" w:hAnsi="宋体" w:eastAsia="宋体" w:cs="宋体"/>
                <w:kern w:val="0"/>
                <w:sz w:val="22"/>
                <w:szCs w:val="22"/>
                <w:lang w:bidi="ar"/>
              </w:rPr>
              <w:t>每千人养老床位数</w:t>
            </w:r>
            <w:r>
              <w:rPr>
                <w:rStyle w:val="27"/>
                <w:rFonts w:hint="eastAsia" w:ascii="宋体" w:hAnsi="宋体" w:eastAsia="宋体" w:cs="宋体"/>
                <w:kern w:val="0"/>
                <w:sz w:val="22"/>
                <w:szCs w:val="22"/>
                <w:lang w:bidi="ar"/>
              </w:rPr>
              <w:footnoteReference w:id="15"/>
            </w:r>
          </w:p>
        </w:tc>
        <w:tc>
          <w:tcPr>
            <w:tcW w:w="1036" w:type="dxa"/>
            <w:shd w:val="clear" w:color="auto" w:fill="DCF3F8"/>
            <w:vAlign w:val="center"/>
          </w:tcPr>
          <w:p>
            <w:pPr>
              <w:rPr>
                <w:rFonts w:ascii="宋体" w:hAnsi="宋体" w:eastAsia="宋体" w:cs="仿宋"/>
                <w:kern w:val="0"/>
                <w:sz w:val="22"/>
                <w:szCs w:val="22"/>
              </w:rPr>
            </w:pPr>
            <w:r>
              <w:rPr>
                <w:rFonts w:hint="eastAsia" w:ascii="宋体" w:hAnsi="宋体" w:eastAsia="宋体" w:cs="仿宋"/>
                <w:kern w:val="0"/>
                <w:sz w:val="22"/>
                <w:szCs w:val="22"/>
              </w:rPr>
              <w:t>3</w:t>
            </w:r>
            <w:r>
              <w:rPr>
                <w:rFonts w:ascii="宋体" w:hAnsi="宋体" w:eastAsia="宋体" w:cs="仿宋"/>
                <w:kern w:val="0"/>
                <w:sz w:val="22"/>
                <w:szCs w:val="22"/>
              </w:rPr>
              <w:t>.42</w:t>
            </w:r>
          </w:p>
        </w:tc>
        <w:tc>
          <w:tcPr>
            <w:tcW w:w="1394" w:type="dxa"/>
            <w:shd w:val="clear" w:color="auto" w:fill="DCF3F8"/>
            <w:vAlign w:val="center"/>
          </w:tcPr>
          <w:p>
            <w:pPr>
              <w:rPr>
                <w:rFonts w:ascii="宋体" w:hAnsi="宋体" w:eastAsia="宋体" w:cs="仿宋"/>
                <w:kern w:val="0"/>
                <w:sz w:val="22"/>
                <w:szCs w:val="22"/>
                <w:lang w:eastAsia="zh-Hans"/>
              </w:rPr>
            </w:pPr>
            <w:r>
              <w:rPr>
                <w:rFonts w:hint="eastAsia" w:ascii="宋体" w:hAnsi="宋体" w:eastAsia="宋体" w:cs="宋体"/>
                <w:sz w:val="22"/>
                <w:szCs w:val="22"/>
              </w:rPr>
              <w:t>7</w:t>
            </w:r>
          </w:p>
        </w:tc>
        <w:tc>
          <w:tcPr>
            <w:tcW w:w="833" w:type="dxa"/>
            <w:shd w:val="clear" w:color="auto" w:fill="DCF3F8"/>
            <w:vAlign w:val="center"/>
          </w:tcPr>
          <w:p>
            <w:pPr>
              <w:rPr>
                <w:rFonts w:ascii="宋体" w:hAnsi="宋体" w:eastAsia="宋体" w:cs="仿宋"/>
                <w:kern w:val="0"/>
                <w:sz w:val="22"/>
                <w:szCs w:val="22"/>
                <w:lang w:eastAsia="zh-Hans"/>
              </w:rPr>
            </w:pPr>
            <w:r>
              <w:rPr>
                <w:rFonts w:hint="eastAsia" w:ascii="宋体" w:hAnsi="宋体" w:eastAsia="宋体" w:cs="宋体"/>
                <w:sz w:val="22"/>
                <w:szCs w:val="22"/>
              </w:rPr>
              <w:t>约束性</w:t>
            </w: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10" w:type="dxa"/>
            <w:bottom w:w="0" w:type="dxa"/>
            <w:right w:w="10" w:type="dxa"/>
          </w:tblCellMar>
        </w:tblPrEx>
        <w:trPr>
          <w:trHeight w:val="423" w:hRule="atLeast"/>
        </w:trPr>
        <w:tc>
          <w:tcPr>
            <w:tcW w:w="629" w:type="dxa"/>
            <w:vMerge w:val="continue"/>
            <w:shd w:val="clear" w:color="auto" w:fill="DCF3F8"/>
            <w:vAlign w:val="center"/>
          </w:tcPr>
          <w:p>
            <w:pPr>
              <w:jc w:val="center"/>
              <w:rPr>
                <w:rFonts w:ascii="宋体" w:hAnsi="宋体" w:eastAsia="宋体" w:cs="仿宋"/>
                <w:b/>
                <w:bCs/>
                <w:kern w:val="0"/>
                <w:sz w:val="22"/>
                <w:szCs w:val="22"/>
              </w:rPr>
            </w:pPr>
          </w:p>
        </w:tc>
        <w:tc>
          <w:tcPr>
            <w:tcW w:w="515" w:type="dxa"/>
            <w:shd w:val="clear" w:color="auto" w:fill="DCF3F8"/>
            <w:vAlign w:val="center"/>
          </w:tcPr>
          <w:p>
            <w:pPr>
              <w:jc w:val="center"/>
              <w:rPr>
                <w:rFonts w:ascii="宋体" w:hAnsi="宋体" w:eastAsia="宋体" w:cs="仿宋"/>
                <w:kern w:val="0"/>
                <w:sz w:val="22"/>
                <w:szCs w:val="22"/>
              </w:rPr>
            </w:pPr>
            <w:r>
              <w:rPr>
                <w:rFonts w:hint="eastAsia" w:ascii="宋体" w:hAnsi="宋体" w:eastAsia="宋体" w:cs="仿宋"/>
                <w:kern w:val="0"/>
                <w:sz w:val="22"/>
                <w:szCs w:val="22"/>
              </w:rPr>
              <w:t>9</w:t>
            </w:r>
          </w:p>
        </w:tc>
        <w:tc>
          <w:tcPr>
            <w:tcW w:w="3919" w:type="dxa"/>
            <w:shd w:val="clear" w:color="auto" w:fill="DCF3F8"/>
            <w:vAlign w:val="center"/>
          </w:tcPr>
          <w:p>
            <w:pPr>
              <w:rPr>
                <w:rFonts w:ascii="宋体" w:hAnsi="宋体" w:eastAsia="宋体" w:cs="仿宋"/>
                <w:kern w:val="0"/>
                <w:sz w:val="22"/>
                <w:szCs w:val="22"/>
                <w:lang w:eastAsia="zh-Hans"/>
              </w:rPr>
            </w:pPr>
            <w:r>
              <w:rPr>
                <w:rFonts w:hint="eastAsia" w:ascii="宋体" w:hAnsi="宋体" w:eastAsia="宋体" w:cs="宋体"/>
                <w:kern w:val="0"/>
                <w:sz w:val="22"/>
                <w:szCs w:val="22"/>
                <w:lang w:bidi="ar"/>
              </w:rPr>
              <w:t>护理型养老床位占比</w:t>
            </w:r>
            <w:r>
              <w:rPr>
                <w:rStyle w:val="27"/>
                <w:rFonts w:hint="eastAsia" w:ascii="宋体" w:hAnsi="宋体" w:eastAsia="宋体" w:cs="宋体"/>
                <w:kern w:val="0"/>
                <w:sz w:val="22"/>
                <w:szCs w:val="22"/>
                <w:lang w:bidi="ar"/>
              </w:rPr>
              <w:footnoteReference w:id="16"/>
            </w:r>
          </w:p>
        </w:tc>
        <w:tc>
          <w:tcPr>
            <w:tcW w:w="1036" w:type="dxa"/>
            <w:shd w:val="clear" w:color="auto" w:fill="DCF3F8"/>
            <w:vAlign w:val="center"/>
          </w:tcPr>
          <w:p>
            <w:pPr>
              <w:rPr>
                <w:rFonts w:ascii="宋体" w:hAnsi="宋体" w:eastAsia="宋体" w:cs="仿宋"/>
                <w:kern w:val="0"/>
                <w:sz w:val="22"/>
                <w:szCs w:val="22"/>
              </w:rPr>
            </w:pPr>
          </w:p>
        </w:tc>
        <w:tc>
          <w:tcPr>
            <w:tcW w:w="1394" w:type="dxa"/>
            <w:shd w:val="clear" w:color="auto" w:fill="DCF3F8"/>
            <w:vAlign w:val="center"/>
          </w:tcPr>
          <w:p>
            <w:pPr>
              <w:rPr>
                <w:rFonts w:ascii="宋体" w:hAnsi="宋体" w:eastAsia="宋体" w:cs="仿宋"/>
                <w:kern w:val="0"/>
                <w:sz w:val="22"/>
                <w:szCs w:val="22"/>
                <w:lang w:eastAsia="zh-Hans"/>
              </w:rPr>
            </w:pPr>
            <w:r>
              <w:rPr>
                <w:rFonts w:hint="eastAsia" w:ascii="宋体" w:hAnsi="宋体" w:eastAsia="宋体" w:cs="宋体"/>
                <w:sz w:val="22"/>
                <w:szCs w:val="22"/>
              </w:rPr>
              <w:t>60%</w:t>
            </w:r>
          </w:p>
        </w:tc>
        <w:tc>
          <w:tcPr>
            <w:tcW w:w="833" w:type="dxa"/>
            <w:shd w:val="clear" w:color="auto" w:fill="DCF3F8"/>
            <w:vAlign w:val="center"/>
          </w:tcPr>
          <w:p>
            <w:pPr>
              <w:rPr>
                <w:rFonts w:ascii="宋体" w:hAnsi="宋体" w:eastAsia="宋体" w:cs="仿宋"/>
                <w:kern w:val="0"/>
                <w:sz w:val="22"/>
                <w:szCs w:val="22"/>
                <w:lang w:eastAsia="zh-Hans"/>
              </w:rPr>
            </w:pPr>
            <w:r>
              <w:rPr>
                <w:rFonts w:hint="eastAsia" w:ascii="宋体" w:hAnsi="宋体" w:eastAsia="宋体" w:cs="宋体"/>
                <w:sz w:val="22"/>
                <w:szCs w:val="22"/>
              </w:rPr>
              <w:t>约束性</w:t>
            </w: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10" w:type="dxa"/>
            <w:bottom w:w="0" w:type="dxa"/>
            <w:right w:w="10" w:type="dxa"/>
          </w:tblCellMar>
        </w:tblPrEx>
        <w:trPr>
          <w:trHeight w:val="401" w:hRule="atLeast"/>
        </w:trPr>
        <w:tc>
          <w:tcPr>
            <w:tcW w:w="629" w:type="dxa"/>
            <w:vMerge w:val="continue"/>
            <w:shd w:val="clear" w:color="auto" w:fill="DCF3F8"/>
            <w:vAlign w:val="center"/>
          </w:tcPr>
          <w:p>
            <w:pPr>
              <w:jc w:val="center"/>
              <w:rPr>
                <w:rFonts w:ascii="宋体" w:hAnsi="宋体" w:eastAsia="宋体" w:cs="仿宋"/>
                <w:b/>
                <w:bCs/>
                <w:kern w:val="0"/>
                <w:sz w:val="22"/>
                <w:szCs w:val="22"/>
              </w:rPr>
            </w:pPr>
          </w:p>
        </w:tc>
        <w:tc>
          <w:tcPr>
            <w:tcW w:w="515" w:type="dxa"/>
            <w:shd w:val="clear" w:color="auto" w:fill="DCF3F8"/>
            <w:vAlign w:val="center"/>
          </w:tcPr>
          <w:p>
            <w:pPr>
              <w:jc w:val="center"/>
              <w:rPr>
                <w:rFonts w:ascii="宋体" w:hAnsi="宋体" w:eastAsia="宋体" w:cs="仿宋"/>
                <w:kern w:val="0"/>
                <w:sz w:val="22"/>
                <w:szCs w:val="22"/>
              </w:rPr>
            </w:pPr>
            <w:r>
              <w:rPr>
                <w:rFonts w:hint="eastAsia" w:ascii="宋体" w:hAnsi="宋体" w:eastAsia="宋体" w:cs="仿宋"/>
                <w:kern w:val="0"/>
                <w:sz w:val="22"/>
                <w:szCs w:val="22"/>
              </w:rPr>
              <w:t>1</w:t>
            </w:r>
            <w:r>
              <w:rPr>
                <w:rFonts w:ascii="宋体" w:hAnsi="宋体" w:eastAsia="宋体" w:cs="仿宋"/>
                <w:kern w:val="0"/>
                <w:sz w:val="22"/>
                <w:szCs w:val="22"/>
              </w:rPr>
              <w:t>0</w:t>
            </w:r>
          </w:p>
        </w:tc>
        <w:tc>
          <w:tcPr>
            <w:tcW w:w="3919" w:type="dxa"/>
            <w:shd w:val="clear" w:color="auto" w:fill="DCF3F8"/>
            <w:vAlign w:val="center"/>
          </w:tcPr>
          <w:p>
            <w:pPr>
              <w:rPr>
                <w:rFonts w:ascii="宋体" w:hAnsi="宋体" w:eastAsia="宋体" w:cs="仿宋"/>
                <w:kern w:val="0"/>
                <w:sz w:val="22"/>
                <w:szCs w:val="22"/>
                <w:lang w:eastAsia="zh-Hans"/>
              </w:rPr>
            </w:pPr>
            <w:r>
              <w:rPr>
                <w:rFonts w:hint="eastAsia" w:ascii="宋体" w:hAnsi="宋体" w:eastAsia="宋体" w:cs="仿宋"/>
                <w:kern w:val="0"/>
                <w:sz w:val="22"/>
                <w:szCs w:val="22"/>
                <w:lang w:eastAsia="zh-Hans"/>
              </w:rPr>
              <w:t>兜底线和普惠性养老床位合计占比</w:t>
            </w:r>
          </w:p>
        </w:tc>
        <w:tc>
          <w:tcPr>
            <w:tcW w:w="1036" w:type="dxa"/>
            <w:shd w:val="clear" w:color="auto" w:fill="DCF3F8"/>
            <w:vAlign w:val="center"/>
          </w:tcPr>
          <w:p>
            <w:pPr>
              <w:rPr>
                <w:rFonts w:ascii="宋体" w:hAnsi="宋体" w:eastAsia="宋体" w:cs="仿宋"/>
                <w:kern w:val="0"/>
                <w:sz w:val="22"/>
                <w:szCs w:val="22"/>
              </w:rPr>
            </w:pPr>
          </w:p>
        </w:tc>
        <w:tc>
          <w:tcPr>
            <w:tcW w:w="1394" w:type="dxa"/>
            <w:shd w:val="clear" w:color="auto" w:fill="DCF3F8"/>
            <w:vAlign w:val="center"/>
          </w:tcPr>
          <w:p>
            <w:pPr>
              <w:rPr>
                <w:rFonts w:ascii="宋体" w:hAnsi="宋体" w:eastAsia="宋体" w:cs="仿宋"/>
                <w:kern w:val="0"/>
                <w:sz w:val="22"/>
                <w:szCs w:val="22"/>
                <w:lang w:eastAsia="zh-Hans"/>
              </w:rPr>
            </w:pPr>
            <w:r>
              <w:rPr>
                <w:rFonts w:hint="eastAsia" w:ascii="宋体" w:hAnsi="宋体" w:eastAsia="宋体" w:cs="宋体"/>
                <w:sz w:val="22"/>
                <w:szCs w:val="22"/>
              </w:rPr>
              <w:t>20%</w:t>
            </w:r>
          </w:p>
        </w:tc>
        <w:tc>
          <w:tcPr>
            <w:tcW w:w="833" w:type="dxa"/>
            <w:shd w:val="clear" w:color="auto" w:fill="DCF3F8"/>
            <w:vAlign w:val="center"/>
          </w:tcPr>
          <w:p>
            <w:pPr>
              <w:rPr>
                <w:rFonts w:ascii="宋体" w:hAnsi="宋体" w:eastAsia="宋体" w:cs="仿宋"/>
                <w:kern w:val="0"/>
                <w:sz w:val="22"/>
                <w:szCs w:val="22"/>
                <w:lang w:eastAsia="zh-Hans"/>
              </w:rPr>
            </w:pPr>
            <w:r>
              <w:rPr>
                <w:rFonts w:hint="eastAsia" w:ascii="宋体" w:hAnsi="宋体" w:eastAsia="宋体" w:cs="宋体"/>
                <w:sz w:val="22"/>
                <w:szCs w:val="22"/>
              </w:rPr>
              <w:t>约束性</w:t>
            </w: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10" w:type="dxa"/>
            <w:bottom w:w="0" w:type="dxa"/>
            <w:right w:w="10" w:type="dxa"/>
          </w:tblCellMar>
        </w:tblPrEx>
        <w:trPr>
          <w:trHeight w:val="274" w:hRule="atLeast"/>
        </w:trPr>
        <w:tc>
          <w:tcPr>
            <w:tcW w:w="629" w:type="dxa"/>
            <w:vMerge w:val="continue"/>
            <w:shd w:val="clear" w:color="auto" w:fill="DCF3F8"/>
            <w:vAlign w:val="center"/>
          </w:tcPr>
          <w:p>
            <w:pPr>
              <w:jc w:val="center"/>
              <w:rPr>
                <w:rFonts w:ascii="宋体" w:hAnsi="宋体" w:eastAsia="宋体" w:cs="仿宋"/>
                <w:b/>
                <w:bCs/>
                <w:kern w:val="0"/>
                <w:sz w:val="22"/>
                <w:szCs w:val="22"/>
              </w:rPr>
            </w:pPr>
          </w:p>
        </w:tc>
        <w:tc>
          <w:tcPr>
            <w:tcW w:w="515" w:type="dxa"/>
            <w:shd w:val="clear" w:color="auto" w:fill="DCF3F8"/>
            <w:vAlign w:val="center"/>
          </w:tcPr>
          <w:p>
            <w:pPr>
              <w:jc w:val="center"/>
              <w:rPr>
                <w:rFonts w:ascii="宋体" w:hAnsi="宋体" w:eastAsia="宋体" w:cs="仿宋"/>
                <w:kern w:val="0"/>
                <w:sz w:val="22"/>
                <w:szCs w:val="22"/>
              </w:rPr>
            </w:pPr>
            <w:r>
              <w:rPr>
                <w:rFonts w:hint="eastAsia" w:ascii="宋体" w:hAnsi="宋体" w:eastAsia="宋体" w:cs="仿宋"/>
                <w:kern w:val="0"/>
                <w:sz w:val="22"/>
                <w:szCs w:val="22"/>
              </w:rPr>
              <w:t>1</w:t>
            </w:r>
            <w:r>
              <w:rPr>
                <w:rFonts w:ascii="宋体" w:hAnsi="宋体" w:eastAsia="宋体" w:cs="仿宋"/>
                <w:kern w:val="0"/>
                <w:sz w:val="22"/>
                <w:szCs w:val="22"/>
              </w:rPr>
              <w:t>1</w:t>
            </w:r>
          </w:p>
        </w:tc>
        <w:tc>
          <w:tcPr>
            <w:tcW w:w="3919" w:type="dxa"/>
            <w:shd w:val="clear" w:color="auto" w:fill="DCF3F8"/>
            <w:vAlign w:val="center"/>
          </w:tcPr>
          <w:p>
            <w:pPr>
              <w:rPr>
                <w:rFonts w:ascii="宋体" w:hAnsi="宋体" w:eastAsia="宋体" w:cs="仿宋"/>
                <w:kern w:val="0"/>
                <w:sz w:val="22"/>
                <w:szCs w:val="22"/>
                <w:lang w:eastAsia="zh-Hans"/>
              </w:rPr>
            </w:pPr>
            <w:r>
              <w:rPr>
                <w:rFonts w:hint="eastAsia" w:ascii="宋体" w:hAnsi="宋体" w:eastAsia="宋体" w:cs="宋体"/>
                <w:kern w:val="0"/>
                <w:sz w:val="22"/>
                <w:szCs w:val="22"/>
                <w:lang w:bidi="ar"/>
              </w:rPr>
              <w:t>特殊困难老年人周探访率</w:t>
            </w:r>
            <w:r>
              <w:rPr>
                <w:rStyle w:val="27"/>
                <w:rFonts w:hint="eastAsia" w:ascii="宋体" w:hAnsi="宋体" w:eastAsia="宋体" w:cs="宋体"/>
                <w:kern w:val="0"/>
                <w:sz w:val="22"/>
                <w:szCs w:val="22"/>
                <w:lang w:bidi="ar"/>
              </w:rPr>
              <w:footnoteReference w:id="17"/>
            </w:r>
          </w:p>
        </w:tc>
        <w:tc>
          <w:tcPr>
            <w:tcW w:w="1036" w:type="dxa"/>
            <w:shd w:val="clear" w:color="auto" w:fill="DCF3F8"/>
            <w:vAlign w:val="center"/>
          </w:tcPr>
          <w:p>
            <w:pPr>
              <w:rPr>
                <w:rFonts w:ascii="宋体" w:hAnsi="宋体" w:eastAsia="宋体" w:cs="仿宋"/>
                <w:b/>
                <w:bCs/>
                <w:kern w:val="0"/>
                <w:sz w:val="22"/>
                <w:szCs w:val="22"/>
              </w:rPr>
            </w:pPr>
          </w:p>
        </w:tc>
        <w:tc>
          <w:tcPr>
            <w:tcW w:w="1394" w:type="dxa"/>
            <w:shd w:val="clear" w:color="auto" w:fill="DCF3F8"/>
            <w:vAlign w:val="center"/>
          </w:tcPr>
          <w:p>
            <w:pPr>
              <w:rPr>
                <w:rFonts w:ascii="宋体" w:hAnsi="宋体" w:eastAsia="宋体" w:cs="仿宋"/>
                <w:kern w:val="0"/>
                <w:sz w:val="22"/>
                <w:szCs w:val="22"/>
              </w:rPr>
            </w:pPr>
            <w:r>
              <w:rPr>
                <w:rFonts w:hint="eastAsia" w:ascii="宋体" w:hAnsi="宋体" w:eastAsia="宋体" w:cs="宋体"/>
                <w:sz w:val="22"/>
                <w:szCs w:val="22"/>
              </w:rPr>
              <w:t>100%</w:t>
            </w:r>
          </w:p>
        </w:tc>
        <w:tc>
          <w:tcPr>
            <w:tcW w:w="833" w:type="dxa"/>
            <w:shd w:val="clear" w:color="auto" w:fill="DCF3F8"/>
            <w:vAlign w:val="center"/>
          </w:tcPr>
          <w:p>
            <w:pPr>
              <w:rPr>
                <w:rFonts w:ascii="宋体" w:hAnsi="宋体" w:eastAsia="宋体" w:cs="仿宋"/>
                <w:kern w:val="0"/>
                <w:sz w:val="22"/>
                <w:szCs w:val="22"/>
              </w:rPr>
            </w:pPr>
            <w:r>
              <w:rPr>
                <w:rFonts w:hint="eastAsia" w:ascii="宋体" w:hAnsi="宋体" w:eastAsia="宋体" w:cs="宋体"/>
                <w:sz w:val="22"/>
                <w:szCs w:val="22"/>
              </w:rPr>
              <w:t>约束性</w:t>
            </w: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10" w:type="dxa"/>
            <w:bottom w:w="0" w:type="dxa"/>
            <w:right w:w="10" w:type="dxa"/>
          </w:tblCellMar>
        </w:tblPrEx>
        <w:trPr>
          <w:trHeight w:val="294" w:hRule="atLeast"/>
        </w:trPr>
        <w:tc>
          <w:tcPr>
            <w:tcW w:w="629" w:type="dxa"/>
            <w:vMerge w:val="continue"/>
            <w:shd w:val="clear" w:color="auto" w:fill="DCF3F8"/>
            <w:vAlign w:val="center"/>
          </w:tcPr>
          <w:p>
            <w:pPr>
              <w:jc w:val="center"/>
              <w:rPr>
                <w:rFonts w:ascii="宋体" w:hAnsi="宋体" w:eastAsia="宋体" w:cs="仿宋"/>
                <w:b/>
                <w:bCs/>
                <w:kern w:val="0"/>
                <w:sz w:val="22"/>
                <w:szCs w:val="22"/>
              </w:rPr>
            </w:pPr>
          </w:p>
        </w:tc>
        <w:tc>
          <w:tcPr>
            <w:tcW w:w="515" w:type="dxa"/>
            <w:shd w:val="clear" w:color="auto" w:fill="DCF3F8"/>
            <w:vAlign w:val="center"/>
          </w:tcPr>
          <w:p>
            <w:pPr>
              <w:jc w:val="center"/>
              <w:rPr>
                <w:rFonts w:ascii="宋体" w:hAnsi="宋体" w:eastAsia="宋体" w:cs="仿宋"/>
                <w:kern w:val="0"/>
                <w:sz w:val="22"/>
                <w:szCs w:val="22"/>
              </w:rPr>
            </w:pPr>
            <w:r>
              <w:rPr>
                <w:rFonts w:hint="eastAsia" w:ascii="宋体" w:hAnsi="宋体" w:eastAsia="宋体" w:cs="仿宋"/>
                <w:kern w:val="0"/>
                <w:sz w:val="22"/>
                <w:szCs w:val="22"/>
              </w:rPr>
              <w:t>1</w:t>
            </w:r>
            <w:r>
              <w:rPr>
                <w:rFonts w:ascii="宋体" w:hAnsi="宋体" w:eastAsia="宋体" w:cs="仿宋"/>
                <w:kern w:val="0"/>
                <w:sz w:val="22"/>
                <w:szCs w:val="22"/>
              </w:rPr>
              <w:t>2</w:t>
            </w:r>
          </w:p>
        </w:tc>
        <w:tc>
          <w:tcPr>
            <w:tcW w:w="3919" w:type="dxa"/>
            <w:shd w:val="clear" w:color="auto" w:fill="DCF3F8"/>
            <w:vAlign w:val="center"/>
          </w:tcPr>
          <w:p>
            <w:pPr>
              <w:rPr>
                <w:rFonts w:ascii="宋体" w:hAnsi="宋体" w:eastAsia="宋体" w:cs="仿宋"/>
                <w:kern w:val="0"/>
                <w:sz w:val="22"/>
                <w:szCs w:val="22"/>
                <w:lang w:eastAsia="zh-Hans"/>
              </w:rPr>
            </w:pPr>
            <w:r>
              <w:rPr>
                <w:rFonts w:hint="eastAsia" w:ascii="宋体" w:hAnsi="宋体" w:eastAsia="宋体" w:cs="仿宋"/>
                <w:kern w:val="0"/>
                <w:sz w:val="22"/>
                <w:szCs w:val="22"/>
                <w:lang w:eastAsia="zh-Hans"/>
              </w:rPr>
              <w:t>科学育儿指导覆盖率</w:t>
            </w:r>
            <w:r>
              <w:rPr>
                <w:rStyle w:val="27"/>
                <w:rFonts w:hint="eastAsia" w:ascii="宋体" w:hAnsi="宋体" w:eastAsia="宋体" w:cs="仿宋"/>
                <w:kern w:val="0"/>
                <w:sz w:val="22"/>
                <w:szCs w:val="22"/>
                <w:lang w:eastAsia="zh-Hans"/>
              </w:rPr>
              <w:footnoteReference w:id="18"/>
            </w:r>
          </w:p>
        </w:tc>
        <w:tc>
          <w:tcPr>
            <w:tcW w:w="1036" w:type="dxa"/>
            <w:shd w:val="clear" w:color="auto" w:fill="DCF3F8"/>
            <w:vAlign w:val="center"/>
          </w:tcPr>
          <w:p>
            <w:pPr>
              <w:rPr>
                <w:rFonts w:ascii="宋体" w:hAnsi="宋体" w:eastAsia="宋体" w:cs="仿宋"/>
                <w:kern w:val="0"/>
                <w:sz w:val="22"/>
                <w:szCs w:val="22"/>
              </w:rPr>
            </w:pPr>
            <w:r>
              <w:rPr>
                <w:rFonts w:hint="eastAsia" w:ascii="宋体" w:hAnsi="宋体" w:eastAsia="宋体" w:cs="仿宋"/>
                <w:kern w:val="0"/>
                <w:sz w:val="22"/>
                <w:szCs w:val="22"/>
              </w:rPr>
              <w:t>-</w:t>
            </w:r>
          </w:p>
        </w:tc>
        <w:tc>
          <w:tcPr>
            <w:tcW w:w="1394" w:type="dxa"/>
            <w:shd w:val="clear" w:color="auto" w:fill="DCF3F8"/>
            <w:vAlign w:val="center"/>
          </w:tcPr>
          <w:p>
            <w:pPr>
              <w:rPr>
                <w:rFonts w:ascii="宋体" w:hAnsi="宋体" w:eastAsia="宋体" w:cs="仿宋"/>
                <w:kern w:val="0"/>
                <w:sz w:val="22"/>
                <w:szCs w:val="22"/>
                <w:lang w:eastAsia="zh-Hans"/>
              </w:rPr>
            </w:pPr>
            <w:r>
              <w:rPr>
                <w:rFonts w:hint="eastAsia" w:ascii="宋体" w:hAnsi="宋体" w:eastAsia="宋体" w:cs="仿宋"/>
                <w:kern w:val="0"/>
                <w:sz w:val="22"/>
                <w:szCs w:val="22"/>
                <w:lang w:eastAsia="zh-Hans"/>
              </w:rPr>
              <w:t>＞80%</w:t>
            </w:r>
          </w:p>
        </w:tc>
        <w:tc>
          <w:tcPr>
            <w:tcW w:w="833" w:type="dxa"/>
            <w:shd w:val="clear" w:color="auto" w:fill="DCF3F8"/>
            <w:vAlign w:val="center"/>
          </w:tcPr>
          <w:p>
            <w:pPr>
              <w:rPr>
                <w:rFonts w:ascii="宋体" w:hAnsi="宋体" w:eastAsia="宋体" w:cs="仿宋"/>
                <w:kern w:val="0"/>
                <w:sz w:val="22"/>
                <w:szCs w:val="22"/>
                <w:lang w:eastAsia="zh-Hans"/>
              </w:rPr>
            </w:pPr>
            <w:r>
              <w:rPr>
                <w:rFonts w:hint="eastAsia" w:ascii="宋体" w:hAnsi="宋体" w:eastAsia="宋体" w:cs="仿宋"/>
                <w:kern w:val="0"/>
                <w:sz w:val="22"/>
                <w:szCs w:val="22"/>
              </w:rPr>
              <w:t>预期性</w:t>
            </w: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10" w:type="dxa"/>
            <w:bottom w:w="0" w:type="dxa"/>
            <w:right w:w="10" w:type="dxa"/>
          </w:tblCellMar>
        </w:tblPrEx>
        <w:trPr>
          <w:trHeight w:val="416" w:hRule="atLeast"/>
        </w:trPr>
        <w:tc>
          <w:tcPr>
            <w:tcW w:w="629" w:type="dxa"/>
            <w:vMerge w:val="continue"/>
            <w:shd w:val="clear" w:color="auto" w:fill="DCF3F8"/>
            <w:vAlign w:val="center"/>
          </w:tcPr>
          <w:p>
            <w:pPr>
              <w:jc w:val="center"/>
              <w:rPr>
                <w:rFonts w:ascii="宋体" w:hAnsi="宋体" w:eastAsia="宋体" w:cs="仿宋"/>
                <w:b/>
                <w:bCs/>
                <w:kern w:val="0"/>
                <w:sz w:val="22"/>
                <w:szCs w:val="22"/>
              </w:rPr>
            </w:pPr>
          </w:p>
        </w:tc>
        <w:tc>
          <w:tcPr>
            <w:tcW w:w="515" w:type="dxa"/>
            <w:shd w:val="clear" w:color="auto" w:fill="DCF3F8"/>
            <w:vAlign w:val="center"/>
          </w:tcPr>
          <w:p>
            <w:pPr>
              <w:jc w:val="center"/>
              <w:rPr>
                <w:rFonts w:ascii="宋体" w:hAnsi="宋体" w:eastAsia="宋体" w:cs="仿宋"/>
                <w:kern w:val="0"/>
                <w:sz w:val="22"/>
                <w:szCs w:val="22"/>
              </w:rPr>
            </w:pPr>
            <w:r>
              <w:rPr>
                <w:rFonts w:hint="eastAsia" w:ascii="宋体" w:hAnsi="宋体" w:eastAsia="宋体" w:cs="仿宋"/>
                <w:kern w:val="0"/>
                <w:sz w:val="22"/>
                <w:szCs w:val="22"/>
              </w:rPr>
              <w:t>1</w:t>
            </w:r>
            <w:r>
              <w:rPr>
                <w:rFonts w:ascii="宋体" w:hAnsi="宋体" w:eastAsia="宋体" w:cs="仿宋"/>
                <w:kern w:val="0"/>
                <w:sz w:val="22"/>
                <w:szCs w:val="22"/>
              </w:rPr>
              <w:t>3</w:t>
            </w:r>
          </w:p>
        </w:tc>
        <w:tc>
          <w:tcPr>
            <w:tcW w:w="3919" w:type="dxa"/>
            <w:shd w:val="clear" w:color="auto" w:fill="DCF3F8"/>
            <w:vAlign w:val="center"/>
          </w:tcPr>
          <w:p>
            <w:pPr>
              <w:rPr>
                <w:rFonts w:ascii="宋体" w:hAnsi="宋体" w:eastAsia="宋体" w:cs="仿宋"/>
                <w:kern w:val="0"/>
                <w:sz w:val="22"/>
                <w:szCs w:val="22"/>
                <w:lang w:eastAsia="zh-Hans"/>
              </w:rPr>
            </w:pPr>
            <w:r>
              <w:rPr>
                <w:rFonts w:hint="eastAsia" w:ascii="宋体" w:hAnsi="宋体" w:eastAsia="宋体" w:cs="仿宋"/>
                <w:kern w:val="0"/>
                <w:sz w:val="22"/>
                <w:szCs w:val="22"/>
                <w:lang w:eastAsia="zh-Hans"/>
              </w:rPr>
              <w:t>每千人口拥有3岁以下婴幼儿托位数</w:t>
            </w:r>
            <w:r>
              <w:rPr>
                <w:rStyle w:val="27"/>
                <w:rFonts w:hint="eastAsia" w:ascii="宋体" w:hAnsi="宋体" w:eastAsia="宋体" w:cs="仿宋"/>
                <w:kern w:val="0"/>
                <w:sz w:val="22"/>
                <w:szCs w:val="22"/>
                <w:lang w:eastAsia="zh-Hans"/>
              </w:rPr>
              <w:footnoteReference w:id="19"/>
            </w:r>
          </w:p>
        </w:tc>
        <w:tc>
          <w:tcPr>
            <w:tcW w:w="1036" w:type="dxa"/>
            <w:shd w:val="clear" w:color="auto" w:fill="DCF3F8"/>
            <w:vAlign w:val="center"/>
          </w:tcPr>
          <w:p>
            <w:pPr>
              <w:rPr>
                <w:rFonts w:ascii="宋体" w:hAnsi="宋体" w:eastAsia="宋体" w:cs="仿宋"/>
                <w:kern w:val="0"/>
                <w:sz w:val="22"/>
                <w:szCs w:val="22"/>
              </w:rPr>
            </w:pPr>
            <w:r>
              <w:rPr>
                <w:rFonts w:hint="eastAsia" w:ascii="宋体" w:hAnsi="宋体" w:eastAsia="宋体" w:cs="仿宋"/>
                <w:kern w:val="0"/>
                <w:sz w:val="22"/>
                <w:szCs w:val="22"/>
              </w:rPr>
              <w:t>0.63个</w:t>
            </w:r>
          </w:p>
        </w:tc>
        <w:tc>
          <w:tcPr>
            <w:tcW w:w="1394" w:type="dxa"/>
            <w:shd w:val="clear" w:color="auto" w:fill="DCF3F8"/>
            <w:vAlign w:val="center"/>
          </w:tcPr>
          <w:p>
            <w:pPr>
              <w:rPr>
                <w:rFonts w:ascii="宋体" w:hAnsi="宋体" w:eastAsia="宋体" w:cs="仿宋"/>
                <w:kern w:val="0"/>
                <w:sz w:val="22"/>
                <w:szCs w:val="22"/>
                <w:lang w:eastAsia="zh-Hans"/>
              </w:rPr>
            </w:pPr>
            <w:r>
              <w:rPr>
                <w:rFonts w:hint="eastAsia" w:ascii="宋体" w:hAnsi="宋体" w:eastAsia="宋体" w:cs="仿宋"/>
                <w:kern w:val="0"/>
                <w:sz w:val="22"/>
                <w:szCs w:val="22"/>
              </w:rPr>
              <w:t>4.5个</w:t>
            </w:r>
          </w:p>
        </w:tc>
        <w:tc>
          <w:tcPr>
            <w:tcW w:w="833" w:type="dxa"/>
            <w:shd w:val="clear" w:color="auto" w:fill="DCF3F8"/>
            <w:vAlign w:val="center"/>
          </w:tcPr>
          <w:p>
            <w:pPr>
              <w:rPr>
                <w:rFonts w:ascii="宋体" w:hAnsi="宋体" w:eastAsia="宋体" w:cs="仿宋"/>
                <w:kern w:val="0"/>
                <w:sz w:val="22"/>
                <w:szCs w:val="22"/>
                <w:lang w:eastAsia="zh-Hans"/>
              </w:rPr>
            </w:pPr>
            <w:r>
              <w:rPr>
                <w:rFonts w:hint="eastAsia" w:ascii="宋体" w:hAnsi="宋体" w:eastAsia="宋体" w:cs="仿宋"/>
                <w:kern w:val="0"/>
                <w:sz w:val="22"/>
                <w:szCs w:val="22"/>
                <w:lang w:eastAsia="zh-Hans"/>
              </w:rPr>
              <w:t>约束</w:t>
            </w:r>
            <w:r>
              <w:rPr>
                <w:rFonts w:hint="eastAsia" w:ascii="宋体" w:hAnsi="宋体" w:eastAsia="宋体" w:cs="仿宋"/>
                <w:kern w:val="0"/>
                <w:sz w:val="22"/>
                <w:szCs w:val="22"/>
              </w:rPr>
              <w:t>性</w:t>
            </w: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10" w:type="dxa"/>
            <w:bottom w:w="0" w:type="dxa"/>
            <w:right w:w="10" w:type="dxa"/>
          </w:tblCellMar>
        </w:tblPrEx>
        <w:trPr>
          <w:trHeight w:val="274" w:hRule="atLeast"/>
        </w:trPr>
        <w:tc>
          <w:tcPr>
            <w:tcW w:w="629" w:type="dxa"/>
            <w:vMerge w:val="continue"/>
            <w:shd w:val="clear" w:color="auto" w:fill="DCF3F8"/>
            <w:vAlign w:val="center"/>
          </w:tcPr>
          <w:p>
            <w:pPr>
              <w:jc w:val="center"/>
              <w:rPr>
                <w:rFonts w:ascii="宋体" w:hAnsi="宋体" w:eastAsia="宋体" w:cs="仿宋"/>
                <w:b/>
                <w:bCs/>
                <w:kern w:val="0"/>
                <w:sz w:val="22"/>
                <w:szCs w:val="22"/>
              </w:rPr>
            </w:pPr>
          </w:p>
        </w:tc>
        <w:tc>
          <w:tcPr>
            <w:tcW w:w="515" w:type="dxa"/>
            <w:shd w:val="clear" w:color="auto" w:fill="DCF3F8"/>
            <w:vAlign w:val="center"/>
          </w:tcPr>
          <w:p>
            <w:pPr>
              <w:jc w:val="center"/>
              <w:rPr>
                <w:rFonts w:ascii="宋体" w:hAnsi="宋体" w:eastAsia="宋体" w:cs="仿宋"/>
                <w:kern w:val="0"/>
                <w:sz w:val="22"/>
                <w:szCs w:val="22"/>
              </w:rPr>
            </w:pPr>
            <w:r>
              <w:rPr>
                <w:rFonts w:hint="eastAsia" w:ascii="宋体" w:hAnsi="宋体" w:eastAsia="宋体" w:cs="仿宋"/>
                <w:kern w:val="0"/>
                <w:sz w:val="22"/>
                <w:szCs w:val="22"/>
              </w:rPr>
              <w:t>1</w:t>
            </w:r>
            <w:r>
              <w:rPr>
                <w:rFonts w:ascii="宋体" w:hAnsi="宋体" w:eastAsia="宋体" w:cs="仿宋"/>
                <w:kern w:val="0"/>
                <w:sz w:val="22"/>
                <w:szCs w:val="22"/>
              </w:rPr>
              <w:t>4</w:t>
            </w:r>
          </w:p>
        </w:tc>
        <w:tc>
          <w:tcPr>
            <w:tcW w:w="3919" w:type="dxa"/>
            <w:shd w:val="clear" w:color="auto" w:fill="DCF3F8"/>
            <w:vAlign w:val="center"/>
          </w:tcPr>
          <w:p>
            <w:pPr>
              <w:rPr>
                <w:rFonts w:ascii="宋体" w:hAnsi="宋体" w:eastAsia="宋体" w:cs="仿宋"/>
                <w:kern w:val="0"/>
                <w:sz w:val="22"/>
                <w:szCs w:val="22"/>
                <w:lang w:eastAsia="zh-Hans"/>
              </w:rPr>
            </w:pPr>
            <w:r>
              <w:rPr>
                <w:rFonts w:hint="eastAsia" w:ascii="宋体" w:hAnsi="宋体" w:eastAsia="宋体" w:cs="仿宋"/>
                <w:kern w:val="0"/>
                <w:sz w:val="22"/>
                <w:szCs w:val="22"/>
                <w:lang w:eastAsia="zh-Hans"/>
              </w:rPr>
              <w:t>普惠性托位占</w:t>
            </w:r>
            <w:r>
              <w:rPr>
                <w:rFonts w:hint="eastAsia" w:ascii="宋体" w:hAnsi="宋体" w:eastAsia="宋体" w:cs="仿宋"/>
                <w:kern w:val="0"/>
                <w:sz w:val="22"/>
                <w:szCs w:val="22"/>
              </w:rPr>
              <w:t>总托位</w:t>
            </w:r>
            <w:r>
              <w:rPr>
                <w:rFonts w:hint="eastAsia" w:ascii="宋体" w:hAnsi="宋体" w:eastAsia="宋体" w:cs="仿宋"/>
                <w:kern w:val="0"/>
                <w:sz w:val="22"/>
                <w:szCs w:val="22"/>
                <w:lang w:eastAsia="zh-Hans"/>
              </w:rPr>
              <w:t>比</w:t>
            </w:r>
            <w:r>
              <w:rPr>
                <w:rStyle w:val="27"/>
                <w:rFonts w:hint="eastAsia" w:ascii="宋体" w:hAnsi="宋体" w:eastAsia="宋体" w:cs="仿宋"/>
                <w:kern w:val="0"/>
                <w:sz w:val="22"/>
                <w:szCs w:val="22"/>
                <w:lang w:eastAsia="zh-Hans"/>
              </w:rPr>
              <w:footnoteReference w:id="20"/>
            </w:r>
          </w:p>
        </w:tc>
        <w:tc>
          <w:tcPr>
            <w:tcW w:w="1036" w:type="dxa"/>
            <w:shd w:val="clear" w:color="auto" w:fill="DCF3F8"/>
            <w:vAlign w:val="center"/>
          </w:tcPr>
          <w:p>
            <w:pPr>
              <w:rPr>
                <w:rFonts w:ascii="宋体" w:hAnsi="宋体" w:eastAsia="宋体" w:cs="仿宋"/>
                <w:kern w:val="0"/>
                <w:sz w:val="22"/>
                <w:szCs w:val="22"/>
              </w:rPr>
            </w:pPr>
            <w:r>
              <w:rPr>
                <w:rFonts w:hint="eastAsia" w:ascii="宋体" w:hAnsi="宋体" w:eastAsia="宋体" w:cs="仿宋"/>
                <w:kern w:val="0"/>
                <w:sz w:val="22"/>
                <w:szCs w:val="22"/>
              </w:rPr>
              <w:t>-</w:t>
            </w:r>
          </w:p>
        </w:tc>
        <w:tc>
          <w:tcPr>
            <w:tcW w:w="1394" w:type="dxa"/>
            <w:shd w:val="clear" w:color="auto" w:fill="DCF3F8"/>
            <w:vAlign w:val="center"/>
          </w:tcPr>
          <w:p>
            <w:pPr>
              <w:rPr>
                <w:rFonts w:ascii="宋体" w:hAnsi="宋体" w:eastAsia="宋体" w:cs="仿宋"/>
                <w:kern w:val="0"/>
                <w:sz w:val="22"/>
                <w:szCs w:val="22"/>
                <w:lang w:eastAsia="zh-Hans"/>
              </w:rPr>
            </w:pPr>
            <w:r>
              <w:rPr>
                <w:rFonts w:hint="eastAsia" w:ascii="宋体" w:hAnsi="宋体" w:eastAsia="宋体" w:cs="仿宋"/>
                <w:kern w:val="0"/>
                <w:sz w:val="22"/>
                <w:szCs w:val="22"/>
                <w:lang w:eastAsia="zh-Hans"/>
              </w:rPr>
              <w:t>≥</w:t>
            </w:r>
            <w:r>
              <w:rPr>
                <w:rFonts w:hint="eastAsia" w:ascii="宋体" w:hAnsi="宋体" w:eastAsia="宋体" w:cs="仿宋"/>
                <w:kern w:val="0"/>
                <w:sz w:val="22"/>
                <w:szCs w:val="22"/>
              </w:rPr>
              <w:t>60</w:t>
            </w:r>
          </w:p>
        </w:tc>
        <w:tc>
          <w:tcPr>
            <w:tcW w:w="833" w:type="dxa"/>
            <w:shd w:val="clear" w:color="auto" w:fill="DCF3F8"/>
            <w:vAlign w:val="center"/>
          </w:tcPr>
          <w:p>
            <w:pPr>
              <w:rPr>
                <w:rFonts w:ascii="宋体" w:hAnsi="宋体" w:eastAsia="宋体" w:cs="仿宋"/>
                <w:kern w:val="0"/>
                <w:sz w:val="22"/>
                <w:szCs w:val="22"/>
                <w:lang w:eastAsia="zh-Hans"/>
              </w:rPr>
            </w:pPr>
            <w:r>
              <w:rPr>
                <w:rFonts w:hint="eastAsia" w:ascii="宋体" w:hAnsi="宋体" w:eastAsia="宋体" w:cs="仿宋"/>
                <w:kern w:val="0"/>
                <w:sz w:val="22"/>
                <w:szCs w:val="22"/>
              </w:rPr>
              <w:t>预期性</w:t>
            </w: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10" w:type="dxa"/>
            <w:bottom w:w="0" w:type="dxa"/>
            <w:right w:w="10" w:type="dxa"/>
          </w:tblCellMar>
        </w:tblPrEx>
        <w:trPr>
          <w:trHeight w:val="280" w:hRule="atLeast"/>
        </w:trPr>
        <w:tc>
          <w:tcPr>
            <w:tcW w:w="629" w:type="dxa"/>
            <w:vMerge w:val="continue"/>
            <w:shd w:val="clear" w:color="auto" w:fill="DCF3F8"/>
            <w:vAlign w:val="center"/>
          </w:tcPr>
          <w:p>
            <w:pPr>
              <w:jc w:val="center"/>
              <w:rPr>
                <w:rFonts w:ascii="宋体" w:hAnsi="宋体" w:eastAsia="宋体" w:cs="仿宋"/>
                <w:b/>
                <w:bCs/>
                <w:kern w:val="0"/>
                <w:sz w:val="22"/>
                <w:szCs w:val="22"/>
              </w:rPr>
            </w:pPr>
          </w:p>
        </w:tc>
        <w:tc>
          <w:tcPr>
            <w:tcW w:w="515" w:type="dxa"/>
            <w:shd w:val="clear" w:color="auto" w:fill="DCF3F8"/>
            <w:vAlign w:val="center"/>
          </w:tcPr>
          <w:p>
            <w:pPr>
              <w:jc w:val="center"/>
              <w:rPr>
                <w:rFonts w:ascii="宋体" w:hAnsi="宋体" w:eastAsia="宋体" w:cs="仿宋"/>
                <w:kern w:val="0"/>
                <w:sz w:val="22"/>
                <w:szCs w:val="22"/>
              </w:rPr>
            </w:pPr>
            <w:r>
              <w:rPr>
                <w:rFonts w:hint="eastAsia" w:ascii="宋体" w:hAnsi="宋体" w:eastAsia="宋体" w:cs="仿宋"/>
                <w:kern w:val="0"/>
                <w:sz w:val="22"/>
                <w:szCs w:val="22"/>
              </w:rPr>
              <w:t>1</w:t>
            </w:r>
            <w:r>
              <w:rPr>
                <w:rFonts w:ascii="宋体" w:hAnsi="宋体" w:eastAsia="宋体" w:cs="仿宋"/>
                <w:kern w:val="0"/>
                <w:sz w:val="22"/>
                <w:szCs w:val="22"/>
              </w:rPr>
              <w:t>5</w:t>
            </w:r>
          </w:p>
        </w:tc>
        <w:tc>
          <w:tcPr>
            <w:tcW w:w="3919" w:type="dxa"/>
            <w:shd w:val="clear" w:color="auto" w:fill="DCF3F8"/>
            <w:vAlign w:val="center"/>
          </w:tcPr>
          <w:p>
            <w:pPr>
              <w:rPr>
                <w:rFonts w:ascii="宋体" w:hAnsi="宋体" w:eastAsia="宋体" w:cs="仿宋"/>
                <w:kern w:val="0"/>
                <w:sz w:val="22"/>
                <w:szCs w:val="22"/>
                <w:lang w:eastAsia="zh-Hans"/>
              </w:rPr>
            </w:pPr>
            <w:r>
              <w:rPr>
                <w:rFonts w:hint="eastAsia" w:ascii="宋体" w:hAnsi="宋体" w:eastAsia="宋体" w:cs="仿宋"/>
                <w:kern w:val="0"/>
                <w:sz w:val="22"/>
                <w:szCs w:val="22"/>
              </w:rPr>
              <w:t>3岁以下婴幼儿入托率</w:t>
            </w:r>
            <w:r>
              <w:rPr>
                <w:rStyle w:val="27"/>
                <w:rFonts w:hint="eastAsia" w:ascii="宋体" w:hAnsi="宋体" w:eastAsia="宋体" w:cs="仿宋"/>
                <w:kern w:val="0"/>
                <w:sz w:val="22"/>
                <w:szCs w:val="22"/>
              </w:rPr>
              <w:footnoteReference w:id="21"/>
            </w:r>
          </w:p>
        </w:tc>
        <w:tc>
          <w:tcPr>
            <w:tcW w:w="1036" w:type="dxa"/>
            <w:shd w:val="clear" w:color="auto" w:fill="DCF3F8"/>
            <w:vAlign w:val="center"/>
          </w:tcPr>
          <w:p>
            <w:pPr>
              <w:rPr>
                <w:rFonts w:ascii="宋体" w:hAnsi="宋体" w:eastAsia="宋体" w:cs="仿宋"/>
                <w:kern w:val="0"/>
                <w:sz w:val="22"/>
                <w:szCs w:val="22"/>
              </w:rPr>
            </w:pPr>
            <w:r>
              <w:rPr>
                <w:rFonts w:hint="eastAsia" w:ascii="宋体" w:hAnsi="宋体" w:eastAsia="宋体" w:cs="仿宋"/>
                <w:kern w:val="0"/>
                <w:sz w:val="22"/>
                <w:szCs w:val="22"/>
              </w:rPr>
              <w:t>-</w:t>
            </w:r>
          </w:p>
        </w:tc>
        <w:tc>
          <w:tcPr>
            <w:tcW w:w="1394" w:type="dxa"/>
            <w:shd w:val="clear" w:color="auto" w:fill="DCF3F8"/>
            <w:vAlign w:val="center"/>
          </w:tcPr>
          <w:p>
            <w:pPr>
              <w:rPr>
                <w:rFonts w:ascii="宋体" w:hAnsi="宋体" w:eastAsia="宋体" w:cs="仿宋"/>
                <w:kern w:val="0"/>
                <w:sz w:val="22"/>
                <w:szCs w:val="22"/>
                <w:lang w:eastAsia="zh-Hans"/>
              </w:rPr>
            </w:pPr>
            <w:r>
              <w:rPr>
                <w:rFonts w:hint="eastAsia" w:ascii="宋体" w:hAnsi="宋体" w:eastAsia="宋体" w:cs="仿宋"/>
                <w:kern w:val="0"/>
                <w:sz w:val="22"/>
                <w:szCs w:val="22"/>
                <w:lang w:eastAsia="zh-Hans"/>
              </w:rPr>
              <w:t>≥</w:t>
            </w:r>
            <w:r>
              <w:rPr>
                <w:rFonts w:ascii="宋体" w:hAnsi="宋体" w:eastAsia="宋体" w:cs="仿宋"/>
                <w:kern w:val="0"/>
                <w:sz w:val="22"/>
                <w:szCs w:val="22"/>
                <w:lang w:eastAsia="zh-Hans"/>
              </w:rPr>
              <w:t>15</w:t>
            </w:r>
            <w:r>
              <w:rPr>
                <w:rFonts w:hint="eastAsia" w:ascii="宋体" w:hAnsi="宋体" w:eastAsia="宋体" w:cs="仿宋"/>
                <w:kern w:val="0"/>
                <w:sz w:val="22"/>
                <w:szCs w:val="22"/>
                <w:lang w:eastAsia="zh-Hans"/>
              </w:rPr>
              <w:t>%</w:t>
            </w:r>
          </w:p>
        </w:tc>
        <w:tc>
          <w:tcPr>
            <w:tcW w:w="833" w:type="dxa"/>
            <w:shd w:val="clear" w:color="auto" w:fill="DCF3F8"/>
            <w:vAlign w:val="center"/>
          </w:tcPr>
          <w:p>
            <w:pPr>
              <w:rPr>
                <w:rFonts w:ascii="宋体" w:hAnsi="宋体" w:eastAsia="宋体" w:cs="仿宋"/>
                <w:kern w:val="0"/>
                <w:sz w:val="22"/>
                <w:szCs w:val="22"/>
                <w:lang w:eastAsia="zh-Hans"/>
              </w:rPr>
            </w:pPr>
            <w:r>
              <w:rPr>
                <w:rFonts w:hint="eastAsia" w:ascii="宋体" w:hAnsi="宋体" w:eastAsia="宋体" w:cs="仿宋"/>
                <w:kern w:val="0"/>
                <w:sz w:val="22"/>
                <w:szCs w:val="22"/>
                <w:lang w:eastAsia="zh-Hans"/>
              </w:rPr>
              <w:t>预期性</w:t>
            </w: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10" w:type="dxa"/>
            <w:bottom w:w="0" w:type="dxa"/>
            <w:right w:w="10" w:type="dxa"/>
          </w:tblCellMar>
        </w:tblPrEx>
        <w:trPr>
          <w:trHeight w:val="340" w:hRule="atLeast"/>
        </w:trPr>
        <w:tc>
          <w:tcPr>
            <w:tcW w:w="629" w:type="dxa"/>
            <w:vMerge w:val="continue"/>
            <w:shd w:val="clear" w:color="auto" w:fill="DCF3F8"/>
            <w:vAlign w:val="center"/>
          </w:tcPr>
          <w:p>
            <w:pPr>
              <w:jc w:val="center"/>
              <w:rPr>
                <w:rFonts w:ascii="宋体" w:hAnsi="宋体" w:eastAsia="宋体" w:cs="仿宋"/>
                <w:b/>
                <w:bCs/>
                <w:kern w:val="0"/>
                <w:sz w:val="22"/>
                <w:szCs w:val="22"/>
              </w:rPr>
            </w:pPr>
          </w:p>
        </w:tc>
        <w:tc>
          <w:tcPr>
            <w:tcW w:w="515" w:type="dxa"/>
            <w:shd w:val="clear" w:color="auto" w:fill="DCF3F8"/>
            <w:vAlign w:val="center"/>
          </w:tcPr>
          <w:p>
            <w:pPr>
              <w:jc w:val="center"/>
              <w:rPr>
                <w:rFonts w:ascii="宋体" w:hAnsi="宋体" w:eastAsia="宋体" w:cs="仿宋"/>
                <w:kern w:val="0"/>
                <w:sz w:val="22"/>
                <w:szCs w:val="22"/>
              </w:rPr>
            </w:pPr>
            <w:r>
              <w:rPr>
                <w:rFonts w:hint="eastAsia" w:ascii="宋体" w:hAnsi="宋体" w:eastAsia="宋体" w:cs="仿宋"/>
                <w:kern w:val="0"/>
                <w:sz w:val="22"/>
                <w:szCs w:val="22"/>
              </w:rPr>
              <w:t>1</w:t>
            </w:r>
            <w:r>
              <w:rPr>
                <w:rFonts w:ascii="宋体" w:hAnsi="宋体" w:eastAsia="宋体" w:cs="仿宋"/>
                <w:kern w:val="0"/>
                <w:sz w:val="22"/>
                <w:szCs w:val="22"/>
              </w:rPr>
              <w:t>6</w:t>
            </w:r>
          </w:p>
        </w:tc>
        <w:tc>
          <w:tcPr>
            <w:tcW w:w="3919" w:type="dxa"/>
            <w:shd w:val="clear" w:color="auto" w:fill="DCF3F8"/>
            <w:vAlign w:val="center"/>
          </w:tcPr>
          <w:p>
            <w:pPr>
              <w:rPr>
                <w:rFonts w:ascii="宋体" w:hAnsi="宋体" w:eastAsia="宋体" w:cs="仿宋"/>
                <w:kern w:val="0"/>
                <w:sz w:val="22"/>
                <w:szCs w:val="22"/>
                <w:lang w:eastAsia="zh-Hans"/>
              </w:rPr>
            </w:pPr>
            <w:r>
              <w:rPr>
                <w:rFonts w:hint="eastAsia" w:ascii="宋体" w:hAnsi="宋体" w:eastAsia="宋体" w:cs="仿宋"/>
                <w:kern w:val="0"/>
                <w:sz w:val="22"/>
                <w:szCs w:val="22"/>
                <w:lang w:eastAsia="zh-Hans"/>
              </w:rPr>
              <w:t>社区托育服务覆盖率</w:t>
            </w:r>
            <w:r>
              <w:rPr>
                <w:rStyle w:val="27"/>
                <w:rFonts w:hint="eastAsia" w:ascii="宋体" w:hAnsi="宋体" w:eastAsia="宋体" w:cs="仿宋"/>
                <w:kern w:val="0"/>
                <w:sz w:val="22"/>
                <w:szCs w:val="22"/>
                <w:lang w:eastAsia="zh-Hans"/>
              </w:rPr>
              <w:footnoteReference w:id="22"/>
            </w:r>
          </w:p>
        </w:tc>
        <w:tc>
          <w:tcPr>
            <w:tcW w:w="1036" w:type="dxa"/>
            <w:shd w:val="clear" w:color="auto" w:fill="DCF3F8"/>
            <w:vAlign w:val="center"/>
          </w:tcPr>
          <w:p>
            <w:pPr>
              <w:rPr>
                <w:rFonts w:ascii="宋体" w:hAnsi="宋体" w:eastAsia="宋体" w:cs="仿宋"/>
                <w:kern w:val="0"/>
                <w:sz w:val="22"/>
                <w:szCs w:val="22"/>
              </w:rPr>
            </w:pPr>
            <w:r>
              <w:rPr>
                <w:rFonts w:hint="eastAsia" w:ascii="宋体" w:hAnsi="宋体" w:eastAsia="宋体" w:cs="仿宋"/>
                <w:kern w:val="0"/>
                <w:sz w:val="22"/>
                <w:szCs w:val="22"/>
              </w:rPr>
              <w:t>-</w:t>
            </w:r>
          </w:p>
        </w:tc>
        <w:tc>
          <w:tcPr>
            <w:tcW w:w="1394" w:type="dxa"/>
            <w:shd w:val="clear" w:color="auto" w:fill="DCF3F8"/>
            <w:vAlign w:val="center"/>
          </w:tcPr>
          <w:p>
            <w:pPr>
              <w:rPr>
                <w:rFonts w:ascii="宋体" w:hAnsi="宋体" w:eastAsia="宋体" w:cs="仿宋"/>
                <w:kern w:val="0"/>
                <w:sz w:val="22"/>
                <w:szCs w:val="22"/>
                <w:lang w:eastAsia="zh-Hans"/>
              </w:rPr>
            </w:pPr>
            <w:r>
              <w:rPr>
                <w:rFonts w:hint="eastAsia" w:ascii="宋体" w:hAnsi="宋体" w:eastAsia="宋体" w:cs="仿宋"/>
                <w:kern w:val="0"/>
                <w:sz w:val="22"/>
                <w:szCs w:val="22"/>
              </w:rPr>
              <w:t>≥</w:t>
            </w:r>
            <w:r>
              <w:rPr>
                <w:rFonts w:ascii="宋体" w:hAnsi="宋体" w:eastAsia="宋体" w:cs="仿宋"/>
                <w:color w:val="0000FF"/>
                <w:kern w:val="0"/>
                <w:sz w:val="22"/>
                <w:szCs w:val="22"/>
              </w:rPr>
              <w:t>85</w:t>
            </w:r>
            <w:r>
              <w:rPr>
                <w:rFonts w:hint="eastAsia" w:ascii="宋体" w:hAnsi="宋体" w:eastAsia="宋体" w:cs="仿宋"/>
                <w:color w:val="0000FF"/>
                <w:kern w:val="0"/>
                <w:sz w:val="22"/>
                <w:szCs w:val="22"/>
              </w:rPr>
              <w:t>%</w:t>
            </w:r>
          </w:p>
        </w:tc>
        <w:tc>
          <w:tcPr>
            <w:tcW w:w="833" w:type="dxa"/>
            <w:shd w:val="clear" w:color="auto" w:fill="DCF3F8"/>
            <w:vAlign w:val="center"/>
          </w:tcPr>
          <w:p>
            <w:pPr>
              <w:rPr>
                <w:rFonts w:ascii="宋体" w:hAnsi="宋体" w:eastAsia="宋体" w:cs="仿宋"/>
                <w:kern w:val="0"/>
                <w:sz w:val="22"/>
                <w:szCs w:val="22"/>
                <w:lang w:eastAsia="zh-Hans"/>
              </w:rPr>
            </w:pPr>
            <w:r>
              <w:rPr>
                <w:rFonts w:hint="eastAsia" w:ascii="宋体" w:hAnsi="宋体" w:eastAsia="宋体" w:cs="仿宋"/>
                <w:kern w:val="0"/>
                <w:sz w:val="22"/>
                <w:szCs w:val="22"/>
                <w:lang w:eastAsia="zh-Hans"/>
              </w:rPr>
              <w:t>预期性</w:t>
            </w: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10" w:type="dxa"/>
            <w:bottom w:w="0" w:type="dxa"/>
            <w:right w:w="10" w:type="dxa"/>
          </w:tblCellMar>
        </w:tblPrEx>
        <w:trPr>
          <w:trHeight w:val="529" w:hRule="atLeast"/>
        </w:trPr>
        <w:tc>
          <w:tcPr>
            <w:tcW w:w="629" w:type="dxa"/>
            <w:vMerge w:val="continue"/>
            <w:shd w:val="clear" w:color="auto" w:fill="DCF3F8"/>
            <w:vAlign w:val="center"/>
          </w:tcPr>
          <w:p>
            <w:pPr>
              <w:jc w:val="both"/>
              <w:rPr>
                <w:rFonts w:hint="eastAsia" w:ascii="宋体" w:hAnsi="宋体" w:eastAsia="宋体" w:cs="仿宋"/>
                <w:b w:val="0"/>
                <w:bCs w:val="0"/>
                <w:kern w:val="0"/>
                <w:sz w:val="22"/>
                <w:szCs w:val="22"/>
                <w:lang w:eastAsia="zh-Hans"/>
              </w:rPr>
            </w:pPr>
          </w:p>
        </w:tc>
        <w:tc>
          <w:tcPr>
            <w:tcW w:w="515" w:type="dxa"/>
            <w:shd w:val="clear" w:color="auto" w:fill="DCF3F8"/>
            <w:vAlign w:val="center"/>
          </w:tcPr>
          <w:p>
            <w:pPr>
              <w:jc w:val="center"/>
              <w:rPr>
                <w:rFonts w:hint="eastAsia" w:ascii="宋体" w:hAnsi="宋体" w:eastAsia="宋体" w:cs="仿宋"/>
                <w:kern w:val="0"/>
                <w:sz w:val="22"/>
                <w:szCs w:val="22"/>
                <w:lang w:eastAsia="zh-Hans"/>
              </w:rPr>
            </w:pPr>
            <w:r>
              <w:rPr>
                <w:rFonts w:hint="eastAsia" w:ascii="宋体" w:hAnsi="宋体" w:eastAsia="宋体" w:cs="仿宋"/>
                <w:kern w:val="0"/>
                <w:sz w:val="22"/>
                <w:szCs w:val="22"/>
                <w:lang w:eastAsia="zh-Hans"/>
              </w:rPr>
              <w:t>1</w:t>
            </w:r>
            <w:r>
              <w:rPr>
                <w:rFonts w:ascii="宋体" w:hAnsi="宋体" w:eastAsia="宋体" w:cs="仿宋"/>
                <w:kern w:val="0"/>
                <w:sz w:val="22"/>
                <w:szCs w:val="22"/>
                <w:lang w:eastAsia="zh-Hans"/>
              </w:rPr>
              <w:t>7</w:t>
            </w:r>
          </w:p>
        </w:tc>
        <w:tc>
          <w:tcPr>
            <w:tcW w:w="3919" w:type="dxa"/>
            <w:shd w:val="clear" w:color="auto" w:fill="DCF3F8"/>
            <w:vAlign w:val="center"/>
          </w:tcPr>
          <w:p>
            <w:pPr>
              <w:rPr>
                <w:rFonts w:hint="eastAsia" w:ascii="宋体" w:hAnsi="宋体" w:eastAsia="宋体" w:cs="仿宋"/>
                <w:color w:val="0000FF"/>
                <w:kern w:val="0"/>
                <w:sz w:val="22"/>
                <w:szCs w:val="22"/>
                <w:lang w:eastAsia="zh-Hans" w:bidi="ar-SA"/>
              </w:rPr>
            </w:pPr>
            <w:r>
              <w:rPr>
                <w:rFonts w:hint="eastAsia" w:ascii="宋体" w:hAnsi="宋体" w:eastAsia="宋体" w:cs="仿宋"/>
                <w:bCs w:val="0"/>
                <w:color w:val="0000FF"/>
                <w:kern w:val="0"/>
                <w:sz w:val="22"/>
                <w:szCs w:val="22"/>
                <w:lang w:eastAsia="zh-Hans" w:bidi="ar-SA"/>
              </w:rPr>
              <w:t>区级托育综合服务中心</w:t>
            </w:r>
            <w:r>
              <w:rPr>
                <w:rFonts w:hint="eastAsia" w:ascii="宋体" w:hAnsi="宋体" w:eastAsia="宋体" w:cs="仿宋"/>
                <w:color w:val="0000FF"/>
                <w:kern w:val="0"/>
                <w:sz w:val="22"/>
                <w:szCs w:val="22"/>
                <w:lang w:eastAsia="zh-Hans"/>
              </w:rPr>
              <w:t>数</w:t>
            </w:r>
            <w:r>
              <w:rPr>
                <w:rStyle w:val="24"/>
                <w:rFonts w:ascii="宋体" w:hAnsi="宋体" w:eastAsia="宋体" w:cs="仿宋"/>
                <w:color w:val="0000FF"/>
                <w:kern w:val="0"/>
                <w:sz w:val="22"/>
                <w:szCs w:val="22"/>
                <w:vertAlign w:val="superscript"/>
                <w:lang w:eastAsia="zh-Hans"/>
              </w:rPr>
              <w:footnoteReference w:id="23"/>
            </w:r>
          </w:p>
        </w:tc>
        <w:tc>
          <w:tcPr>
            <w:tcW w:w="1036" w:type="dxa"/>
            <w:shd w:val="clear" w:color="auto" w:fill="DCF3F8"/>
            <w:vAlign w:val="center"/>
          </w:tcPr>
          <w:p>
            <w:pPr>
              <w:rPr>
                <w:rFonts w:ascii="宋体" w:hAnsi="宋体" w:eastAsia="宋体" w:cs="仿宋"/>
                <w:color w:val="0000FF"/>
                <w:kern w:val="0"/>
                <w:sz w:val="22"/>
                <w:szCs w:val="22"/>
              </w:rPr>
            </w:pPr>
          </w:p>
        </w:tc>
        <w:tc>
          <w:tcPr>
            <w:tcW w:w="1394" w:type="dxa"/>
            <w:shd w:val="clear" w:color="auto" w:fill="DCF3F8"/>
            <w:vAlign w:val="center"/>
          </w:tcPr>
          <w:p>
            <w:pPr>
              <w:rPr>
                <w:rFonts w:hint="eastAsia" w:ascii="宋体" w:hAnsi="宋体" w:eastAsia="宋体" w:cs="宋体"/>
                <w:color w:val="0000FF"/>
                <w:sz w:val="22"/>
                <w:szCs w:val="22"/>
              </w:rPr>
            </w:pPr>
            <w:r>
              <w:rPr>
                <w:rFonts w:hint="eastAsia" w:ascii="宋体" w:hAnsi="宋体" w:eastAsia="宋体" w:cs="宋体"/>
                <w:color w:val="0000FF"/>
                <w:sz w:val="22"/>
                <w:szCs w:val="22"/>
              </w:rPr>
              <w:t>1个</w:t>
            </w:r>
          </w:p>
        </w:tc>
        <w:tc>
          <w:tcPr>
            <w:tcW w:w="833" w:type="dxa"/>
            <w:shd w:val="clear" w:color="auto" w:fill="DCF3F8"/>
            <w:vAlign w:val="center"/>
          </w:tcPr>
          <w:p>
            <w:pPr>
              <w:rPr>
                <w:rFonts w:hint="eastAsia" w:ascii="宋体" w:hAnsi="宋体" w:eastAsia="宋体" w:cs="宋体"/>
                <w:color w:val="0000FF"/>
                <w:sz w:val="22"/>
                <w:szCs w:val="22"/>
              </w:rPr>
            </w:pPr>
            <w:r>
              <w:rPr>
                <w:rFonts w:hint="eastAsia" w:ascii="宋体" w:hAnsi="宋体" w:eastAsia="宋体" w:cs="宋体"/>
                <w:color w:val="0000FF"/>
                <w:sz w:val="22"/>
                <w:szCs w:val="22"/>
              </w:rPr>
              <w:t>约束性</w:t>
            </w: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10" w:type="dxa"/>
            <w:bottom w:w="0" w:type="dxa"/>
            <w:right w:w="10" w:type="dxa"/>
          </w:tblCellMar>
        </w:tblPrEx>
        <w:trPr>
          <w:trHeight w:val="529" w:hRule="atLeast"/>
        </w:trPr>
        <w:tc>
          <w:tcPr>
            <w:tcW w:w="629" w:type="dxa"/>
            <w:vMerge w:val="restart"/>
            <w:shd w:val="clear" w:color="auto" w:fill="DCF3F8"/>
            <w:vAlign w:val="center"/>
          </w:tcPr>
          <w:p>
            <w:pPr>
              <w:jc w:val="center"/>
              <w:rPr>
                <w:rFonts w:ascii="宋体" w:hAnsi="宋体" w:eastAsia="宋体" w:cs="仿宋"/>
                <w:b/>
                <w:bCs/>
                <w:kern w:val="0"/>
                <w:sz w:val="22"/>
                <w:szCs w:val="22"/>
              </w:rPr>
            </w:pPr>
            <w:r>
              <w:rPr>
                <w:rFonts w:hint="eastAsia" w:ascii="宋体" w:hAnsi="宋体" w:eastAsia="宋体" w:cs="仿宋"/>
                <w:b/>
                <w:bCs/>
                <w:kern w:val="0"/>
                <w:sz w:val="22"/>
                <w:szCs w:val="22"/>
              </w:rPr>
              <w:t>老年人和儿童</w:t>
            </w:r>
          </w:p>
          <w:p>
            <w:pPr>
              <w:jc w:val="center"/>
              <w:rPr>
                <w:rFonts w:ascii="宋体" w:hAnsi="宋体" w:eastAsia="宋体" w:cs="仿宋"/>
                <w:b/>
                <w:bCs/>
                <w:kern w:val="0"/>
                <w:sz w:val="22"/>
                <w:szCs w:val="22"/>
                <w:lang w:eastAsia="zh-Hans"/>
              </w:rPr>
            </w:pPr>
            <w:r>
              <w:rPr>
                <w:rFonts w:hint="eastAsia" w:ascii="宋体" w:hAnsi="宋体" w:eastAsia="宋体" w:cs="仿宋"/>
                <w:b/>
                <w:bCs/>
                <w:kern w:val="0"/>
                <w:sz w:val="22"/>
                <w:szCs w:val="22"/>
                <w:lang w:eastAsia="zh-Hans"/>
              </w:rPr>
              <w:t>健康</w:t>
            </w:r>
          </w:p>
        </w:tc>
        <w:tc>
          <w:tcPr>
            <w:tcW w:w="515" w:type="dxa"/>
            <w:shd w:val="clear" w:color="auto" w:fill="DCF3F8"/>
            <w:vAlign w:val="center"/>
          </w:tcPr>
          <w:p>
            <w:pPr>
              <w:jc w:val="center"/>
              <w:rPr>
                <w:rFonts w:ascii="宋体" w:hAnsi="宋体" w:eastAsia="宋体" w:cs="仿宋"/>
                <w:kern w:val="0"/>
                <w:sz w:val="22"/>
                <w:szCs w:val="22"/>
              </w:rPr>
            </w:pPr>
            <w:r>
              <w:rPr>
                <w:rFonts w:hint="eastAsia" w:ascii="宋体" w:hAnsi="宋体" w:eastAsia="宋体" w:cs="仿宋"/>
                <w:kern w:val="0"/>
                <w:sz w:val="22"/>
                <w:szCs w:val="22"/>
              </w:rPr>
              <w:t>1</w:t>
            </w:r>
            <w:r>
              <w:rPr>
                <w:rFonts w:hint="eastAsia" w:ascii="宋体" w:hAnsi="宋体" w:eastAsia="宋体" w:cs="仿宋"/>
                <w:kern w:val="0"/>
                <w:sz w:val="22"/>
                <w:szCs w:val="22"/>
                <w:lang w:val="en-US" w:eastAsia="zh-CN"/>
              </w:rPr>
              <w:t>8</w:t>
            </w:r>
          </w:p>
        </w:tc>
        <w:tc>
          <w:tcPr>
            <w:tcW w:w="3919" w:type="dxa"/>
            <w:shd w:val="clear" w:color="auto" w:fill="DCF3F8"/>
            <w:vAlign w:val="center"/>
          </w:tcPr>
          <w:p>
            <w:pPr>
              <w:rPr>
                <w:rFonts w:ascii="宋体" w:hAnsi="宋体" w:eastAsia="宋体" w:cs="仿宋"/>
                <w:kern w:val="0"/>
                <w:sz w:val="22"/>
                <w:szCs w:val="22"/>
                <w:lang w:eastAsia="zh-Hans"/>
              </w:rPr>
            </w:pPr>
            <w:r>
              <w:rPr>
                <w:rFonts w:hint="eastAsia" w:ascii="宋体" w:hAnsi="宋体" w:eastAsia="宋体" w:cs="宋体"/>
                <w:kern w:val="0"/>
                <w:sz w:val="22"/>
                <w:szCs w:val="22"/>
                <w:lang w:bidi="ar"/>
              </w:rPr>
              <w:t>65岁及以上老年人城乡社区规范健康管理服务率</w:t>
            </w:r>
            <w:r>
              <w:rPr>
                <w:rStyle w:val="27"/>
                <w:rFonts w:hint="eastAsia" w:ascii="宋体" w:hAnsi="宋体" w:eastAsia="宋体" w:cs="宋体"/>
                <w:kern w:val="0"/>
                <w:sz w:val="22"/>
                <w:szCs w:val="22"/>
                <w:lang w:bidi="ar"/>
              </w:rPr>
              <w:footnoteReference w:id="24"/>
            </w:r>
          </w:p>
        </w:tc>
        <w:tc>
          <w:tcPr>
            <w:tcW w:w="1036" w:type="dxa"/>
            <w:shd w:val="clear" w:color="auto" w:fill="DCF3F8"/>
            <w:vAlign w:val="center"/>
          </w:tcPr>
          <w:p>
            <w:pPr>
              <w:rPr>
                <w:rFonts w:ascii="宋体" w:hAnsi="宋体" w:eastAsia="宋体" w:cs="仿宋"/>
                <w:kern w:val="0"/>
                <w:sz w:val="22"/>
                <w:szCs w:val="22"/>
              </w:rPr>
            </w:pPr>
          </w:p>
        </w:tc>
        <w:tc>
          <w:tcPr>
            <w:tcW w:w="1394" w:type="dxa"/>
            <w:shd w:val="clear" w:color="auto" w:fill="DCF3F8"/>
            <w:vAlign w:val="center"/>
          </w:tcPr>
          <w:p>
            <w:pPr>
              <w:rPr>
                <w:rFonts w:ascii="宋体" w:hAnsi="宋体" w:eastAsia="宋体" w:cs="仿宋"/>
                <w:kern w:val="0"/>
                <w:sz w:val="22"/>
                <w:szCs w:val="22"/>
              </w:rPr>
            </w:pPr>
            <w:r>
              <w:rPr>
                <w:rFonts w:hint="eastAsia" w:ascii="宋体" w:hAnsi="宋体" w:eastAsia="宋体" w:cs="宋体"/>
                <w:sz w:val="22"/>
                <w:szCs w:val="22"/>
              </w:rPr>
              <w:t>65%</w:t>
            </w:r>
          </w:p>
        </w:tc>
        <w:tc>
          <w:tcPr>
            <w:tcW w:w="833" w:type="dxa"/>
            <w:shd w:val="clear" w:color="auto" w:fill="DCF3F8"/>
            <w:vAlign w:val="center"/>
          </w:tcPr>
          <w:p>
            <w:pPr>
              <w:rPr>
                <w:rFonts w:ascii="宋体" w:hAnsi="宋体" w:eastAsia="宋体" w:cs="仿宋"/>
                <w:kern w:val="0"/>
                <w:sz w:val="22"/>
                <w:szCs w:val="22"/>
              </w:rPr>
            </w:pPr>
            <w:r>
              <w:rPr>
                <w:rFonts w:hint="eastAsia" w:ascii="宋体" w:hAnsi="宋体" w:eastAsia="宋体" w:cs="宋体"/>
                <w:sz w:val="22"/>
                <w:szCs w:val="22"/>
              </w:rPr>
              <w:t>约束性</w:t>
            </w: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10" w:type="dxa"/>
            <w:bottom w:w="0" w:type="dxa"/>
            <w:right w:w="10" w:type="dxa"/>
          </w:tblCellMar>
        </w:tblPrEx>
        <w:trPr>
          <w:trHeight w:val="450" w:hRule="atLeast"/>
        </w:trPr>
        <w:tc>
          <w:tcPr>
            <w:tcW w:w="629" w:type="dxa"/>
            <w:vMerge w:val="continue"/>
            <w:shd w:val="clear" w:color="auto" w:fill="DCF3F8"/>
            <w:vAlign w:val="center"/>
          </w:tcPr>
          <w:p>
            <w:pPr>
              <w:jc w:val="center"/>
              <w:rPr>
                <w:rFonts w:ascii="宋体" w:hAnsi="宋体" w:eastAsia="宋体" w:cs="仿宋"/>
                <w:b/>
                <w:bCs/>
                <w:kern w:val="0"/>
                <w:sz w:val="22"/>
                <w:szCs w:val="22"/>
              </w:rPr>
            </w:pPr>
          </w:p>
        </w:tc>
        <w:tc>
          <w:tcPr>
            <w:tcW w:w="515" w:type="dxa"/>
            <w:shd w:val="clear" w:color="auto" w:fill="DCF3F8"/>
            <w:vAlign w:val="center"/>
          </w:tcPr>
          <w:p>
            <w:pPr>
              <w:jc w:val="center"/>
              <w:rPr>
                <w:rFonts w:ascii="宋体" w:hAnsi="宋体" w:eastAsia="宋体" w:cs="仿宋"/>
                <w:kern w:val="0"/>
                <w:sz w:val="22"/>
                <w:szCs w:val="22"/>
              </w:rPr>
            </w:pPr>
            <w:r>
              <w:rPr>
                <w:rFonts w:hint="eastAsia" w:ascii="宋体" w:hAnsi="宋体" w:eastAsia="宋体" w:cs="仿宋"/>
                <w:kern w:val="0"/>
                <w:sz w:val="22"/>
                <w:szCs w:val="22"/>
              </w:rPr>
              <w:t>1</w:t>
            </w:r>
            <w:r>
              <w:rPr>
                <w:rFonts w:hint="eastAsia" w:ascii="宋体" w:hAnsi="宋体" w:eastAsia="宋体" w:cs="仿宋"/>
                <w:kern w:val="0"/>
                <w:sz w:val="22"/>
                <w:szCs w:val="22"/>
                <w:lang w:val="en-US" w:eastAsia="zh-CN"/>
              </w:rPr>
              <w:t>9</w:t>
            </w:r>
          </w:p>
        </w:tc>
        <w:tc>
          <w:tcPr>
            <w:tcW w:w="3919" w:type="dxa"/>
            <w:shd w:val="clear" w:color="auto" w:fill="DCF3F8"/>
            <w:vAlign w:val="center"/>
          </w:tcPr>
          <w:p>
            <w:pPr>
              <w:rPr>
                <w:rFonts w:ascii="宋体" w:hAnsi="宋体" w:eastAsia="宋体" w:cs="仿宋"/>
                <w:kern w:val="0"/>
                <w:sz w:val="22"/>
                <w:szCs w:val="22"/>
              </w:rPr>
            </w:pPr>
            <w:r>
              <w:rPr>
                <w:rFonts w:hint="eastAsia" w:ascii="宋体" w:hAnsi="宋体" w:eastAsia="宋体" w:cs="宋体"/>
                <w:kern w:val="0"/>
                <w:sz w:val="22"/>
                <w:szCs w:val="22"/>
                <w:lang w:bidi="ar"/>
              </w:rPr>
              <w:t>二级以上综合性医院设老年医学科占比</w:t>
            </w:r>
            <w:r>
              <w:rPr>
                <w:rStyle w:val="27"/>
                <w:rFonts w:hint="eastAsia" w:ascii="宋体" w:hAnsi="宋体" w:eastAsia="宋体" w:cs="宋体"/>
                <w:kern w:val="0"/>
                <w:sz w:val="22"/>
                <w:szCs w:val="22"/>
                <w:lang w:bidi="ar"/>
              </w:rPr>
              <w:footnoteReference w:id="25"/>
            </w:r>
          </w:p>
        </w:tc>
        <w:tc>
          <w:tcPr>
            <w:tcW w:w="1036" w:type="dxa"/>
            <w:shd w:val="clear" w:color="auto" w:fill="DCF3F8"/>
            <w:vAlign w:val="center"/>
          </w:tcPr>
          <w:p>
            <w:pPr>
              <w:rPr>
                <w:rFonts w:ascii="宋体" w:hAnsi="宋体" w:eastAsia="宋体" w:cs="仿宋"/>
                <w:kern w:val="0"/>
                <w:sz w:val="22"/>
                <w:szCs w:val="22"/>
              </w:rPr>
            </w:pPr>
            <w:r>
              <w:rPr>
                <w:rFonts w:hint="eastAsia" w:ascii="宋体" w:hAnsi="宋体" w:eastAsia="宋体" w:cs="仿宋"/>
                <w:kern w:val="0"/>
                <w:sz w:val="22"/>
                <w:szCs w:val="22"/>
              </w:rPr>
              <w:t>100%</w:t>
            </w:r>
          </w:p>
        </w:tc>
        <w:tc>
          <w:tcPr>
            <w:tcW w:w="1394" w:type="dxa"/>
            <w:shd w:val="clear" w:color="auto" w:fill="DCF3F8"/>
            <w:vAlign w:val="center"/>
          </w:tcPr>
          <w:p>
            <w:pPr>
              <w:rPr>
                <w:rFonts w:ascii="宋体" w:hAnsi="宋体" w:eastAsia="宋体" w:cs="仿宋"/>
                <w:kern w:val="0"/>
                <w:sz w:val="22"/>
                <w:szCs w:val="22"/>
                <w:lang w:eastAsia="zh-Hans"/>
              </w:rPr>
            </w:pPr>
            <w:r>
              <w:rPr>
                <w:rFonts w:hint="eastAsia" w:ascii="宋体" w:hAnsi="宋体" w:eastAsia="宋体" w:cs="宋体"/>
                <w:sz w:val="22"/>
                <w:szCs w:val="22"/>
              </w:rPr>
              <w:t>100%</w:t>
            </w:r>
          </w:p>
        </w:tc>
        <w:tc>
          <w:tcPr>
            <w:tcW w:w="833" w:type="dxa"/>
            <w:shd w:val="clear" w:color="auto" w:fill="DCF3F8"/>
            <w:vAlign w:val="center"/>
          </w:tcPr>
          <w:p>
            <w:pPr>
              <w:rPr>
                <w:rFonts w:ascii="宋体" w:hAnsi="宋体" w:eastAsia="宋体" w:cs="仿宋"/>
                <w:kern w:val="0"/>
                <w:sz w:val="22"/>
                <w:szCs w:val="22"/>
              </w:rPr>
            </w:pPr>
            <w:r>
              <w:rPr>
                <w:rFonts w:hint="eastAsia" w:ascii="宋体" w:hAnsi="宋体" w:eastAsia="宋体" w:cs="宋体"/>
                <w:sz w:val="22"/>
                <w:szCs w:val="22"/>
              </w:rPr>
              <w:t>约束性</w:t>
            </w: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10" w:type="dxa"/>
            <w:bottom w:w="0" w:type="dxa"/>
            <w:right w:w="10" w:type="dxa"/>
          </w:tblCellMar>
        </w:tblPrEx>
        <w:trPr>
          <w:trHeight w:val="450" w:hRule="atLeast"/>
        </w:trPr>
        <w:tc>
          <w:tcPr>
            <w:tcW w:w="629" w:type="dxa"/>
            <w:vMerge w:val="continue"/>
            <w:shd w:val="clear" w:color="auto" w:fill="DCF3F8"/>
            <w:vAlign w:val="center"/>
          </w:tcPr>
          <w:p>
            <w:pPr>
              <w:jc w:val="center"/>
              <w:rPr>
                <w:rFonts w:ascii="宋体" w:hAnsi="宋体" w:eastAsia="宋体" w:cs="仿宋"/>
                <w:b/>
                <w:bCs/>
                <w:kern w:val="0"/>
                <w:sz w:val="22"/>
                <w:szCs w:val="22"/>
              </w:rPr>
            </w:pPr>
          </w:p>
        </w:tc>
        <w:tc>
          <w:tcPr>
            <w:tcW w:w="515" w:type="dxa"/>
            <w:shd w:val="clear" w:color="auto" w:fill="DCF3F8"/>
            <w:vAlign w:val="center"/>
          </w:tcPr>
          <w:p>
            <w:pPr>
              <w:jc w:val="center"/>
              <w:rPr>
                <w:rFonts w:ascii="宋体" w:hAnsi="宋体" w:eastAsia="宋体" w:cs="仿宋"/>
                <w:kern w:val="0"/>
                <w:sz w:val="22"/>
                <w:szCs w:val="22"/>
              </w:rPr>
            </w:pPr>
            <w:r>
              <w:rPr>
                <w:rFonts w:hint="eastAsia" w:ascii="宋体" w:hAnsi="宋体" w:eastAsia="宋体" w:cs="仿宋"/>
                <w:kern w:val="0"/>
                <w:sz w:val="22"/>
                <w:szCs w:val="22"/>
                <w:lang w:val="en-US" w:eastAsia="zh-CN"/>
              </w:rPr>
              <w:t>20</w:t>
            </w:r>
          </w:p>
        </w:tc>
        <w:tc>
          <w:tcPr>
            <w:tcW w:w="3919" w:type="dxa"/>
            <w:shd w:val="clear" w:color="auto" w:fill="DCF3F8"/>
            <w:vAlign w:val="center"/>
          </w:tcPr>
          <w:p>
            <w:pPr>
              <w:rPr>
                <w:rFonts w:ascii="宋体" w:hAnsi="宋体" w:eastAsia="宋体" w:cs="仿宋"/>
                <w:kern w:val="0"/>
                <w:sz w:val="22"/>
                <w:szCs w:val="22"/>
              </w:rPr>
            </w:pPr>
            <w:r>
              <w:rPr>
                <w:rFonts w:hint="eastAsia" w:ascii="宋体" w:hAnsi="宋体" w:eastAsia="宋体" w:cs="宋体"/>
                <w:kern w:val="0"/>
                <w:sz w:val="22"/>
                <w:szCs w:val="22"/>
                <w:lang w:bidi="ar"/>
              </w:rPr>
              <w:t>医疗卫生机构成为老年友善医疗机构占比</w:t>
            </w:r>
            <w:r>
              <w:rPr>
                <w:rStyle w:val="27"/>
                <w:rFonts w:hint="eastAsia" w:ascii="宋体" w:hAnsi="宋体" w:eastAsia="宋体" w:cs="宋体"/>
                <w:kern w:val="0"/>
                <w:sz w:val="22"/>
                <w:szCs w:val="22"/>
                <w:lang w:bidi="ar"/>
              </w:rPr>
              <w:footnoteReference w:id="26"/>
            </w:r>
          </w:p>
        </w:tc>
        <w:tc>
          <w:tcPr>
            <w:tcW w:w="1036" w:type="dxa"/>
            <w:shd w:val="clear" w:color="auto" w:fill="DCF3F8"/>
            <w:vAlign w:val="center"/>
          </w:tcPr>
          <w:p>
            <w:pPr>
              <w:rPr>
                <w:rFonts w:ascii="宋体" w:hAnsi="宋体" w:eastAsia="宋体" w:cs="仿宋"/>
                <w:kern w:val="0"/>
                <w:sz w:val="22"/>
                <w:szCs w:val="22"/>
              </w:rPr>
            </w:pPr>
            <w:r>
              <w:rPr>
                <w:rFonts w:hint="eastAsia" w:ascii="宋体" w:hAnsi="宋体" w:eastAsia="宋体" w:cs="仿宋"/>
                <w:kern w:val="0"/>
                <w:sz w:val="22"/>
                <w:szCs w:val="22"/>
              </w:rPr>
              <w:t>68.74%</w:t>
            </w:r>
          </w:p>
        </w:tc>
        <w:tc>
          <w:tcPr>
            <w:tcW w:w="1394" w:type="dxa"/>
            <w:shd w:val="clear" w:color="auto" w:fill="DCF3F8"/>
            <w:vAlign w:val="center"/>
          </w:tcPr>
          <w:p>
            <w:pPr>
              <w:rPr>
                <w:rFonts w:ascii="宋体" w:hAnsi="宋体" w:eastAsia="宋体" w:cs="仿宋"/>
                <w:kern w:val="0"/>
                <w:sz w:val="22"/>
                <w:szCs w:val="22"/>
                <w:lang w:eastAsia="zh-Hans"/>
              </w:rPr>
            </w:pPr>
            <w:r>
              <w:rPr>
                <w:rFonts w:hint="eastAsia" w:ascii="宋体" w:hAnsi="宋体" w:eastAsia="宋体" w:cs="宋体"/>
                <w:sz w:val="22"/>
                <w:szCs w:val="22"/>
              </w:rPr>
              <w:t>85%</w:t>
            </w:r>
          </w:p>
        </w:tc>
        <w:tc>
          <w:tcPr>
            <w:tcW w:w="833" w:type="dxa"/>
            <w:shd w:val="clear" w:color="auto" w:fill="DCF3F8"/>
            <w:vAlign w:val="center"/>
          </w:tcPr>
          <w:p>
            <w:pPr>
              <w:rPr>
                <w:rFonts w:ascii="宋体" w:hAnsi="宋体" w:eastAsia="宋体" w:cs="仿宋"/>
                <w:kern w:val="0"/>
                <w:sz w:val="22"/>
                <w:szCs w:val="22"/>
              </w:rPr>
            </w:pPr>
            <w:r>
              <w:rPr>
                <w:rFonts w:hint="eastAsia" w:ascii="宋体" w:hAnsi="宋体" w:eastAsia="宋体" w:cs="宋体"/>
                <w:sz w:val="22"/>
                <w:szCs w:val="22"/>
              </w:rPr>
              <w:t>约束性</w:t>
            </w: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10" w:type="dxa"/>
            <w:bottom w:w="0" w:type="dxa"/>
            <w:right w:w="10" w:type="dxa"/>
          </w:tblCellMar>
        </w:tblPrEx>
        <w:trPr>
          <w:trHeight w:val="450" w:hRule="atLeast"/>
        </w:trPr>
        <w:tc>
          <w:tcPr>
            <w:tcW w:w="629" w:type="dxa"/>
            <w:vMerge w:val="continue"/>
            <w:shd w:val="clear" w:color="auto" w:fill="DCF3F8"/>
            <w:vAlign w:val="center"/>
          </w:tcPr>
          <w:p>
            <w:pPr>
              <w:jc w:val="center"/>
              <w:rPr>
                <w:rFonts w:ascii="宋体" w:hAnsi="宋体" w:eastAsia="宋体" w:cs="仿宋"/>
                <w:b/>
                <w:bCs/>
                <w:kern w:val="0"/>
                <w:sz w:val="22"/>
                <w:szCs w:val="22"/>
              </w:rPr>
            </w:pPr>
          </w:p>
        </w:tc>
        <w:tc>
          <w:tcPr>
            <w:tcW w:w="515" w:type="dxa"/>
            <w:shd w:val="clear" w:color="auto" w:fill="DCF3F8"/>
            <w:vAlign w:val="center"/>
          </w:tcPr>
          <w:p>
            <w:pPr>
              <w:jc w:val="center"/>
              <w:rPr>
                <w:rFonts w:ascii="宋体" w:hAnsi="宋体" w:eastAsia="宋体" w:cs="仿宋"/>
                <w:kern w:val="0"/>
                <w:sz w:val="22"/>
                <w:szCs w:val="22"/>
              </w:rPr>
            </w:pPr>
            <w:r>
              <w:rPr>
                <w:rFonts w:hint="eastAsia" w:ascii="宋体" w:hAnsi="宋体" w:eastAsia="宋体" w:cs="仿宋"/>
                <w:kern w:val="0"/>
                <w:sz w:val="22"/>
                <w:szCs w:val="22"/>
              </w:rPr>
              <w:t>2</w:t>
            </w:r>
            <w:r>
              <w:rPr>
                <w:rFonts w:hint="eastAsia" w:ascii="宋体" w:hAnsi="宋体" w:eastAsia="宋体" w:cs="仿宋"/>
                <w:kern w:val="0"/>
                <w:sz w:val="22"/>
                <w:szCs w:val="22"/>
                <w:lang w:val="en-US" w:eastAsia="zh-CN"/>
              </w:rPr>
              <w:t>1</w:t>
            </w:r>
          </w:p>
        </w:tc>
        <w:tc>
          <w:tcPr>
            <w:tcW w:w="3919" w:type="dxa"/>
            <w:shd w:val="clear" w:color="auto" w:fill="DCF3F8"/>
            <w:vAlign w:val="center"/>
          </w:tcPr>
          <w:p>
            <w:pPr>
              <w:rPr>
                <w:rFonts w:ascii="宋体" w:hAnsi="宋体" w:eastAsia="宋体" w:cs="仿宋"/>
                <w:kern w:val="0"/>
                <w:sz w:val="22"/>
                <w:szCs w:val="22"/>
              </w:rPr>
            </w:pPr>
            <w:r>
              <w:rPr>
                <w:rFonts w:hint="eastAsia" w:ascii="宋体" w:hAnsi="宋体" w:eastAsia="宋体" w:cs="宋体"/>
                <w:kern w:val="0"/>
                <w:sz w:val="22"/>
                <w:szCs w:val="22"/>
                <w:lang w:bidi="ar"/>
              </w:rPr>
              <w:t>基层医疗卫生机构护理床位占比</w:t>
            </w:r>
            <w:r>
              <w:rPr>
                <w:rStyle w:val="27"/>
                <w:rFonts w:hint="eastAsia" w:ascii="宋体" w:hAnsi="宋体" w:eastAsia="宋体" w:cs="宋体"/>
                <w:kern w:val="0"/>
                <w:sz w:val="22"/>
                <w:szCs w:val="22"/>
                <w:lang w:bidi="ar"/>
              </w:rPr>
              <w:footnoteReference w:id="27"/>
            </w:r>
          </w:p>
        </w:tc>
        <w:tc>
          <w:tcPr>
            <w:tcW w:w="1036" w:type="dxa"/>
            <w:shd w:val="clear" w:color="auto" w:fill="DCF3F8"/>
            <w:vAlign w:val="center"/>
          </w:tcPr>
          <w:p>
            <w:pPr>
              <w:rPr>
                <w:rFonts w:ascii="宋体" w:hAnsi="宋体" w:eastAsia="宋体" w:cs="仿宋"/>
                <w:kern w:val="0"/>
                <w:sz w:val="22"/>
                <w:szCs w:val="22"/>
              </w:rPr>
            </w:pPr>
          </w:p>
        </w:tc>
        <w:tc>
          <w:tcPr>
            <w:tcW w:w="1394" w:type="dxa"/>
            <w:shd w:val="clear" w:color="auto" w:fill="DCF3F8"/>
            <w:vAlign w:val="center"/>
          </w:tcPr>
          <w:p>
            <w:pPr>
              <w:rPr>
                <w:rFonts w:ascii="宋体" w:hAnsi="宋体" w:eastAsia="宋体" w:cs="仿宋"/>
                <w:kern w:val="0"/>
                <w:sz w:val="22"/>
                <w:szCs w:val="22"/>
                <w:lang w:eastAsia="zh-Hans"/>
              </w:rPr>
            </w:pPr>
            <w:r>
              <w:rPr>
                <w:rFonts w:hint="eastAsia" w:ascii="宋体" w:hAnsi="宋体" w:eastAsia="宋体" w:cs="宋体"/>
                <w:sz w:val="22"/>
                <w:szCs w:val="22"/>
              </w:rPr>
              <w:t>30%</w:t>
            </w:r>
          </w:p>
        </w:tc>
        <w:tc>
          <w:tcPr>
            <w:tcW w:w="833" w:type="dxa"/>
            <w:shd w:val="clear" w:color="auto" w:fill="DCF3F8"/>
            <w:vAlign w:val="center"/>
          </w:tcPr>
          <w:p>
            <w:pPr>
              <w:rPr>
                <w:rFonts w:ascii="宋体" w:hAnsi="宋体" w:eastAsia="宋体" w:cs="仿宋"/>
                <w:kern w:val="0"/>
                <w:sz w:val="22"/>
                <w:szCs w:val="22"/>
              </w:rPr>
            </w:pPr>
            <w:r>
              <w:rPr>
                <w:rFonts w:hint="eastAsia" w:ascii="宋体" w:hAnsi="宋体" w:eastAsia="宋体" w:cs="宋体"/>
                <w:sz w:val="22"/>
                <w:szCs w:val="22"/>
              </w:rPr>
              <w:t>约束性</w:t>
            </w: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10" w:type="dxa"/>
            <w:bottom w:w="0" w:type="dxa"/>
            <w:right w:w="10" w:type="dxa"/>
          </w:tblCellMar>
        </w:tblPrEx>
        <w:trPr>
          <w:trHeight w:val="450" w:hRule="atLeast"/>
        </w:trPr>
        <w:tc>
          <w:tcPr>
            <w:tcW w:w="629" w:type="dxa"/>
            <w:vMerge w:val="continue"/>
            <w:shd w:val="clear" w:color="auto" w:fill="DCF3F8"/>
            <w:vAlign w:val="center"/>
          </w:tcPr>
          <w:p>
            <w:pPr>
              <w:jc w:val="center"/>
              <w:rPr>
                <w:rFonts w:ascii="宋体" w:hAnsi="宋体" w:eastAsia="宋体" w:cs="仿宋"/>
                <w:b/>
                <w:bCs/>
                <w:kern w:val="0"/>
                <w:sz w:val="22"/>
                <w:szCs w:val="22"/>
              </w:rPr>
            </w:pPr>
          </w:p>
        </w:tc>
        <w:tc>
          <w:tcPr>
            <w:tcW w:w="515" w:type="dxa"/>
            <w:shd w:val="clear" w:color="auto" w:fill="DCF3F8"/>
            <w:vAlign w:val="center"/>
          </w:tcPr>
          <w:p>
            <w:pPr>
              <w:jc w:val="center"/>
              <w:rPr>
                <w:rFonts w:ascii="宋体" w:hAnsi="宋体" w:eastAsia="宋体" w:cs="仿宋"/>
                <w:kern w:val="0"/>
                <w:sz w:val="22"/>
                <w:szCs w:val="22"/>
              </w:rPr>
            </w:pPr>
            <w:r>
              <w:rPr>
                <w:rFonts w:hint="eastAsia" w:ascii="宋体" w:hAnsi="宋体" w:eastAsia="宋体" w:cs="仿宋"/>
                <w:kern w:val="0"/>
                <w:sz w:val="22"/>
                <w:szCs w:val="22"/>
              </w:rPr>
              <w:t>2</w:t>
            </w:r>
            <w:r>
              <w:rPr>
                <w:rFonts w:hint="eastAsia" w:ascii="宋体" w:hAnsi="宋体" w:eastAsia="宋体" w:cs="仿宋"/>
                <w:kern w:val="0"/>
                <w:sz w:val="22"/>
                <w:szCs w:val="22"/>
                <w:lang w:val="en-US" w:eastAsia="zh-CN"/>
              </w:rPr>
              <w:t>2</w:t>
            </w:r>
          </w:p>
        </w:tc>
        <w:tc>
          <w:tcPr>
            <w:tcW w:w="3919" w:type="dxa"/>
            <w:shd w:val="clear" w:color="auto" w:fill="DCF3F8"/>
            <w:vAlign w:val="center"/>
          </w:tcPr>
          <w:p>
            <w:pPr>
              <w:rPr>
                <w:rFonts w:ascii="宋体" w:hAnsi="宋体" w:eastAsia="宋体" w:cs="仿宋"/>
                <w:kern w:val="0"/>
                <w:sz w:val="22"/>
                <w:szCs w:val="22"/>
              </w:rPr>
            </w:pPr>
            <w:r>
              <w:rPr>
                <w:rFonts w:hint="eastAsia" w:ascii="宋体" w:hAnsi="宋体" w:eastAsia="宋体" w:cs="仿宋"/>
                <w:kern w:val="0"/>
                <w:sz w:val="22"/>
                <w:szCs w:val="22"/>
                <w:lang w:eastAsia="zh-Hans"/>
              </w:rPr>
              <w:t>新生儿、婴儿和5岁以下儿童死亡率</w:t>
            </w:r>
            <w:r>
              <w:rPr>
                <w:rStyle w:val="27"/>
                <w:rFonts w:hint="eastAsia" w:ascii="宋体" w:hAnsi="宋体" w:eastAsia="宋体" w:cs="仿宋"/>
                <w:kern w:val="0"/>
                <w:sz w:val="22"/>
                <w:szCs w:val="22"/>
                <w:lang w:eastAsia="zh-Hans"/>
              </w:rPr>
              <w:footnoteReference w:id="28"/>
            </w:r>
          </w:p>
        </w:tc>
        <w:tc>
          <w:tcPr>
            <w:tcW w:w="1036" w:type="dxa"/>
            <w:shd w:val="clear" w:color="auto" w:fill="DCF3F8"/>
            <w:vAlign w:val="center"/>
          </w:tcPr>
          <w:p>
            <w:pPr>
              <w:rPr>
                <w:rFonts w:ascii="宋体" w:hAnsi="宋体" w:eastAsia="宋体" w:cs="仿宋"/>
                <w:kern w:val="0"/>
                <w:sz w:val="22"/>
                <w:szCs w:val="22"/>
              </w:rPr>
            </w:pPr>
          </w:p>
        </w:tc>
        <w:tc>
          <w:tcPr>
            <w:tcW w:w="1394" w:type="dxa"/>
            <w:shd w:val="clear" w:color="auto" w:fill="DCF3F8"/>
            <w:vAlign w:val="center"/>
          </w:tcPr>
          <w:p>
            <w:pPr>
              <w:rPr>
                <w:rFonts w:ascii="宋体" w:hAnsi="宋体" w:eastAsia="宋体" w:cs="仿宋"/>
                <w:kern w:val="0"/>
                <w:sz w:val="22"/>
                <w:szCs w:val="22"/>
                <w:lang w:eastAsia="zh-Hans"/>
              </w:rPr>
            </w:pPr>
            <w:r>
              <w:rPr>
                <w:rFonts w:hint="eastAsia" w:ascii="宋体" w:hAnsi="宋体" w:eastAsia="宋体" w:cs="仿宋"/>
                <w:kern w:val="0"/>
                <w:sz w:val="22"/>
                <w:szCs w:val="22"/>
                <w:lang w:eastAsia="zh-Hans"/>
              </w:rPr>
              <w:t>＜2‰、3‰和4‰</w:t>
            </w:r>
          </w:p>
        </w:tc>
        <w:tc>
          <w:tcPr>
            <w:tcW w:w="833" w:type="dxa"/>
            <w:shd w:val="clear" w:color="auto" w:fill="DCF3F8"/>
            <w:vAlign w:val="center"/>
          </w:tcPr>
          <w:p>
            <w:pPr>
              <w:rPr>
                <w:rFonts w:ascii="宋体" w:hAnsi="宋体" w:eastAsia="宋体" w:cs="仿宋"/>
                <w:kern w:val="0"/>
                <w:sz w:val="22"/>
                <w:szCs w:val="22"/>
              </w:rPr>
            </w:pPr>
            <w:r>
              <w:rPr>
                <w:rFonts w:hint="eastAsia" w:ascii="宋体" w:hAnsi="宋体" w:eastAsia="宋体" w:cs="仿宋"/>
                <w:kern w:val="0"/>
                <w:sz w:val="22"/>
                <w:szCs w:val="22"/>
                <w:lang w:eastAsia="zh-Hans"/>
              </w:rPr>
              <w:t>约束</w:t>
            </w:r>
            <w:r>
              <w:rPr>
                <w:rFonts w:hint="eastAsia" w:ascii="宋体" w:hAnsi="宋体" w:eastAsia="宋体" w:cs="仿宋"/>
                <w:kern w:val="0"/>
                <w:sz w:val="22"/>
                <w:szCs w:val="22"/>
              </w:rPr>
              <w:t>性</w:t>
            </w: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10" w:type="dxa"/>
            <w:bottom w:w="0" w:type="dxa"/>
            <w:right w:w="10" w:type="dxa"/>
          </w:tblCellMar>
        </w:tblPrEx>
        <w:trPr>
          <w:trHeight w:val="450" w:hRule="atLeast"/>
        </w:trPr>
        <w:tc>
          <w:tcPr>
            <w:tcW w:w="629" w:type="dxa"/>
            <w:vMerge w:val="continue"/>
            <w:shd w:val="clear" w:color="auto" w:fill="DCF3F8"/>
            <w:vAlign w:val="center"/>
          </w:tcPr>
          <w:p>
            <w:pPr>
              <w:jc w:val="center"/>
              <w:rPr>
                <w:rFonts w:ascii="宋体" w:hAnsi="宋体" w:eastAsia="宋体" w:cs="仿宋"/>
                <w:b/>
                <w:bCs/>
                <w:kern w:val="0"/>
                <w:sz w:val="22"/>
                <w:szCs w:val="22"/>
              </w:rPr>
            </w:pPr>
          </w:p>
        </w:tc>
        <w:tc>
          <w:tcPr>
            <w:tcW w:w="515" w:type="dxa"/>
            <w:shd w:val="clear" w:color="auto" w:fill="DCF3F8"/>
            <w:vAlign w:val="center"/>
          </w:tcPr>
          <w:p>
            <w:pPr>
              <w:jc w:val="center"/>
              <w:rPr>
                <w:rFonts w:ascii="宋体" w:hAnsi="宋体" w:eastAsia="宋体" w:cs="仿宋"/>
                <w:kern w:val="0"/>
                <w:sz w:val="22"/>
                <w:szCs w:val="22"/>
              </w:rPr>
            </w:pPr>
            <w:r>
              <w:rPr>
                <w:rFonts w:hint="eastAsia" w:ascii="宋体" w:hAnsi="宋体" w:eastAsia="宋体" w:cs="仿宋"/>
                <w:kern w:val="0"/>
                <w:sz w:val="22"/>
                <w:szCs w:val="22"/>
              </w:rPr>
              <w:t>2</w:t>
            </w:r>
            <w:r>
              <w:rPr>
                <w:rFonts w:hint="eastAsia" w:ascii="宋体" w:hAnsi="宋体" w:eastAsia="宋体" w:cs="仿宋"/>
                <w:kern w:val="0"/>
                <w:sz w:val="22"/>
                <w:szCs w:val="22"/>
                <w:lang w:val="en-US" w:eastAsia="zh-CN"/>
              </w:rPr>
              <w:t>3</w:t>
            </w:r>
          </w:p>
        </w:tc>
        <w:tc>
          <w:tcPr>
            <w:tcW w:w="3919" w:type="dxa"/>
            <w:shd w:val="clear" w:color="auto" w:fill="DCF3F8"/>
            <w:vAlign w:val="center"/>
          </w:tcPr>
          <w:p>
            <w:pPr>
              <w:rPr>
                <w:rFonts w:ascii="宋体" w:hAnsi="宋体" w:eastAsia="宋体" w:cs="仿宋"/>
                <w:kern w:val="0"/>
                <w:sz w:val="22"/>
                <w:szCs w:val="22"/>
                <w:lang w:eastAsia="zh-Hans"/>
              </w:rPr>
            </w:pPr>
            <w:r>
              <w:rPr>
                <w:rFonts w:hint="eastAsia" w:ascii="宋体" w:hAnsi="宋体" w:eastAsia="宋体" w:cs="仿宋"/>
                <w:kern w:val="0"/>
                <w:sz w:val="22"/>
                <w:szCs w:val="22"/>
              </w:rPr>
              <w:t>3</w:t>
            </w:r>
            <w:r>
              <w:rPr>
                <w:rFonts w:hint="eastAsia" w:ascii="宋体" w:hAnsi="宋体" w:eastAsia="宋体" w:cs="仿宋"/>
                <w:kern w:val="0"/>
                <w:sz w:val="22"/>
                <w:szCs w:val="22"/>
                <w:lang w:eastAsia="zh-Hans"/>
              </w:rPr>
              <w:t>岁以下儿童系统服务率</w:t>
            </w:r>
            <w:r>
              <w:rPr>
                <w:rStyle w:val="27"/>
                <w:rFonts w:hint="eastAsia" w:ascii="宋体" w:hAnsi="宋体" w:eastAsia="宋体" w:cs="仿宋"/>
                <w:kern w:val="0"/>
                <w:sz w:val="22"/>
                <w:szCs w:val="22"/>
                <w:lang w:eastAsia="zh-Hans"/>
              </w:rPr>
              <w:footnoteReference w:id="29"/>
            </w:r>
          </w:p>
        </w:tc>
        <w:tc>
          <w:tcPr>
            <w:tcW w:w="1036" w:type="dxa"/>
            <w:shd w:val="clear" w:color="auto" w:fill="DCF3F8"/>
            <w:vAlign w:val="center"/>
          </w:tcPr>
          <w:p>
            <w:pPr>
              <w:rPr>
                <w:rFonts w:ascii="宋体" w:hAnsi="宋体" w:eastAsia="宋体" w:cs="仿宋"/>
                <w:kern w:val="0"/>
                <w:sz w:val="22"/>
                <w:szCs w:val="22"/>
              </w:rPr>
            </w:pPr>
          </w:p>
        </w:tc>
        <w:tc>
          <w:tcPr>
            <w:tcW w:w="1394" w:type="dxa"/>
            <w:shd w:val="clear" w:color="auto" w:fill="DCF3F8"/>
            <w:vAlign w:val="center"/>
          </w:tcPr>
          <w:p>
            <w:pPr>
              <w:rPr>
                <w:rFonts w:ascii="宋体" w:hAnsi="宋体" w:eastAsia="宋体" w:cs="仿宋"/>
                <w:kern w:val="0"/>
                <w:sz w:val="22"/>
                <w:szCs w:val="22"/>
                <w:lang w:eastAsia="zh-Hans"/>
              </w:rPr>
            </w:pPr>
            <w:r>
              <w:rPr>
                <w:rFonts w:hint="eastAsia" w:ascii="宋体" w:hAnsi="宋体" w:eastAsia="宋体" w:cs="仿宋"/>
                <w:kern w:val="0"/>
                <w:sz w:val="22"/>
                <w:szCs w:val="22"/>
                <w:lang w:eastAsia="zh-Hans"/>
              </w:rPr>
              <w:t>＞96%</w:t>
            </w:r>
          </w:p>
        </w:tc>
        <w:tc>
          <w:tcPr>
            <w:tcW w:w="833" w:type="dxa"/>
            <w:shd w:val="clear" w:color="auto" w:fill="DCF3F8"/>
            <w:vAlign w:val="center"/>
          </w:tcPr>
          <w:p>
            <w:pPr>
              <w:rPr>
                <w:rFonts w:ascii="宋体" w:hAnsi="宋体" w:eastAsia="宋体" w:cs="仿宋"/>
                <w:kern w:val="0"/>
                <w:sz w:val="22"/>
                <w:szCs w:val="22"/>
              </w:rPr>
            </w:pPr>
            <w:r>
              <w:rPr>
                <w:rFonts w:hint="eastAsia" w:ascii="宋体" w:hAnsi="宋体" w:eastAsia="宋体" w:cs="仿宋"/>
                <w:kern w:val="0"/>
                <w:sz w:val="22"/>
                <w:szCs w:val="22"/>
              </w:rPr>
              <w:t>约束性</w:t>
            </w: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10" w:type="dxa"/>
            <w:bottom w:w="0" w:type="dxa"/>
            <w:right w:w="10" w:type="dxa"/>
          </w:tblCellMar>
        </w:tblPrEx>
        <w:trPr>
          <w:trHeight w:val="343" w:hRule="atLeast"/>
        </w:trPr>
        <w:tc>
          <w:tcPr>
            <w:tcW w:w="629" w:type="dxa"/>
            <w:vMerge w:val="continue"/>
            <w:shd w:val="clear" w:color="auto" w:fill="DCF3F8"/>
            <w:vAlign w:val="center"/>
          </w:tcPr>
          <w:p>
            <w:pPr>
              <w:jc w:val="center"/>
              <w:rPr>
                <w:rFonts w:ascii="宋体" w:hAnsi="宋体" w:eastAsia="宋体" w:cs="仿宋"/>
                <w:b/>
                <w:bCs/>
                <w:kern w:val="0"/>
                <w:sz w:val="22"/>
                <w:szCs w:val="22"/>
              </w:rPr>
            </w:pPr>
          </w:p>
        </w:tc>
        <w:tc>
          <w:tcPr>
            <w:tcW w:w="515" w:type="dxa"/>
            <w:shd w:val="clear" w:color="auto" w:fill="DCF3F8"/>
            <w:vAlign w:val="center"/>
          </w:tcPr>
          <w:p>
            <w:pPr>
              <w:jc w:val="center"/>
              <w:rPr>
                <w:rFonts w:ascii="宋体" w:hAnsi="宋体" w:eastAsia="宋体" w:cs="仿宋"/>
                <w:kern w:val="0"/>
                <w:sz w:val="22"/>
                <w:szCs w:val="22"/>
              </w:rPr>
            </w:pPr>
            <w:r>
              <w:rPr>
                <w:rFonts w:hint="eastAsia" w:ascii="宋体" w:hAnsi="宋体" w:eastAsia="宋体" w:cs="仿宋"/>
                <w:kern w:val="0"/>
                <w:sz w:val="22"/>
                <w:szCs w:val="22"/>
              </w:rPr>
              <w:t>2</w:t>
            </w:r>
            <w:r>
              <w:rPr>
                <w:rFonts w:hint="eastAsia" w:ascii="宋体" w:hAnsi="宋体" w:eastAsia="宋体" w:cs="仿宋"/>
                <w:kern w:val="0"/>
                <w:sz w:val="22"/>
                <w:szCs w:val="22"/>
                <w:lang w:val="en-US" w:eastAsia="zh-CN"/>
              </w:rPr>
              <w:t>4</w:t>
            </w:r>
          </w:p>
        </w:tc>
        <w:tc>
          <w:tcPr>
            <w:tcW w:w="3919" w:type="dxa"/>
            <w:shd w:val="clear" w:color="auto" w:fill="DCF3F8"/>
            <w:vAlign w:val="center"/>
          </w:tcPr>
          <w:p>
            <w:pPr>
              <w:rPr>
                <w:rFonts w:ascii="宋体" w:hAnsi="宋体" w:eastAsia="宋体" w:cs="仿宋"/>
                <w:kern w:val="0"/>
                <w:sz w:val="22"/>
                <w:szCs w:val="22"/>
              </w:rPr>
            </w:pPr>
            <w:r>
              <w:rPr>
                <w:rFonts w:hint="eastAsia" w:ascii="宋体" w:hAnsi="宋体" w:eastAsia="宋体" w:cs="仿宋"/>
                <w:kern w:val="0"/>
                <w:sz w:val="22"/>
                <w:szCs w:val="22"/>
                <w:lang w:eastAsia="zh-Hans"/>
              </w:rPr>
              <w:t>适龄</w:t>
            </w:r>
            <w:r>
              <w:rPr>
                <w:rFonts w:hint="eastAsia" w:ascii="宋体" w:hAnsi="宋体" w:eastAsia="宋体" w:cs="仿宋"/>
                <w:kern w:val="0"/>
                <w:sz w:val="22"/>
                <w:szCs w:val="22"/>
              </w:rPr>
              <w:t>儿童</w:t>
            </w:r>
            <w:r>
              <w:rPr>
                <w:rFonts w:hint="eastAsia" w:ascii="宋体" w:hAnsi="宋体" w:eastAsia="宋体" w:cs="仿宋"/>
                <w:kern w:val="0"/>
                <w:sz w:val="22"/>
                <w:szCs w:val="22"/>
                <w:lang w:eastAsia="zh-Hans"/>
              </w:rPr>
              <w:t>免疫规划疫苗接种率</w:t>
            </w:r>
            <w:r>
              <w:rPr>
                <w:rStyle w:val="27"/>
                <w:rFonts w:hint="eastAsia" w:ascii="宋体" w:hAnsi="宋体" w:eastAsia="宋体" w:cs="仿宋"/>
                <w:kern w:val="0"/>
                <w:sz w:val="22"/>
                <w:szCs w:val="22"/>
                <w:lang w:eastAsia="zh-Hans"/>
              </w:rPr>
              <w:footnoteReference w:id="30"/>
            </w:r>
          </w:p>
        </w:tc>
        <w:tc>
          <w:tcPr>
            <w:tcW w:w="1036" w:type="dxa"/>
            <w:shd w:val="clear" w:color="auto" w:fill="DCF3F8"/>
            <w:vAlign w:val="center"/>
          </w:tcPr>
          <w:p>
            <w:pPr>
              <w:rPr>
                <w:rFonts w:ascii="宋体" w:hAnsi="宋体" w:eastAsia="宋体" w:cs="仿宋"/>
                <w:kern w:val="0"/>
                <w:sz w:val="22"/>
                <w:szCs w:val="22"/>
              </w:rPr>
            </w:pPr>
            <w:r>
              <w:rPr>
                <w:rFonts w:hint="eastAsia" w:ascii="宋体" w:hAnsi="宋体" w:eastAsia="宋体" w:cs="仿宋"/>
                <w:kern w:val="0"/>
                <w:sz w:val="22"/>
                <w:szCs w:val="22"/>
              </w:rPr>
              <w:t>99.98%</w:t>
            </w:r>
          </w:p>
        </w:tc>
        <w:tc>
          <w:tcPr>
            <w:tcW w:w="1394" w:type="dxa"/>
            <w:shd w:val="clear" w:color="auto" w:fill="DCF3F8"/>
            <w:vAlign w:val="center"/>
          </w:tcPr>
          <w:p>
            <w:pPr>
              <w:rPr>
                <w:rFonts w:ascii="宋体" w:hAnsi="宋体" w:eastAsia="宋体" w:cs="仿宋"/>
                <w:kern w:val="0"/>
                <w:sz w:val="22"/>
                <w:szCs w:val="22"/>
              </w:rPr>
            </w:pPr>
            <w:r>
              <w:rPr>
                <w:rFonts w:hint="eastAsia" w:ascii="宋体" w:hAnsi="宋体" w:eastAsia="宋体" w:cs="仿宋"/>
                <w:kern w:val="0"/>
                <w:sz w:val="22"/>
                <w:szCs w:val="22"/>
              </w:rPr>
              <w:t>100%</w:t>
            </w:r>
          </w:p>
        </w:tc>
        <w:tc>
          <w:tcPr>
            <w:tcW w:w="833" w:type="dxa"/>
            <w:shd w:val="clear" w:color="auto" w:fill="DCF3F8"/>
            <w:vAlign w:val="center"/>
          </w:tcPr>
          <w:p>
            <w:pPr>
              <w:rPr>
                <w:rFonts w:ascii="宋体" w:hAnsi="宋体" w:eastAsia="宋体" w:cs="仿宋"/>
                <w:kern w:val="0"/>
                <w:sz w:val="22"/>
                <w:szCs w:val="22"/>
              </w:rPr>
            </w:pPr>
            <w:r>
              <w:rPr>
                <w:rFonts w:hint="eastAsia" w:ascii="宋体" w:hAnsi="宋体" w:eastAsia="宋体" w:cs="仿宋"/>
                <w:kern w:val="0"/>
                <w:sz w:val="22"/>
                <w:szCs w:val="22"/>
              </w:rPr>
              <w:t>预期性</w:t>
            </w: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10" w:type="dxa"/>
            <w:bottom w:w="0" w:type="dxa"/>
            <w:right w:w="10" w:type="dxa"/>
          </w:tblCellMar>
        </w:tblPrEx>
        <w:trPr>
          <w:trHeight w:val="300" w:hRule="atLeast"/>
        </w:trPr>
        <w:tc>
          <w:tcPr>
            <w:tcW w:w="629" w:type="dxa"/>
            <w:vMerge w:val="continue"/>
            <w:shd w:val="clear" w:color="auto" w:fill="DCF3F8"/>
            <w:vAlign w:val="center"/>
          </w:tcPr>
          <w:p>
            <w:pPr>
              <w:jc w:val="center"/>
              <w:rPr>
                <w:rFonts w:ascii="宋体" w:hAnsi="宋体" w:eastAsia="宋体" w:cs="仿宋"/>
                <w:b/>
                <w:bCs/>
                <w:kern w:val="0"/>
                <w:sz w:val="22"/>
                <w:szCs w:val="22"/>
              </w:rPr>
            </w:pPr>
          </w:p>
        </w:tc>
        <w:tc>
          <w:tcPr>
            <w:tcW w:w="515" w:type="dxa"/>
            <w:shd w:val="clear" w:color="auto" w:fill="DCF3F8"/>
            <w:vAlign w:val="center"/>
          </w:tcPr>
          <w:p>
            <w:pPr>
              <w:jc w:val="center"/>
              <w:rPr>
                <w:rFonts w:ascii="宋体" w:hAnsi="宋体" w:eastAsia="宋体" w:cs="仿宋"/>
                <w:kern w:val="0"/>
                <w:sz w:val="22"/>
                <w:szCs w:val="22"/>
              </w:rPr>
            </w:pPr>
            <w:r>
              <w:rPr>
                <w:rFonts w:hint="eastAsia" w:ascii="宋体" w:hAnsi="宋体" w:eastAsia="宋体" w:cs="仿宋"/>
                <w:kern w:val="0"/>
                <w:sz w:val="22"/>
                <w:szCs w:val="22"/>
              </w:rPr>
              <w:t>2</w:t>
            </w:r>
            <w:r>
              <w:rPr>
                <w:rFonts w:hint="eastAsia" w:ascii="宋体" w:hAnsi="宋体" w:eastAsia="宋体" w:cs="仿宋"/>
                <w:kern w:val="0"/>
                <w:sz w:val="22"/>
                <w:szCs w:val="22"/>
                <w:lang w:val="en-US" w:eastAsia="zh-CN"/>
              </w:rPr>
              <w:t>5</w:t>
            </w:r>
          </w:p>
        </w:tc>
        <w:tc>
          <w:tcPr>
            <w:tcW w:w="3919" w:type="dxa"/>
            <w:shd w:val="clear" w:color="auto" w:fill="DCF3F8"/>
            <w:vAlign w:val="center"/>
          </w:tcPr>
          <w:p>
            <w:pPr>
              <w:rPr>
                <w:rFonts w:ascii="宋体" w:hAnsi="宋体" w:eastAsia="宋体" w:cs="仿宋"/>
                <w:kern w:val="0"/>
                <w:sz w:val="22"/>
                <w:szCs w:val="22"/>
              </w:rPr>
            </w:pPr>
            <w:r>
              <w:rPr>
                <w:rFonts w:hint="eastAsia" w:ascii="宋体" w:hAnsi="宋体" w:eastAsia="宋体" w:cs="仿宋"/>
                <w:kern w:val="0"/>
                <w:sz w:val="22"/>
                <w:szCs w:val="22"/>
              </w:rPr>
              <w:t>0-6</w:t>
            </w:r>
            <w:r>
              <w:rPr>
                <w:rFonts w:hint="eastAsia" w:ascii="宋体" w:hAnsi="宋体" w:eastAsia="宋体" w:cs="仿宋"/>
                <w:kern w:val="0"/>
                <w:sz w:val="22"/>
                <w:szCs w:val="22"/>
                <w:lang w:eastAsia="zh-Hans"/>
              </w:rPr>
              <w:t>岁儿童眼保健和视力检查覆盖率</w:t>
            </w:r>
            <w:r>
              <w:rPr>
                <w:rStyle w:val="27"/>
                <w:rFonts w:hint="eastAsia" w:ascii="宋体" w:hAnsi="宋体" w:eastAsia="宋体" w:cs="仿宋"/>
                <w:kern w:val="0"/>
                <w:sz w:val="22"/>
                <w:szCs w:val="22"/>
                <w:lang w:eastAsia="zh-Hans"/>
              </w:rPr>
              <w:footnoteReference w:id="31"/>
            </w:r>
          </w:p>
        </w:tc>
        <w:tc>
          <w:tcPr>
            <w:tcW w:w="1036" w:type="dxa"/>
            <w:shd w:val="clear" w:color="auto" w:fill="DCF3F8"/>
            <w:vAlign w:val="center"/>
          </w:tcPr>
          <w:p>
            <w:pPr>
              <w:rPr>
                <w:rFonts w:ascii="宋体" w:hAnsi="宋体" w:eastAsia="宋体" w:cs="仿宋"/>
                <w:kern w:val="0"/>
                <w:sz w:val="22"/>
                <w:szCs w:val="22"/>
              </w:rPr>
            </w:pPr>
            <w:r>
              <w:rPr>
                <w:rFonts w:hint="eastAsia" w:ascii="宋体" w:hAnsi="宋体" w:eastAsia="宋体" w:cs="仿宋"/>
                <w:kern w:val="0"/>
                <w:sz w:val="22"/>
                <w:szCs w:val="22"/>
                <w:lang w:eastAsia="zh-Hans"/>
              </w:rPr>
              <w:t>＞97%</w:t>
            </w:r>
          </w:p>
        </w:tc>
        <w:tc>
          <w:tcPr>
            <w:tcW w:w="1394" w:type="dxa"/>
            <w:shd w:val="clear" w:color="auto" w:fill="DCF3F8"/>
            <w:vAlign w:val="center"/>
          </w:tcPr>
          <w:p>
            <w:pPr>
              <w:rPr>
                <w:rFonts w:ascii="宋体" w:hAnsi="宋体" w:eastAsia="宋体" w:cs="仿宋"/>
                <w:kern w:val="0"/>
                <w:sz w:val="22"/>
                <w:szCs w:val="22"/>
              </w:rPr>
            </w:pPr>
            <w:r>
              <w:rPr>
                <w:rFonts w:hint="eastAsia" w:ascii="宋体" w:hAnsi="宋体" w:eastAsia="宋体" w:cs="仿宋"/>
                <w:kern w:val="0"/>
                <w:sz w:val="22"/>
                <w:szCs w:val="22"/>
              </w:rPr>
              <w:t>99</w:t>
            </w:r>
            <w:r>
              <w:rPr>
                <w:rFonts w:hint="eastAsia" w:ascii="宋体" w:hAnsi="宋体" w:eastAsia="宋体" w:cs="仿宋"/>
                <w:kern w:val="0"/>
                <w:sz w:val="22"/>
                <w:szCs w:val="22"/>
                <w:lang w:eastAsia="zh-Hans"/>
              </w:rPr>
              <w:t>%</w:t>
            </w:r>
          </w:p>
        </w:tc>
        <w:tc>
          <w:tcPr>
            <w:tcW w:w="833" w:type="dxa"/>
            <w:shd w:val="clear" w:color="auto" w:fill="DCF3F8"/>
            <w:vAlign w:val="center"/>
          </w:tcPr>
          <w:p>
            <w:pPr>
              <w:rPr>
                <w:rFonts w:ascii="宋体" w:hAnsi="宋体" w:eastAsia="宋体" w:cs="仿宋"/>
                <w:kern w:val="0"/>
                <w:sz w:val="22"/>
                <w:szCs w:val="22"/>
              </w:rPr>
            </w:pPr>
            <w:r>
              <w:rPr>
                <w:rFonts w:hint="eastAsia" w:ascii="宋体" w:hAnsi="宋体" w:eastAsia="宋体" w:cs="仿宋"/>
                <w:kern w:val="0"/>
                <w:sz w:val="22"/>
                <w:szCs w:val="22"/>
              </w:rPr>
              <w:t>预期性</w:t>
            </w: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10" w:type="dxa"/>
            <w:bottom w:w="0" w:type="dxa"/>
            <w:right w:w="10" w:type="dxa"/>
          </w:tblCellMar>
        </w:tblPrEx>
        <w:trPr>
          <w:trHeight w:val="300" w:hRule="atLeast"/>
        </w:trPr>
        <w:tc>
          <w:tcPr>
            <w:tcW w:w="629" w:type="dxa"/>
            <w:vMerge w:val="continue"/>
            <w:shd w:val="clear" w:color="auto" w:fill="DCF3F8"/>
            <w:vAlign w:val="center"/>
          </w:tcPr>
          <w:p>
            <w:pPr>
              <w:rPr>
                <w:rFonts w:ascii="宋体" w:hAnsi="宋体" w:eastAsia="宋体" w:cs="仿宋"/>
                <w:b/>
                <w:bCs/>
                <w:kern w:val="0"/>
                <w:sz w:val="22"/>
                <w:szCs w:val="22"/>
              </w:rPr>
            </w:pPr>
          </w:p>
        </w:tc>
        <w:tc>
          <w:tcPr>
            <w:tcW w:w="515" w:type="dxa"/>
            <w:shd w:val="clear" w:color="auto" w:fill="DCF3F8"/>
            <w:vAlign w:val="center"/>
          </w:tcPr>
          <w:p>
            <w:pPr>
              <w:jc w:val="center"/>
              <w:rPr>
                <w:rFonts w:ascii="宋体" w:hAnsi="宋体" w:eastAsia="宋体" w:cs="仿宋"/>
                <w:kern w:val="0"/>
                <w:sz w:val="22"/>
                <w:szCs w:val="22"/>
              </w:rPr>
            </w:pPr>
            <w:r>
              <w:rPr>
                <w:rFonts w:hint="eastAsia" w:ascii="宋体" w:hAnsi="宋体" w:eastAsia="宋体" w:cs="仿宋"/>
                <w:kern w:val="0"/>
                <w:sz w:val="22"/>
                <w:szCs w:val="22"/>
              </w:rPr>
              <w:t>2</w:t>
            </w:r>
            <w:r>
              <w:rPr>
                <w:rFonts w:hint="eastAsia" w:ascii="宋体" w:hAnsi="宋体" w:eastAsia="宋体" w:cs="仿宋"/>
                <w:kern w:val="0"/>
                <w:sz w:val="22"/>
                <w:szCs w:val="22"/>
                <w:lang w:val="en-US" w:eastAsia="zh-CN"/>
              </w:rPr>
              <w:t>6</w:t>
            </w:r>
          </w:p>
        </w:tc>
        <w:tc>
          <w:tcPr>
            <w:tcW w:w="3919" w:type="dxa"/>
            <w:shd w:val="clear" w:color="auto" w:fill="DCF3F8"/>
            <w:vAlign w:val="center"/>
          </w:tcPr>
          <w:p>
            <w:pPr>
              <w:rPr>
                <w:rFonts w:ascii="宋体" w:hAnsi="宋体" w:eastAsia="宋体" w:cs="仿宋"/>
                <w:kern w:val="0"/>
                <w:sz w:val="22"/>
                <w:szCs w:val="22"/>
              </w:rPr>
            </w:pPr>
            <w:r>
              <w:rPr>
                <w:rFonts w:hint="eastAsia" w:ascii="宋体" w:hAnsi="宋体" w:eastAsia="宋体" w:cs="仿宋"/>
                <w:kern w:val="0"/>
                <w:sz w:val="22"/>
                <w:szCs w:val="22"/>
              </w:rPr>
              <w:t>5</w:t>
            </w:r>
            <w:r>
              <w:rPr>
                <w:rFonts w:hint="eastAsia" w:ascii="宋体" w:hAnsi="宋体" w:eastAsia="宋体" w:cs="仿宋"/>
                <w:kern w:val="0"/>
                <w:sz w:val="22"/>
                <w:szCs w:val="22"/>
                <w:lang w:eastAsia="zh-Hans"/>
              </w:rPr>
              <w:t>岁以下儿童贫血率和生长迟缓率</w:t>
            </w:r>
            <w:r>
              <w:rPr>
                <w:rStyle w:val="27"/>
                <w:rFonts w:hint="eastAsia" w:ascii="宋体" w:hAnsi="宋体" w:eastAsia="宋体" w:cs="仿宋"/>
                <w:kern w:val="0"/>
                <w:sz w:val="22"/>
                <w:szCs w:val="22"/>
                <w:lang w:eastAsia="zh-Hans"/>
              </w:rPr>
              <w:footnoteReference w:id="32"/>
            </w:r>
          </w:p>
        </w:tc>
        <w:tc>
          <w:tcPr>
            <w:tcW w:w="1036" w:type="dxa"/>
            <w:shd w:val="clear" w:color="auto" w:fill="DCF3F8"/>
            <w:vAlign w:val="center"/>
          </w:tcPr>
          <w:p>
            <w:pPr>
              <w:rPr>
                <w:rFonts w:ascii="宋体" w:hAnsi="宋体" w:eastAsia="宋体" w:cs="仿宋"/>
                <w:kern w:val="0"/>
                <w:sz w:val="22"/>
                <w:szCs w:val="22"/>
                <w:lang w:eastAsia="zh-Hans"/>
              </w:rPr>
            </w:pPr>
            <w:r>
              <w:rPr>
                <w:rFonts w:hint="eastAsia" w:ascii="宋体" w:hAnsi="宋体" w:eastAsia="宋体" w:cs="仿宋"/>
                <w:kern w:val="0"/>
                <w:sz w:val="22"/>
                <w:szCs w:val="22"/>
                <w:lang w:eastAsia="zh-Hans"/>
              </w:rPr>
              <w:t>-</w:t>
            </w:r>
          </w:p>
        </w:tc>
        <w:tc>
          <w:tcPr>
            <w:tcW w:w="1394" w:type="dxa"/>
            <w:shd w:val="clear" w:color="auto" w:fill="DCF3F8"/>
            <w:vAlign w:val="center"/>
          </w:tcPr>
          <w:p>
            <w:pPr>
              <w:rPr>
                <w:rFonts w:ascii="宋体" w:hAnsi="宋体" w:eastAsia="宋体" w:cs="仿宋"/>
                <w:kern w:val="0"/>
                <w:sz w:val="22"/>
                <w:szCs w:val="22"/>
              </w:rPr>
            </w:pPr>
            <w:r>
              <w:rPr>
                <w:rFonts w:hint="eastAsia" w:ascii="宋体" w:hAnsi="宋体" w:eastAsia="宋体" w:cs="仿宋"/>
                <w:kern w:val="0"/>
                <w:sz w:val="22"/>
                <w:szCs w:val="22"/>
                <w:lang w:eastAsia="zh-Hans"/>
              </w:rPr>
              <w:t>＜3%和1%</w:t>
            </w:r>
          </w:p>
        </w:tc>
        <w:tc>
          <w:tcPr>
            <w:tcW w:w="833" w:type="dxa"/>
            <w:shd w:val="clear" w:color="auto" w:fill="DCF3F8"/>
            <w:vAlign w:val="center"/>
          </w:tcPr>
          <w:p>
            <w:pPr>
              <w:rPr>
                <w:rFonts w:ascii="宋体" w:hAnsi="宋体" w:eastAsia="宋体" w:cs="仿宋"/>
                <w:kern w:val="0"/>
                <w:sz w:val="22"/>
                <w:szCs w:val="22"/>
              </w:rPr>
            </w:pPr>
            <w:r>
              <w:rPr>
                <w:rFonts w:hint="eastAsia" w:ascii="宋体" w:hAnsi="宋体" w:eastAsia="宋体" w:cs="仿宋"/>
                <w:kern w:val="0"/>
                <w:sz w:val="22"/>
                <w:szCs w:val="22"/>
              </w:rPr>
              <w:t>预期性</w:t>
            </w: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10" w:type="dxa"/>
            <w:bottom w:w="0" w:type="dxa"/>
            <w:right w:w="10" w:type="dxa"/>
          </w:tblCellMar>
        </w:tblPrEx>
        <w:trPr>
          <w:trHeight w:val="342" w:hRule="atLeast"/>
        </w:trPr>
        <w:tc>
          <w:tcPr>
            <w:tcW w:w="629" w:type="dxa"/>
            <w:vMerge w:val="restart"/>
            <w:shd w:val="clear" w:color="auto" w:fill="DCF3F8"/>
            <w:vAlign w:val="center"/>
          </w:tcPr>
          <w:p>
            <w:pPr>
              <w:jc w:val="center"/>
              <w:rPr>
                <w:rFonts w:ascii="宋体" w:hAnsi="宋体" w:eastAsia="宋体" w:cs="仿宋"/>
                <w:b/>
                <w:bCs/>
                <w:kern w:val="0"/>
                <w:sz w:val="22"/>
                <w:szCs w:val="22"/>
                <w:lang w:eastAsia="zh-Hans"/>
              </w:rPr>
            </w:pPr>
            <w:r>
              <w:rPr>
                <w:rFonts w:hint="eastAsia" w:ascii="宋体" w:hAnsi="宋体" w:eastAsia="宋体" w:cs="仿宋"/>
                <w:b/>
                <w:bCs/>
                <w:kern w:val="0"/>
                <w:sz w:val="22"/>
                <w:szCs w:val="22"/>
                <w:lang w:eastAsia="zh-Hans"/>
              </w:rPr>
              <w:t>人员队伍</w:t>
            </w:r>
          </w:p>
        </w:tc>
        <w:tc>
          <w:tcPr>
            <w:tcW w:w="515" w:type="dxa"/>
            <w:shd w:val="clear" w:color="auto" w:fill="DCF3F8"/>
            <w:vAlign w:val="center"/>
          </w:tcPr>
          <w:p>
            <w:pPr>
              <w:jc w:val="center"/>
              <w:rPr>
                <w:rFonts w:ascii="宋体" w:hAnsi="宋体" w:eastAsia="宋体" w:cs="仿宋"/>
                <w:kern w:val="0"/>
                <w:sz w:val="22"/>
                <w:szCs w:val="22"/>
              </w:rPr>
            </w:pPr>
            <w:r>
              <w:rPr>
                <w:rFonts w:hint="eastAsia" w:ascii="宋体" w:hAnsi="宋体" w:eastAsia="宋体" w:cs="仿宋"/>
                <w:kern w:val="0"/>
                <w:sz w:val="22"/>
                <w:szCs w:val="22"/>
              </w:rPr>
              <w:t>2</w:t>
            </w:r>
            <w:r>
              <w:rPr>
                <w:rFonts w:hint="eastAsia" w:ascii="宋体" w:hAnsi="宋体" w:eastAsia="宋体" w:cs="仿宋"/>
                <w:kern w:val="0"/>
                <w:sz w:val="22"/>
                <w:szCs w:val="22"/>
                <w:lang w:val="en-US" w:eastAsia="zh-CN"/>
              </w:rPr>
              <w:t>7</w:t>
            </w:r>
          </w:p>
        </w:tc>
        <w:tc>
          <w:tcPr>
            <w:tcW w:w="3919" w:type="dxa"/>
            <w:shd w:val="clear" w:color="auto" w:fill="DCF3F8"/>
            <w:vAlign w:val="center"/>
          </w:tcPr>
          <w:p>
            <w:pPr>
              <w:rPr>
                <w:rFonts w:ascii="宋体" w:hAnsi="宋体" w:eastAsia="宋体" w:cs="仿宋"/>
                <w:kern w:val="0"/>
                <w:sz w:val="22"/>
                <w:szCs w:val="22"/>
              </w:rPr>
            </w:pPr>
            <w:r>
              <w:rPr>
                <w:rFonts w:hint="eastAsia" w:ascii="黑体" w:hAnsi="黑体"/>
                <w:sz w:val="22"/>
                <w:szCs w:val="22"/>
              </w:rPr>
              <w:t>万名老年人拥有护理员</w:t>
            </w:r>
            <w:r>
              <w:rPr>
                <w:rStyle w:val="27"/>
                <w:rFonts w:hint="eastAsia" w:ascii="黑体" w:hAnsi="黑体"/>
                <w:sz w:val="22"/>
                <w:szCs w:val="22"/>
              </w:rPr>
              <w:footnoteReference w:id="33"/>
            </w:r>
          </w:p>
        </w:tc>
        <w:tc>
          <w:tcPr>
            <w:tcW w:w="1036" w:type="dxa"/>
            <w:shd w:val="clear" w:color="auto" w:fill="DCF3F8"/>
            <w:vAlign w:val="center"/>
          </w:tcPr>
          <w:p>
            <w:pPr>
              <w:rPr>
                <w:rFonts w:ascii="宋体" w:hAnsi="宋体" w:eastAsia="宋体" w:cs="仿宋"/>
                <w:kern w:val="0"/>
                <w:sz w:val="22"/>
                <w:szCs w:val="22"/>
              </w:rPr>
            </w:pPr>
            <w:r>
              <w:rPr>
                <w:rFonts w:hint="eastAsia" w:ascii="宋体" w:hAnsi="宋体" w:eastAsia="宋体" w:cs="仿宋"/>
                <w:kern w:val="0"/>
                <w:sz w:val="22"/>
                <w:szCs w:val="22"/>
              </w:rPr>
              <w:t>2</w:t>
            </w:r>
            <w:r>
              <w:rPr>
                <w:rFonts w:ascii="宋体" w:hAnsi="宋体" w:eastAsia="宋体" w:cs="仿宋"/>
                <w:kern w:val="0"/>
                <w:sz w:val="22"/>
                <w:szCs w:val="22"/>
              </w:rPr>
              <w:t>2.78</w:t>
            </w:r>
          </w:p>
        </w:tc>
        <w:tc>
          <w:tcPr>
            <w:tcW w:w="1394" w:type="dxa"/>
            <w:shd w:val="clear" w:color="auto" w:fill="DCF3F8"/>
            <w:vAlign w:val="center"/>
          </w:tcPr>
          <w:p>
            <w:pPr>
              <w:rPr>
                <w:rFonts w:ascii="宋体" w:hAnsi="宋体" w:eastAsia="宋体" w:cs="仿宋"/>
                <w:kern w:val="0"/>
                <w:sz w:val="22"/>
                <w:szCs w:val="22"/>
              </w:rPr>
            </w:pPr>
            <w:r>
              <w:rPr>
                <w:rFonts w:hint="eastAsia" w:ascii="宋体" w:hAnsi="宋体" w:eastAsia="宋体" w:cs="宋体"/>
                <w:sz w:val="22"/>
                <w:szCs w:val="22"/>
              </w:rPr>
              <w:t>50</w:t>
            </w:r>
          </w:p>
        </w:tc>
        <w:tc>
          <w:tcPr>
            <w:tcW w:w="833" w:type="dxa"/>
            <w:shd w:val="clear" w:color="auto" w:fill="DCF3F8"/>
            <w:vAlign w:val="center"/>
          </w:tcPr>
          <w:p>
            <w:pPr>
              <w:rPr>
                <w:rFonts w:ascii="宋体" w:hAnsi="宋体" w:eastAsia="宋体" w:cs="仿宋"/>
                <w:kern w:val="0"/>
                <w:sz w:val="22"/>
                <w:szCs w:val="22"/>
              </w:rPr>
            </w:pPr>
            <w:r>
              <w:rPr>
                <w:rFonts w:hint="eastAsia" w:ascii="宋体" w:hAnsi="宋体" w:eastAsia="宋体" w:cs="宋体"/>
                <w:sz w:val="22"/>
                <w:szCs w:val="22"/>
              </w:rPr>
              <w:t>约束性</w:t>
            </w: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10" w:type="dxa"/>
            <w:bottom w:w="0" w:type="dxa"/>
            <w:right w:w="10" w:type="dxa"/>
          </w:tblCellMar>
        </w:tblPrEx>
        <w:trPr>
          <w:trHeight w:val="339" w:hRule="atLeast"/>
        </w:trPr>
        <w:tc>
          <w:tcPr>
            <w:tcW w:w="629" w:type="dxa"/>
            <w:vMerge w:val="continue"/>
            <w:shd w:val="clear" w:color="auto" w:fill="DCF3F8"/>
          </w:tcPr>
          <w:p>
            <w:pPr>
              <w:jc w:val="center"/>
              <w:rPr>
                <w:rFonts w:ascii="宋体" w:hAnsi="宋体" w:eastAsia="宋体" w:cs="仿宋"/>
                <w:b/>
                <w:bCs/>
                <w:kern w:val="0"/>
                <w:sz w:val="22"/>
                <w:szCs w:val="22"/>
              </w:rPr>
            </w:pPr>
          </w:p>
        </w:tc>
        <w:tc>
          <w:tcPr>
            <w:tcW w:w="515" w:type="dxa"/>
            <w:shd w:val="clear" w:color="auto" w:fill="DCF3F8"/>
            <w:vAlign w:val="center"/>
          </w:tcPr>
          <w:p>
            <w:pPr>
              <w:jc w:val="center"/>
              <w:rPr>
                <w:rFonts w:ascii="宋体" w:hAnsi="宋体" w:eastAsia="宋体" w:cs="仿宋"/>
                <w:kern w:val="0"/>
                <w:sz w:val="22"/>
                <w:szCs w:val="22"/>
              </w:rPr>
            </w:pPr>
            <w:r>
              <w:rPr>
                <w:rFonts w:hint="eastAsia" w:ascii="宋体" w:hAnsi="宋体" w:eastAsia="宋体" w:cs="仿宋"/>
                <w:kern w:val="0"/>
                <w:sz w:val="22"/>
                <w:szCs w:val="22"/>
              </w:rPr>
              <w:t>2</w:t>
            </w:r>
            <w:r>
              <w:rPr>
                <w:rFonts w:hint="eastAsia" w:ascii="宋体" w:hAnsi="宋体" w:eastAsia="宋体" w:cs="仿宋"/>
                <w:kern w:val="0"/>
                <w:sz w:val="22"/>
                <w:szCs w:val="22"/>
                <w:lang w:val="en-US" w:eastAsia="zh-CN"/>
              </w:rPr>
              <w:t>8</w:t>
            </w:r>
          </w:p>
        </w:tc>
        <w:tc>
          <w:tcPr>
            <w:tcW w:w="3919" w:type="dxa"/>
            <w:shd w:val="clear" w:color="auto" w:fill="DCF3F8"/>
            <w:vAlign w:val="center"/>
          </w:tcPr>
          <w:p>
            <w:pPr>
              <w:rPr>
                <w:rFonts w:ascii="宋体" w:hAnsi="宋体" w:eastAsia="宋体" w:cs="仿宋"/>
                <w:kern w:val="0"/>
                <w:sz w:val="22"/>
                <w:szCs w:val="22"/>
              </w:rPr>
            </w:pPr>
            <w:r>
              <w:rPr>
                <w:rFonts w:hint="eastAsia" w:ascii="宋体" w:hAnsi="宋体" w:eastAsia="宋体" w:cs="宋体"/>
                <w:kern w:val="0"/>
                <w:sz w:val="22"/>
                <w:szCs w:val="22"/>
                <w:lang w:bidi="ar"/>
              </w:rPr>
              <w:t>每千名老年人配套社会工作者人数</w:t>
            </w:r>
            <w:r>
              <w:rPr>
                <w:rStyle w:val="27"/>
                <w:rFonts w:hint="eastAsia" w:ascii="宋体" w:hAnsi="宋体" w:eastAsia="宋体" w:cs="宋体"/>
                <w:kern w:val="0"/>
                <w:sz w:val="22"/>
                <w:szCs w:val="22"/>
                <w:lang w:bidi="ar"/>
              </w:rPr>
              <w:footnoteReference w:id="34"/>
            </w:r>
          </w:p>
        </w:tc>
        <w:tc>
          <w:tcPr>
            <w:tcW w:w="1036" w:type="dxa"/>
            <w:shd w:val="clear" w:color="auto" w:fill="DCF3F8"/>
            <w:vAlign w:val="center"/>
          </w:tcPr>
          <w:p>
            <w:pPr>
              <w:rPr>
                <w:rFonts w:ascii="宋体" w:hAnsi="宋体" w:eastAsia="宋体" w:cs="仿宋"/>
                <w:kern w:val="0"/>
                <w:sz w:val="22"/>
                <w:szCs w:val="22"/>
              </w:rPr>
            </w:pPr>
          </w:p>
        </w:tc>
        <w:tc>
          <w:tcPr>
            <w:tcW w:w="1394" w:type="dxa"/>
            <w:shd w:val="clear" w:color="auto" w:fill="DCF3F8"/>
            <w:vAlign w:val="center"/>
          </w:tcPr>
          <w:p>
            <w:pPr>
              <w:rPr>
                <w:rFonts w:ascii="宋体" w:hAnsi="宋体" w:eastAsia="宋体" w:cs="仿宋"/>
                <w:kern w:val="0"/>
                <w:sz w:val="22"/>
                <w:szCs w:val="22"/>
              </w:rPr>
            </w:pPr>
            <w:r>
              <w:rPr>
                <w:rFonts w:hint="eastAsia" w:ascii="宋体" w:hAnsi="宋体" w:eastAsia="宋体" w:cs="宋体"/>
                <w:sz w:val="22"/>
                <w:szCs w:val="22"/>
              </w:rPr>
              <w:t>1</w:t>
            </w:r>
          </w:p>
        </w:tc>
        <w:tc>
          <w:tcPr>
            <w:tcW w:w="833" w:type="dxa"/>
            <w:shd w:val="clear" w:color="auto" w:fill="DCF3F8"/>
            <w:vAlign w:val="center"/>
          </w:tcPr>
          <w:p>
            <w:pPr>
              <w:rPr>
                <w:rFonts w:ascii="宋体" w:hAnsi="宋体" w:eastAsia="宋体" w:cs="仿宋"/>
                <w:kern w:val="0"/>
                <w:sz w:val="22"/>
                <w:szCs w:val="22"/>
                <w:lang w:eastAsia="zh-Hans"/>
              </w:rPr>
            </w:pPr>
            <w:r>
              <w:rPr>
                <w:rFonts w:hint="eastAsia" w:ascii="宋体" w:hAnsi="宋体" w:eastAsia="宋体" w:cs="宋体"/>
                <w:sz w:val="22"/>
                <w:szCs w:val="22"/>
              </w:rPr>
              <w:t>预期性</w:t>
            </w: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10" w:type="dxa"/>
            <w:bottom w:w="0" w:type="dxa"/>
            <w:right w:w="10" w:type="dxa"/>
          </w:tblCellMar>
        </w:tblPrEx>
        <w:trPr>
          <w:trHeight w:val="356" w:hRule="atLeast"/>
        </w:trPr>
        <w:tc>
          <w:tcPr>
            <w:tcW w:w="629" w:type="dxa"/>
            <w:vMerge w:val="continue"/>
            <w:shd w:val="clear" w:color="auto" w:fill="DCF3F8"/>
          </w:tcPr>
          <w:p>
            <w:pPr>
              <w:jc w:val="center"/>
              <w:rPr>
                <w:rFonts w:ascii="宋体" w:hAnsi="宋体" w:eastAsia="宋体" w:cs="仿宋"/>
                <w:b/>
                <w:bCs/>
                <w:kern w:val="0"/>
                <w:sz w:val="22"/>
                <w:szCs w:val="22"/>
              </w:rPr>
            </w:pPr>
          </w:p>
        </w:tc>
        <w:tc>
          <w:tcPr>
            <w:tcW w:w="515" w:type="dxa"/>
            <w:shd w:val="clear" w:color="auto" w:fill="DCF3F8"/>
            <w:vAlign w:val="center"/>
          </w:tcPr>
          <w:p>
            <w:pPr>
              <w:jc w:val="center"/>
              <w:rPr>
                <w:rFonts w:ascii="宋体" w:hAnsi="宋体" w:eastAsia="宋体" w:cs="仿宋"/>
                <w:kern w:val="0"/>
                <w:sz w:val="22"/>
                <w:szCs w:val="22"/>
              </w:rPr>
            </w:pPr>
            <w:r>
              <w:rPr>
                <w:rFonts w:hint="eastAsia" w:ascii="宋体" w:hAnsi="宋体" w:eastAsia="宋体" w:cs="仿宋"/>
                <w:kern w:val="0"/>
                <w:sz w:val="22"/>
                <w:szCs w:val="22"/>
                <w:lang w:val="en-US" w:eastAsia="zh-CN"/>
              </w:rPr>
              <w:t>29</w:t>
            </w:r>
          </w:p>
        </w:tc>
        <w:tc>
          <w:tcPr>
            <w:tcW w:w="3919" w:type="dxa"/>
            <w:shd w:val="clear" w:color="auto" w:fill="DCF3F8"/>
            <w:vAlign w:val="center"/>
          </w:tcPr>
          <w:p>
            <w:pPr>
              <w:rPr>
                <w:rFonts w:ascii="宋体" w:hAnsi="宋体" w:eastAsia="宋体" w:cs="仿宋"/>
                <w:kern w:val="0"/>
                <w:sz w:val="22"/>
                <w:szCs w:val="22"/>
              </w:rPr>
            </w:pPr>
            <w:r>
              <w:rPr>
                <w:rFonts w:hint="eastAsia" w:ascii="宋体" w:hAnsi="宋体" w:eastAsia="宋体" w:cs="仿宋"/>
                <w:kern w:val="0"/>
                <w:sz w:val="22"/>
                <w:szCs w:val="22"/>
              </w:rPr>
              <w:t>托育服务专业人才</w:t>
            </w:r>
            <w:r>
              <w:rPr>
                <w:rStyle w:val="27"/>
                <w:rFonts w:hint="eastAsia" w:ascii="宋体" w:hAnsi="宋体" w:eastAsia="宋体" w:cs="仿宋"/>
                <w:kern w:val="0"/>
                <w:sz w:val="22"/>
                <w:szCs w:val="22"/>
              </w:rPr>
              <w:footnoteReference w:id="35"/>
            </w:r>
            <w:r>
              <w:rPr>
                <w:rFonts w:hint="eastAsia" w:ascii="宋体" w:hAnsi="宋体" w:eastAsia="宋体" w:cs="仿宋"/>
                <w:kern w:val="0"/>
                <w:sz w:val="22"/>
                <w:szCs w:val="22"/>
              </w:rPr>
              <w:t>数</w:t>
            </w:r>
            <w:r>
              <w:rPr>
                <w:rStyle w:val="27"/>
                <w:rFonts w:hint="eastAsia" w:ascii="宋体" w:hAnsi="宋体" w:eastAsia="宋体" w:cs="仿宋"/>
                <w:kern w:val="0"/>
                <w:sz w:val="22"/>
                <w:szCs w:val="22"/>
              </w:rPr>
              <w:footnoteReference w:id="36"/>
            </w:r>
          </w:p>
        </w:tc>
        <w:tc>
          <w:tcPr>
            <w:tcW w:w="1036" w:type="dxa"/>
            <w:shd w:val="clear" w:color="auto" w:fill="DCF3F8"/>
            <w:vAlign w:val="center"/>
          </w:tcPr>
          <w:p>
            <w:pPr>
              <w:rPr>
                <w:rFonts w:ascii="宋体" w:hAnsi="宋体" w:eastAsia="宋体" w:cs="仿宋"/>
                <w:kern w:val="0"/>
                <w:sz w:val="22"/>
                <w:szCs w:val="22"/>
              </w:rPr>
            </w:pPr>
            <w:r>
              <w:rPr>
                <w:rFonts w:hint="eastAsia" w:ascii="宋体" w:hAnsi="宋体" w:eastAsia="宋体" w:cs="仿宋"/>
                <w:kern w:val="0"/>
                <w:sz w:val="22"/>
                <w:szCs w:val="22"/>
              </w:rPr>
              <w:t>36人</w:t>
            </w:r>
          </w:p>
        </w:tc>
        <w:tc>
          <w:tcPr>
            <w:tcW w:w="1394" w:type="dxa"/>
            <w:shd w:val="clear" w:color="auto" w:fill="DCF3F8"/>
            <w:vAlign w:val="center"/>
          </w:tcPr>
          <w:p>
            <w:pPr>
              <w:rPr>
                <w:rFonts w:ascii="宋体" w:hAnsi="宋体" w:eastAsia="宋体" w:cs="仿宋"/>
                <w:kern w:val="0"/>
                <w:sz w:val="22"/>
                <w:szCs w:val="22"/>
              </w:rPr>
            </w:pPr>
            <w:r>
              <w:rPr>
                <w:rFonts w:hint="eastAsia" w:ascii="宋体" w:hAnsi="宋体" w:eastAsia="宋体" w:cs="仿宋"/>
                <w:kern w:val="0"/>
                <w:sz w:val="22"/>
                <w:szCs w:val="22"/>
              </w:rPr>
              <w:t>≥200人</w:t>
            </w:r>
          </w:p>
        </w:tc>
        <w:tc>
          <w:tcPr>
            <w:tcW w:w="833" w:type="dxa"/>
            <w:shd w:val="clear" w:color="auto" w:fill="DCF3F8"/>
            <w:vAlign w:val="center"/>
          </w:tcPr>
          <w:p>
            <w:pPr>
              <w:rPr>
                <w:rFonts w:ascii="宋体" w:hAnsi="宋体" w:eastAsia="宋体" w:cs="仿宋"/>
                <w:kern w:val="0"/>
                <w:sz w:val="22"/>
                <w:szCs w:val="22"/>
                <w:lang w:eastAsia="zh-Hans"/>
              </w:rPr>
            </w:pPr>
            <w:r>
              <w:rPr>
                <w:rFonts w:hint="eastAsia" w:ascii="宋体" w:hAnsi="宋体" w:eastAsia="宋体" w:cs="仿宋"/>
                <w:kern w:val="0"/>
                <w:sz w:val="22"/>
                <w:szCs w:val="22"/>
                <w:lang w:eastAsia="zh-Hans"/>
              </w:rPr>
              <w:t>预期</w:t>
            </w:r>
            <w:r>
              <w:rPr>
                <w:rFonts w:hint="eastAsia" w:ascii="宋体" w:hAnsi="宋体" w:eastAsia="宋体" w:cs="仿宋"/>
                <w:kern w:val="0"/>
                <w:sz w:val="22"/>
                <w:szCs w:val="22"/>
              </w:rPr>
              <w:t>性</w:t>
            </w: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10" w:type="dxa"/>
            <w:bottom w:w="0" w:type="dxa"/>
            <w:right w:w="10" w:type="dxa"/>
          </w:tblCellMar>
        </w:tblPrEx>
        <w:trPr>
          <w:trHeight w:val="356" w:hRule="atLeast"/>
        </w:trPr>
        <w:tc>
          <w:tcPr>
            <w:tcW w:w="629" w:type="dxa"/>
            <w:vMerge w:val="continue"/>
            <w:shd w:val="clear" w:color="auto" w:fill="DCF3F8"/>
          </w:tcPr>
          <w:p>
            <w:pPr>
              <w:jc w:val="center"/>
              <w:rPr>
                <w:rFonts w:ascii="宋体" w:hAnsi="宋体" w:eastAsia="宋体" w:cs="仿宋"/>
                <w:b/>
                <w:bCs/>
                <w:kern w:val="0"/>
                <w:sz w:val="22"/>
                <w:szCs w:val="22"/>
              </w:rPr>
            </w:pPr>
          </w:p>
        </w:tc>
        <w:tc>
          <w:tcPr>
            <w:tcW w:w="515" w:type="dxa"/>
            <w:shd w:val="clear" w:color="auto" w:fill="DCF3F8"/>
            <w:vAlign w:val="center"/>
          </w:tcPr>
          <w:p>
            <w:pPr>
              <w:jc w:val="center"/>
              <w:rPr>
                <w:rFonts w:hint="default" w:ascii="宋体" w:hAnsi="宋体" w:eastAsia="宋体" w:cs="仿宋"/>
                <w:kern w:val="0"/>
                <w:sz w:val="22"/>
                <w:szCs w:val="22"/>
                <w:lang w:val="en-US" w:eastAsia="zh-CN"/>
              </w:rPr>
            </w:pPr>
            <w:r>
              <w:rPr>
                <w:rFonts w:hint="eastAsia" w:ascii="宋体" w:hAnsi="宋体" w:eastAsia="宋体" w:cs="仿宋"/>
                <w:kern w:val="0"/>
                <w:sz w:val="22"/>
                <w:szCs w:val="22"/>
                <w:lang w:val="en-US" w:eastAsia="zh-CN"/>
              </w:rPr>
              <w:t>30</w:t>
            </w:r>
          </w:p>
        </w:tc>
        <w:tc>
          <w:tcPr>
            <w:tcW w:w="3919" w:type="dxa"/>
            <w:shd w:val="clear" w:color="auto" w:fill="DCF3F8"/>
            <w:vAlign w:val="center"/>
          </w:tcPr>
          <w:p>
            <w:pPr>
              <w:rPr>
                <w:rFonts w:hint="eastAsia" w:ascii="宋体" w:hAnsi="宋体" w:eastAsia="宋体" w:cs="仿宋"/>
                <w:color w:val="0000FF"/>
                <w:kern w:val="0"/>
                <w:sz w:val="22"/>
                <w:szCs w:val="22"/>
              </w:rPr>
            </w:pPr>
            <w:r>
              <w:rPr>
                <w:rFonts w:hint="eastAsia" w:ascii="宋体" w:hAnsi="宋体" w:eastAsia="宋体" w:cs="仿宋"/>
                <w:color w:val="0000FF"/>
                <w:kern w:val="0"/>
                <w:sz w:val="22"/>
                <w:szCs w:val="22"/>
              </w:rPr>
              <w:t>培养托育机构园长人次</w:t>
            </w:r>
          </w:p>
        </w:tc>
        <w:tc>
          <w:tcPr>
            <w:tcW w:w="1036" w:type="dxa"/>
            <w:shd w:val="clear" w:color="auto" w:fill="DCF3F8"/>
            <w:vAlign w:val="center"/>
          </w:tcPr>
          <w:p>
            <w:pPr>
              <w:rPr>
                <w:rFonts w:hint="eastAsia" w:ascii="宋体" w:hAnsi="宋体" w:eastAsia="宋体" w:cs="仿宋"/>
                <w:color w:val="0000FF"/>
                <w:kern w:val="0"/>
                <w:sz w:val="22"/>
                <w:szCs w:val="22"/>
              </w:rPr>
            </w:pPr>
          </w:p>
        </w:tc>
        <w:tc>
          <w:tcPr>
            <w:tcW w:w="1394" w:type="dxa"/>
            <w:shd w:val="clear" w:color="auto" w:fill="DCF3F8"/>
            <w:vAlign w:val="center"/>
          </w:tcPr>
          <w:p>
            <w:pPr>
              <w:rPr>
                <w:rFonts w:hint="eastAsia" w:ascii="宋体" w:hAnsi="宋体" w:eastAsia="宋体" w:cs="仿宋"/>
                <w:color w:val="0000FF"/>
                <w:kern w:val="0"/>
                <w:sz w:val="22"/>
                <w:szCs w:val="22"/>
              </w:rPr>
            </w:pPr>
            <w:r>
              <w:rPr>
                <w:rFonts w:hint="eastAsia" w:ascii="宋体" w:hAnsi="宋体" w:eastAsia="宋体" w:cs="仿宋"/>
                <w:color w:val="0000FF"/>
                <w:kern w:val="0"/>
                <w:sz w:val="22"/>
                <w:szCs w:val="22"/>
              </w:rPr>
              <w:t>≥1</w:t>
            </w:r>
            <w:r>
              <w:rPr>
                <w:rFonts w:ascii="宋体" w:hAnsi="宋体" w:eastAsia="宋体" w:cs="仿宋"/>
                <w:color w:val="0000FF"/>
                <w:kern w:val="0"/>
                <w:sz w:val="22"/>
                <w:szCs w:val="22"/>
              </w:rPr>
              <w:t>00</w:t>
            </w:r>
          </w:p>
        </w:tc>
        <w:tc>
          <w:tcPr>
            <w:tcW w:w="833" w:type="dxa"/>
            <w:shd w:val="clear" w:color="auto" w:fill="DCF3F8"/>
            <w:vAlign w:val="center"/>
          </w:tcPr>
          <w:p>
            <w:pPr>
              <w:rPr>
                <w:rFonts w:hint="eastAsia" w:ascii="宋体" w:hAnsi="宋体" w:eastAsia="宋体" w:cs="仿宋"/>
                <w:color w:val="0000FF"/>
                <w:kern w:val="0"/>
                <w:sz w:val="22"/>
                <w:szCs w:val="22"/>
                <w:lang w:eastAsia="zh-Hans"/>
              </w:rPr>
            </w:pPr>
            <w:r>
              <w:rPr>
                <w:rFonts w:hint="eastAsia" w:ascii="宋体" w:hAnsi="宋体" w:eastAsia="宋体" w:cs="仿宋"/>
                <w:color w:val="0000FF"/>
                <w:kern w:val="0"/>
                <w:sz w:val="22"/>
                <w:szCs w:val="22"/>
              </w:rPr>
              <w:t>预期性</w:t>
            </w: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10" w:type="dxa"/>
            <w:bottom w:w="0" w:type="dxa"/>
            <w:right w:w="10" w:type="dxa"/>
          </w:tblCellMar>
        </w:tblPrEx>
        <w:trPr>
          <w:trHeight w:val="356" w:hRule="atLeast"/>
        </w:trPr>
        <w:tc>
          <w:tcPr>
            <w:tcW w:w="629" w:type="dxa"/>
            <w:vMerge w:val="continue"/>
            <w:shd w:val="clear" w:color="auto" w:fill="DCF3F8"/>
          </w:tcPr>
          <w:p>
            <w:pPr>
              <w:jc w:val="center"/>
              <w:rPr>
                <w:rFonts w:ascii="宋体" w:hAnsi="宋体" w:eastAsia="宋体" w:cs="仿宋"/>
                <w:b/>
                <w:bCs/>
                <w:kern w:val="0"/>
                <w:sz w:val="22"/>
                <w:szCs w:val="22"/>
              </w:rPr>
            </w:pPr>
          </w:p>
        </w:tc>
        <w:tc>
          <w:tcPr>
            <w:tcW w:w="515" w:type="dxa"/>
            <w:shd w:val="clear" w:color="auto" w:fill="DCF3F8"/>
            <w:vAlign w:val="center"/>
          </w:tcPr>
          <w:p>
            <w:pPr>
              <w:jc w:val="center"/>
              <w:rPr>
                <w:rFonts w:hint="default" w:ascii="宋体" w:hAnsi="宋体" w:eastAsia="宋体" w:cs="仿宋"/>
                <w:kern w:val="0"/>
                <w:sz w:val="22"/>
                <w:szCs w:val="22"/>
                <w:lang w:val="en-US" w:eastAsia="zh-CN"/>
              </w:rPr>
            </w:pPr>
            <w:r>
              <w:rPr>
                <w:rFonts w:hint="eastAsia" w:ascii="宋体" w:hAnsi="宋体" w:eastAsia="宋体" w:cs="仿宋"/>
                <w:kern w:val="0"/>
                <w:sz w:val="22"/>
                <w:szCs w:val="22"/>
                <w:lang w:val="en-US" w:eastAsia="zh-CN"/>
              </w:rPr>
              <w:t>31</w:t>
            </w:r>
          </w:p>
        </w:tc>
        <w:tc>
          <w:tcPr>
            <w:tcW w:w="3919" w:type="dxa"/>
            <w:shd w:val="clear" w:color="auto" w:fill="DCF3F8"/>
            <w:vAlign w:val="center"/>
          </w:tcPr>
          <w:p>
            <w:pPr>
              <w:rPr>
                <w:rFonts w:hint="eastAsia" w:ascii="宋体" w:hAnsi="宋体" w:eastAsia="宋体" w:cs="仿宋"/>
                <w:color w:val="0000FF"/>
                <w:kern w:val="0"/>
                <w:sz w:val="22"/>
                <w:szCs w:val="22"/>
              </w:rPr>
            </w:pPr>
            <w:r>
              <w:rPr>
                <w:rFonts w:hint="eastAsia" w:ascii="宋体" w:hAnsi="宋体" w:eastAsia="宋体" w:cs="仿宋"/>
                <w:color w:val="0000FF"/>
                <w:kern w:val="0"/>
                <w:sz w:val="22"/>
                <w:szCs w:val="22"/>
              </w:rPr>
              <w:t>培养保育人员人次</w:t>
            </w:r>
          </w:p>
        </w:tc>
        <w:tc>
          <w:tcPr>
            <w:tcW w:w="1036" w:type="dxa"/>
            <w:shd w:val="clear" w:color="auto" w:fill="DCF3F8"/>
            <w:vAlign w:val="center"/>
          </w:tcPr>
          <w:p>
            <w:pPr>
              <w:rPr>
                <w:rFonts w:hint="eastAsia" w:ascii="宋体" w:hAnsi="宋体" w:eastAsia="宋体" w:cs="仿宋"/>
                <w:color w:val="0000FF"/>
                <w:kern w:val="0"/>
                <w:sz w:val="22"/>
                <w:szCs w:val="22"/>
              </w:rPr>
            </w:pPr>
          </w:p>
        </w:tc>
        <w:tc>
          <w:tcPr>
            <w:tcW w:w="1394" w:type="dxa"/>
            <w:shd w:val="clear" w:color="auto" w:fill="DCF3F8"/>
            <w:vAlign w:val="center"/>
          </w:tcPr>
          <w:p>
            <w:pPr>
              <w:rPr>
                <w:rFonts w:hint="eastAsia" w:ascii="宋体" w:hAnsi="宋体" w:eastAsia="宋体" w:cs="仿宋"/>
                <w:color w:val="0000FF"/>
                <w:kern w:val="0"/>
                <w:sz w:val="22"/>
                <w:szCs w:val="22"/>
              </w:rPr>
            </w:pPr>
            <w:r>
              <w:rPr>
                <w:rFonts w:hint="eastAsia" w:ascii="宋体" w:hAnsi="宋体" w:eastAsia="宋体" w:cs="仿宋"/>
                <w:color w:val="0000FF"/>
                <w:kern w:val="0"/>
                <w:sz w:val="22"/>
                <w:szCs w:val="22"/>
              </w:rPr>
              <w:t>≥5</w:t>
            </w:r>
            <w:r>
              <w:rPr>
                <w:rFonts w:ascii="宋体" w:hAnsi="宋体" w:eastAsia="宋体" w:cs="仿宋"/>
                <w:color w:val="0000FF"/>
                <w:kern w:val="0"/>
                <w:sz w:val="22"/>
                <w:szCs w:val="22"/>
              </w:rPr>
              <w:t>00</w:t>
            </w:r>
          </w:p>
        </w:tc>
        <w:tc>
          <w:tcPr>
            <w:tcW w:w="833" w:type="dxa"/>
            <w:shd w:val="clear" w:color="auto" w:fill="DCF3F8"/>
            <w:vAlign w:val="center"/>
          </w:tcPr>
          <w:p>
            <w:pPr>
              <w:rPr>
                <w:rFonts w:hint="eastAsia" w:ascii="宋体" w:hAnsi="宋体" w:eastAsia="宋体" w:cs="仿宋"/>
                <w:color w:val="0000FF"/>
                <w:kern w:val="0"/>
                <w:sz w:val="22"/>
                <w:szCs w:val="22"/>
                <w:lang w:eastAsia="zh-Hans"/>
              </w:rPr>
            </w:pPr>
            <w:r>
              <w:rPr>
                <w:rFonts w:hint="eastAsia" w:ascii="宋体" w:hAnsi="宋体" w:eastAsia="宋体" w:cs="仿宋"/>
                <w:color w:val="0000FF"/>
                <w:kern w:val="0"/>
                <w:sz w:val="22"/>
                <w:szCs w:val="22"/>
              </w:rPr>
              <w:t>预期性</w:t>
            </w: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10" w:type="dxa"/>
            <w:bottom w:w="0" w:type="dxa"/>
            <w:right w:w="10" w:type="dxa"/>
          </w:tblCellMar>
        </w:tblPrEx>
        <w:trPr>
          <w:trHeight w:val="353" w:hRule="atLeast"/>
        </w:trPr>
        <w:tc>
          <w:tcPr>
            <w:tcW w:w="629" w:type="dxa"/>
            <w:vMerge w:val="restart"/>
            <w:shd w:val="clear" w:color="auto" w:fill="DCF3F8"/>
            <w:vAlign w:val="center"/>
          </w:tcPr>
          <w:p>
            <w:pPr>
              <w:jc w:val="center"/>
              <w:rPr>
                <w:rFonts w:ascii="宋体" w:hAnsi="宋体" w:eastAsia="宋体" w:cs="仿宋"/>
                <w:b/>
                <w:bCs/>
                <w:kern w:val="0"/>
                <w:sz w:val="22"/>
                <w:szCs w:val="22"/>
              </w:rPr>
            </w:pPr>
            <w:r>
              <w:rPr>
                <w:rFonts w:hint="eastAsia" w:ascii="宋体" w:hAnsi="宋体" w:eastAsia="宋体" w:cs="仿宋"/>
                <w:b/>
                <w:bCs/>
                <w:kern w:val="0"/>
                <w:sz w:val="22"/>
                <w:szCs w:val="22"/>
              </w:rPr>
              <w:t>产业发展</w:t>
            </w:r>
          </w:p>
        </w:tc>
        <w:tc>
          <w:tcPr>
            <w:tcW w:w="515" w:type="dxa"/>
            <w:shd w:val="clear" w:color="auto" w:fill="DCF3F8"/>
            <w:vAlign w:val="center"/>
          </w:tcPr>
          <w:p>
            <w:pPr>
              <w:jc w:val="center"/>
              <w:rPr>
                <w:rFonts w:ascii="宋体" w:hAnsi="宋体" w:eastAsia="宋体" w:cs="仿宋"/>
                <w:kern w:val="0"/>
                <w:sz w:val="22"/>
                <w:szCs w:val="22"/>
              </w:rPr>
            </w:pPr>
            <w:r>
              <w:rPr>
                <w:rFonts w:hint="eastAsia" w:ascii="宋体" w:hAnsi="宋体" w:eastAsia="宋体" w:cs="仿宋"/>
                <w:kern w:val="0"/>
                <w:sz w:val="22"/>
                <w:szCs w:val="22"/>
                <w:lang w:val="en-US" w:eastAsia="zh-CN"/>
              </w:rPr>
              <w:t>32</w:t>
            </w:r>
          </w:p>
        </w:tc>
        <w:tc>
          <w:tcPr>
            <w:tcW w:w="3919" w:type="dxa"/>
            <w:shd w:val="clear" w:color="auto" w:fill="DCF3F8"/>
            <w:vAlign w:val="center"/>
          </w:tcPr>
          <w:p>
            <w:pPr>
              <w:rPr>
                <w:rFonts w:ascii="宋体" w:hAnsi="宋体" w:eastAsia="宋体" w:cs="仿宋"/>
                <w:kern w:val="0"/>
                <w:sz w:val="22"/>
                <w:szCs w:val="22"/>
              </w:rPr>
            </w:pPr>
            <w:r>
              <w:rPr>
                <w:rFonts w:hint="eastAsia" w:ascii="宋体" w:hAnsi="宋体" w:eastAsia="宋体" w:cs="宋体"/>
                <w:kern w:val="0"/>
                <w:sz w:val="22"/>
                <w:szCs w:val="22"/>
                <w:lang w:bidi="ar"/>
              </w:rPr>
              <w:t>养老产业规模及增加值</w:t>
            </w:r>
            <w:r>
              <w:rPr>
                <w:rStyle w:val="27"/>
                <w:rFonts w:hint="eastAsia" w:ascii="宋体" w:hAnsi="宋体" w:eastAsia="宋体" w:cs="宋体"/>
                <w:kern w:val="0"/>
                <w:sz w:val="22"/>
                <w:szCs w:val="22"/>
                <w:lang w:bidi="ar"/>
              </w:rPr>
              <w:footnoteReference w:id="37"/>
            </w:r>
          </w:p>
        </w:tc>
        <w:tc>
          <w:tcPr>
            <w:tcW w:w="1036" w:type="dxa"/>
            <w:shd w:val="clear" w:color="auto" w:fill="DCF3F8"/>
            <w:vAlign w:val="center"/>
          </w:tcPr>
          <w:p>
            <w:pPr>
              <w:rPr>
                <w:rFonts w:ascii="宋体" w:hAnsi="宋体" w:eastAsia="宋体" w:cs="仿宋"/>
                <w:kern w:val="0"/>
                <w:sz w:val="22"/>
                <w:szCs w:val="22"/>
              </w:rPr>
            </w:pPr>
          </w:p>
        </w:tc>
        <w:tc>
          <w:tcPr>
            <w:tcW w:w="1394" w:type="dxa"/>
            <w:shd w:val="clear" w:color="auto" w:fill="DCF3F8"/>
            <w:vAlign w:val="center"/>
          </w:tcPr>
          <w:p>
            <w:pPr>
              <w:rPr>
                <w:rFonts w:ascii="宋体" w:hAnsi="宋体" w:eastAsia="宋体" w:cs="仿宋"/>
                <w:kern w:val="0"/>
                <w:sz w:val="22"/>
                <w:szCs w:val="22"/>
              </w:rPr>
            </w:pPr>
            <w:r>
              <w:rPr>
                <w:rFonts w:hint="eastAsia" w:ascii="宋体" w:hAnsi="宋体" w:eastAsia="宋体" w:cs="宋体"/>
                <w:sz w:val="22"/>
                <w:szCs w:val="22"/>
              </w:rPr>
              <w:t>28亿/11亿</w:t>
            </w:r>
          </w:p>
        </w:tc>
        <w:tc>
          <w:tcPr>
            <w:tcW w:w="833" w:type="dxa"/>
            <w:shd w:val="clear" w:color="auto" w:fill="DCF3F8"/>
            <w:vAlign w:val="center"/>
          </w:tcPr>
          <w:p>
            <w:pPr>
              <w:rPr>
                <w:rFonts w:ascii="宋体" w:hAnsi="宋体" w:eastAsia="宋体" w:cs="仿宋"/>
                <w:kern w:val="0"/>
                <w:sz w:val="22"/>
                <w:szCs w:val="22"/>
              </w:rPr>
            </w:pPr>
            <w:r>
              <w:rPr>
                <w:rFonts w:hint="eastAsia" w:ascii="宋体" w:hAnsi="宋体" w:eastAsia="宋体" w:cs="宋体"/>
                <w:sz w:val="22"/>
                <w:szCs w:val="22"/>
              </w:rPr>
              <w:t>预期性</w:t>
            </w: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10" w:type="dxa"/>
            <w:bottom w:w="0" w:type="dxa"/>
            <w:right w:w="10" w:type="dxa"/>
          </w:tblCellMar>
        </w:tblPrEx>
        <w:trPr>
          <w:trHeight w:val="353" w:hRule="atLeast"/>
        </w:trPr>
        <w:tc>
          <w:tcPr>
            <w:tcW w:w="629" w:type="dxa"/>
            <w:vMerge w:val="continue"/>
            <w:shd w:val="clear" w:color="auto" w:fill="DCF3F8"/>
          </w:tcPr>
          <w:p>
            <w:pPr>
              <w:jc w:val="center"/>
              <w:rPr>
                <w:rFonts w:ascii="宋体" w:hAnsi="宋体" w:eastAsia="宋体" w:cs="仿宋"/>
                <w:b/>
                <w:bCs/>
                <w:kern w:val="0"/>
                <w:sz w:val="22"/>
                <w:szCs w:val="22"/>
              </w:rPr>
            </w:pPr>
          </w:p>
        </w:tc>
        <w:tc>
          <w:tcPr>
            <w:tcW w:w="515" w:type="dxa"/>
            <w:shd w:val="clear" w:color="auto" w:fill="DCF3F8"/>
            <w:vAlign w:val="center"/>
          </w:tcPr>
          <w:p>
            <w:pPr>
              <w:jc w:val="center"/>
              <w:rPr>
                <w:rFonts w:ascii="宋体" w:hAnsi="宋体" w:eastAsia="宋体" w:cs="仿宋"/>
                <w:kern w:val="0"/>
                <w:sz w:val="22"/>
                <w:szCs w:val="22"/>
              </w:rPr>
            </w:pPr>
            <w:r>
              <w:rPr>
                <w:rFonts w:hint="eastAsia" w:ascii="宋体" w:hAnsi="宋体" w:eastAsia="宋体" w:cs="仿宋"/>
                <w:kern w:val="0"/>
                <w:sz w:val="22"/>
                <w:szCs w:val="22"/>
              </w:rPr>
              <w:t>3</w:t>
            </w:r>
            <w:r>
              <w:rPr>
                <w:rFonts w:hint="eastAsia" w:ascii="宋体" w:hAnsi="宋体" w:eastAsia="宋体" w:cs="仿宋"/>
                <w:kern w:val="0"/>
                <w:sz w:val="22"/>
                <w:szCs w:val="22"/>
                <w:lang w:val="en-US" w:eastAsia="zh-CN"/>
              </w:rPr>
              <w:t>3</w:t>
            </w:r>
          </w:p>
        </w:tc>
        <w:tc>
          <w:tcPr>
            <w:tcW w:w="3919" w:type="dxa"/>
            <w:shd w:val="clear" w:color="auto" w:fill="DCF3F8"/>
            <w:vAlign w:val="center"/>
          </w:tcPr>
          <w:p>
            <w:pPr>
              <w:rPr>
                <w:rFonts w:ascii="宋体" w:hAnsi="宋体" w:eastAsia="宋体" w:cs="仿宋"/>
                <w:kern w:val="0"/>
                <w:sz w:val="22"/>
                <w:szCs w:val="22"/>
              </w:rPr>
            </w:pPr>
            <w:r>
              <w:rPr>
                <w:rFonts w:hint="eastAsia" w:ascii="宋体" w:hAnsi="宋体" w:eastAsia="宋体" w:cs="宋体"/>
                <w:kern w:val="0"/>
                <w:sz w:val="22"/>
                <w:szCs w:val="22"/>
                <w:lang w:bidi="ar"/>
              </w:rPr>
              <w:t>骨干养老企业数量</w:t>
            </w:r>
            <w:r>
              <w:rPr>
                <w:rStyle w:val="27"/>
                <w:rFonts w:hint="eastAsia" w:ascii="宋体" w:hAnsi="宋体" w:eastAsia="宋体" w:cs="宋体"/>
                <w:kern w:val="0"/>
                <w:sz w:val="22"/>
                <w:szCs w:val="22"/>
                <w:lang w:bidi="ar"/>
              </w:rPr>
              <w:footnoteReference w:id="38"/>
            </w:r>
          </w:p>
        </w:tc>
        <w:tc>
          <w:tcPr>
            <w:tcW w:w="1036" w:type="dxa"/>
            <w:shd w:val="clear" w:color="auto" w:fill="DCF3F8"/>
            <w:vAlign w:val="center"/>
          </w:tcPr>
          <w:p>
            <w:pPr>
              <w:rPr>
                <w:rFonts w:ascii="宋体" w:hAnsi="宋体" w:eastAsia="宋体" w:cs="仿宋"/>
                <w:kern w:val="0"/>
                <w:sz w:val="22"/>
                <w:szCs w:val="22"/>
              </w:rPr>
            </w:pPr>
          </w:p>
        </w:tc>
        <w:tc>
          <w:tcPr>
            <w:tcW w:w="1394" w:type="dxa"/>
            <w:shd w:val="clear" w:color="auto" w:fill="DCF3F8"/>
            <w:vAlign w:val="center"/>
          </w:tcPr>
          <w:p>
            <w:pPr>
              <w:rPr>
                <w:rFonts w:ascii="宋体" w:hAnsi="宋体" w:eastAsia="宋体" w:cs="仿宋"/>
                <w:kern w:val="0"/>
                <w:sz w:val="22"/>
                <w:szCs w:val="22"/>
              </w:rPr>
            </w:pPr>
            <w:r>
              <w:rPr>
                <w:rFonts w:hint="eastAsia" w:ascii="宋体" w:hAnsi="宋体" w:eastAsia="宋体" w:cs="宋体"/>
                <w:sz w:val="22"/>
                <w:szCs w:val="22"/>
              </w:rPr>
              <w:t>7</w:t>
            </w:r>
          </w:p>
        </w:tc>
        <w:tc>
          <w:tcPr>
            <w:tcW w:w="833" w:type="dxa"/>
            <w:shd w:val="clear" w:color="auto" w:fill="DCF3F8"/>
            <w:vAlign w:val="center"/>
          </w:tcPr>
          <w:p>
            <w:pPr>
              <w:rPr>
                <w:rFonts w:ascii="宋体" w:hAnsi="宋体" w:eastAsia="宋体" w:cs="仿宋"/>
                <w:kern w:val="0"/>
                <w:sz w:val="22"/>
                <w:szCs w:val="22"/>
              </w:rPr>
            </w:pPr>
            <w:r>
              <w:rPr>
                <w:rFonts w:hint="eastAsia" w:ascii="宋体" w:hAnsi="宋体" w:eastAsia="宋体" w:cs="宋体"/>
                <w:sz w:val="22"/>
                <w:szCs w:val="22"/>
              </w:rPr>
              <w:t>预期性</w:t>
            </w: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10" w:type="dxa"/>
            <w:bottom w:w="0" w:type="dxa"/>
            <w:right w:w="10" w:type="dxa"/>
          </w:tblCellMar>
        </w:tblPrEx>
        <w:trPr>
          <w:trHeight w:val="353" w:hRule="atLeast"/>
        </w:trPr>
        <w:tc>
          <w:tcPr>
            <w:tcW w:w="629" w:type="dxa"/>
            <w:vMerge w:val="restart"/>
            <w:shd w:val="clear" w:color="auto" w:fill="DCF3F8"/>
          </w:tcPr>
          <w:p>
            <w:pPr>
              <w:jc w:val="center"/>
              <w:rPr>
                <w:rFonts w:ascii="宋体" w:hAnsi="宋体" w:eastAsia="宋体" w:cs="仿宋"/>
                <w:b/>
                <w:bCs/>
                <w:kern w:val="0"/>
                <w:sz w:val="22"/>
                <w:szCs w:val="22"/>
              </w:rPr>
            </w:pPr>
            <w:r>
              <w:rPr>
                <w:rFonts w:hint="eastAsia" w:ascii="宋体" w:hAnsi="宋体" w:eastAsia="宋体" w:cs="仿宋"/>
                <w:b/>
                <w:bCs/>
                <w:kern w:val="0"/>
                <w:sz w:val="22"/>
                <w:szCs w:val="22"/>
              </w:rPr>
              <w:t>老年教育和社会参与</w:t>
            </w:r>
          </w:p>
        </w:tc>
        <w:tc>
          <w:tcPr>
            <w:tcW w:w="515" w:type="dxa"/>
            <w:shd w:val="clear" w:color="auto" w:fill="DCF3F8"/>
            <w:vAlign w:val="center"/>
          </w:tcPr>
          <w:p>
            <w:pPr>
              <w:jc w:val="center"/>
              <w:rPr>
                <w:rFonts w:ascii="宋体" w:hAnsi="宋体" w:eastAsia="宋体" w:cs="仿宋"/>
                <w:kern w:val="0"/>
                <w:sz w:val="22"/>
                <w:szCs w:val="22"/>
              </w:rPr>
            </w:pPr>
            <w:r>
              <w:rPr>
                <w:rFonts w:hint="eastAsia" w:ascii="宋体" w:hAnsi="宋体" w:eastAsia="宋体" w:cs="仿宋"/>
                <w:kern w:val="0"/>
                <w:sz w:val="22"/>
                <w:szCs w:val="22"/>
              </w:rPr>
              <w:t>3</w:t>
            </w:r>
            <w:r>
              <w:rPr>
                <w:rFonts w:hint="eastAsia" w:ascii="宋体" w:hAnsi="宋体" w:eastAsia="宋体" w:cs="仿宋"/>
                <w:kern w:val="0"/>
                <w:sz w:val="22"/>
                <w:szCs w:val="22"/>
                <w:lang w:val="en-US" w:eastAsia="zh-CN"/>
              </w:rPr>
              <w:t>4</w:t>
            </w:r>
          </w:p>
        </w:tc>
        <w:tc>
          <w:tcPr>
            <w:tcW w:w="3919" w:type="dxa"/>
            <w:shd w:val="clear" w:color="auto" w:fill="DCF3F8"/>
            <w:vAlign w:val="center"/>
          </w:tcPr>
          <w:p>
            <w:pPr>
              <w:rPr>
                <w:rFonts w:ascii="宋体" w:hAnsi="宋体" w:eastAsia="宋体" w:cs="仿宋"/>
                <w:kern w:val="0"/>
                <w:sz w:val="22"/>
                <w:szCs w:val="22"/>
              </w:rPr>
            </w:pPr>
            <w:r>
              <w:rPr>
                <w:rFonts w:hint="eastAsia" w:ascii="宋体" w:hAnsi="宋体" w:eastAsia="宋体" w:cs="宋体"/>
                <w:kern w:val="0"/>
                <w:sz w:val="22"/>
                <w:szCs w:val="22"/>
                <w:lang w:bidi="ar"/>
              </w:rPr>
              <w:t>老年大学办学点</w:t>
            </w:r>
            <w:r>
              <w:rPr>
                <w:rStyle w:val="27"/>
                <w:rFonts w:hint="eastAsia" w:ascii="宋体" w:hAnsi="宋体" w:eastAsia="宋体" w:cs="宋体"/>
                <w:kern w:val="0"/>
                <w:sz w:val="22"/>
                <w:szCs w:val="22"/>
                <w:lang w:bidi="ar"/>
              </w:rPr>
              <w:footnoteReference w:id="39"/>
            </w:r>
          </w:p>
        </w:tc>
        <w:tc>
          <w:tcPr>
            <w:tcW w:w="1036" w:type="dxa"/>
            <w:shd w:val="clear" w:color="auto" w:fill="DCF3F8"/>
            <w:vAlign w:val="center"/>
          </w:tcPr>
          <w:p>
            <w:pPr>
              <w:rPr>
                <w:rFonts w:ascii="宋体" w:hAnsi="宋体" w:eastAsia="宋体" w:cs="仿宋"/>
                <w:kern w:val="0"/>
                <w:sz w:val="22"/>
                <w:szCs w:val="22"/>
              </w:rPr>
            </w:pPr>
          </w:p>
        </w:tc>
        <w:tc>
          <w:tcPr>
            <w:tcW w:w="1394" w:type="dxa"/>
            <w:shd w:val="clear" w:color="auto" w:fill="DCF3F8"/>
            <w:vAlign w:val="center"/>
          </w:tcPr>
          <w:p>
            <w:pPr>
              <w:rPr>
                <w:rFonts w:ascii="宋体" w:hAnsi="宋体" w:eastAsia="宋体" w:cs="仿宋"/>
                <w:kern w:val="0"/>
                <w:sz w:val="22"/>
                <w:szCs w:val="22"/>
              </w:rPr>
            </w:pPr>
            <w:r>
              <w:rPr>
                <w:rFonts w:hint="eastAsia" w:ascii="宋体" w:hAnsi="宋体" w:eastAsia="宋体" w:cs="仿宋"/>
                <w:kern w:val="0"/>
                <w:sz w:val="22"/>
                <w:szCs w:val="22"/>
              </w:rPr>
              <w:t>≥7</w:t>
            </w:r>
          </w:p>
        </w:tc>
        <w:tc>
          <w:tcPr>
            <w:tcW w:w="833" w:type="dxa"/>
            <w:shd w:val="clear" w:color="auto" w:fill="DCF3F8"/>
            <w:vAlign w:val="center"/>
          </w:tcPr>
          <w:p>
            <w:pPr>
              <w:rPr>
                <w:rFonts w:ascii="宋体" w:hAnsi="宋体" w:eastAsia="宋体" w:cs="仿宋"/>
                <w:kern w:val="0"/>
                <w:sz w:val="22"/>
                <w:szCs w:val="22"/>
                <w:lang w:eastAsia="zh-Hans"/>
              </w:rPr>
            </w:pPr>
            <w:r>
              <w:rPr>
                <w:rFonts w:hint="eastAsia" w:ascii="宋体" w:hAnsi="宋体" w:eastAsia="宋体" w:cs="宋体"/>
                <w:sz w:val="22"/>
                <w:szCs w:val="22"/>
              </w:rPr>
              <w:t>约束性</w:t>
            </w: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10" w:type="dxa"/>
            <w:bottom w:w="0" w:type="dxa"/>
            <w:right w:w="10" w:type="dxa"/>
          </w:tblCellMar>
        </w:tblPrEx>
        <w:trPr>
          <w:trHeight w:val="353" w:hRule="atLeast"/>
        </w:trPr>
        <w:tc>
          <w:tcPr>
            <w:tcW w:w="629" w:type="dxa"/>
            <w:vMerge w:val="continue"/>
            <w:shd w:val="clear" w:color="auto" w:fill="DCF3F8"/>
          </w:tcPr>
          <w:p>
            <w:pPr>
              <w:jc w:val="center"/>
              <w:rPr>
                <w:rFonts w:ascii="宋体" w:hAnsi="宋体" w:eastAsia="宋体" w:cs="仿宋"/>
                <w:b/>
                <w:bCs/>
                <w:kern w:val="0"/>
                <w:sz w:val="22"/>
                <w:szCs w:val="22"/>
              </w:rPr>
            </w:pPr>
          </w:p>
        </w:tc>
        <w:tc>
          <w:tcPr>
            <w:tcW w:w="515" w:type="dxa"/>
            <w:shd w:val="clear" w:color="auto" w:fill="DCF3F8"/>
            <w:vAlign w:val="center"/>
          </w:tcPr>
          <w:p>
            <w:pPr>
              <w:jc w:val="center"/>
              <w:rPr>
                <w:rFonts w:ascii="宋体" w:hAnsi="宋体" w:eastAsia="宋体" w:cs="仿宋"/>
                <w:kern w:val="0"/>
                <w:sz w:val="22"/>
                <w:szCs w:val="22"/>
              </w:rPr>
            </w:pPr>
            <w:r>
              <w:rPr>
                <w:rFonts w:hint="eastAsia" w:ascii="宋体" w:hAnsi="宋体" w:eastAsia="宋体" w:cs="仿宋"/>
                <w:kern w:val="0"/>
                <w:sz w:val="22"/>
                <w:szCs w:val="22"/>
              </w:rPr>
              <w:t>3</w:t>
            </w:r>
            <w:r>
              <w:rPr>
                <w:rFonts w:hint="eastAsia" w:ascii="宋体" w:hAnsi="宋体" w:eastAsia="宋体" w:cs="仿宋"/>
                <w:kern w:val="0"/>
                <w:sz w:val="22"/>
                <w:szCs w:val="22"/>
                <w:lang w:val="en-US" w:eastAsia="zh-CN"/>
              </w:rPr>
              <w:t>5</w:t>
            </w:r>
          </w:p>
        </w:tc>
        <w:tc>
          <w:tcPr>
            <w:tcW w:w="3919" w:type="dxa"/>
            <w:shd w:val="clear" w:color="auto" w:fill="DCF3F8"/>
            <w:vAlign w:val="center"/>
          </w:tcPr>
          <w:p>
            <w:pPr>
              <w:rPr>
                <w:rFonts w:ascii="宋体" w:hAnsi="宋体" w:eastAsia="宋体" w:cs="仿宋"/>
                <w:kern w:val="0"/>
                <w:sz w:val="22"/>
                <w:szCs w:val="22"/>
              </w:rPr>
            </w:pPr>
            <w:r>
              <w:rPr>
                <w:rFonts w:hint="eastAsia" w:ascii="宋体" w:hAnsi="宋体" w:eastAsia="宋体" w:cs="宋体"/>
                <w:kern w:val="0"/>
                <w:sz w:val="22"/>
                <w:szCs w:val="22"/>
                <w:lang w:bidi="ar"/>
              </w:rPr>
              <w:t>经常性参与教育活动的老年人口比例</w:t>
            </w:r>
            <w:r>
              <w:rPr>
                <w:rStyle w:val="27"/>
                <w:rFonts w:hint="eastAsia" w:ascii="宋体" w:hAnsi="宋体" w:eastAsia="宋体" w:cs="宋体"/>
                <w:kern w:val="0"/>
                <w:sz w:val="22"/>
                <w:szCs w:val="22"/>
                <w:lang w:bidi="ar"/>
              </w:rPr>
              <w:footnoteReference w:id="40"/>
            </w:r>
          </w:p>
        </w:tc>
        <w:tc>
          <w:tcPr>
            <w:tcW w:w="1036" w:type="dxa"/>
            <w:shd w:val="clear" w:color="auto" w:fill="DCF3F8"/>
            <w:vAlign w:val="center"/>
          </w:tcPr>
          <w:p>
            <w:pPr>
              <w:rPr>
                <w:rFonts w:ascii="宋体" w:hAnsi="宋体" w:eastAsia="宋体" w:cs="仿宋"/>
                <w:kern w:val="0"/>
                <w:sz w:val="22"/>
                <w:szCs w:val="22"/>
              </w:rPr>
            </w:pPr>
          </w:p>
        </w:tc>
        <w:tc>
          <w:tcPr>
            <w:tcW w:w="1394" w:type="dxa"/>
            <w:shd w:val="clear" w:color="auto" w:fill="DCF3F8"/>
            <w:vAlign w:val="center"/>
          </w:tcPr>
          <w:p>
            <w:pPr>
              <w:rPr>
                <w:rFonts w:ascii="宋体" w:hAnsi="宋体" w:eastAsia="宋体" w:cs="仿宋"/>
                <w:kern w:val="0"/>
                <w:sz w:val="22"/>
                <w:szCs w:val="22"/>
              </w:rPr>
            </w:pPr>
            <w:r>
              <w:rPr>
                <w:rFonts w:hint="eastAsia" w:ascii="宋体" w:hAnsi="宋体" w:eastAsia="宋体" w:cs="宋体"/>
                <w:sz w:val="22"/>
                <w:szCs w:val="22"/>
              </w:rPr>
              <w:t>40%</w:t>
            </w:r>
          </w:p>
        </w:tc>
        <w:tc>
          <w:tcPr>
            <w:tcW w:w="833" w:type="dxa"/>
            <w:shd w:val="clear" w:color="auto" w:fill="DCF3F8"/>
            <w:vAlign w:val="center"/>
          </w:tcPr>
          <w:p>
            <w:pPr>
              <w:rPr>
                <w:rFonts w:ascii="宋体" w:hAnsi="宋体" w:eastAsia="宋体" w:cs="仿宋"/>
                <w:kern w:val="0"/>
                <w:sz w:val="22"/>
                <w:szCs w:val="22"/>
                <w:lang w:eastAsia="zh-Hans"/>
              </w:rPr>
            </w:pPr>
            <w:r>
              <w:rPr>
                <w:rFonts w:hint="eastAsia" w:ascii="宋体" w:hAnsi="宋体" w:eastAsia="宋体" w:cs="宋体"/>
                <w:sz w:val="22"/>
                <w:szCs w:val="22"/>
              </w:rPr>
              <w:t>预期性</w:t>
            </w: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10" w:type="dxa"/>
            <w:bottom w:w="0" w:type="dxa"/>
            <w:right w:w="10" w:type="dxa"/>
          </w:tblCellMar>
        </w:tblPrEx>
        <w:trPr>
          <w:trHeight w:val="353" w:hRule="atLeast"/>
        </w:trPr>
        <w:tc>
          <w:tcPr>
            <w:tcW w:w="629" w:type="dxa"/>
            <w:vMerge w:val="continue"/>
            <w:shd w:val="clear" w:color="auto" w:fill="DCF3F8"/>
          </w:tcPr>
          <w:p>
            <w:pPr>
              <w:jc w:val="center"/>
              <w:rPr>
                <w:rFonts w:ascii="宋体" w:hAnsi="宋体" w:eastAsia="宋体" w:cs="仿宋"/>
                <w:b/>
                <w:bCs/>
                <w:kern w:val="0"/>
                <w:sz w:val="22"/>
                <w:szCs w:val="22"/>
              </w:rPr>
            </w:pPr>
          </w:p>
        </w:tc>
        <w:tc>
          <w:tcPr>
            <w:tcW w:w="515" w:type="dxa"/>
            <w:shd w:val="clear" w:color="auto" w:fill="DCF3F8"/>
            <w:vAlign w:val="center"/>
          </w:tcPr>
          <w:p>
            <w:pPr>
              <w:jc w:val="center"/>
              <w:rPr>
                <w:rFonts w:ascii="宋体" w:hAnsi="宋体" w:eastAsia="宋体" w:cs="仿宋"/>
                <w:kern w:val="0"/>
                <w:sz w:val="22"/>
                <w:szCs w:val="22"/>
              </w:rPr>
            </w:pPr>
            <w:r>
              <w:rPr>
                <w:rFonts w:hint="eastAsia" w:ascii="宋体" w:hAnsi="宋体" w:eastAsia="宋体" w:cs="仿宋"/>
                <w:kern w:val="0"/>
                <w:sz w:val="22"/>
                <w:szCs w:val="22"/>
              </w:rPr>
              <w:t>3</w:t>
            </w:r>
            <w:r>
              <w:rPr>
                <w:rFonts w:hint="eastAsia" w:ascii="宋体" w:hAnsi="宋体" w:eastAsia="宋体" w:cs="仿宋"/>
                <w:kern w:val="0"/>
                <w:sz w:val="22"/>
                <w:szCs w:val="22"/>
                <w:lang w:val="en-US" w:eastAsia="zh-CN"/>
              </w:rPr>
              <w:t>6</w:t>
            </w:r>
          </w:p>
        </w:tc>
        <w:tc>
          <w:tcPr>
            <w:tcW w:w="3919" w:type="dxa"/>
            <w:shd w:val="clear" w:color="auto" w:fill="DCF3F8"/>
            <w:vAlign w:val="center"/>
          </w:tcPr>
          <w:p>
            <w:pPr>
              <w:rPr>
                <w:rFonts w:ascii="宋体" w:hAnsi="宋体" w:eastAsia="宋体" w:cs="仿宋"/>
                <w:kern w:val="0"/>
                <w:sz w:val="22"/>
                <w:szCs w:val="22"/>
              </w:rPr>
            </w:pPr>
            <w:r>
              <w:rPr>
                <w:rFonts w:hint="eastAsia" w:ascii="宋体" w:hAnsi="宋体" w:eastAsia="宋体" w:cs="宋体"/>
                <w:kern w:val="0"/>
                <w:sz w:val="22"/>
                <w:szCs w:val="22"/>
                <w:lang w:bidi="ar"/>
              </w:rPr>
              <w:t>老年志愿者注册人数占老年人口比例</w:t>
            </w:r>
            <w:r>
              <w:rPr>
                <w:rStyle w:val="27"/>
                <w:rFonts w:hint="eastAsia" w:ascii="宋体" w:hAnsi="宋体" w:eastAsia="宋体" w:cs="宋体"/>
                <w:kern w:val="0"/>
                <w:sz w:val="22"/>
                <w:szCs w:val="22"/>
                <w:lang w:bidi="ar"/>
              </w:rPr>
              <w:footnoteReference w:id="41"/>
            </w:r>
          </w:p>
        </w:tc>
        <w:tc>
          <w:tcPr>
            <w:tcW w:w="1036" w:type="dxa"/>
            <w:shd w:val="clear" w:color="auto" w:fill="DCF3F8"/>
            <w:vAlign w:val="center"/>
          </w:tcPr>
          <w:p>
            <w:pPr>
              <w:rPr>
                <w:rFonts w:ascii="宋体" w:hAnsi="宋体" w:eastAsia="宋体" w:cs="仿宋"/>
                <w:kern w:val="0"/>
                <w:sz w:val="22"/>
                <w:szCs w:val="22"/>
              </w:rPr>
            </w:pPr>
          </w:p>
        </w:tc>
        <w:tc>
          <w:tcPr>
            <w:tcW w:w="1394" w:type="dxa"/>
            <w:shd w:val="clear" w:color="auto" w:fill="DCF3F8"/>
            <w:vAlign w:val="center"/>
          </w:tcPr>
          <w:p>
            <w:pPr>
              <w:rPr>
                <w:rFonts w:ascii="宋体" w:hAnsi="宋体" w:eastAsia="宋体" w:cs="仿宋"/>
                <w:kern w:val="0"/>
                <w:sz w:val="22"/>
                <w:szCs w:val="22"/>
              </w:rPr>
            </w:pPr>
            <w:r>
              <w:rPr>
                <w:rFonts w:hint="eastAsia" w:ascii="宋体" w:hAnsi="宋体" w:eastAsia="宋体" w:cs="宋体"/>
                <w:sz w:val="22"/>
                <w:szCs w:val="22"/>
              </w:rPr>
              <w:t>21%</w:t>
            </w:r>
          </w:p>
        </w:tc>
        <w:tc>
          <w:tcPr>
            <w:tcW w:w="833" w:type="dxa"/>
            <w:shd w:val="clear" w:color="auto" w:fill="DCF3F8"/>
            <w:vAlign w:val="center"/>
          </w:tcPr>
          <w:p>
            <w:pPr>
              <w:rPr>
                <w:rFonts w:ascii="宋体" w:hAnsi="宋体" w:eastAsia="宋体" w:cs="仿宋"/>
                <w:kern w:val="0"/>
                <w:sz w:val="22"/>
                <w:szCs w:val="22"/>
                <w:lang w:eastAsia="zh-Hans"/>
              </w:rPr>
            </w:pPr>
            <w:r>
              <w:rPr>
                <w:rFonts w:hint="eastAsia" w:ascii="宋体" w:hAnsi="宋体" w:eastAsia="宋体" w:cs="宋体"/>
                <w:sz w:val="22"/>
                <w:szCs w:val="22"/>
              </w:rPr>
              <w:t>预期性</w:t>
            </w: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10" w:type="dxa"/>
            <w:bottom w:w="0" w:type="dxa"/>
            <w:right w:w="10" w:type="dxa"/>
          </w:tblCellMar>
        </w:tblPrEx>
        <w:trPr>
          <w:trHeight w:val="353" w:hRule="atLeast"/>
        </w:trPr>
        <w:tc>
          <w:tcPr>
            <w:tcW w:w="629" w:type="dxa"/>
            <w:vMerge w:val="continue"/>
            <w:shd w:val="clear" w:color="auto" w:fill="DCF3F8"/>
          </w:tcPr>
          <w:p>
            <w:pPr>
              <w:jc w:val="center"/>
              <w:rPr>
                <w:rFonts w:ascii="宋体" w:hAnsi="宋体" w:eastAsia="宋体" w:cs="仿宋"/>
                <w:b/>
                <w:bCs/>
                <w:kern w:val="0"/>
                <w:sz w:val="22"/>
                <w:szCs w:val="22"/>
              </w:rPr>
            </w:pPr>
          </w:p>
        </w:tc>
        <w:tc>
          <w:tcPr>
            <w:tcW w:w="515" w:type="dxa"/>
            <w:shd w:val="clear" w:color="auto" w:fill="DCF3F8"/>
            <w:vAlign w:val="center"/>
          </w:tcPr>
          <w:p>
            <w:pPr>
              <w:jc w:val="center"/>
              <w:rPr>
                <w:rFonts w:ascii="宋体" w:hAnsi="宋体" w:eastAsia="宋体" w:cs="仿宋"/>
                <w:kern w:val="0"/>
                <w:sz w:val="22"/>
                <w:szCs w:val="22"/>
              </w:rPr>
            </w:pPr>
            <w:r>
              <w:rPr>
                <w:rFonts w:hint="eastAsia" w:ascii="宋体" w:hAnsi="宋体" w:eastAsia="宋体" w:cs="仿宋"/>
                <w:kern w:val="0"/>
                <w:sz w:val="22"/>
                <w:szCs w:val="22"/>
              </w:rPr>
              <w:t>3</w:t>
            </w:r>
            <w:r>
              <w:rPr>
                <w:rFonts w:hint="eastAsia" w:ascii="宋体" w:hAnsi="宋体" w:eastAsia="宋体" w:cs="仿宋"/>
                <w:kern w:val="0"/>
                <w:sz w:val="22"/>
                <w:szCs w:val="22"/>
                <w:lang w:val="en-US" w:eastAsia="zh-CN"/>
              </w:rPr>
              <w:t>7</w:t>
            </w:r>
          </w:p>
        </w:tc>
        <w:tc>
          <w:tcPr>
            <w:tcW w:w="3919" w:type="dxa"/>
            <w:shd w:val="clear" w:color="auto" w:fill="DCF3F8"/>
            <w:vAlign w:val="center"/>
          </w:tcPr>
          <w:p>
            <w:pPr>
              <w:rPr>
                <w:rFonts w:ascii="宋体" w:hAnsi="宋体" w:eastAsia="宋体" w:cs="仿宋"/>
                <w:kern w:val="0"/>
                <w:sz w:val="22"/>
                <w:szCs w:val="22"/>
              </w:rPr>
            </w:pPr>
            <w:r>
              <w:rPr>
                <w:rFonts w:hint="eastAsia" w:ascii="宋体" w:hAnsi="宋体" w:eastAsia="宋体" w:cs="宋体"/>
                <w:kern w:val="0"/>
                <w:sz w:val="22"/>
                <w:szCs w:val="22"/>
                <w:lang w:bidi="ar"/>
              </w:rPr>
              <w:t>示范性老年友好社区（活力发展社区）数</w:t>
            </w:r>
            <w:r>
              <w:rPr>
                <w:rStyle w:val="27"/>
                <w:rFonts w:hint="eastAsia" w:ascii="宋体" w:hAnsi="宋体" w:eastAsia="宋体" w:cs="宋体"/>
                <w:kern w:val="0"/>
                <w:sz w:val="22"/>
                <w:szCs w:val="22"/>
                <w:lang w:bidi="ar"/>
              </w:rPr>
              <w:footnoteReference w:id="42"/>
            </w:r>
          </w:p>
        </w:tc>
        <w:tc>
          <w:tcPr>
            <w:tcW w:w="1036" w:type="dxa"/>
            <w:shd w:val="clear" w:color="auto" w:fill="DCF3F8"/>
            <w:vAlign w:val="center"/>
          </w:tcPr>
          <w:p>
            <w:pPr>
              <w:rPr>
                <w:rFonts w:ascii="宋体" w:hAnsi="宋体" w:eastAsia="宋体" w:cs="仿宋"/>
                <w:kern w:val="0"/>
                <w:sz w:val="22"/>
                <w:szCs w:val="22"/>
              </w:rPr>
            </w:pPr>
          </w:p>
        </w:tc>
        <w:tc>
          <w:tcPr>
            <w:tcW w:w="1394" w:type="dxa"/>
            <w:shd w:val="clear" w:color="auto" w:fill="DCF3F8"/>
            <w:vAlign w:val="center"/>
          </w:tcPr>
          <w:p>
            <w:pPr>
              <w:rPr>
                <w:rFonts w:ascii="宋体" w:hAnsi="宋体" w:eastAsia="宋体" w:cs="仿宋"/>
                <w:kern w:val="0"/>
                <w:sz w:val="22"/>
                <w:szCs w:val="22"/>
              </w:rPr>
            </w:pPr>
            <w:r>
              <w:rPr>
                <w:rFonts w:hint="eastAsia" w:ascii="宋体" w:hAnsi="宋体" w:eastAsia="宋体" w:cs="仿宋"/>
                <w:kern w:val="0"/>
                <w:sz w:val="22"/>
                <w:szCs w:val="22"/>
              </w:rPr>
              <w:t>≥5</w:t>
            </w:r>
          </w:p>
        </w:tc>
        <w:tc>
          <w:tcPr>
            <w:tcW w:w="833" w:type="dxa"/>
            <w:shd w:val="clear" w:color="auto" w:fill="DCF3F8"/>
            <w:vAlign w:val="center"/>
          </w:tcPr>
          <w:p>
            <w:pPr>
              <w:rPr>
                <w:rFonts w:ascii="宋体" w:hAnsi="宋体" w:eastAsia="宋体" w:cs="仿宋"/>
                <w:kern w:val="0"/>
                <w:sz w:val="22"/>
                <w:szCs w:val="22"/>
                <w:lang w:eastAsia="zh-Hans"/>
              </w:rPr>
            </w:pPr>
            <w:r>
              <w:rPr>
                <w:rFonts w:hint="eastAsia" w:ascii="宋体" w:hAnsi="宋体" w:eastAsia="宋体" w:cs="宋体"/>
                <w:sz w:val="22"/>
                <w:szCs w:val="22"/>
              </w:rPr>
              <w:t>预期性</w:t>
            </w: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10" w:type="dxa"/>
            <w:bottom w:w="0" w:type="dxa"/>
            <w:right w:w="10" w:type="dxa"/>
          </w:tblCellMar>
        </w:tblPrEx>
        <w:trPr>
          <w:trHeight w:val="353" w:hRule="atLeast"/>
        </w:trPr>
        <w:tc>
          <w:tcPr>
            <w:tcW w:w="629" w:type="dxa"/>
            <w:vMerge w:val="continue"/>
            <w:shd w:val="clear" w:color="auto" w:fill="DCF3F8"/>
          </w:tcPr>
          <w:p>
            <w:pPr>
              <w:jc w:val="center"/>
              <w:rPr>
                <w:rFonts w:ascii="宋体" w:hAnsi="宋体" w:eastAsia="宋体" w:cs="仿宋"/>
                <w:b/>
                <w:bCs/>
                <w:kern w:val="0"/>
                <w:sz w:val="22"/>
                <w:szCs w:val="22"/>
              </w:rPr>
            </w:pPr>
          </w:p>
        </w:tc>
        <w:tc>
          <w:tcPr>
            <w:tcW w:w="515" w:type="dxa"/>
            <w:shd w:val="clear" w:color="auto" w:fill="DCF3F8"/>
            <w:vAlign w:val="center"/>
          </w:tcPr>
          <w:p>
            <w:pPr>
              <w:jc w:val="center"/>
              <w:rPr>
                <w:rFonts w:hint="default" w:ascii="宋体" w:hAnsi="宋体" w:eastAsia="宋体" w:cs="仿宋"/>
                <w:kern w:val="0"/>
                <w:sz w:val="22"/>
                <w:szCs w:val="22"/>
                <w:lang w:val="en-US" w:eastAsia="zh-CN"/>
              </w:rPr>
            </w:pPr>
            <w:r>
              <w:rPr>
                <w:rFonts w:hint="eastAsia" w:ascii="宋体" w:hAnsi="宋体" w:eastAsia="宋体" w:cs="仿宋"/>
                <w:kern w:val="0"/>
                <w:sz w:val="22"/>
                <w:szCs w:val="22"/>
                <w:lang w:val="en-US" w:eastAsia="zh-CN"/>
              </w:rPr>
              <w:t>38</w:t>
            </w:r>
          </w:p>
        </w:tc>
        <w:tc>
          <w:tcPr>
            <w:tcW w:w="3919" w:type="dxa"/>
            <w:shd w:val="clear" w:color="auto" w:fill="DCF3F8"/>
            <w:vAlign w:val="center"/>
          </w:tcPr>
          <w:p>
            <w:pPr>
              <w:rPr>
                <w:rFonts w:hint="eastAsia" w:ascii="宋体" w:hAnsi="宋体" w:eastAsia="宋体" w:cs="宋体"/>
                <w:color w:val="0000FF"/>
                <w:kern w:val="0"/>
                <w:sz w:val="22"/>
                <w:szCs w:val="22"/>
                <w:lang w:bidi="ar"/>
              </w:rPr>
            </w:pPr>
            <w:r>
              <w:rPr>
                <w:rFonts w:hint="eastAsia" w:ascii="宋体" w:hAnsi="宋体" w:eastAsia="宋体" w:cs="宋体"/>
                <w:color w:val="0000FF"/>
                <w:kern w:val="0"/>
                <w:sz w:val="22"/>
                <w:szCs w:val="22"/>
                <w:lang w:bidi="ar"/>
              </w:rPr>
              <w:t>“敬老月”活动覆盖面</w:t>
            </w:r>
            <w:r>
              <w:rPr>
                <w:rStyle w:val="27"/>
                <w:rFonts w:hint="eastAsia" w:ascii="宋体" w:hAnsi="宋体" w:eastAsia="宋体" w:cs="宋体"/>
                <w:color w:val="0000FF"/>
                <w:kern w:val="0"/>
                <w:sz w:val="22"/>
                <w:szCs w:val="22"/>
                <w:lang w:bidi="ar"/>
              </w:rPr>
              <w:footnoteReference w:id="43"/>
            </w:r>
          </w:p>
        </w:tc>
        <w:tc>
          <w:tcPr>
            <w:tcW w:w="1036" w:type="dxa"/>
            <w:shd w:val="clear" w:color="auto" w:fill="DCF3F8"/>
            <w:vAlign w:val="center"/>
          </w:tcPr>
          <w:p>
            <w:pPr>
              <w:rPr>
                <w:rFonts w:ascii="宋体" w:hAnsi="宋体" w:eastAsia="宋体" w:cs="仿宋"/>
                <w:color w:val="0000FF"/>
                <w:kern w:val="0"/>
                <w:sz w:val="22"/>
                <w:szCs w:val="22"/>
              </w:rPr>
            </w:pPr>
          </w:p>
        </w:tc>
        <w:tc>
          <w:tcPr>
            <w:tcW w:w="1394" w:type="dxa"/>
            <w:shd w:val="clear" w:color="auto" w:fill="DCF3F8"/>
            <w:vAlign w:val="center"/>
          </w:tcPr>
          <w:p>
            <w:pPr>
              <w:rPr>
                <w:rFonts w:hint="default" w:ascii="宋体" w:hAnsi="宋体" w:eastAsia="宋体" w:cs="仿宋"/>
                <w:color w:val="0000FF"/>
                <w:kern w:val="0"/>
                <w:sz w:val="22"/>
                <w:szCs w:val="22"/>
                <w:lang w:val="en-US" w:eastAsia="zh-CN"/>
              </w:rPr>
            </w:pPr>
            <w:r>
              <w:rPr>
                <w:rFonts w:hint="eastAsia" w:ascii="宋体" w:hAnsi="宋体" w:eastAsia="宋体" w:cs="仿宋"/>
                <w:color w:val="0000FF"/>
                <w:kern w:val="0"/>
                <w:sz w:val="22"/>
                <w:szCs w:val="22"/>
                <w:lang w:val="en-US" w:eastAsia="zh-CN"/>
              </w:rPr>
              <w:t>每年开展1次</w:t>
            </w:r>
          </w:p>
        </w:tc>
        <w:tc>
          <w:tcPr>
            <w:tcW w:w="833" w:type="dxa"/>
            <w:shd w:val="clear" w:color="auto" w:fill="DCF3F8"/>
            <w:vAlign w:val="center"/>
          </w:tcPr>
          <w:p>
            <w:pPr>
              <w:rPr>
                <w:rFonts w:hint="eastAsia" w:ascii="宋体" w:hAnsi="宋体" w:eastAsia="宋体" w:cs="宋体"/>
                <w:color w:val="0000FF"/>
                <w:sz w:val="22"/>
                <w:szCs w:val="22"/>
                <w:lang w:val="en-US" w:eastAsia="zh-CN"/>
              </w:rPr>
            </w:pPr>
            <w:r>
              <w:rPr>
                <w:rFonts w:hint="eastAsia" w:ascii="宋体" w:hAnsi="宋体" w:eastAsia="宋体" w:cs="宋体"/>
                <w:color w:val="0000FF"/>
                <w:sz w:val="22"/>
                <w:szCs w:val="22"/>
                <w:lang w:val="en-US" w:eastAsia="zh-CN"/>
              </w:rPr>
              <w:t>预期性</w:t>
            </w:r>
          </w:p>
        </w:tc>
      </w:tr>
    </w:tbl>
    <w:p>
      <w:pPr>
        <w:spacing w:before="0" w:after="0" w:line="240" w:lineRule="auto"/>
        <w:ind w:firstLine="640" w:firstLineChars="200"/>
        <w:outlineLvl w:val="9"/>
        <w:rPr>
          <w:rFonts w:hint="eastAsia" w:ascii="黑体" w:hAnsi="黑体" w:eastAsia="黑体" w:cs="黑体"/>
          <w:kern w:val="0"/>
          <w:sz w:val="32"/>
          <w:szCs w:val="32"/>
        </w:rPr>
      </w:pPr>
      <w:bookmarkStart w:id="36" w:name="_Toc19279"/>
      <w:bookmarkStart w:id="37" w:name="_Toc100671598"/>
    </w:p>
    <w:p>
      <w:pPr>
        <w:pStyle w:val="3"/>
        <w:spacing w:before="0" w:after="0" w:line="240" w:lineRule="auto"/>
        <w:ind w:firstLine="643" w:firstLineChars="200"/>
        <w:rPr>
          <w:rFonts w:ascii="黑体" w:hAnsi="黑体" w:eastAsia="黑体" w:cs="黑体"/>
          <w:kern w:val="0"/>
          <w:sz w:val="32"/>
          <w:szCs w:val="32"/>
        </w:rPr>
      </w:pPr>
      <w:bookmarkStart w:id="38" w:name="_Toc31544"/>
      <w:r>
        <w:rPr>
          <w:rFonts w:hint="eastAsia" w:ascii="黑体" w:hAnsi="黑体" w:eastAsia="黑体" w:cs="黑体"/>
          <w:kern w:val="0"/>
          <w:sz w:val="32"/>
          <w:szCs w:val="32"/>
        </w:rPr>
        <w:t>三、重点任务</w:t>
      </w:r>
      <w:bookmarkEnd w:id="36"/>
      <w:bookmarkEnd w:id="37"/>
      <w:bookmarkEnd w:id="38"/>
    </w:p>
    <w:p>
      <w:pPr>
        <w:ind w:firstLine="643" w:firstLineChars="200"/>
        <w:contextualSpacing/>
        <w:outlineLvl w:val="1"/>
        <w:rPr>
          <w:rFonts w:ascii="方正楷体_GB2312" w:hAnsi="方正楷体_GB2312" w:eastAsia="方正楷体_GB2312" w:cs="方正楷体_GB2312"/>
          <w:b/>
          <w:bCs/>
          <w:kern w:val="0"/>
          <w:sz w:val="32"/>
          <w:szCs w:val="32"/>
        </w:rPr>
      </w:pPr>
      <w:bookmarkStart w:id="39" w:name="_Toc13129"/>
      <w:bookmarkStart w:id="40" w:name="_Toc100671599"/>
      <w:bookmarkStart w:id="41" w:name="_Toc3377"/>
      <w:r>
        <w:rPr>
          <w:rFonts w:hint="eastAsia" w:ascii="方正楷体_GB2312" w:hAnsi="方正楷体_GB2312" w:eastAsia="方正楷体_GB2312" w:cs="方正楷体_GB2312"/>
          <w:b/>
          <w:bCs/>
          <w:kern w:val="0"/>
          <w:sz w:val="32"/>
          <w:szCs w:val="32"/>
        </w:rPr>
        <w:t>（</w:t>
      </w:r>
      <w:r>
        <w:rPr>
          <w:rFonts w:hint="eastAsia" w:ascii="方正楷体_GB2312" w:hAnsi="方正楷体_GB2312" w:eastAsia="方正楷体_GB2312" w:cs="方正楷体_GB2312"/>
          <w:b/>
          <w:bCs/>
          <w:kern w:val="0"/>
          <w:sz w:val="32"/>
          <w:szCs w:val="32"/>
          <w:lang w:val="en-US" w:eastAsia="zh-CN"/>
        </w:rPr>
        <w:t>六</w:t>
      </w:r>
      <w:r>
        <w:rPr>
          <w:rFonts w:hint="eastAsia" w:ascii="方正楷体_GB2312" w:hAnsi="方正楷体_GB2312" w:eastAsia="方正楷体_GB2312" w:cs="方正楷体_GB2312"/>
          <w:b/>
          <w:bCs/>
          <w:kern w:val="0"/>
          <w:sz w:val="32"/>
          <w:szCs w:val="32"/>
        </w:rPr>
        <w:t>）健全养老托育政策和福利保障</w:t>
      </w:r>
      <w:bookmarkEnd w:id="39"/>
      <w:bookmarkEnd w:id="40"/>
      <w:bookmarkEnd w:id="41"/>
    </w:p>
    <w:p>
      <w:pPr>
        <w:pStyle w:val="7"/>
        <w:spacing w:before="0" w:after="0"/>
        <w:ind w:firstLine="704"/>
        <w:rPr>
          <w:rFonts w:ascii="方正仿宋_GB2312" w:hAnsi="方正仿宋_GB2312" w:eastAsia="方正仿宋_GB2312" w:cs="方正仿宋_GB2312"/>
          <w:bCs w:val="0"/>
        </w:rPr>
      </w:pPr>
      <w:bookmarkStart w:id="42" w:name="_Toc24884"/>
      <w:bookmarkStart w:id="43" w:name="_Toc100671600"/>
      <w:bookmarkStart w:id="44" w:name="_Toc7803"/>
      <w:r>
        <w:rPr>
          <w:rFonts w:ascii="方正仿宋_GB2312" w:hAnsi="方正仿宋_GB2312" w:eastAsia="方正仿宋_GB2312" w:cs="方正仿宋_GB2312"/>
          <w:bCs w:val="0"/>
        </w:rPr>
        <w:t>1</w:t>
      </w:r>
      <w:r>
        <w:rPr>
          <w:rFonts w:hint="eastAsia" w:ascii="方正仿宋_GB2312" w:hAnsi="方正仿宋_GB2312" w:eastAsia="方正仿宋_GB2312" w:cs="方正仿宋_GB2312"/>
          <w:bCs w:val="0"/>
        </w:rPr>
        <w:t>.完善社会养老保障体系</w:t>
      </w:r>
      <w:bookmarkEnd w:id="42"/>
      <w:bookmarkEnd w:id="43"/>
      <w:bookmarkEnd w:id="44"/>
    </w:p>
    <w:p>
      <w:pPr>
        <w:widowControl/>
        <w:ind w:firstLine="640" w:firstLineChars="200"/>
        <w:rPr>
          <w:rFonts w:ascii="方正仿宋_GB2312" w:hAnsi="仿宋" w:eastAsia="方正仿宋_GB2312" w:cs="仿宋"/>
          <w:kern w:val="0"/>
          <w:sz w:val="32"/>
          <w:szCs w:val="32"/>
          <w:lang w:bidi="ar"/>
        </w:rPr>
      </w:pPr>
      <w:r>
        <w:rPr>
          <w:rFonts w:hint="eastAsia" w:ascii="方正仿宋_GB2312" w:hAnsi="仿宋" w:eastAsia="方正仿宋_GB2312" w:cs="仿宋"/>
          <w:kern w:val="0"/>
          <w:sz w:val="32"/>
          <w:szCs w:val="32"/>
          <w:lang w:bidi="ar"/>
        </w:rPr>
        <w:t>积极落实国家和北京市各项养老保险改革举措，健全城乡居民养老保险制度体系，实现基本养老保险全覆盖。落实北京市基本医疗保险制度，实现应保尽保，保障老年人基本养老，促进各类医疗保障互相衔接，进一步减轻个人医疗费用负担。落实最低生活保障制度和对经济困难的失能和高龄老年人照护服务补贴制度。建立完善政府购买养老服务机制,重点安排老年人生活照料、康复护理等项目，优先保障基本养老服务对象。优化特困人员救助供养制度,建立困境老年人救助数据库，精准实施临时救助。继续落实老年人家庭住房保障优先待遇，加快实现老年人住房困难家庭应保尽保。按照北京市全面推行长期护理保险要求，落实保障任务。</w:t>
      </w:r>
    </w:p>
    <w:p>
      <w:pPr>
        <w:widowControl/>
        <w:ind w:firstLine="640" w:firstLineChars="200"/>
        <w:rPr>
          <w:rFonts w:ascii="方正仿宋_GB2312" w:hAnsi="仿宋" w:eastAsia="方正仿宋_GB2312" w:cs="仿宋"/>
          <w:kern w:val="0"/>
          <w:sz w:val="32"/>
          <w:szCs w:val="32"/>
          <w:lang w:bidi="ar"/>
        </w:rPr>
      </w:pPr>
      <w:r>
        <w:rPr>
          <w:rFonts w:hint="eastAsia" w:ascii="方正仿宋_GB2312" w:hAnsi="仿宋" w:eastAsia="方正仿宋_GB2312" w:cs="仿宋"/>
          <w:kern w:val="0"/>
          <w:sz w:val="32"/>
          <w:szCs w:val="32"/>
          <w:lang w:bidi="ar"/>
        </w:rPr>
        <w:t>定期发布基本养老服务清单，强化公办养老机构的公益</w:t>
      </w:r>
      <w:r>
        <w:rPr>
          <w:rFonts w:hint="eastAsia" w:ascii="方正仿宋_GB2312" w:hAnsi="仿宋" w:eastAsia="方正仿宋_GB2312" w:cs="仿宋"/>
          <w:sz w:val="32"/>
          <w:szCs w:val="32"/>
        </w:rPr>
        <w:t>职能，经济困难、失能、失智、重度残疾等特殊老年群体全部纳入政府兜底保障范围。组建社区（村）为老服务志愿队伍，建立以空巢和留守老年人为重点的居家探访跟踪机制，</w:t>
      </w:r>
      <w:r>
        <w:rPr>
          <w:rFonts w:ascii="方正仿宋_GB2312" w:hAnsi="仿宋" w:eastAsia="方正仿宋_GB2312" w:cs="仿宋"/>
          <w:sz w:val="32"/>
          <w:szCs w:val="32"/>
        </w:rPr>
        <w:t>全面</w:t>
      </w:r>
      <w:r>
        <w:rPr>
          <w:rFonts w:hint="eastAsia" w:ascii="方正仿宋_GB2312" w:hAnsi="仿宋" w:eastAsia="方正仿宋_GB2312" w:cs="仿宋"/>
          <w:sz w:val="32"/>
          <w:szCs w:val="32"/>
        </w:rPr>
        <w:t>落实</w:t>
      </w:r>
      <w:r>
        <w:rPr>
          <w:rFonts w:ascii="方正仿宋_GB2312" w:hAnsi="仿宋" w:eastAsia="方正仿宋_GB2312" w:cs="仿宋"/>
          <w:sz w:val="32"/>
          <w:szCs w:val="32"/>
        </w:rPr>
        <w:t>老年人能力综合评估</w:t>
      </w:r>
      <w:r>
        <w:rPr>
          <w:rFonts w:hint="eastAsia" w:ascii="方正仿宋_GB2312" w:hAnsi="仿宋" w:eastAsia="方正仿宋_GB2312" w:cs="仿宋"/>
          <w:sz w:val="32"/>
          <w:szCs w:val="32"/>
        </w:rPr>
        <w:t>。明确享受政府优惠政策和相关补助的市场主体举办的养老机构，按不低于</w:t>
      </w:r>
      <w:r>
        <w:rPr>
          <w:rFonts w:ascii="方正仿宋_GB2312" w:hAnsi="仿宋" w:eastAsia="方正仿宋_GB2312" w:cs="仿宋"/>
          <w:sz w:val="32"/>
          <w:szCs w:val="32"/>
        </w:rPr>
        <w:t>20%</w:t>
      </w:r>
      <w:r>
        <w:rPr>
          <w:rFonts w:hint="eastAsia" w:ascii="方正仿宋_GB2312" w:hAnsi="仿宋" w:eastAsia="方正仿宋_GB2312" w:cs="仿宋"/>
          <w:sz w:val="32"/>
          <w:szCs w:val="32"/>
          <w:lang w:val="en-US" w:eastAsia="zh-CN"/>
        </w:rPr>
        <w:t>的床位</w:t>
      </w:r>
      <w:r>
        <w:rPr>
          <w:rFonts w:hint="eastAsia" w:ascii="方正仿宋_GB2312" w:hAnsi="仿宋" w:eastAsia="方正仿宋_GB2312" w:cs="仿宋"/>
          <w:sz w:val="32"/>
          <w:szCs w:val="32"/>
        </w:rPr>
        <w:t>保障基本养老服务对象。</w:t>
      </w:r>
    </w:p>
    <w:p>
      <w:pPr>
        <w:pStyle w:val="7"/>
        <w:spacing w:before="0" w:after="0"/>
        <w:ind w:firstLine="704"/>
        <w:rPr>
          <w:rFonts w:ascii="方正仿宋_GB2312" w:hAnsi="方正仿宋_GB2312" w:eastAsia="方正仿宋_GB2312" w:cs="方正仿宋_GB2312"/>
          <w:bCs w:val="0"/>
        </w:rPr>
      </w:pPr>
      <w:bookmarkStart w:id="45" w:name="_Toc100671601"/>
      <w:bookmarkStart w:id="46" w:name="_Toc24925"/>
      <w:bookmarkStart w:id="47" w:name="_Toc12523"/>
      <w:r>
        <w:rPr>
          <w:rFonts w:hint="eastAsia" w:ascii="方正仿宋_GB2312" w:hAnsi="方正仿宋_GB2312" w:eastAsia="方正仿宋_GB2312" w:cs="方正仿宋_GB2312"/>
          <w:bCs w:val="0"/>
        </w:rPr>
        <w:t>2.制定家庭养老照护支持政策</w:t>
      </w:r>
      <w:bookmarkEnd w:id="45"/>
      <w:bookmarkEnd w:id="46"/>
      <w:bookmarkEnd w:id="47"/>
    </w:p>
    <w:p>
      <w:pPr>
        <w:spacing w:line="360" w:lineRule="auto"/>
        <w:ind w:firstLine="640" w:firstLineChars="200"/>
        <w:rPr>
          <w:rFonts w:ascii="方正仿宋_GB2312" w:hAnsi="方正仿宋_GB2312" w:eastAsia="方正仿宋_GB2312" w:cs="方正仿宋_GB2312"/>
          <w:kern w:val="0"/>
          <w:sz w:val="32"/>
          <w:szCs w:val="32"/>
        </w:rPr>
      </w:pPr>
      <w:r>
        <w:rPr>
          <w:rFonts w:hint="eastAsia" w:ascii="方正仿宋_GB2312" w:hAnsi="仿宋" w:eastAsia="方正仿宋_GB2312" w:cs="仿宋"/>
          <w:sz w:val="32"/>
          <w:szCs w:val="32"/>
        </w:rPr>
        <w:t>在门城地区大峪街道、东辛房街道</w:t>
      </w:r>
      <w:r>
        <w:rPr>
          <w:rFonts w:hint="eastAsia" w:ascii="方正仿宋_GB2312" w:hAnsi="仿宋" w:eastAsia="方正仿宋_GB2312" w:cs="仿宋"/>
          <w:sz w:val="32"/>
          <w:szCs w:val="32"/>
          <w:lang w:eastAsia="zh-CN"/>
        </w:rPr>
        <w:t>等镇街</w:t>
      </w:r>
      <w:r>
        <w:rPr>
          <w:rFonts w:hint="eastAsia" w:ascii="方正仿宋_GB2312" w:hAnsi="仿宋" w:eastAsia="方正仿宋_GB2312" w:cs="仿宋"/>
          <w:sz w:val="32"/>
          <w:szCs w:val="32"/>
        </w:rPr>
        <w:t>试点开展</w:t>
      </w:r>
      <w:r>
        <w:rPr>
          <w:rFonts w:hint="eastAsia" w:ascii="方正仿宋_GB2312" w:hAnsi="仿宋" w:eastAsia="方正仿宋_GB2312" w:cs="仿宋"/>
          <w:sz w:val="32"/>
          <w:szCs w:val="32"/>
          <w:lang w:val="en-US" w:eastAsia="zh-CN"/>
        </w:rPr>
        <w:t>4</w:t>
      </w:r>
      <w:r>
        <w:rPr>
          <w:rFonts w:hint="eastAsia" w:ascii="方正仿宋_GB2312" w:hAnsi="仿宋" w:eastAsia="方正仿宋_GB2312" w:cs="仿宋"/>
          <w:sz w:val="32"/>
          <w:szCs w:val="32"/>
        </w:rPr>
        <w:t>00户“家庭养</w:t>
      </w:r>
      <w:r>
        <w:rPr>
          <w:rFonts w:hint="eastAsia" w:ascii="方正仿宋_GB2312" w:hAnsi="方正仿宋_GB2312" w:eastAsia="方正仿宋_GB2312" w:cs="方正仿宋_GB2312"/>
          <w:kern w:val="0"/>
          <w:sz w:val="32"/>
          <w:szCs w:val="32"/>
        </w:rPr>
        <w:t>老床位”试点建设（见附件</w:t>
      </w:r>
      <w:r>
        <w:rPr>
          <w:rFonts w:hint="eastAsia" w:ascii="方正仿宋_GB2312" w:hAnsi="方正仿宋_GB2312" w:eastAsia="方正仿宋_GB2312" w:cs="方正仿宋_GB2312"/>
          <w:kern w:val="0"/>
          <w:sz w:val="32"/>
          <w:szCs w:val="32"/>
          <w:lang w:val="en-US" w:eastAsia="zh-CN"/>
        </w:rPr>
        <w:t>3</w:t>
      </w:r>
      <w:r>
        <w:rPr>
          <w:rFonts w:hint="eastAsia" w:ascii="方正仿宋_GB2312" w:hAnsi="方正仿宋_GB2312" w:eastAsia="方正仿宋_GB2312" w:cs="方正仿宋_GB2312"/>
          <w:kern w:val="0"/>
          <w:sz w:val="32"/>
          <w:szCs w:val="32"/>
        </w:rPr>
        <w:t>重大试点清单序号1），满足失能老年人和重度残疾老年人居家照料服务需求，并根据试点情况逐步在门城地区推广。实施家庭适老化改造，有效满足居家养老需求。通过政府购买服务、慈善组织公益培训、网络公开培训课程等多种方式，开展家庭照护技能培训，帮助家庭成员提高照护能力。引入“喘息服务</w:t>
      </w:r>
      <w:r>
        <w:rPr>
          <w:rStyle w:val="27"/>
          <w:rFonts w:hint="eastAsia" w:ascii="方正仿宋_GB2312" w:hAnsi="方正仿宋_GB2312" w:eastAsia="方正仿宋_GB2312" w:cs="方正仿宋_GB2312"/>
          <w:kern w:val="0"/>
          <w:sz w:val="32"/>
          <w:szCs w:val="32"/>
        </w:rPr>
        <w:footnoteReference w:id="44"/>
      </w:r>
      <w:r>
        <w:rPr>
          <w:rFonts w:hint="eastAsia" w:ascii="方正仿宋_GB2312" w:hAnsi="方正仿宋_GB2312" w:eastAsia="方正仿宋_GB2312" w:cs="方正仿宋_GB2312"/>
          <w:kern w:val="0"/>
          <w:sz w:val="32"/>
          <w:szCs w:val="32"/>
        </w:rPr>
        <w:t>”等养老服务模式，减轻家庭照护压力。</w:t>
      </w:r>
    </w:p>
    <w:tbl>
      <w:tblPr>
        <w:tblStyle w:val="22"/>
        <w:tblW w:w="82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0" w:type="dxa"/>
            <w:shd w:val="clear" w:color="auto" w:fill="DCF3F8"/>
          </w:tcPr>
          <w:p>
            <w:pPr>
              <w:widowControl/>
              <w:spacing w:line="360" w:lineRule="auto"/>
              <w:jc w:val="center"/>
              <w:rPr>
                <w:rFonts w:ascii="仿宋" w:hAnsi="仿宋" w:eastAsia="仿宋" w:cs="仿宋"/>
                <w:b/>
                <w:kern w:val="0"/>
                <w:sz w:val="24"/>
              </w:rPr>
            </w:pPr>
            <w:bookmarkStart w:id="48" w:name="_Hlk99051964"/>
            <w:r>
              <w:rPr>
                <w:rFonts w:hint="eastAsia" w:ascii="仿宋" w:hAnsi="仿宋" w:eastAsia="仿宋" w:cs="仿宋"/>
                <w:b/>
                <w:kern w:val="0"/>
                <w:sz w:val="24"/>
              </w:rPr>
              <w:t>专栏</w:t>
            </w:r>
            <w:r>
              <w:rPr>
                <w:rFonts w:ascii="仿宋" w:hAnsi="仿宋" w:eastAsia="仿宋" w:cs="仿宋"/>
                <w:b/>
                <w:kern w:val="0"/>
                <w:sz w:val="24"/>
              </w:rPr>
              <w:t>2</w:t>
            </w:r>
            <w:r>
              <w:rPr>
                <w:rFonts w:hint="eastAsia" w:ascii="仿宋" w:hAnsi="仿宋" w:eastAsia="仿宋" w:cs="仿宋"/>
                <w:b/>
                <w:kern w:val="0"/>
                <w:sz w:val="24"/>
              </w:rPr>
              <w:t>：养老家庭照护床位建设示范工程</w:t>
            </w:r>
          </w:p>
          <w:p>
            <w:pPr>
              <w:pStyle w:val="37"/>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rightChars="0" w:firstLine="480" w:firstLineChars="200"/>
              <w:jc w:val="both"/>
              <w:textAlignment w:val="auto"/>
              <w:outlineLvl w:val="9"/>
              <w:rPr>
                <w:rFonts w:ascii="仿宋" w:hAnsi="仿宋" w:eastAsia="仿宋" w:cs="仿宋"/>
                <w:kern w:val="0"/>
                <w:sz w:val="24"/>
              </w:rPr>
            </w:pPr>
            <w:r>
              <w:rPr>
                <w:rFonts w:hint="eastAsia" w:ascii="仿宋" w:hAnsi="仿宋" w:eastAsia="仿宋" w:cs="仿宋"/>
                <w:bCs/>
                <w:kern w:val="0"/>
                <w:sz w:val="24"/>
              </w:rPr>
              <w:t>依托就近的养老服务机构，通过家庭适老化改造、信息化管理、专业化服务等方式，提升居家生活的失能、重残老年人的专业照料服务水平和生活质量。2022年，区民政局会同区财政局</w:t>
            </w:r>
            <w:r>
              <w:rPr>
                <w:rFonts w:hint="eastAsia" w:ascii="仿宋" w:hAnsi="仿宋" w:eastAsia="仿宋" w:cs="仿宋"/>
                <w:bCs/>
                <w:kern w:val="0"/>
                <w:sz w:val="24"/>
                <w:lang w:eastAsia="zh-CN"/>
              </w:rPr>
              <w:t>、区卫生健康委等单位</w:t>
            </w:r>
            <w:r>
              <w:rPr>
                <w:rFonts w:hint="eastAsia" w:ascii="仿宋" w:hAnsi="仿宋" w:eastAsia="仿宋" w:cs="仿宋"/>
                <w:bCs/>
                <w:kern w:val="0"/>
                <w:sz w:val="24"/>
              </w:rPr>
              <w:t>出台</w:t>
            </w:r>
            <w:r>
              <w:rPr>
                <w:rFonts w:hint="eastAsia" w:ascii="仿宋" w:hAnsi="仿宋" w:eastAsia="仿宋" w:cs="仿宋"/>
                <w:bCs/>
                <w:kern w:val="0"/>
                <w:sz w:val="24"/>
                <w:lang w:val="zh-TW" w:eastAsia="zh-CN"/>
              </w:rPr>
              <w:t>门头沟区养老家庭照护床位服务管理实施细则</w:t>
            </w:r>
            <w:r>
              <w:rPr>
                <w:rFonts w:hint="eastAsia" w:ascii="仿宋" w:hAnsi="仿宋" w:eastAsia="仿宋" w:cs="仿宋"/>
                <w:bCs/>
                <w:kern w:val="0"/>
                <w:sz w:val="24"/>
              </w:rPr>
              <w:t>，完善养老家庭照护床位的申请对象、申请流程、补贴支持等一系列政策。202</w:t>
            </w:r>
            <w:r>
              <w:rPr>
                <w:rFonts w:hint="eastAsia" w:ascii="仿宋" w:hAnsi="仿宋" w:eastAsia="仿宋" w:cs="仿宋"/>
                <w:bCs/>
                <w:kern w:val="0"/>
                <w:sz w:val="24"/>
                <w:lang w:val="en-US" w:eastAsia="zh-CN"/>
              </w:rPr>
              <w:t>3</w:t>
            </w:r>
            <w:r>
              <w:rPr>
                <w:rFonts w:hint="eastAsia" w:ascii="仿宋" w:hAnsi="仿宋" w:eastAsia="仿宋" w:cs="仿宋"/>
                <w:bCs/>
                <w:kern w:val="0"/>
                <w:sz w:val="24"/>
              </w:rPr>
              <w:t>年确定门城地区大峪街道、东辛房街道试点开展</w:t>
            </w:r>
            <w:r>
              <w:rPr>
                <w:rFonts w:hint="eastAsia" w:ascii="仿宋" w:hAnsi="仿宋" w:eastAsia="仿宋" w:cs="仿宋"/>
                <w:bCs/>
                <w:kern w:val="0"/>
                <w:sz w:val="24"/>
                <w:lang w:val="en-US" w:eastAsia="zh-CN"/>
              </w:rPr>
              <w:t>300</w:t>
            </w:r>
            <w:r>
              <w:rPr>
                <w:rFonts w:hint="eastAsia" w:ascii="仿宋" w:hAnsi="仿宋" w:eastAsia="仿宋" w:cs="仿宋"/>
                <w:bCs/>
                <w:kern w:val="0"/>
                <w:sz w:val="24"/>
              </w:rPr>
              <w:t>户“家庭养老床位”试点，建立家庭养老照护床位服务队伍，定期入户采集老年人家庭养老需求，为有需求的失能老年人及其家庭提供相关服务。2024年总结试点经验，扩大服务范围。到2025年，全区家庭照护床位达到</w:t>
            </w:r>
            <w:r>
              <w:rPr>
                <w:rFonts w:hint="eastAsia" w:ascii="仿宋" w:hAnsi="仿宋" w:eastAsia="仿宋" w:cs="仿宋"/>
                <w:bCs/>
                <w:kern w:val="0"/>
                <w:sz w:val="24"/>
                <w:lang w:val="en-US" w:eastAsia="zh-CN"/>
              </w:rPr>
              <w:t>4</w:t>
            </w:r>
            <w:r>
              <w:rPr>
                <w:rFonts w:hint="eastAsia" w:ascii="仿宋" w:hAnsi="仿宋" w:eastAsia="仿宋" w:cs="仿宋"/>
                <w:bCs/>
                <w:kern w:val="0"/>
                <w:sz w:val="24"/>
              </w:rPr>
              <w:t>00张，开展</w:t>
            </w:r>
            <w:r>
              <w:rPr>
                <w:rFonts w:hint="eastAsia" w:ascii="仿宋" w:hAnsi="仿宋" w:eastAsia="仿宋" w:cs="仿宋"/>
                <w:bCs/>
                <w:kern w:val="0"/>
                <w:sz w:val="24"/>
                <w:lang w:val="en-US" w:eastAsia="zh-CN"/>
              </w:rPr>
              <w:t>400</w:t>
            </w:r>
            <w:r>
              <w:rPr>
                <w:rFonts w:hint="eastAsia" w:ascii="仿宋" w:hAnsi="仿宋" w:eastAsia="仿宋" w:cs="仿宋"/>
                <w:bCs/>
                <w:kern w:val="0"/>
                <w:sz w:val="24"/>
              </w:rPr>
              <w:t>户适老化改造，养老家庭照护床位服务质量显著提升。</w:t>
            </w:r>
          </w:p>
        </w:tc>
      </w:tr>
      <w:bookmarkEnd w:id="48"/>
    </w:tbl>
    <w:p>
      <w:pPr>
        <w:spacing w:line="360" w:lineRule="auto"/>
        <w:ind w:firstLine="640" w:firstLineChars="200"/>
        <w:rPr>
          <w:rFonts w:ascii="方正仿宋_GB2312" w:hAnsi="方正仿宋_GB2312" w:eastAsia="方正仿宋_GB2312" w:cs="方正仿宋_GB2312"/>
          <w:kern w:val="0"/>
          <w:sz w:val="32"/>
          <w:szCs w:val="32"/>
        </w:rPr>
      </w:pPr>
    </w:p>
    <w:p>
      <w:pPr>
        <w:pStyle w:val="7"/>
        <w:spacing w:before="0" w:after="0"/>
        <w:ind w:firstLine="704"/>
        <w:rPr>
          <w:rFonts w:ascii="方正仿宋_GB2312" w:hAnsi="方正仿宋_GB2312" w:eastAsia="方正仿宋_GB2312" w:cs="方正仿宋_GB2312"/>
          <w:bCs w:val="0"/>
        </w:rPr>
      </w:pPr>
      <w:bookmarkStart w:id="49" w:name="_Toc20698"/>
      <w:bookmarkStart w:id="50" w:name="_Toc100671602"/>
      <w:bookmarkStart w:id="51" w:name="_Toc4835"/>
      <w:r>
        <w:rPr>
          <w:rFonts w:hint="eastAsia" w:ascii="方正仿宋_GB2312" w:hAnsi="方正仿宋_GB2312" w:eastAsia="方正仿宋_GB2312" w:cs="方正仿宋_GB2312"/>
          <w:bCs w:val="0"/>
        </w:rPr>
        <w:t>3.</w:t>
      </w:r>
      <w:bookmarkEnd w:id="49"/>
      <w:bookmarkEnd w:id="50"/>
      <w:bookmarkStart w:id="52" w:name="_Toc100671603"/>
      <w:bookmarkStart w:id="53" w:name="_Toc18792"/>
      <w:r>
        <w:rPr>
          <w:rFonts w:hint="eastAsia" w:ascii="方正仿宋_GB2312" w:hAnsi="方正仿宋_GB2312" w:eastAsia="方正仿宋_GB2312" w:cs="方正仿宋_GB2312"/>
          <w:bCs w:val="0"/>
        </w:rPr>
        <w:t>健全养老托育服务补贴政策</w:t>
      </w:r>
      <w:bookmarkEnd w:id="51"/>
      <w:bookmarkEnd w:id="52"/>
      <w:bookmarkEnd w:id="53"/>
    </w:p>
    <w:p>
      <w:pPr>
        <w:widowControl/>
        <w:ind w:firstLine="640" w:firstLineChars="200"/>
        <w:rPr>
          <w:rFonts w:hint="default" w:ascii="方正仿宋_GB2312" w:hAnsi="方正仿宋_GB2312" w:eastAsia="方正仿宋_GB2312" w:cs="方正仿宋_GB2312"/>
          <w:kern w:val="0"/>
          <w:sz w:val="32"/>
          <w:szCs w:val="32"/>
          <w:lang w:val="en" w:eastAsia="zh-Hans" w:bidi="ar-SA"/>
        </w:rPr>
      </w:pPr>
      <w:r>
        <w:rPr>
          <w:rFonts w:hint="eastAsia" w:ascii="方正仿宋_GB2312" w:hAnsi="方正仿宋_GB2312" w:eastAsia="方正仿宋_GB2312" w:cs="方正仿宋_GB2312"/>
          <w:kern w:val="0"/>
          <w:sz w:val="32"/>
          <w:szCs w:val="32"/>
          <w:lang w:eastAsia="zh-CN" w:bidi="ar-SA"/>
        </w:rPr>
        <w:t>根据</w:t>
      </w:r>
      <w:r>
        <w:rPr>
          <w:rFonts w:hint="eastAsia" w:ascii="方正仿宋_GB2312" w:hAnsi="方正仿宋_GB2312" w:eastAsia="方正仿宋_GB2312" w:cs="方正仿宋_GB2312"/>
          <w:kern w:val="0"/>
          <w:sz w:val="32"/>
          <w:szCs w:val="32"/>
          <w:lang w:bidi="ar-SA"/>
        </w:rPr>
        <w:t>养老</w:t>
      </w:r>
      <w:r>
        <w:rPr>
          <w:rFonts w:hint="eastAsia" w:ascii="方正仿宋_GB2312" w:hAnsi="方正仿宋_GB2312" w:eastAsia="方正仿宋_GB2312" w:cs="方正仿宋_GB2312"/>
          <w:kern w:val="0"/>
          <w:sz w:val="32"/>
          <w:szCs w:val="32"/>
          <w:lang w:eastAsia="zh-CN" w:bidi="ar-SA"/>
        </w:rPr>
        <w:t>托育目标任务，将</w:t>
      </w:r>
      <w:r>
        <w:rPr>
          <w:rFonts w:hint="eastAsia" w:ascii="方正仿宋_GB2312" w:hAnsi="方正仿宋_GB2312" w:eastAsia="方正仿宋_GB2312" w:cs="方正仿宋_GB2312"/>
          <w:kern w:val="0"/>
          <w:sz w:val="32"/>
          <w:szCs w:val="32"/>
          <w:lang w:bidi="ar-SA"/>
        </w:rPr>
        <w:t>养老</w:t>
      </w:r>
      <w:r>
        <w:rPr>
          <w:rFonts w:hint="eastAsia" w:ascii="方正仿宋_GB2312" w:hAnsi="方正仿宋_GB2312" w:eastAsia="方正仿宋_GB2312" w:cs="方正仿宋_GB2312"/>
          <w:kern w:val="0"/>
          <w:sz w:val="32"/>
          <w:szCs w:val="32"/>
          <w:lang w:eastAsia="zh-CN" w:bidi="ar-SA"/>
        </w:rPr>
        <w:t>托育机构建设所需用地以优先优惠或划拨方式为普惠性</w:t>
      </w:r>
      <w:r>
        <w:rPr>
          <w:rFonts w:hint="eastAsia" w:ascii="方正仿宋_GB2312" w:hAnsi="方正仿宋_GB2312" w:eastAsia="方正仿宋_GB2312" w:cs="方正仿宋_GB2312"/>
          <w:kern w:val="0"/>
          <w:sz w:val="32"/>
          <w:szCs w:val="32"/>
          <w:lang w:bidi="ar-SA"/>
        </w:rPr>
        <w:t>养老</w:t>
      </w:r>
      <w:r>
        <w:rPr>
          <w:rFonts w:hint="eastAsia" w:ascii="方正仿宋_GB2312" w:hAnsi="方正仿宋_GB2312" w:eastAsia="方正仿宋_GB2312" w:cs="方正仿宋_GB2312"/>
          <w:kern w:val="0"/>
          <w:sz w:val="32"/>
          <w:szCs w:val="32"/>
          <w:lang w:eastAsia="zh-CN" w:bidi="ar-SA"/>
        </w:rPr>
        <w:t>托育机构予以用地保障，探索对新增普惠</w:t>
      </w:r>
      <w:r>
        <w:rPr>
          <w:rFonts w:hint="eastAsia" w:ascii="方正仿宋_GB2312" w:hAnsi="方正仿宋_GB2312" w:eastAsia="方正仿宋_GB2312" w:cs="方正仿宋_GB2312"/>
          <w:kern w:val="0"/>
          <w:sz w:val="32"/>
          <w:szCs w:val="32"/>
          <w:lang w:bidi="ar-SA"/>
        </w:rPr>
        <w:t>养老及</w:t>
      </w:r>
      <w:r>
        <w:rPr>
          <w:rFonts w:hint="eastAsia" w:ascii="方正仿宋_GB2312" w:hAnsi="方正仿宋_GB2312" w:eastAsia="方正仿宋_GB2312" w:cs="方正仿宋_GB2312"/>
          <w:kern w:val="0"/>
          <w:sz w:val="32"/>
          <w:szCs w:val="32"/>
          <w:lang w:eastAsia="zh-CN" w:bidi="ar-SA"/>
        </w:rPr>
        <w:t>托位给予一定建设补助。</w:t>
      </w:r>
      <w:bookmarkStart w:id="54" w:name="OLE_LINK11"/>
      <w:r>
        <w:rPr>
          <w:rFonts w:hint="eastAsia" w:ascii="方正仿宋_GB2312" w:hAnsi="方正仿宋_GB2312" w:eastAsia="方正仿宋_GB2312" w:cs="方正仿宋_GB2312"/>
          <w:kern w:val="0"/>
          <w:sz w:val="32"/>
          <w:szCs w:val="32"/>
          <w:lang w:bidi="ar-SA"/>
        </w:rPr>
        <w:t>落实国家及北京市疫情纾困扶持相关政策措施</w:t>
      </w:r>
      <w:bookmarkEnd w:id="54"/>
      <w:r>
        <w:rPr>
          <w:rFonts w:hint="eastAsia" w:ascii="方正仿宋_GB2312" w:hAnsi="方正仿宋_GB2312" w:eastAsia="方正仿宋_GB2312" w:cs="方正仿宋_GB2312"/>
          <w:kern w:val="0"/>
          <w:sz w:val="32"/>
          <w:szCs w:val="32"/>
          <w:lang w:bidi="ar-SA"/>
        </w:rPr>
        <w:t>，进一步降低养老托</w:t>
      </w:r>
      <w:r>
        <w:rPr>
          <w:rFonts w:hint="eastAsia" w:ascii="方正仿宋_GB2312" w:hAnsi="方正仿宋_GB2312" w:eastAsia="方正仿宋_GB2312" w:cs="方正仿宋_GB2312"/>
          <w:kern w:val="0"/>
          <w:sz w:val="32"/>
          <w:szCs w:val="32"/>
          <w:lang w:eastAsia="zh-CN" w:bidi="ar-SA"/>
        </w:rPr>
        <w:t>育机构经营成本，落实养老机构建设补贴；探索建立托育机构建设补贴，</w:t>
      </w:r>
      <w:r>
        <w:rPr>
          <w:rFonts w:hint="default" w:ascii="方正仿宋_GB2312" w:hAnsi="方正仿宋_GB2312" w:eastAsia="方正仿宋_GB2312" w:cs="方正仿宋_GB2312"/>
          <w:kern w:val="0"/>
          <w:sz w:val="32"/>
          <w:szCs w:val="32"/>
          <w:lang w:val="en" w:eastAsia="zh-Hans" w:bidi="ar-SA"/>
        </w:rPr>
        <w:t>对符合条件的普惠性托育机构给予生均定额补助；对通过租赁场地新举办普惠性托育的机构给予租金补助；非普惠性托育机构降低收费价格转为普惠性托育机构的，给予一次性奖励；新建托育机构每个托位给予一次性建设性补贴以外，对于不高于普惠指导定价招收3岁以下婴幼儿的给予运营补贴；对区级、市级示范托育机构给予一次性奖励。</w:t>
      </w:r>
    </w:p>
    <w:p>
      <w:pPr>
        <w:ind w:firstLine="643" w:firstLineChars="200"/>
        <w:contextualSpacing/>
        <w:outlineLvl w:val="1"/>
        <w:rPr>
          <w:rFonts w:ascii="方正楷体_GB2312" w:hAnsi="方正楷体_GB2312" w:eastAsia="方正楷体_GB2312" w:cs="方正楷体_GB2312"/>
          <w:b/>
          <w:bCs/>
          <w:kern w:val="0"/>
          <w:sz w:val="32"/>
          <w:szCs w:val="32"/>
        </w:rPr>
      </w:pPr>
      <w:bookmarkStart w:id="55" w:name="_Toc1503"/>
      <w:bookmarkStart w:id="56" w:name="_Toc7315"/>
      <w:bookmarkStart w:id="57" w:name="_Toc100671604"/>
      <w:r>
        <w:rPr>
          <w:rFonts w:hint="eastAsia" w:ascii="方正楷体_GB2312" w:hAnsi="方正楷体_GB2312" w:eastAsia="方正楷体_GB2312" w:cs="方正楷体_GB2312"/>
          <w:b/>
          <w:bCs/>
          <w:kern w:val="0"/>
          <w:sz w:val="32"/>
          <w:szCs w:val="32"/>
        </w:rPr>
        <w:t>（</w:t>
      </w:r>
      <w:r>
        <w:rPr>
          <w:rFonts w:hint="eastAsia" w:ascii="方正楷体_GB2312" w:hAnsi="方正楷体_GB2312" w:eastAsia="方正楷体_GB2312" w:cs="方正楷体_GB2312"/>
          <w:b/>
          <w:bCs/>
          <w:kern w:val="0"/>
          <w:sz w:val="32"/>
          <w:szCs w:val="32"/>
          <w:lang w:val="en-US" w:eastAsia="zh-CN"/>
        </w:rPr>
        <w:t>七</w:t>
      </w:r>
      <w:r>
        <w:rPr>
          <w:rFonts w:hint="eastAsia" w:ascii="方正楷体_GB2312" w:hAnsi="方正楷体_GB2312" w:eastAsia="方正楷体_GB2312" w:cs="方正楷体_GB2312"/>
          <w:b/>
          <w:bCs/>
          <w:kern w:val="0"/>
          <w:sz w:val="32"/>
          <w:szCs w:val="32"/>
        </w:rPr>
        <w:t>）优化社区养老托育设施和服务功能</w:t>
      </w:r>
      <w:bookmarkEnd w:id="55"/>
      <w:bookmarkEnd w:id="56"/>
      <w:bookmarkEnd w:id="57"/>
    </w:p>
    <w:p>
      <w:pPr>
        <w:pStyle w:val="7"/>
        <w:spacing w:before="0" w:after="0"/>
        <w:ind w:firstLine="704"/>
        <w:rPr>
          <w:rFonts w:ascii="方正仿宋_GB2312" w:hAnsi="方正仿宋_GB2312" w:eastAsia="方正仿宋_GB2312" w:cs="方正仿宋_GB2312"/>
          <w:bCs w:val="0"/>
        </w:rPr>
      </w:pPr>
      <w:bookmarkStart w:id="58" w:name="_Toc100671605"/>
      <w:bookmarkStart w:id="59" w:name="_Toc11399"/>
      <w:bookmarkStart w:id="60" w:name="_Toc15979"/>
      <w:r>
        <w:rPr>
          <w:rFonts w:hint="eastAsia" w:ascii="方正仿宋_GB2312" w:hAnsi="方正仿宋_GB2312" w:eastAsia="方正仿宋_GB2312" w:cs="方正仿宋_GB2312"/>
          <w:bCs w:val="0"/>
        </w:rPr>
        <w:t>1.优化门城地区和山区社区养老服务设施梯次布局</w:t>
      </w:r>
      <w:bookmarkEnd w:id="58"/>
      <w:bookmarkEnd w:id="59"/>
      <w:bookmarkEnd w:id="60"/>
    </w:p>
    <w:p>
      <w:pPr>
        <w:widowControl/>
        <w:ind w:firstLine="640" w:firstLineChars="200"/>
        <w:rPr>
          <w:rFonts w:hint="eastAsia" w:ascii="方正仿宋_GB2312" w:hAnsi="方正仿宋_GB2312" w:eastAsia="方正仿宋_GB2312" w:cs="方正仿宋_GB2312"/>
          <w:kern w:val="0"/>
          <w:sz w:val="32"/>
          <w:szCs w:val="32"/>
          <w:lang w:eastAsia="zh-CN" w:bidi="ar-SA"/>
        </w:rPr>
      </w:pPr>
      <w:r>
        <w:rPr>
          <w:rFonts w:hint="eastAsia" w:ascii="方正仿宋_GB2312" w:hAnsi="方正仿宋_GB2312" w:eastAsia="方正仿宋_GB2312" w:cs="方正仿宋_GB2312"/>
          <w:kern w:val="0"/>
          <w:sz w:val="32"/>
          <w:szCs w:val="32"/>
          <w:lang w:eastAsia="zh-CN" w:bidi="ar-SA"/>
        </w:rPr>
        <w:t>指导大峪街道、城子街道、永定镇、潭柘寺镇推动养老照料中心应建未建空白点建设，推动妙峰山镇、清水镇等养老照料中心建设与敬老院功能转型相结合，在保障兜底保障功能基础上，增设养老照料中心功能，实现街镇养老照料中心全覆盖。根据各镇街60岁及以上老年人、基本养老服务对象的综合分布情况，按照基本养老服务全覆盖、居家养老服务“一刻钟”的原则，填补清水镇、斋堂镇等远山区养老服务驿站和老年餐桌应建未建空白点。到2025年，新建养老服务驿站</w:t>
      </w:r>
      <w:r>
        <w:rPr>
          <w:rFonts w:hint="eastAsia" w:ascii="方正仿宋_GB2312" w:hAnsi="方正仿宋_GB2312" w:eastAsia="方正仿宋_GB2312" w:cs="方正仿宋_GB2312"/>
          <w:kern w:val="0"/>
          <w:sz w:val="32"/>
          <w:szCs w:val="32"/>
          <w:lang w:val="en-US" w:eastAsia="zh-CN" w:bidi="ar-SA"/>
        </w:rPr>
        <w:t>6</w:t>
      </w:r>
      <w:r>
        <w:rPr>
          <w:rFonts w:hint="eastAsia" w:ascii="方正仿宋_GB2312" w:hAnsi="方正仿宋_GB2312" w:eastAsia="方正仿宋_GB2312" w:cs="方正仿宋_GB2312"/>
          <w:kern w:val="0"/>
          <w:sz w:val="32"/>
          <w:szCs w:val="32"/>
          <w:lang w:eastAsia="zh-CN" w:bidi="ar-SA"/>
        </w:rPr>
        <w:t>个，邻里互助点</w:t>
      </w:r>
      <w:r>
        <w:rPr>
          <w:rFonts w:hint="eastAsia" w:ascii="方正仿宋_GB2312" w:hAnsi="方正仿宋_GB2312" w:eastAsia="方正仿宋_GB2312" w:cs="方正仿宋_GB2312"/>
          <w:kern w:val="0"/>
          <w:sz w:val="32"/>
          <w:szCs w:val="32"/>
          <w:lang w:val="en-US" w:eastAsia="zh-CN" w:bidi="ar-SA"/>
        </w:rPr>
        <w:t>20</w:t>
      </w:r>
      <w:r>
        <w:rPr>
          <w:rFonts w:hint="eastAsia" w:ascii="方正仿宋_GB2312" w:hAnsi="方正仿宋_GB2312" w:eastAsia="方正仿宋_GB2312" w:cs="方正仿宋_GB2312"/>
          <w:kern w:val="0"/>
          <w:sz w:val="32"/>
          <w:szCs w:val="32"/>
          <w:lang w:eastAsia="zh-CN" w:bidi="ar-SA"/>
        </w:rPr>
        <w:t>个，老年餐桌</w:t>
      </w:r>
      <w:r>
        <w:rPr>
          <w:rFonts w:hint="eastAsia" w:ascii="方正仿宋_GB2312" w:hAnsi="方正仿宋_GB2312" w:eastAsia="方正仿宋_GB2312" w:cs="方正仿宋_GB2312"/>
          <w:kern w:val="0"/>
          <w:sz w:val="32"/>
          <w:szCs w:val="32"/>
          <w:lang w:val="en-US" w:eastAsia="zh-CN" w:bidi="ar-SA"/>
        </w:rPr>
        <w:t>8</w:t>
      </w:r>
      <w:r>
        <w:rPr>
          <w:rFonts w:hint="eastAsia" w:ascii="方正仿宋_GB2312" w:hAnsi="方正仿宋_GB2312" w:eastAsia="方正仿宋_GB2312" w:cs="方正仿宋_GB2312"/>
          <w:kern w:val="0"/>
          <w:sz w:val="32"/>
          <w:szCs w:val="32"/>
          <w:lang w:eastAsia="zh-CN" w:bidi="ar-SA"/>
        </w:rPr>
        <w:t>个（见附件1重大项目清单序号5）。与其他社区便民服务共同构成“十五分钟服务圈”，在城镇社区满足服务半径1000米的布局要求。</w:t>
      </w:r>
    </w:p>
    <w:p>
      <w:pPr>
        <w:pStyle w:val="7"/>
        <w:spacing w:before="0" w:after="0"/>
        <w:ind w:firstLine="704"/>
        <w:rPr>
          <w:rFonts w:ascii="方正仿宋_GB2312" w:hAnsi="方正仿宋_GB2312" w:eastAsia="方正仿宋_GB2312" w:cs="方正仿宋_GB2312"/>
          <w:bCs w:val="0"/>
        </w:rPr>
      </w:pPr>
      <w:bookmarkStart w:id="61" w:name="_Toc30997"/>
      <w:bookmarkStart w:id="62" w:name="_Toc29464"/>
      <w:bookmarkStart w:id="63" w:name="_Toc100671606"/>
      <w:r>
        <w:rPr>
          <w:rFonts w:ascii="方正仿宋_GB2312" w:hAnsi="方正仿宋_GB2312" w:eastAsia="方正仿宋_GB2312" w:cs="方正仿宋_GB2312"/>
          <w:bCs w:val="0"/>
        </w:rPr>
        <w:t>2</w:t>
      </w:r>
      <w:r>
        <w:rPr>
          <w:rFonts w:hint="eastAsia" w:ascii="方正仿宋_GB2312" w:hAnsi="方正仿宋_GB2312" w:eastAsia="方正仿宋_GB2312" w:cs="方正仿宋_GB2312"/>
          <w:bCs w:val="0"/>
        </w:rPr>
        <w:t>.全面构建街镇养老服务联合体</w:t>
      </w:r>
      <w:bookmarkEnd w:id="61"/>
      <w:bookmarkEnd w:id="62"/>
      <w:bookmarkEnd w:id="63"/>
    </w:p>
    <w:p>
      <w:pPr>
        <w:spacing w:line="360" w:lineRule="auto"/>
        <w:ind w:firstLine="640" w:firstLineChars="200"/>
        <w:rPr>
          <w:rFonts w:ascii="楷体" w:hAnsi="楷体" w:eastAsia="楷体" w:cs="楷体"/>
          <w:sz w:val="28"/>
          <w:szCs w:val="28"/>
          <w:shd w:val="clear" w:color="auto" w:fill="FFFFFF"/>
        </w:rPr>
      </w:pPr>
      <w:r>
        <w:rPr>
          <w:rFonts w:hint="eastAsia" w:ascii="方正仿宋_GB2312" w:hAnsi="方正仿宋_GB2312" w:eastAsia="方正仿宋_GB2312" w:cs="方正仿宋_GB2312"/>
          <w:kern w:val="0"/>
          <w:sz w:val="32"/>
          <w:szCs w:val="32"/>
          <w:lang w:eastAsia="zh-CN" w:bidi="ar-SA"/>
        </w:rPr>
        <w:t>在全区建设街镇养老服务联合体，以行政辖区为单位，依托街镇党建工作协调委员会，将养老照料中心、养老驿站、医疗服务机构、各类商户、公共服务商等养老服务资源进行整合，精准对接老年人专业需</w:t>
      </w:r>
      <w:r>
        <w:rPr>
          <w:rFonts w:hint="eastAsia" w:ascii="方正仿宋_GB2312" w:hAnsi="方正仿宋_GB2312" w:eastAsia="方正仿宋_GB2312" w:cs="方正仿宋_GB2312"/>
          <w:kern w:val="0"/>
          <w:sz w:val="32"/>
          <w:szCs w:val="32"/>
        </w:rPr>
        <w:t>求。</w:t>
      </w:r>
      <w:r>
        <w:rPr>
          <w:rFonts w:hint="eastAsia" w:ascii="方正仿宋_GB2312" w:hAnsi="方正仿宋_GB2312" w:eastAsia="方正仿宋_GB2312" w:cs="方正仿宋_GB2312"/>
          <w:bCs/>
          <w:kern w:val="0"/>
          <w:sz w:val="32"/>
          <w:szCs w:val="32"/>
        </w:rPr>
        <w:t>推动基层老年协会建设和作用发挥，</w:t>
      </w:r>
      <w:r>
        <w:rPr>
          <w:rFonts w:hint="eastAsia" w:ascii="方正仿宋_GB2312" w:hAnsi="方正仿宋_GB2312" w:eastAsia="方正仿宋_GB2312" w:cs="方正仿宋_GB2312"/>
          <w:kern w:val="0"/>
          <w:sz w:val="32"/>
          <w:szCs w:val="32"/>
        </w:rPr>
        <w:t>实现街道范围内志愿服务与市场化服务有机结合。鼓励资源下沉，</w:t>
      </w:r>
      <w:r>
        <w:rPr>
          <w:rFonts w:hint="eastAsia" w:ascii="方正仿宋_GB2312" w:hAnsi="方正仿宋_GB2312" w:eastAsia="方正仿宋_GB2312" w:cs="方正仿宋_GB2312"/>
          <w:kern w:val="0"/>
          <w:sz w:val="32"/>
          <w:szCs w:val="32"/>
          <w:lang w:eastAsia="zh-CN"/>
        </w:rPr>
        <w:t>鼓励</w:t>
      </w:r>
      <w:r>
        <w:rPr>
          <w:rFonts w:hint="eastAsia" w:ascii="方正仿宋_GB2312" w:hAnsi="方正仿宋_GB2312" w:eastAsia="方正仿宋_GB2312" w:cs="方正仿宋_GB2312"/>
          <w:kern w:val="0"/>
          <w:sz w:val="32"/>
          <w:szCs w:val="32"/>
        </w:rPr>
        <w:t>建立居民社区养老服务联合体，提高养老服务的触达能力。到2</w:t>
      </w:r>
      <w:r>
        <w:rPr>
          <w:rFonts w:ascii="方正仿宋_GB2312" w:hAnsi="方正仿宋_GB2312" w:eastAsia="方正仿宋_GB2312" w:cs="方正仿宋_GB2312"/>
          <w:kern w:val="0"/>
          <w:sz w:val="32"/>
          <w:szCs w:val="32"/>
        </w:rPr>
        <w:t>025</w:t>
      </w:r>
      <w:r>
        <w:rPr>
          <w:rFonts w:hint="eastAsia" w:ascii="方正仿宋_GB2312" w:hAnsi="方正仿宋_GB2312" w:eastAsia="方正仿宋_GB2312" w:cs="方正仿宋_GB2312"/>
          <w:kern w:val="0"/>
          <w:sz w:val="32"/>
          <w:szCs w:val="32"/>
        </w:rPr>
        <w:t>年，街镇养老服务联合体普遍建立。</w:t>
      </w:r>
    </w:p>
    <w:p>
      <w:pPr>
        <w:pStyle w:val="7"/>
        <w:spacing w:before="0" w:after="0"/>
        <w:ind w:firstLine="704"/>
        <w:rPr>
          <w:rFonts w:ascii="方正仿宋_GB2312" w:hAnsi="方正仿宋_GB2312" w:eastAsia="方正仿宋_GB2312" w:cs="方正仿宋_GB2312"/>
          <w:bCs w:val="0"/>
        </w:rPr>
      </w:pPr>
      <w:bookmarkStart w:id="64" w:name="_Toc100671607"/>
      <w:bookmarkStart w:id="65" w:name="_Toc5061"/>
      <w:bookmarkStart w:id="66" w:name="_Toc16802"/>
      <w:r>
        <w:rPr>
          <w:rFonts w:hint="eastAsia" w:ascii="方正仿宋_GB2312" w:hAnsi="方正仿宋_GB2312" w:eastAsia="方正仿宋_GB2312" w:cs="方正仿宋_GB2312"/>
          <w:bCs w:val="0"/>
        </w:rPr>
        <w:t>3.推广时间银行发展互助养老服务</w:t>
      </w:r>
      <w:bookmarkEnd w:id="64"/>
      <w:bookmarkEnd w:id="65"/>
      <w:bookmarkEnd w:id="66"/>
    </w:p>
    <w:p>
      <w:pPr>
        <w:spacing w:line="360" w:lineRule="auto"/>
        <w:ind w:firstLine="640" w:firstLineChars="200"/>
        <w:rPr>
          <w:rFonts w:ascii="楷体" w:hAnsi="楷体" w:eastAsia="楷体" w:cs="楷体"/>
          <w:sz w:val="28"/>
          <w:szCs w:val="28"/>
          <w:shd w:val="clear" w:color="auto" w:fill="FFFFFF"/>
        </w:rPr>
      </w:pPr>
      <w:r>
        <w:rPr>
          <w:rFonts w:hint="eastAsia" w:ascii="方正仿宋_GB2312" w:hAnsi="方正仿宋_GB2312" w:eastAsia="方正仿宋_GB2312" w:cs="方正仿宋_GB2312"/>
          <w:kern w:val="0"/>
          <w:sz w:val="32"/>
          <w:szCs w:val="32"/>
        </w:rPr>
        <w:t>大力培育基层老年协会、社区为老服务社会组织，强化老年人社会支持体系。制定门头沟区养老服务时间银行实施方案，统筹辖区内政</w:t>
      </w:r>
      <w:r>
        <w:rPr>
          <w:rFonts w:hint="eastAsia" w:ascii="方正仿宋_GB2312" w:hAnsi="方正仿宋_GB2312" w:eastAsia="方正仿宋_GB2312" w:cs="方正仿宋_GB2312"/>
          <w:kern w:val="0"/>
          <w:sz w:val="32"/>
          <w:szCs w:val="32"/>
          <w:lang w:eastAsia="zh-CN" w:bidi="ar-SA"/>
        </w:rPr>
        <w:t>府、社会和市场资源，规范开展养老服务时间银行工作。街道（镇）依托养老服务机构、居（村）委会、党群服务中心、</w:t>
      </w:r>
      <w:r>
        <w:rPr>
          <w:rFonts w:hint="eastAsia" w:ascii="方正仿宋_GB2312" w:hAnsi="方正仿宋_GB2312" w:eastAsia="方正仿宋_GB2312" w:cs="方正仿宋_GB2312"/>
          <w:kern w:val="0"/>
          <w:sz w:val="32"/>
          <w:szCs w:val="32"/>
          <w:lang w:val="en-US" w:eastAsia="zh-CN" w:bidi="ar-SA"/>
        </w:rPr>
        <w:t>养老志愿服务组织、</w:t>
      </w:r>
      <w:r>
        <w:rPr>
          <w:rFonts w:hint="eastAsia" w:ascii="方正仿宋_GB2312" w:hAnsi="方正仿宋_GB2312" w:eastAsia="方正仿宋_GB2312" w:cs="方正仿宋_GB2312"/>
          <w:kern w:val="0"/>
          <w:sz w:val="32"/>
          <w:szCs w:val="32"/>
          <w:lang w:eastAsia="zh-CN" w:bidi="ar-SA"/>
        </w:rPr>
        <w:t>邻里互助养老服务点等资源设立时间银行站点。倡导低龄老年人、退休干部、社区党员、居民党员、社区志愿者</w:t>
      </w:r>
      <w:r>
        <w:rPr>
          <w:rFonts w:hint="eastAsia" w:ascii="方正仿宋_GB2312" w:hAnsi="方正仿宋_GB2312" w:eastAsia="方正仿宋_GB2312" w:cs="方正仿宋_GB2312"/>
          <w:kern w:val="0"/>
          <w:sz w:val="32"/>
          <w:szCs w:val="32"/>
          <w:lang w:val="en-US" w:eastAsia="zh-CN" w:bidi="ar-SA"/>
        </w:rPr>
        <w:t>等</w:t>
      </w:r>
      <w:r>
        <w:rPr>
          <w:rFonts w:hint="eastAsia" w:ascii="方正仿宋_GB2312" w:hAnsi="方正仿宋_GB2312" w:eastAsia="方正仿宋_GB2312" w:cs="方正仿宋_GB2312"/>
          <w:kern w:val="0"/>
          <w:sz w:val="32"/>
          <w:szCs w:val="32"/>
          <w:lang w:eastAsia="zh-CN" w:bidi="ar-SA"/>
        </w:rPr>
        <w:t>参加“</w:t>
      </w:r>
      <w:r>
        <w:rPr>
          <w:rFonts w:hint="eastAsia" w:ascii="方正仿宋_GB2312" w:hAnsi="方正仿宋_GB2312" w:eastAsia="方正仿宋_GB2312" w:cs="方正仿宋_GB2312"/>
          <w:bCs/>
          <w:kern w:val="0"/>
          <w:sz w:val="32"/>
          <w:szCs w:val="32"/>
        </w:rPr>
        <w:t>时间银行”志愿服务，调动更多社会力量参与养老志愿服务。</w:t>
      </w:r>
    </w:p>
    <w:p>
      <w:pPr>
        <w:pStyle w:val="7"/>
        <w:spacing w:before="0" w:after="0"/>
        <w:ind w:firstLine="704"/>
        <w:rPr>
          <w:rFonts w:ascii="方正仿宋_GB2312" w:hAnsi="方正仿宋_GB2312" w:eastAsia="方正仿宋_GB2312" w:cs="方正仿宋_GB2312"/>
          <w:bCs w:val="0"/>
        </w:rPr>
      </w:pPr>
      <w:bookmarkStart w:id="67" w:name="_Toc15580"/>
      <w:bookmarkStart w:id="68" w:name="_Toc7873"/>
      <w:bookmarkStart w:id="69" w:name="_Toc100671608"/>
      <w:r>
        <w:rPr>
          <w:rFonts w:hint="eastAsia" w:ascii="方正仿宋_GB2312" w:hAnsi="方正仿宋_GB2312" w:eastAsia="方正仿宋_GB2312" w:cs="方正仿宋_GB2312"/>
          <w:bCs w:val="0"/>
        </w:rPr>
        <w:t>4.建设老年宜居环境</w:t>
      </w:r>
      <w:bookmarkEnd w:id="67"/>
      <w:bookmarkEnd w:id="68"/>
      <w:bookmarkEnd w:id="69"/>
    </w:p>
    <w:p>
      <w:pPr>
        <w:spacing w:line="360" w:lineRule="auto"/>
        <w:ind w:firstLine="640" w:firstLineChars="200"/>
        <w:rPr>
          <w:rFonts w:ascii="方正仿宋_GB2312" w:hAnsi="方正仿宋_GB2312" w:eastAsia="方正仿宋_GB2312" w:cs="方正仿宋_GB2312"/>
          <w:kern w:val="0"/>
          <w:sz w:val="32"/>
          <w:szCs w:val="32"/>
        </w:rPr>
      </w:pPr>
      <w:r>
        <w:rPr>
          <w:rFonts w:hint="eastAsia" w:ascii="方正仿宋_GB2312" w:hAnsi="方正仿宋_GB2312" w:eastAsia="方正仿宋_GB2312" w:cs="方正仿宋_GB2312"/>
          <w:kern w:val="0"/>
          <w:sz w:val="32"/>
          <w:szCs w:val="32"/>
        </w:rPr>
        <w:t>结合老旧小区改造，加快推进城乡公共基础设施适老化改造。在大峪街道、城子街道、东辛房街道、龙泉镇、永定镇等门城地区，加大城市道路、信号灯、隔离带等适老化改造力度，加强对坡道、电梯、扶手等公共建筑节点的改造。在</w:t>
      </w:r>
      <w:r>
        <w:rPr>
          <w:rFonts w:hint="eastAsia" w:ascii="方正仿宋_GB2312" w:hAnsi="方正仿宋_GB2312" w:eastAsia="方正仿宋_GB2312" w:cs="方正仿宋_GB2312"/>
          <w:kern w:val="0"/>
          <w:sz w:val="32"/>
          <w:szCs w:val="32"/>
          <w:lang w:bidi="ar"/>
        </w:rPr>
        <w:t>大峪街道、城子街道、东辛房街道选取老年人较多的社区，开展</w:t>
      </w:r>
      <w:r>
        <w:rPr>
          <w:rFonts w:hint="eastAsia" w:ascii="方正仿宋_GB2312" w:hAnsi="方正仿宋_GB2312" w:eastAsia="方正仿宋_GB2312" w:cs="方正仿宋_GB2312"/>
          <w:kern w:val="0"/>
          <w:sz w:val="32"/>
          <w:szCs w:val="32"/>
        </w:rPr>
        <w:t>社区服务能力和水平提升活动，力争到2025年，示范建设不少于5个老年友好型示范社区（见附件1重大项目清单序号10）。深入开展主题法治宣传教育活动，在消费、理财、保健、房产等老年人有重大侵权风险或重大涉案的领域开展专项行动，加大风险防控和主动干预的力度。开展老年人运用智能技术能力的教育和培训，提高老年人应用智能技术的实际操作能力，保障老年人在信息化环境下享有基本公共服务的权益。</w:t>
      </w:r>
    </w:p>
    <w:p>
      <w:pPr>
        <w:pStyle w:val="7"/>
        <w:spacing w:before="0" w:after="0"/>
        <w:ind w:firstLine="643" w:firstLineChars="200"/>
        <w:rPr>
          <w:rFonts w:ascii="方正仿宋_GB2312" w:hAnsi="仿宋" w:eastAsia="方正仿宋_GB2312" w:cs="仿宋"/>
          <w:lang w:bidi="ar"/>
        </w:rPr>
      </w:pPr>
      <w:bookmarkStart w:id="70" w:name="_Toc16861"/>
      <w:bookmarkStart w:id="71" w:name="_Toc100671609"/>
      <w:bookmarkStart w:id="72" w:name="_Toc10133"/>
      <w:r>
        <w:rPr>
          <w:rFonts w:hint="eastAsia" w:ascii="方正仿宋_GB2312" w:hAnsi="仿宋" w:eastAsia="方正仿宋_GB2312" w:cs="仿宋"/>
          <w:lang w:bidi="ar"/>
        </w:rPr>
        <w:t>5.建设婴幼儿照护示范区</w:t>
      </w:r>
      <w:bookmarkEnd w:id="70"/>
      <w:bookmarkEnd w:id="71"/>
      <w:bookmarkEnd w:id="72"/>
    </w:p>
    <w:p>
      <w:pPr>
        <w:spacing w:line="360" w:lineRule="auto"/>
        <w:ind w:firstLine="640" w:firstLineChars="200"/>
        <w:rPr>
          <w:rFonts w:ascii="方正仿宋_GB2312" w:hAnsi="仿宋" w:eastAsia="方正仿宋_GB2312" w:cs="仿宋"/>
          <w:kern w:val="0"/>
          <w:sz w:val="32"/>
          <w:szCs w:val="32"/>
          <w:lang w:eastAsia="zh-Hans" w:bidi="ar"/>
        </w:rPr>
      </w:pPr>
      <w:bookmarkStart w:id="73" w:name="_Toc6513"/>
      <w:r>
        <w:rPr>
          <w:rFonts w:hint="eastAsia" w:ascii="方正仿宋_GB2312" w:hAnsi="仿宋" w:eastAsia="方正仿宋_GB2312" w:cs="仿宋"/>
          <w:kern w:val="0"/>
          <w:sz w:val="32"/>
          <w:szCs w:val="32"/>
          <w:lang w:eastAsia="zh-Hans" w:bidi="ar"/>
        </w:rPr>
        <w:t>以满足营造婴幼儿健康成长环境为导向，在门城地区努力推动形成一批具有示范意义的活力发展社区。以社区儿童中心、儿童之家、妇女之家、家长学校等基层工作阵地为依托，为儿童拓展阅读、科普等社会实践场所，开展假期公益托管服务工作</w:t>
      </w:r>
      <w:r>
        <w:rPr>
          <w:rStyle w:val="24"/>
          <w:rFonts w:hint="eastAsia" w:ascii="方正仿宋_GB2312" w:hAnsi="仿宋" w:eastAsia="方正仿宋_GB2312" w:cs="仿宋"/>
          <w:kern w:val="0"/>
          <w:sz w:val="32"/>
          <w:szCs w:val="32"/>
          <w:vertAlign w:val="superscript"/>
          <w:lang w:eastAsia="zh-Hans" w:bidi="ar"/>
        </w:rPr>
        <w:footnoteReference w:id="45"/>
      </w:r>
      <w:r>
        <w:rPr>
          <w:rFonts w:hint="eastAsia" w:ascii="方正仿宋_GB2312" w:hAnsi="仿宋" w:eastAsia="方正仿宋_GB2312" w:cs="仿宋"/>
          <w:kern w:val="0"/>
          <w:sz w:val="32"/>
          <w:szCs w:val="32"/>
          <w:lang w:eastAsia="zh-Hans" w:bidi="ar"/>
        </w:rPr>
        <w:t>。利用本地红色教育基地、历史文化古迹等社会教育资源，积极吸纳大学生志愿者、社会专业人士等共同参与托管服务。加强城乡公共空间和服务设施适儿化改造，建设适合儿童的服务设施和标识标牌系统，推动公共场所建设母婴室、儿童厕位及洗手池、儿童休息活动区等，在具备条件的公共场所普遍设置专席及绿色通道。提供适龄儿童步行、活动和探索空间。</w:t>
      </w:r>
      <w:bookmarkEnd w:id="73"/>
    </w:p>
    <w:p>
      <w:pPr>
        <w:pStyle w:val="7"/>
        <w:spacing w:before="0" w:after="0"/>
        <w:ind w:firstLine="704"/>
        <w:rPr>
          <w:rFonts w:ascii="方正仿宋_GB2312" w:hAnsi="方正仿宋_GB2312" w:eastAsia="方正仿宋_GB2312" w:cs="方正仿宋_GB2312"/>
          <w:bCs w:val="0"/>
          <w:color w:val="auto"/>
        </w:rPr>
      </w:pPr>
      <w:bookmarkStart w:id="74" w:name="_Toc100671610"/>
      <w:bookmarkStart w:id="75" w:name="_Toc284"/>
      <w:bookmarkStart w:id="76" w:name="_Toc11024"/>
      <w:r>
        <w:rPr>
          <w:rFonts w:hint="eastAsia" w:ascii="方正仿宋_GB2312" w:hAnsi="方正仿宋_GB2312" w:eastAsia="方正仿宋_GB2312" w:cs="方正仿宋_GB2312"/>
          <w:bCs w:val="0"/>
        </w:rPr>
        <w:t>6.配套新旧社区</w:t>
      </w:r>
      <w:r>
        <w:rPr>
          <w:rFonts w:hint="eastAsia" w:ascii="方正仿宋_GB2312" w:hAnsi="方正仿宋_GB2312" w:eastAsia="方正仿宋_GB2312" w:cs="方正仿宋_GB2312"/>
          <w:bCs w:val="0"/>
          <w:color w:val="auto"/>
          <w:lang w:val="en-US" w:eastAsia="zh-CN"/>
        </w:rPr>
        <w:t>养老</w:t>
      </w:r>
      <w:r>
        <w:rPr>
          <w:rFonts w:hint="eastAsia" w:ascii="方正仿宋_GB2312" w:hAnsi="方正仿宋_GB2312" w:eastAsia="方正仿宋_GB2312" w:cs="方正仿宋_GB2312"/>
          <w:bCs w:val="0"/>
          <w:color w:val="auto"/>
        </w:rPr>
        <w:t>托育服务设施</w:t>
      </w:r>
      <w:bookmarkEnd w:id="74"/>
      <w:bookmarkEnd w:id="75"/>
      <w:bookmarkEnd w:id="76"/>
    </w:p>
    <w:p>
      <w:pPr>
        <w:spacing w:line="360" w:lineRule="auto"/>
        <w:ind w:firstLine="640" w:firstLineChars="200"/>
        <w:rPr>
          <w:rFonts w:ascii="方正仿宋_GB2312" w:hAnsi="仿宋" w:eastAsia="方正仿宋_GB2312" w:cs="仿宋"/>
          <w:bCs/>
          <w:kern w:val="0"/>
          <w:sz w:val="32"/>
          <w:szCs w:val="32"/>
          <w:lang w:bidi="ar"/>
        </w:rPr>
      </w:pPr>
      <w:r>
        <w:rPr>
          <w:rFonts w:hint="eastAsia" w:ascii="方正仿宋_GB2312" w:hAnsi="仿宋" w:eastAsia="方正仿宋_GB2312" w:cs="仿宋"/>
          <w:bCs/>
          <w:i w:val="0"/>
          <w:iCs w:val="0"/>
          <w:caps w:val="0"/>
          <w:color w:val="auto"/>
          <w:spacing w:val="0"/>
          <w:kern w:val="0"/>
          <w:sz w:val="32"/>
          <w:szCs w:val="32"/>
          <w:shd w:val="clear" w:fill="auto"/>
          <w:lang w:bidi="ar"/>
        </w:rPr>
        <w:t>在年度建设用地供应中保障养老托育用地需求，促进服务能力提质扩容和服务设施均衡布局。</w:t>
      </w:r>
      <w:r>
        <w:rPr>
          <w:rFonts w:hint="eastAsia" w:ascii="方正仿宋_GB2312" w:hAnsi="仿宋" w:eastAsia="方正仿宋_GB2312" w:cs="仿宋"/>
          <w:bCs/>
          <w:color w:val="auto"/>
          <w:kern w:val="0"/>
          <w:sz w:val="32"/>
          <w:szCs w:val="32"/>
          <w:lang w:eastAsia="zh-Hans" w:bidi="ar"/>
        </w:rPr>
        <w:t>将托育服务纳入社区整体建设布局和社区服务补短板范围</w:t>
      </w:r>
      <w:r>
        <w:rPr>
          <w:rFonts w:hint="eastAsia" w:ascii="方正仿宋_GB2312" w:hAnsi="仿宋" w:eastAsia="方正仿宋_GB2312" w:cs="仿宋"/>
          <w:bCs/>
          <w:color w:val="auto"/>
          <w:kern w:val="0"/>
          <w:sz w:val="32"/>
          <w:szCs w:val="32"/>
          <w:lang w:val="en-US" w:eastAsia="zh-CN" w:bidi="ar"/>
        </w:rPr>
        <w:t>以及</w:t>
      </w:r>
      <w:r>
        <w:rPr>
          <w:rFonts w:hint="eastAsia" w:ascii="方正仿宋_GB2312" w:hAnsi="仿宋" w:eastAsia="方正仿宋_GB2312" w:cs="仿宋"/>
          <w:color w:val="auto"/>
          <w:kern w:val="0"/>
          <w:sz w:val="32"/>
          <w:szCs w:val="32"/>
          <w:lang w:eastAsia="zh-Hans" w:bidi="ar"/>
        </w:rPr>
        <w:t>社区公共服务事项</w:t>
      </w:r>
      <w:r>
        <w:rPr>
          <w:rFonts w:hint="eastAsia" w:ascii="方正仿宋_GB2312" w:hAnsi="仿宋" w:eastAsia="方正仿宋_GB2312" w:cs="仿宋"/>
          <w:color w:val="auto"/>
          <w:kern w:val="0"/>
          <w:sz w:val="32"/>
          <w:szCs w:val="32"/>
          <w:lang w:bidi="ar"/>
        </w:rPr>
        <w:t>。在门城地区，新建住宅小区按每百户不低于20平方米的标准配套建设社区婴幼儿照护服务场地；</w:t>
      </w:r>
      <w:r>
        <w:rPr>
          <w:rFonts w:hint="eastAsia" w:ascii="方正仿宋_GB2312" w:hAnsi="仿宋" w:eastAsia="方正仿宋_GB2312" w:cs="仿宋"/>
          <w:bCs/>
          <w:color w:val="auto"/>
          <w:kern w:val="0"/>
          <w:sz w:val="32"/>
          <w:szCs w:val="32"/>
          <w:lang w:bidi="ar"/>
        </w:rPr>
        <w:t>在已建成居住区改造工程中，盘活各类闲置资源，通过购置、置换、租赁等方式，按每百户不低于15平方米的标准配置托育服务设施</w:t>
      </w:r>
      <w:r>
        <w:rPr>
          <w:rStyle w:val="27"/>
          <w:rFonts w:hint="eastAsia" w:ascii="方正仿宋_GB2312" w:hAnsi="仿宋" w:eastAsia="方正仿宋_GB2312" w:cs="仿宋"/>
          <w:bCs/>
          <w:color w:val="auto"/>
          <w:kern w:val="0"/>
          <w:sz w:val="32"/>
          <w:szCs w:val="32"/>
          <w:lang w:bidi="ar"/>
        </w:rPr>
        <w:footnoteReference w:id="46"/>
      </w:r>
      <w:r>
        <w:rPr>
          <w:rFonts w:hint="eastAsia" w:ascii="方正仿宋_GB2312" w:hAnsi="仿宋" w:eastAsia="方正仿宋_GB2312" w:cs="仿宋"/>
          <w:bCs/>
          <w:color w:val="auto"/>
          <w:kern w:val="0"/>
          <w:sz w:val="32"/>
          <w:szCs w:val="32"/>
          <w:lang w:bidi="ar"/>
        </w:rPr>
        <w:t>。在城市居住社区建设补短板和城镇老旧小区改造中统筹推进养老托育服务设施建设，探索将老旧小区中的国企房屋和设施以适当方式转交政府集中改造利用。非独立场所按照相关安全标准改造建设托育点并通过验收的，不需变更土地和房屋性质。到2023年底，</w:t>
      </w:r>
      <w:r>
        <w:rPr>
          <w:rFonts w:hint="eastAsia" w:ascii="方正仿宋_GB2312" w:hAnsi="仿宋" w:eastAsia="方正仿宋_GB2312" w:cs="仿宋"/>
          <w:bCs/>
          <w:kern w:val="0"/>
          <w:sz w:val="32"/>
          <w:szCs w:val="32"/>
          <w:lang w:bidi="ar"/>
        </w:rPr>
        <w:t>对已建成社区的养老托育设施情况摸底调查，形成清单。到2025年底，新建住宅小区配套养老托育服务设施“四同步”（同步规划、同步建设、同步验收、同步交付）制度全面落实，新建住宅小区配建社区养老托育服务设施达标率100%，已建成的居住区完成托育服务设施配置。</w:t>
      </w:r>
    </w:p>
    <w:p>
      <w:pPr>
        <w:pStyle w:val="7"/>
        <w:spacing w:before="0" w:after="0"/>
        <w:ind w:left="707" w:firstLine="0" w:firstLineChars="0"/>
        <w:rPr>
          <w:rFonts w:ascii="方正仿宋_GB2312" w:hAnsi="方正仿宋_GB2312" w:eastAsia="方正仿宋_GB2312" w:cs="方正仿宋_GB2312"/>
          <w:bCs w:val="0"/>
        </w:rPr>
      </w:pPr>
      <w:bookmarkStart w:id="77" w:name="_Toc1122"/>
      <w:bookmarkStart w:id="78" w:name="_Toc100671611"/>
      <w:bookmarkStart w:id="79" w:name="_Toc12813"/>
      <w:r>
        <w:rPr>
          <w:rFonts w:hint="eastAsia" w:ascii="方正仿宋_GB2312" w:hAnsi="方正仿宋_GB2312" w:eastAsia="方正仿宋_GB2312" w:cs="方正仿宋_GB2312"/>
          <w:bCs w:val="0"/>
        </w:rPr>
        <w:t>7.建设街镇婴幼儿照护服务驿站</w:t>
      </w:r>
      <w:bookmarkEnd w:id="77"/>
      <w:bookmarkEnd w:id="78"/>
      <w:bookmarkEnd w:id="79"/>
    </w:p>
    <w:p>
      <w:pPr>
        <w:spacing w:line="360" w:lineRule="auto"/>
        <w:ind w:firstLine="640" w:firstLineChars="200"/>
        <w:rPr>
          <w:rFonts w:ascii="方正仿宋_GB2312" w:hAnsi="仿宋" w:eastAsia="方正仿宋_GB2312" w:cs="仿宋"/>
          <w:kern w:val="0"/>
          <w:sz w:val="32"/>
          <w:szCs w:val="32"/>
          <w:lang w:bidi="ar"/>
        </w:rPr>
      </w:pPr>
      <w:r>
        <w:rPr>
          <w:rFonts w:hint="eastAsia" w:ascii="方正仿宋_GB2312" w:hAnsi="仿宋" w:eastAsia="方正仿宋_GB2312" w:cs="仿宋"/>
          <w:bCs/>
          <w:kern w:val="0"/>
          <w:sz w:val="32"/>
          <w:szCs w:val="32"/>
          <w:lang w:bidi="ar"/>
        </w:rPr>
        <w:t>结合托育机构、村（居）儿童中心、妇女之家、儿童之家、家长学校等基层工作阵地现有场地，建设多功能、多协作的街道（镇）婴幼儿照护服务驿站，打造“15分钟婴幼儿照护服务圈”</w:t>
      </w:r>
      <w:r>
        <w:rPr>
          <w:rStyle w:val="27"/>
          <w:rFonts w:hint="eastAsia" w:ascii="方正仿宋_GB2312" w:hAnsi="仿宋" w:eastAsia="方正仿宋_GB2312" w:cs="仿宋"/>
          <w:bCs/>
          <w:kern w:val="0"/>
          <w:sz w:val="32"/>
          <w:szCs w:val="32"/>
          <w:lang w:bidi="ar"/>
        </w:rPr>
        <w:footnoteReference w:id="47"/>
      </w:r>
      <w:r>
        <w:rPr>
          <w:rFonts w:hint="eastAsia" w:ascii="方正仿宋_GB2312" w:hAnsi="仿宋" w:eastAsia="方正仿宋_GB2312" w:cs="仿宋"/>
          <w:bCs/>
          <w:kern w:val="0"/>
          <w:sz w:val="32"/>
          <w:szCs w:val="32"/>
          <w:lang w:bidi="ar"/>
        </w:rPr>
        <w:t>。向婴幼儿家庭提供育儿技能指导、亲子游戏陪伴、儿童健康管理、临时托管等服务。与基层医疗机构联合，开展儿童发育、健康筛查、岗前职后提升保育保健人员专业技能、推广养育照护小组活动等。出台《婴幼儿照护服务驿站管理规范》，实现规范化管理。到2025年底，门城地区街道（镇）婴幼儿照护服务驿站基本实现全覆盖</w:t>
      </w:r>
      <w:r>
        <w:rPr>
          <w:rStyle w:val="27"/>
          <w:rFonts w:hint="eastAsia" w:ascii="方正仿宋_GB2312" w:hAnsi="仿宋" w:eastAsia="方正仿宋_GB2312" w:cs="仿宋"/>
          <w:kern w:val="0"/>
          <w:sz w:val="32"/>
          <w:szCs w:val="32"/>
          <w:lang w:eastAsia="zh-Hans" w:bidi="ar"/>
        </w:rPr>
        <w:footnoteReference w:id="48"/>
      </w:r>
      <w:r>
        <w:rPr>
          <w:rFonts w:hint="eastAsia" w:ascii="方正仿宋_GB2312" w:hAnsi="仿宋" w:eastAsia="方正仿宋_GB2312" w:cs="仿宋"/>
          <w:kern w:val="0"/>
          <w:sz w:val="32"/>
          <w:szCs w:val="32"/>
          <w:lang w:eastAsia="zh-Hans" w:bidi="ar"/>
        </w:rPr>
        <w:t>。</w:t>
      </w:r>
    </w:p>
    <w:tbl>
      <w:tblPr>
        <w:tblStyle w:val="22"/>
        <w:tblW w:w="82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0" w:type="dxa"/>
            <w:shd w:val="clear" w:color="auto" w:fill="DCF3F8"/>
          </w:tcPr>
          <w:p>
            <w:pPr>
              <w:widowControl/>
              <w:spacing w:line="360" w:lineRule="auto"/>
              <w:jc w:val="center"/>
              <w:rPr>
                <w:rFonts w:ascii="仿宋" w:hAnsi="仿宋" w:eastAsia="仿宋" w:cs="仿宋"/>
                <w:b/>
                <w:kern w:val="0"/>
                <w:sz w:val="24"/>
              </w:rPr>
            </w:pPr>
            <w:r>
              <w:rPr>
                <w:rFonts w:hint="eastAsia" w:ascii="仿宋" w:hAnsi="仿宋" w:eastAsia="仿宋" w:cs="仿宋"/>
                <w:b/>
                <w:kern w:val="0"/>
                <w:sz w:val="24"/>
              </w:rPr>
              <w:t>专栏3：普惠托育服务扩容工程</w:t>
            </w:r>
          </w:p>
          <w:p>
            <w:pPr>
              <w:widowControl/>
              <w:spacing w:line="360" w:lineRule="auto"/>
              <w:ind w:firstLine="480" w:firstLineChars="200"/>
              <w:rPr>
                <w:rFonts w:ascii="仿宋" w:hAnsi="仿宋" w:eastAsia="仿宋" w:cs="仿宋"/>
                <w:bCs/>
                <w:kern w:val="0"/>
                <w:sz w:val="24"/>
                <w:szCs w:val="32"/>
                <w:lang w:bidi="ar"/>
              </w:rPr>
            </w:pPr>
            <w:r>
              <w:rPr>
                <w:rFonts w:hint="eastAsia" w:ascii="仿宋" w:hAnsi="仿宋" w:eastAsia="仿宋" w:cs="仿宋"/>
                <w:bCs/>
                <w:kern w:val="0"/>
                <w:sz w:val="24"/>
                <w:szCs w:val="32"/>
                <w:lang w:bidi="ar"/>
              </w:rPr>
              <w:t>利用托育机构、村（居）儿童中心、妇女之家、儿童之家、家长学校等现有资源建设多功能、多协作的街道（镇）婴幼儿照护服务驿站，设立“临时托管看护点”，创新探索计时制临时托管等服务，开展向婴幼儿家庭提供育儿技能指导、亲子游戏陪伴、儿童健康管理、临时托管等服务。</w:t>
            </w:r>
          </w:p>
          <w:p>
            <w:pPr>
              <w:widowControl/>
              <w:spacing w:line="360" w:lineRule="auto"/>
              <w:ind w:firstLine="480" w:firstLineChars="200"/>
              <w:jc w:val="left"/>
              <w:rPr>
                <w:rFonts w:ascii="仿宋" w:hAnsi="仿宋" w:eastAsia="仿宋" w:cs="仿宋"/>
                <w:bCs/>
                <w:kern w:val="0"/>
                <w:sz w:val="24"/>
              </w:rPr>
            </w:pPr>
            <w:r>
              <w:rPr>
                <w:rFonts w:hint="eastAsia" w:ascii="仿宋" w:hAnsi="仿宋" w:eastAsia="仿宋" w:cs="仿宋"/>
                <w:bCs/>
                <w:kern w:val="0"/>
                <w:sz w:val="24"/>
                <w:szCs w:val="32"/>
                <w:lang w:bidi="ar"/>
              </w:rPr>
              <w:t>探索“医育结合”联盟新模式，打造成由社区卫生服务中心、婴幼儿照护服务驿站、家庭组成的婴幼儿照护体系，以婴幼儿照护服务驿站为主阵地，以基层儿保医生为主要师资力量，以周边街道（镇）婴幼儿家长为服务对象，以相应月龄养育照护小组活动、育儿课堂为主要形式，为每一个成长驿站配备一名儿童保健签约医师，使科学养育知识进社区、进家庭。到2025年底，门城地区所有街道（镇）婴幼儿照护服务驿站实现全覆盖。</w:t>
            </w:r>
          </w:p>
        </w:tc>
      </w:tr>
    </w:tbl>
    <w:p>
      <w:pPr>
        <w:rPr>
          <w:highlight w:val="lightGray"/>
        </w:rPr>
      </w:pPr>
    </w:p>
    <w:p>
      <w:pPr>
        <w:pStyle w:val="7"/>
        <w:spacing w:before="0" w:after="0"/>
        <w:ind w:firstLine="643" w:firstLineChars="200"/>
        <w:contextualSpacing/>
        <w:outlineLvl w:val="1"/>
        <w:rPr>
          <w:rFonts w:hint="eastAsia" w:ascii="方正仿宋_GB2312" w:hAnsi="方正仿宋_GB2312" w:eastAsia="方正仿宋_GB2312" w:cs="方正仿宋_GB2312"/>
          <w:b/>
          <w:bCs w:val="0"/>
          <w:color w:val="auto"/>
          <w:kern w:val="0"/>
          <w:sz w:val="32"/>
          <w:szCs w:val="32"/>
        </w:rPr>
      </w:pPr>
      <w:bookmarkStart w:id="80" w:name="_Toc26311"/>
      <w:bookmarkStart w:id="81" w:name="_Toc100671612"/>
      <w:bookmarkStart w:id="82" w:name="_Toc29750"/>
      <w:r>
        <w:rPr>
          <w:rFonts w:hint="default" w:ascii="方正仿宋_GB2312" w:hAnsi="方正仿宋_GB2312" w:eastAsia="方正仿宋_GB2312" w:cs="方正仿宋_GB2312"/>
          <w:b/>
          <w:bCs w:val="0"/>
          <w:color w:val="auto"/>
          <w:kern w:val="0"/>
          <w:sz w:val="32"/>
          <w:szCs w:val="32"/>
        </w:rPr>
        <w:t>8</w:t>
      </w:r>
      <w:r>
        <w:rPr>
          <w:rFonts w:hint="eastAsia" w:ascii="方正仿宋_GB2312" w:hAnsi="方正仿宋_GB2312" w:eastAsia="方正仿宋_GB2312" w:cs="方正仿宋_GB2312"/>
          <w:b/>
          <w:bCs w:val="0"/>
          <w:color w:val="auto"/>
          <w:kern w:val="0"/>
          <w:sz w:val="32"/>
          <w:szCs w:val="32"/>
        </w:rPr>
        <w:t xml:space="preserve">. </w:t>
      </w:r>
      <w:r>
        <w:rPr>
          <w:rFonts w:hint="default" w:ascii="方正仿宋_GB2312" w:hAnsi="方正仿宋_GB2312" w:eastAsia="方正仿宋_GB2312" w:cs="方正仿宋_GB2312"/>
          <w:b/>
          <w:bCs w:val="0"/>
          <w:color w:val="auto"/>
          <w:kern w:val="0"/>
          <w:sz w:val="32"/>
          <w:szCs w:val="32"/>
        </w:rPr>
        <w:t>建立托育综合服务中心</w:t>
      </w:r>
      <w:bookmarkEnd w:id="80"/>
    </w:p>
    <w:p>
      <w:pPr>
        <w:spacing w:line="360" w:lineRule="auto"/>
        <w:ind w:firstLine="640" w:firstLineChars="200"/>
        <w:contextualSpacing w:val="0"/>
        <w:outlineLvl w:val="9"/>
        <w:rPr>
          <w:rFonts w:hint="eastAsia" w:ascii="方正仿宋_GB2312" w:hAnsi="仿宋" w:eastAsia="方正仿宋_GB2312" w:cs="仿宋"/>
          <w:bCs/>
          <w:color w:val="auto"/>
          <w:kern w:val="0"/>
          <w:sz w:val="32"/>
          <w:szCs w:val="32"/>
          <w:shd w:val="clear" w:color="auto" w:fill="auto"/>
          <w:lang w:bidi="ar"/>
        </w:rPr>
      </w:pPr>
      <w:r>
        <w:rPr>
          <w:rFonts w:hint="eastAsia" w:ascii="方正仿宋_GB2312" w:hAnsi="仿宋" w:eastAsia="方正仿宋_GB2312" w:cs="仿宋"/>
          <w:bCs/>
          <w:color w:val="auto"/>
          <w:kern w:val="0"/>
          <w:sz w:val="32"/>
          <w:szCs w:val="32"/>
          <w:shd w:val="clear" w:color="auto" w:fill="auto"/>
          <w:lang w:bidi="ar"/>
        </w:rPr>
        <w:t>依托区妇幼保健</w:t>
      </w:r>
      <w:r>
        <w:rPr>
          <w:rFonts w:hint="eastAsia" w:ascii="方正仿宋_GB2312" w:hAnsi="仿宋" w:eastAsia="方正仿宋_GB2312" w:cs="仿宋"/>
          <w:bCs/>
          <w:color w:val="auto"/>
          <w:kern w:val="0"/>
          <w:sz w:val="32"/>
          <w:szCs w:val="32"/>
          <w:lang w:bidi="ar"/>
        </w:rPr>
        <w:t>院</w:t>
      </w:r>
      <w:r>
        <w:rPr>
          <w:rFonts w:hint="eastAsia" w:ascii="方正仿宋_GB2312" w:hAnsi="仿宋" w:eastAsia="方正仿宋_GB2312" w:cs="仿宋"/>
          <w:bCs/>
          <w:color w:val="auto"/>
          <w:kern w:val="0"/>
          <w:sz w:val="32"/>
          <w:szCs w:val="32"/>
          <w:shd w:val="clear" w:color="auto" w:fill="auto"/>
          <w:lang w:bidi="ar"/>
        </w:rPr>
        <w:t>及有关医疗机构，建立区级</w:t>
      </w:r>
      <w:r>
        <w:rPr>
          <w:rFonts w:hint="eastAsia" w:ascii="方正仿宋_GB2312" w:hAnsi="仿宋" w:eastAsia="方正仿宋_GB2312" w:cs="仿宋"/>
          <w:bCs/>
          <w:color w:val="auto"/>
          <w:kern w:val="0"/>
          <w:sz w:val="32"/>
          <w:szCs w:val="32"/>
          <w:lang w:bidi="ar"/>
        </w:rPr>
        <w:t>托育综合服务</w:t>
      </w:r>
      <w:r>
        <w:rPr>
          <w:rFonts w:hint="eastAsia" w:ascii="方正仿宋_GB2312" w:hAnsi="仿宋" w:eastAsia="方正仿宋_GB2312" w:cs="仿宋"/>
          <w:bCs/>
          <w:color w:val="auto"/>
          <w:kern w:val="0"/>
          <w:sz w:val="32"/>
          <w:szCs w:val="32"/>
          <w:shd w:val="clear" w:color="auto" w:fill="auto"/>
          <w:lang w:bidi="ar"/>
        </w:rPr>
        <w:t>中心，</w:t>
      </w:r>
      <w:r>
        <w:rPr>
          <w:rFonts w:hint="eastAsia" w:ascii="方正仿宋_GB2312" w:hAnsi="仿宋" w:eastAsia="方正仿宋_GB2312" w:cs="仿宋"/>
          <w:bCs/>
          <w:color w:val="auto"/>
          <w:kern w:val="0"/>
          <w:sz w:val="32"/>
          <w:szCs w:val="32"/>
          <w:lang w:bidi="ar"/>
        </w:rPr>
        <w:t>依据《国家卫生健康委办公厅关于印发托育综合服务中心建设指南(试行)的通知》，新建、改建和扩建工程项目。建成的托育综合服务中心要</w:t>
      </w:r>
      <w:r>
        <w:rPr>
          <w:rFonts w:hint="eastAsia" w:ascii="方正仿宋_GB2312" w:hAnsi="仿宋" w:eastAsia="方正仿宋_GB2312" w:cs="仿宋"/>
          <w:bCs/>
          <w:color w:val="auto"/>
          <w:kern w:val="0"/>
          <w:sz w:val="32"/>
          <w:szCs w:val="32"/>
          <w:shd w:val="clear" w:color="auto" w:fill="auto"/>
          <w:lang w:bidi="ar"/>
        </w:rPr>
        <w:t>积极探索医育结合服务新模式，</w:t>
      </w:r>
      <w:r>
        <w:rPr>
          <w:rFonts w:hint="eastAsia" w:ascii="方正仿宋_GB2312" w:hAnsi="仿宋" w:eastAsia="方正仿宋_GB2312" w:cs="仿宋"/>
          <w:bCs/>
          <w:color w:val="auto"/>
          <w:kern w:val="0"/>
          <w:sz w:val="32"/>
          <w:szCs w:val="32"/>
          <w:lang w:bidi="ar"/>
        </w:rPr>
        <w:t>发挥引领作用，统筹管理街镇婴幼儿照护服务驿站。开展</w:t>
      </w:r>
      <w:r>
        <w:rPr>
          <w:rFonts w:ascii="方正仿宋_GB2312" w:hAnsi="仿宋" w:eastAsia="方正仿宋_GB2312" w:cs="仿宋"/>
          <w:bCs/>
          <w:color w:val="auto"/>
          <w:kern w:val="0"/>
          <w:sz w:val="32"/>
          <w:szCs w:val="32"/>
          <w:lang w:bidi="ar"/>
        </w:rPr>
        <w:t>全区</w:t>
      </w:r>
      <w:r>
        <w:rPr>
          <w:rFonts w:hint="eastAsia" w:ascii="方正仿宋_GB2312" w:hAnsi="仿宋" w:eastAsia="方正仿宋_GB2312" w:cs="仿宋"/>
          <w:bCs/>
          <w:color w:val="auto"/>
          <w:kern w:val="0"/>
          <w:sz w:val="32"/>
          <w:szCs w:val="32"/>
          <w:lang w:bidi="ar"/>
        </w:rPr>
        <w:t>0</w:t>
      </w:r>
      <w:r>
        <w:rPr>
          <w:rFonts w:ascii="方正仿宋_GB2312" w:hAnsi="仿宋" w:eastAsia="方正仿宋_GB2312" w:cs="仿宋"/>
          <w:bCs/>
          <w:color w:val="auto"/>
          <w:kern w:val="0"/>
          <w:sz w:val="32"/>
          <w:szCs w:val="32"/>
          <w:lang w:bidi="ar"/>
        </w:rPr>
        <w:t>-3岁婴幼儿健康管理、营养膳食指导等照护服务相关工作，</w:t>
      </w:r>
      <w:r>
        <w:rPr>
          <w:rFonts w:hint="eastAsia" w:ascii="方正仿宋_GB2312" w:hAnsi="仿宋" w:eastAsia="方正仿宋_GB2312" w:cs="仿宋"/>
          <w:bCs/>
          <w:color w:val="auto"/>
          <w:kern w:val="0"/>
          <w:sz w:val="32"/>
          <w:szCs w:val="32"/>
          <w:lang w:bidi="ar"/>
        </w:rPr>
        <w:t>利用儿童保健门诊开展婴幼儿相关问题的接诊和转诊，开展照护评估、育儿指导、问题干预等相关业务。</w:t>
      </w:r>
      <w:r>
        <w:rPr>
          <w:rFonts w:ascii="方正仿宋_GB2312" w:hAnsi="仿宋" w:eastAsia="方正仿宋_GB2312" w:cs="仿宋"/>
          <w:bCs/>
          <w:color w:val="auto"/>
          <w:kern w:val="0"/>
          <w:sz w:val="32"/>
          <w:szCs w:val="32"/>
          <w:lang w:bidi="ar"/>
        </w:rPr>
        <w:t>引导托育机构积极备案并建立完善工作规范</w:t>
      </w:r>
      <w:r>
        <w:rPr>
          <w:rFonts w:hint="eastAsia" w:ascii="方正仿宋_GB2312" w:hAnsi="仿宋" w:eastAsia="方正仿宋_GB2312" w:cs="仿宋"/>
          <w:bCs/>
          <w:color w:val="auto"/>
          <w:kern w:val="0"/>
          <w:sz w:val="32"/>
          <w:szCs w:val="32"/>
          <w:lang w:bidi="ar"/>
        </w:rPr>
        <w:t>，</w:t>
      </w:r>
      <w:r>
        <w:rPr>
          <w:rFonts w:hint="eastAsia" w:ascii="方正仿宋_GB2312" w:hAnsi="仿宋" w:eastAsia="方正仿宋_GB2312" w:cs="仿宋"/>
          <w:bCs/>
          <w:color w:val="auto"/>
          <w:kern w:val="0"/>
          <w:sz w:val="32"/>
          <w:szCs w:val="32"/>
          <w:shd w:val="clear" w:color="auto" w:fill="auto"/>
          <w:lang w:bidi="ar"/>
        </w:rPr>
        <w:t>加强对托育机构业务指导，做好托育机构照护服务评估及卫生保健指导，协助卫生健康部门开展监督检查</w:t>
      </w:r>
      <w:r>
        <w:rPr>
          <w:rFonts w:ascii="方正仿宋_GB2312" w:hAnsi="仿宋" w:eastAsia="方正仿宋_GB2312" w:cs="仿宋"/>
          <w:bCs/>
          <w:color w:val="auto"/>
          <w:kern w:val="0"/>
          <w:sz w:val="32"/>
          <w:szCs w:val="32"/>
          <w:lang w:bidi="ar"/>
        </w:rPr>
        <w:t>；</w:t>
      </w:r>
      <w:r>
        <w:rPr>
          <w:rFonts w:hint="eastAsia" w:ascii="方正仿宋_GB2312" w:hAnsi="仿宋" w:eastAsia="方正仿宋_GB2312" w:cs="仿宋"/>
          <w:bCs/>
          <w:color w:val="auto"/>
          <w:kern w:val="0"/>
          <w:sz w:val="32"/>
          <w:szCs w:val="32"/>
          <w:lang w:bidi="ar"/>
        </w:rPr>
        <w:t>为全区托育机构提供专业技术指导和人才培训，</w:t>
      </w:r>
      <w:r>
        <w:rPr>
          <w:rFonts w:hint="eastAsia" w:ascii="方正仿宋_GB2312" w:hAnsi="仿宋" w:eastAsia="方正仿宋_GB2312" w:cs="仿宋"/>
          <w:bCs/>
          <w:color w:val="auto"/>
          <w:kern w:val="0"/>
          <w:sz w:val="32"/>
          <w:szCs w:val="32"/>
          <w:shd w:val="clear" w:color="auto" w:fill="auto"/>
          <w:lang w:bidi="ar"/>
        </w:rPr>
        <w:t>为婴幼儿养育照护提供支持和指导，提高家庭育儿能力。建立区婴幼儿养育照护服务指导中心，初步形成门头沟</w:t>
      </w:r>
      <w:r>
        <w:rPr>
          <w:rFonts w:hint="eastAsia" w:ascii="方正仿宋_GB2312" w:hAnsi="仿宋" w:eastAsia="方正仿宋_GB2312" w:cs="仿宋"/>
          <w:bCs/>
          <w:color w:val="auto"/>
          <w:kern w:val="0"/>
          <w:sz w:val="32"/>
          <w:szCs w:val="32"/>
          <w:shd w:val="clear" w:color="auto" w:fill="auto"/>
          <w:lang w:eastAsia="zh-CN" w:bidi="ar"/>
        </w:rPr>
        <w:t>医</w:t>
      </w:r>
      <w:r>
        <w:rPr>
          <w:rFonts w:hint="eastAsia" w:ascii="方正仿宋_GB2312" w:hAnsi="仿宋" w:eastAsia="方正仿宋_GB2312" w:cs="仿宋"/>
          <w:bCs/>
          <w:color w:val="auto"/>
          <w:kern w:val="0"/>
          <w:sz w:val="32"/>
          <w:szCs w:val="32"/>
          <w:shd w:val="clear" w:color="auto" w:fill="auto"/>
          <w:lang w:bidi="ar"/>
        </w:rPr>
        <w:t>育结合婴幼儿照护服务新业态。</w:t>
      </w:r>
    </w:p>
    <w:p>
      <w:pPr>
        <w:ind w:firstLine="643" w:firstLineChars="200"/>
        <w:contextualSpacing/>
        <w:outlineLvl w:val="1"/>
        <w:rPr>
          <w:rFonts w:ascii="方正楷体_GB2312" w:hAnsi="方正楷体_GB2312" w:eastAsia="方正楷体_GB2312" w:cs="方正楷体_GB2312"/>
          <w:b/>
          <w:bCs/>
          <w:kern w:val="0"/>
          <w:sz w:val="32"/>
          <w:szCs w:val="32"/>
        </w:rPr>
      </w:pPr>
      <w:bookmarkStart w:id="83" w:name="_Toc30523"/>
      <w:r>
        <w:rPr>
          <w:rFonts w:hint="eastAsia" w:ascii="方正楷体_GB2312" w:hAnsi="方正楷体_GB2312" w:eastAsia="方正楷体_GB2312" w:cs="方正楷体_GB2312"/>
          <w:b/>
          <w:bCs/>
          <w:kern w:val="0"/>
          <w:sz w:val="32"/>
          <w:szCs w:val="32"/>
        </w:rPr>
        <w:t>（</w:t>
      </w:r>
      <w:r>
        <w:rPr>
          <w:rFonts w:hint="eastAsia" w:ascii="方正楷体_GB2312" w:hAnsi="方正楷体_GB2312" w:eastAsia="方正楷体_GB2312" w:cs="方正楷体_GB2312"/>
          <w:b/>
          <w:bCs/>
          <w:kern w:val="0"/>
          <w:sz w:val="32"/>
          <w:szCs w:val="32"/>
          <w:lang w:val="en-US" w:eastAsia="zh-CN"/>
        </w:rPr>
        <w:t>八</w:t>
      </w:r>
      <w:r>
        <w:rPr>
          <w:rFonts w:hint="eastAsia" w:ascii="方正楷体_GB2312" w:hAnsi="方正楷体_GB2312" w:eastAsia="方正楷体_GB2312" w:cs="方正楷体_GB2312"/>
          <w:b/>
          <w:bCs/>
          <w:kern w:val="0"/>
          <w:sz w:val="32"/>
          <w:szCs w:val="32"/>
        </w:rPr>
        <w:t>）完善普惠养老托育机构照护服务体系</w:t>
      </w:r>
      <w:bookmarkEnd w:id="81"/>
      <w:bookmarkEnd w:id="82"/>
      <w:bookmarkEnd w:id="83"/>
    </w:p>
    <w:p>
      <w:pPr>
        <w:pStyle w:val="7"/>
        <w:spacing w:before="0" w:after="0"/>
        <w:ind w:firstLine="704"/>
        <w:rPr>
          <w:rFonts w:ascii="方正仿宋_GB2312" w:hAnsi="方正仿宋_GB2312" w:eastAsia="方正仿宋_GB2312" w:cs="方正仿宋_GB2312"/>
          <w:bCs w:val="0"/>
        </w:rPr>
      </w:pPr>
      <w:bookmarkStart w:id="84" w:name="_Toc22246"/>
      <w:bookmarkStart w:id="85" w:name="_Toc31799"/>
      <w:bookmarkStart w:id="86" w:name="_Toc100671613"/>
      <w:r>
        <w:rPr>
          <w:rFonts w:ascii="方正仿宋_GB2312" w:hAnsi="方正仿宋_GB2312" w:eastAsia="方正仿宋_GB2312" w:cs="方正仿宋_GB2312"/>
          <w:bCs w:val="0"/>
        </w:rPr>
        <w:t>1</w:t>
      </w:r>
      <w:r>
        <w:rPr>
          <w:rFonts w:hint="eastAsia" w:ascii="方正仿宋_GB2312" w:hAnsi="方正仿宋_GB2312" w:eastAsia="方正仿宋_GB2312" w:cs="方正仿宋_GB2312"/>
          <w:bCs w:val="0"/>
        </w:rPr>
        <w:t>.强化兜底保障能力</w:t>
      </w:r>
      <w:bookmarkEnd w:id="84"/>
      <w:bookmarkEnd w:id="85"/>
      <w:bookmarkEnd w:id="86"/>
    </w:p>
    <w:p>
      <w:pPr>
        <w:pStyle w:val="37"/>
        <w:tabs>
          <w:tab w:val="left" w:pos="1157"/>
        </w:tabs>
        <w:spacing w:line="360" w:lineRule="auto"/>
        <w:ind w:firstLine="640" w:firstLineChars="200"/>
        <w:rPr>
          <w:rFonts w:hint="eastAsia" w:ascii="方正仿宋_GB2312" w:hAnsi="仿宋" w:eastAsia="方正仿宋_GB2312" w:cs="仿宋"/>
          <w:sz w:val="32"/>
          <w:szCs w:val="32"/>
          <w:lang w:val="en-US" w:eastAsia="zh-CN" w:bidi="ar-SA"/>
        </w:rPr>
      </w:pPr>
      <w:r>
        <w:rPr>
          <w:rFonts w:hint="eastAsia" w:ascii="方正仿宋_GB2312" w:hAnsi="方正仿宋_GB2312" w:eastAsia="方正仿宋_GB2312" w:cs="方正仿宋_GB2312"/>
          <w:kern w:val="0"/>
          <w:sz w:val="32"/>
          <w:szCs w:val="32"/>
          <w:lang w:val="en-US" w:eastAsia="zh-CN" w:bidi="ar-SA"/>
        </w:rPr>
        <w:t>统筹抓好养老机构床位建设，推动门城永定镇四块福利用地建设启动（见附件1重大项目清单序号1-4），推进门头沟区新城20街区机构养老设施建设项目完工并投入使用（见附件1重大项目清单序号6-7），指导妙峰山镇桃园村养老综合服务中心建设项目和水峪嘴村老年服务中心建设项目（见附件1重大项目清单序号8-9）。到2025年，预计新增床位2162张</w:t>
      </w:r>
      <w:r>
        <w:rPr>
          <w:rStyle w:val="27"/>
          <w:rFonts w:hint="eastAsia" w:ascii="方正仿宋_GB2312" w:hAnsi="方正仿宋_GB2312" w:eastAsia="方正仿宋_GB2312" w:cs="方正仿宋_GB2312"/>
          <w:kern w:val="0"/>
          <w:sz w:val="32"/>
          <w:szCs w:val="32"/>
          <w:lang w:val="en-US" w:eastAsia="zh-CN" w:bidi="ar-SA"/>
        </w:rPr>
        <w:footnoteReference w:id="49"/>
      </w:r>
      <w:r>
        <w:rPr>
          <w:rFonts w:hint="eastAsia" w:ascii="方正仿宋_GB2312" w:hAnsi="方正仿宋_GB2312" w:eastAsia="方正仿宋_GB2312" w:cs="方正仿宋_GB2312"/>
          <w:kern w:val="0"/>
          <w:sz w:val="32"/>
          <w:szCs w:val="32"/>
          <w:lang w:val="en-US" w:eastAsia="zh-CN" w:bidi="ar-SA"/>
        </w:rPr>
        <w:t>，每千名老年人养老床位数达到7张，护理型养老床位</w:t>
      </w:r>
      <w:r>
        <w:rPr>
          <w:rStyle w:val="27"/>
          <w:rFonts w:hint="eastAsia" w:ascii="方正仿宋_GB2312" w:hAnsi="方正仿宋_GB2312" w:eastAsia="方正仿宋_GB2312" w:cs="方正仿宋_GB2312"/>
          <w:kern w:val="0"/>
          <w:sz w:val="32"/>
          <w:szCs w:val="32"/>
          <w:lang w:val="en-US" w:eastAsia="zh-CN" w:bidi="ar-SA"/>
        </w:rPr>
        <w:footnoteReference w:id="50"/>
      </w:r>
      <w:r>
        <w:rPr>
          <w:rFonts w:hint="eastAsia" w:ascii="方正仿宋_GB2312" w:hAnsi="方正仿宋_GB2312" w:eastAsia="方正仿宋_GB2312" w:cs="方正仿宋_GB2312"/>
          <w:kern w:val="0"/>
          <w:sz w:val="32"/>
          <w:szCs w:val="32"/>
          <w:lang w:val="en-US" w:eastAsia="zh-CN" w:bidi="ar-SA"/>
        </w:rPr>
        <w:t>占比达到60%；</w:t>
      </w:r>
      <w:r>
        <w:rPr>
          <w:rFonts w:hint="eastAsia" w:ascii="方正仿宋_GB2312" w:hAnsi="仿宋" w:eastAsia="方正仿宋_GB2312" w:cs="仿宋"/>
          <w:sz w:val="32"/>
          <w:szCs w:val="32"/>
          <w:lang w:val="en-US" w:eastAsia="zh-CN" w:bidi="ar-SA"/>
        </w:rPr>
        <w:t>困境老年人帮扶率达到100%；</w:t>
      </w:r>
    </w:p>
    <w:p>
      <w:pPr>
        <w:pStyle w:val="37"/>
        <w:tabs>
          <w:tab w:val="left" w:pos="1157"/>
        </w:tabs>
        <w:spacing w:line="360" w:lineRule="auto"/>
        <w:ind w:left="0" w:leftChars="0" w:firstLine="0" w:firstLineChars="0"/>
        <w:rPr>
          <w:rFonts w:ascii="方正仿宋_GB2312" w:hAnsi="方正仿宋_GB2312" w:eastAsia="方正仿宋_GB2312" w:cs="方正仿宋_GB2312"/>
          <w:kern w:val="0"/>
          <w:sz w:val="32"/>
          <w:szCs w:val="32"/>
          <w:lang w:val="en-US" w:eastAsia="zh-CN" w:bidi="ar-SA"/>
        </w:rPr>
      </w:pPr>
      <w:r>
        <w:rPr>
          <w:rFonts w:hint="eastAsia" w:ascii="方正仿宋_GB2312" w:hAnsi="方正仿宋_GB2312" w:eastAsia="方正仿宋_GB2312" w:cs="方正仿宋_GB2312"/>
          <w:color w:val="000000" w:themeColor="text1"/>
          <w:kern w:val="0"/>
          <w:sz w:val="32"/>
          <w:szCs w:val="32"/>
          <w:lang w:val="en-US" w:eastAsia="zh-CN" w:bidi="ar-SA"/>
          <w14:textFill>
            <w14:solidFill>
              <w14:schemeClr w14:val="tx1"/>
            </w14:solidFill>
          </w14:textFill>
        </w:rPr>
        <w:t>生活不能自理特困人员集中供养率、有集中供养意愿的特困人员集中供养率达到100%；</w:t>
      </w:r>
      <w:r>
        <w:rPr>
          <w:rFonts w:hint="eastAsia" w:ascii="方正仿宋_GB2312" w:hAnsi="方正仿宋_GB2312" w:eastAsia="方正仿宋_GB2312" w:cs="方正仿宋_GB2312"/>
          <w:kern w:val="0"/>
          <w:sz w:val="32"/>
          <w:szCs w:val="32"/>
          <w:lang w:val="en-US" w:eastAsia="zh-CN" w:bidi="ar-SA"/>
        </w:rPr>
        <w:t>特殊困难老年人周探访率达到100%；</w:t>
      </w:r>
      <w:r>
        <w:rPr>
          <w:rFonts w:hint="eastAsia" w:ascii="方正仿宋_GB2312" w:hAnsi="仿宋" w:eastAsia="方正仿宋_GB2312" w:cs="仿宋"/>
          <w:sz w:val="32"/>
          <w:szCs w:val="32"/>
          <w:lang w:val="en-US" w:eastAsia="zh-CN" w:bidi="ar-SA"/>
        </w:rPr>
        <w:t>全区农村特困人员供养服务机构达到养老机构服务基本规范要求。</w:t>
      </w:r>
    </w:p>
    <w:p>
      <w:pPr>
        <w:pStyle w:val="7"/>
        <w:spacing w:before="0" w:after="0"/>
        <w:ind w:firstLine="704"/>
        <w:rPr>
          <w:rFonts w:ascii="方正仿宋_GB2312" w:hAnsi="方正仿宋_GB2312" w:eastAsia="方正仿宋_GB2312" w:cs="方正仿宋_GB2312"/>
          <w:bCs w:val="0"/>
        </w:rPr>
      </w:pPr>
      <w:bookmarkStart w:id="87" w:name="_Toc100671614"/>
      <w:bookmarkStart w:id="88" w:name="_Toc28157"/>
      <w:bookmarkStart w:id="89" w:name="_Toc20589"/>
      <w:r>
        <w:rPr>
          <w:rFonts w:hint="eastAsia" w:ascii="方正仿宋_GB2312" w:hAnsi="方正仿宋_GB2312" w:eastAsia="方正仿宋_GB2312" w:cs="方正仿宋_GB2312"/>
          <w:bCs w:val="0"/>
        </w:rPr>
        <w:t>2.提升公办机构服务水平</w:t>
      </w:r>
      <w:bookmarkEnd w:id="87"/>
      <w:bookmarkEnd w:id="88"/>
      <w:bookmarkEnd w:id="89"/>
    </w:p>
    <w:p>
      <w:pPr>
        <w:ind w:firstLine="640" w:firstLineChars="200"/>
        <w:rPr>
          <w:rFonts w:hint="eastAsia" w:ascii="方正仿宋_GB2312" w:hAnsi="方正仿宋_GB2312" w:eastAsia="方正仿宋_GB2312" w:cs="方正仿宋_GB2312"/>
          <w:kern w:val="0"/>
          <w:sz w:val="32"/>
          <w:szCs w:val="32"/>
        </w:rPr>
      </w:pPr>
      <w:r>
        <w:rPr>
          <w:rFonts w:hint="eastAsia" w:ascii="方正仿宋_GB2312" w:hAnsi="方正仿宋_GB2312" w:eastAsia="方正仿宋_GB2312" w:cs="方正仿宋_GB2312"/>
          <w:kern w:val="0"/>
          <w:sz w:val="32"/>
          <w:szCs w:val="32"/>
        </w:rPr>
        <w:t>深化公办养老机构改革，完善公办养老机构委托经营机制，综合从业信誉、服务水平、可持续性等质量指标引入运营主体，在保障政府托底职能前提下，推动有条件的机构公建（办）民营。实施乡镇敬老院设施改造计划，</w:t>
      </w:r>
      <w:r>
        <w:rPr>
          <w:rFonts w:hint="eastAsia" w:ascii="方正仿宋_GB2312" w:hAnsi="方正仿宋_GB2312" w:eastAsia="方正仿宋_GB2312" w:cs="方正仿宋_GB2312"/>
          <w:kern w:val="0"/>
          <w:sz w:val="32"/>
          <w:szCs w:val="32"/>
          <w:lang w:eastAsia="zh-CN"/>
        </w:rPr>
        <w:t>推动</w:t>
      </w:r>
      <w:r>
        <w:rPr>
          <w:rFonts w:hint="eastAsia" w:ascii="方正仿宋_GB2312" w:hAnsi="方正仿宋_GB2312" w:eastAsia="方正仿宋_GB2312" w:cs="方正仿宋_GB2312"/>
          <w:kern w:val="0"/>
          <w:sz w:val="32"/>
          <w:szCs w:val="32"/>
        </w:rPr>
        <w:t>乡镇敬老院</w:t>
      </w:r>
      <w:r>
        <w:rPr>
          <w:rFonts w:hint="eastAsia" w:ascii="方正仿宋_GB2312" w:hAnsi="方正仿宋_GB2312" w:eastAsia="方正仿宋_GB2312" w:cs="方正仿宋_GB2312"/>
          <w:kern w:val="0"/>
          <w:sz w:val="32"/>
          <w:szCs w:val="32"/>
          <w:lang w:eastAsia="zh-CN"/>
        </w:rPr>
        <w:t>改造手续办理</w:t>
      </w:r>
      <w:r>
        <w:rPr>
          <w:rFonts w:hint="eastAsia" w:ascii="方正仿宋_GB2312" w:hAnsi="方正仿宋_GB2312" w:eastAsia="方正仿宋_GB2312" w:cs="方正仿宋_GB2312"/>
          <w:kern w:val="0"/>
          <w:sz w:val="32"/>
          <w:szCs w:val="32"/>
        </w:rPr>
        <w:t>。按照相邻原则将全区9镇4街公办养老机构划分为4个养老协作区域（协作区一：清水镇社会福利中心、斋堂镇静馨养老照料中心；协作区二：雁翅镇社会福利中心、王平镇社会福利中心；协作区三：区老年社会福利中心、龙泉镇社会福利中心、妙峰山镇社会福利中心、军庄镇社会福利中心、龙门养老照料中心、黑山养老照料中心；协作区四：潭柘寺镇社会福利中心、新城20街区养老机构、石门营养老照料中心）</w:t>
      </w:r>
      <w:r>
        <w:rPr>
          <w:rStyle w:val="27"/>
          <w:rFonts w:hint="eastAsia" w:ascii="方正仿宋_GB2312" w:hAnsi="方正仿宋_GB2312" w:eastAsia="方正仿宋_GB2312" w:cs="方正仿宋_GB2312"/>
          <w:kern w:val="0"/>
          <w:sz w:val="32"/>
          <w:szCs w:val="32"/>
        </w:rPr>
        <w:footnoteReference w:id="51"/>
      </w:r>
      <w:r>
        <w:rPr>
          <w:rFonts w:hint="eastAsia" w:ascii="方正仿宋_GB2312" w:hAnsi="方正仿宋_GB2312" w:eastAsia="方正仿宋_GB2312" w:cs="方正仿宋_GB2312"/>
          <w:kern w:val="0"/>
          <w:sz w:val="32"/>
          <w:szCs w:val="32"/>
        </w:rPr>
        <w:t>，协作区域内服务资源整合利用、老年人实施分类供养保障，建立跨镇街的区级养老协作统筹机制。优化养老资源配置，提高服务保障能力，推进城区与郊区之间协作养老。</w:t>
      </w:r>
    </w:p>
    <w:p>
      <w:pPr>
        <w:pStyle w:val="17"/>
      </w:pPr>
    </w:p>
    <w:tbl>
      <w:tblPr>
        <w:tblStyle w:val="22"/>
        <w:tblW w:w="82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0" w:type="dxa"/>
            <w:shd w:val="clear" w:color="auto" w:fill="DCF3F8"/>
          </w:tcPr>
          <w:p>
            <w:pPr>
              <w:widowControl/>
              <w:spacing w:line="360" w:lineRule="auto"/>
              <w:jc w:val="center"/>
              <w:rPr>
                <w:rFonts w:ascii="仿宋" w:hAnsi="仿宋" w:eastAsia="仿宋" w:cs="仿宋"/>
                <w:b/>
                <w:kern w:val="0"/>
                <w:sz w:val="24"/>
              </w:rPr>
            </w:pPr>
            <w:r>
              <w:rPr>
                <w:rFonts w:hint="eastAsia" w:ascii="仿宋" w:hAnsi="仿宋" w:eastAsia="仿宋" w:cs="仿宋"/>
                <w:b/>
                <w:kern w:val="0"/>
                <w:sz w:val="24"/>
              </w:rPr>
              <w:t>专栏4：乡镇敬老院改造提升工程</w:t>
            </w:r>
          </w:p>
          <w:p>
            <w:pPr>
              <w:widowControl/>
              <w:spacing w:line="360" w:lineRule="auto"/>
              <w:ind w:firstLine="480" w:firstLineChars="200"/>
              <w:jc w:val="left"/>
              <w:rPr>
                <w:rFonts w:ascii="仿宋" w:hAnsi="仿宋" w:eastAsia="仿宋" w:cs="仿宋"/>
                <w:bCs/>
                <w:kern w:val="0"/>
                <w:sz w:val="24"/>
              </w:rPr>
            </w:pPr>
            <w:r>
              <w:rPr>
                <w:rFonts w:hint="eastAsia" w:ascii="仿宋" w:hAnsi="仿宋" w:eastAsia="仿宋" w:cs="仿宋"/>
                <w:bCs/>
                <w:kern w:val="0"/>
                <w:sz w:val="24"/>
              </w:rPr>
              <w:t>以政府部门主导、社会力量参与、市场化运作模式，对妙峰山镇、雁翅镇、清水镇、潭柘寺镇等区域敬老院实施改造提升，在为区域老年人提供养老照护服务基础上，打造成为融休闲、养生、养心、养老、旅居为一体的特色老年旅居基地。</w:t>
            </w:r>
            <w:r>
              <w:rPr>
                <w:rFonts w:hint="eastAsia" w:ascii="仿宋" w:hAnsi="仿宋" w:eastAsia="仿宋" w:cs="仿宋"/>
                <w:bCs/>
                <w:kern w:val="0"/>
                <w:sz w:val="24"/>
                <w:lang w:eastAsia="zh-CN"/>
              </w:rPr>
              <w:t>在</w:t>
            </w:r>
            <w:r>
              <w:rPr>
                <w:rFonts w:hint="eastAsia" w:ascii="仿宋" w:hAnsi="仿宋" w:eastAsia="仿宋" w:cs="仿宋"/>
                <w:bCs/>
                <w:kern w:val="0"/>
                <w:sz w:val="24"/>
              </w:rPr>
              <w:t>确定改造提升的乡镇敬老院</w:t>
            </w:r>
            <w:r>
              <w:rPr>
                <w:rFonts w:hint="eastAsia" w:ascii="仿宋" w:hAnsi="仿宋" w:eastAsia="仿宋" w:cs="仿宋"/>
                <w:bCs/>
                <w:kern w:val="0"/>
                <w:sz w:val="24"/>
                <w:lang w:eastAsia="zh-CN"/>
              </w:rPr>
              <w:t>后</w:t>
            </w:r>
            <w:r>
              <w:rPr>
                <w:rFonts w:hint="eastAsia" w:ascii="仿宋" w:hAnsi="仿宋" w:eastAsia="仿宋" w:cs="仿宋"/>
                <w:bCs/>
                <w:kern w:val="0"/>
                <w:sz w:val="24"/>
              </w:rPr>
              <w:t>，</w:t>
            </w:r>
            <w:r>
              <w:rPr>
                <w:rFonts w:hint="eastAsia" w:ascii="仿宋" w:hAnsi="仿宋" w:eastAsia="仿宋" w:cs="仿宋"/>
                <w:bCs/>
                <w:kern w:val="0"/>
                <w:sz w:val="24"/>
                <w:lang w:eastAsia="zh-CN"/>
              </w:rPr>
              <w:t>积极协调相关单位力争在</w:t>
            </w:r>
            <w:r>
              <w:rPr>
                <w:rFonts w:hint="eastAsia" w:ascii="仿宋" w:hAnsi="仿宋" w:eastAsia="仿宋" w:cs="仿宋"/>
                <w:bCs/>
                <w:kern w:val="0"/>
                <w:sz w:val="24"/>
              </w:rPr>
              <w:t>2025年完成</w:t>
            </w:r>
            <w:r>
              <w:rPr>
                <w:rFonts w:hint="eastAsia" w:ascii="仿宋" w:hAnsi="仿宋" w:eastAsia="仿宋" w:cs="仿宋"/>
                <w:bCs/>
                <w:kern w:val="0"/>
                <w:sz w:val="24"/>
                <w:lang w:eastAsia="zh-CN"/>
              </w:rPr>
              <w:t>前期手续</w:t>
            </w:r>
            <w:r>
              <w:rPr>
                <w:rFonts w:hint="eastAsia" w:ascii="仿宋" w:hAnsi="仿宋" w:eastAsia="仿宋" w:cs="仿宋"/>
                <w:bCs/>
                <w:kern w:val="0"/>
                <w:sz w:val="24"/>
              </w:rPr>
              <w:t>。通过充分发挥各地资源互补优势，开发个性化、订制化旅居养老产品，极大地丰富养老服务产品供给，为老年人提供更多样的养老服务。（见附件1重大项目清单序号11）</w:t>
            </w:r>
          </w:p>
          <w:p>
            <w:pPr>
              <w:widowControl/>
              <w:spacing w:line="360" w:lineRule="auto"/>
              <w:ind w:firstLine="480" w:firstLineChars="200"/>
              <w:jc w:val="left"/>
              <w:rPr>
                <w:rFonts w:ascii="仿宋" w:hAnsi="仿宋" w:eastAsia="仿宋" w:cs="仿宋"/>
                <w:kern w:val="0"/>
                <w:sz w:val="24"/>
              </w:rPr>
            </w:pPr>
            <w:r>
              <w:rPr>
                <w:rFonts w:hint="eastAsia" w:ascii="仿宋" w:hAnsi="仿宋" w:eastAsia="仿宋" w:cs="仿宋"/>
                <w:bCs/>
                <w:kern w:val="0"/>
                <w:sz w:val="24"/>
              </w:rPr>
              <w:t>深化“乡镇敬老院（养老照料中心）+村养老服务</w:t>
            </w:r>
            <w:r>
              <w:rPr>
                <w:rFonts w:hint="eastAsia" w:ascii="仿宋" w:hAnsi="仿宋" w:eastAsia="仿宋" w:cs="仿宋"/>
                <w:bCs/>
                <w:kern w:val="0"/>
                <w:sz w:val="24"/>
                <w:lang w:eastAsia="zh-CN"/>
              </w:rPr>
              <w:t>驿</w:t>
            </w:r>
            <w:r>
              <w:rPr>
                <w:rFonts w:hint="eastAsia" w:ascii="仿宋" w:hAnsi="仿宋" w:eastAsia="仿宋" w:cs="仿宋"/>
                <w:bCs/>
                <w:kern w:val="0"/>
                <w:sz w:val="24"/>
              </w:rPr>
              <w:t>站+</w:t>
            </w:r>
            <w:r>
              <w:rPr>
                <w:rFonts w:hint="eastAsia" w:ascii="仿宋" w:hAnsi="仿宋" w:eastAsia="仿宋" w:cs="仿宋"/>
                <w:bCs/>
                <w:kern w:val="0"/>
                <w:sz w:val="24"/>
                <w:lang w:eastAsia="zh-CN"/>
              </w:rPr>
              <w:t>邻里互助</w:t>
            </w:r>
            <w:r>
              <w:rPr>
                <w:rFonts w:hint="eastAsia" w:ascii="仿宋" w:hAnsi="仿宋" w:eastAsia="仿宋" w:cs="仿宋"/>
                <w:bCs/>
                <w:kern w:val="0"/>
                <w:sz w:val="24"/>
              </w:rPr>
              <w:t>点”的“以院统站带点”服务模式，乡镇敬老院（养老照料中心）可在本镇属地的多个村设置</w:t>
            </w:r>
            <w:r>
              <w:rPr>
                <w:rFonts w:hint="eastAsia" w:ascii="仿宋" w:hAnsi="仿宋" w:eastAsia="仿宋" w:cs="仿宋"/>
                <w:bCs/>
                <w:kern w:val="0"/>
                <w:sz w:val="24"/>
                <w:lang w:eastAsia="zh-CN"/>
              </w:rPr>
              <w:t>养老</w:t>
            </w:r>
            <w:r>
              <w:rPr>
                <w:rFonts w:hint="eastAsia" w:ascii="仿宋" w:hAnsi="仿宋" w:eastAsia="仿宋" w:cs="仿宋"/>
                <w:bCs/>
                <w:kern w:val="0"/>
                <w:sz w:val="24"/>
              </w:rPr>
              <w:t>服务</w:t>
            </w:r>
            <w:r>
              <w:rPr>
                <w:rFonts w:hint="eastAsia" w:ascii="仿宋" w:hAnsi="仿宋" w:eastAsia="仿宋" w:cs="仿宋"/>
                <w:bCs/>
                <w:kern w:val="0"/>
                <w:sz w:val="24"/>
                <w:lang w:eastAsia="zh-CN"/>
              </w:rPr>
              <w:t>驿</w:t>
            </w:r>
            <w:r>
              <w:rPr>
                <w:rFonts w:hint="eastAsia" w:ascii="仿宋" w:hAnsi="仿宋" w:eastAsia="仿宋" w:cs="仿宋"/>
                <w:bCs/>
                <w:kern w:val="0"/>
                <w:sz w:val="24"/>
              </w:rPr>
              <w:t>站，引进优秀品牌社会组织，通过政府购买服务配备专业人员，依托服务站实现入户服务，实现镇养老服务功能全覆盖。</w:t>
            </w:r>
          </w:p>
        </w:tc>
      </w:tr>
    </w:tbl>
    <w:p>
      <w:pPr>
        <w:rPr>
          <w:rFonts w:ascii="方正仿宋_GB2312" w:hAnsi="方正仿宋_GB2312" w:eastAsia="方正仿宋_GB2312" w:cs="方正仿宋_GB2312"/>
          <w:kern w:val="0"/>
          <w:sz w:val="32"/>
          <w:szCs w:val="32"/>
          <w:highlight w:val="lightGray"/>
        </w:rPr>
      </w:pPr>
    </w:p>
    <w:p>
      <w:pPr>
        <w:pStyle w:val="7"/>
        <w:spacing w:before="0" w:after="0"/>
        <w:ind w:firstLine="704"/>
        <w:rPr>
          <w:rFonts w:ascii="方正仿宋_GB2312" w:hAnsi="方正仿宋_GB2312" w:eastAsia="方正仿宋_GB2312" w:cs="方正仿宋_GB2312"/>
          <w:bCs w:val="0"/>
        </w:rPr>
      </w:pPr>
      <w:bookmarkStart w:id="90" w:name="_Toc2789"/>
      <w:bookmarkStart w:id="91" w:name="_Toc30478"/>
      <w:bookmarkStart w:id="92" w:name="_Toc100671615"/>
      <w:r>
        <w:rPr>
          <w:rFonts w:hint="eastAsia" w:ascii="方正仿宋_GB2312" w:hAnsi="方正仿宋_GB2312" w:eastAsia="方正仿宋_GB2312" w:cs="方正仿宋_GB2312"/>
          <w:bCs w:val="0"/>
        </w:rPr>
        <w:t>3.支持普惠性养老托育服务发展</w:t>
      </w:r>
      <w:bookmarkEnd w:id="90"/>
      <w:bookmarkEnd w:id="91"/>
      <w:bookmarkEnd w:id="92"/>
    </w:p>
    <w:p>
      <w:pPr>
        <w:ind w:firstLine="640" w:firstLineChars="200"/>
        <w:rPr>
          <w:rFonts w:ascii="方正仿宋_GB2312" w:hAnsi="方正仿宋_GB2312" w:eastAsia="方正仿宋_GB2312" w:cs="方正仿宋_GB2312"/>
          <w:kern w:val="0"/>
          <w:sz w:val="32"/>
          <w:szCs w:val="32"/>
        </w:rPr>
      </w:pPr>
      <w:r>
        <w:rPr>
          <w:rFonts w:hint="eastAsia" w:ascii="方正仿宋_GB2312" w:hAnsi="方正仿宋_GB2312" w:eastAsia="方正仿宋_GB2312" w:cs="方正仿宋_GB2312"/>
          <w:kern w:val="0"/>
          <w:sz w:val="32"/>
          <w:szCs w:val="32"/>
        </w:rPr>
        <w:t>深入实施</w:t>
      </w:r>
      <w:r>
        <w:rPr>
          <w:rFonts w:ascii="方正仿宋_GB2312" w:hAnsi="方正仿宋_GB2312" w:eastAsia="方正仿宋_GB2312" w:cs="方正仿宋_GB2312"/>
          <w:kern w:val="0"/>
          <w:sz w:val="32"/>
          <w:szCs w:val="32"/>
        </w:rPr>
        <w:t>城企联动普惠养老专项行动，</w:t>
      </w:r>
      <w:r>
        <w:rPr>
          <w:rFonts w:hint="eastAsia" w:ascii="方正仿宋_GB2312" w:hAnsi="方正仿宋_GB2312" w:eastAsia="方正仿宋_GB2312" w:cs="方正仿宋_GB2312"/>
          <w:kern w:val="0"/>
          <w:sz w:val="32"/>
          <w:szCs w:val="32"/>
        </w:rPr>
        <w:t>进一步扩大参与主体，</w:t>
      </w:r>
      <w:r>
        <w:rPr>
          <w:rFonts w:ascii="方正仿宋_GB2312" w:hAnsi="方正仿宋_GB2312" w:eastAsia="方正仿宋_GB2312" w:cs="方正仿宋_GB2312"/>
          <w:kern w:val="0"/>
          <w:sz w:val="32"/>
          <w:szCs w:val="32"/>
        </w:rPr>
        <w:t>综合运用规划、土地、住房、财政、投资、融资、人才等政策，支持社会力量建设高品质养老托育设施，</w:t>
      </w:r>
      <w:r>
        <w:rPr>
          <w:rFonts w:hint="eastAsia" w:ascii="方正仿宋_GB2312" w:hAnsi="方正仿宋_GB2312" w:eastAsia="方正仿宋_GB2312" w:cs="方正仿宋_GB2312"/>
          <w:kern w:val="0"/>
          <w:sz w:val="32"/>
          <w:szCs w:val="32"/>
        </w:rPr>
        <w:t>着力解决养老一床难求和普惠性托育服务供给不足问题，</w:t>
      </w:r>
      <w:r>
        <w:rPr>
          <w:rFonts w:ascii="方正仿宋_GB2312" w:hAnsi="方正仿宋_GB2312" w:eastAsia="方正仿宋_GB2312" w:cs="方正仿宋_GB2312"/>
          <w:kern w:val="0"/>
          <w:sz w:val="32"/>
          <w:szCs w:val="32"/>
        </w:rPr>
        <w:t>为社会提供</w:t>
      </w:r>
      <w:r>
        <w:rPr>
          <w:rFonts w:hint="eastAsia" w:ascii="方正仿宋_GB2312" w:hAnsi="方正仿宋_GB2312" w:eastAsia="方正仿宋_GB2312" w:cs="方正仿宋_GB2312"/>
          <w:kern w:val="0"/>
          <w:sz w:val="32"/>
          <w:szCs w:val="32"/>
        </w:rPr>
        <w:t>质量有保障、价格可承受、方便可及的养老托育服务。</w:t>
      </w:r>
      <w:r>
        <w:rPr>
          <w:rFonts w:ascii="方正仿宋_GB2312" w:hAnsi="方正仿宋_GB2312" w:eastAsia="方正仿宋_GB2312" w:cs="方正仿宋_GB2312"/>
          <w:kern w:val="0"/>
          <w:sz w:val="32"/>
          <w:szCs w:val="32"/>
        </w:rPr>
        <w:t>对公办养老机构实行建设成本标准指导和收费价格指导。使用财政性资金建设、公建民营或公助民营、非营利性</w:t>
      </w:r>
      <w:r>
        <w:rPr>
          <w:rFonts w:hint="eastAsia" w:ascii="方正仿宋_GB2312" w:hAnsi="方正仿宋_GB2312" w:eastAsia="方正仿宋_GB2312" w:cs="方正仿宋_GB2312"/>
          <w:kern w:val="0"/>
          <w:sz w:val="32"/>
          <w:szCs w:val="32"/>
          <w:lang w:val="en-US" w:eastAsia="zh-CN"/>
        </w:rPr>
        <w:t>的</w:t>
      </w:r>
      <w:r>
        <w:rPr>
          <w:rFonts w:ascii="方正仿宋_GB2312" w:hAnsi="方正仿宋_GB2312" w:eastAsia="方正仿宋_GB2312" w:cs="方正仿宋_GB2312"/>
          <w:kern w:val="0"/>
          <w:sz w:val="32"/>
          <w:szCs w:val="32"/>
        </w:rPr>
        <w:t>养老托育服务机构要以提供普惠服务为主。开展普惠养老托育示范工程，向社会推介一批优质机构和优秀品牌。</w:t>
      </w:r>
    </w:p>
    <w:p>
      <w:pPr>
        <w:pStyle w:val="7"/>
        <w:spacing w:before="0" w:after="0"/>
        <w:ind w:firstLine="704"/>
        <w:rPr>
          <w:rFonts w:ascii="方正仿宋_GB2312" w:hAnsi="方正仿宋_GB2312" w:eastAsia="方正仿宋_GB2312" w:cs="方正仿宋_GB2312"/>
          <w:bCs w:val="0"/>
        </w:rPr>
      </w:pPr>
      <w:bookmarkStart w:id="93" w:name="_Toc16470"/>
      <w:bookmarkStart w:id="94" w:name="_Toc100671616"/>
      <w:bookmarkStart w:id="95" w:name="_Toc8591"/>
      <w:r>
        <w:rPr>
          <w:rFonts w:hint="eastAsia" w:ascii="方正仿宋_GB2312" w:hAnsi="方正仿宋_GB2312" w:eastAsia="方正仿宋_GB2312" w:cs="方正仿宋_GB2312"/>
          <w:bCs w:val="0"/>
        </w:rPr>
        <w:t>4.增加养老服务市场化供给</w:t>
      </w:r>
      <w:bookmarkEnd w:id="93"/>
      <w:bookmarkEnd w:id="94"/>
      <w:bookmarkEnd w:id="95"/>
    </w:p>
    <w:p>
      <w:pPr>
        <w:spacing w:line="360" w:lineRule="auto"/>
        <w:ind w:firstLine="640" w:firstLineChars="200"/>
        <w:rPr>
          <w:rFonts w:ascii="方正仿宋_GB2312" w:hAnsi="方正仿宋_GB2312" w:eastAsia="方正仿宋_GB2312" w:cs="方正仿宋_GB2312"/>
          <w:kern w:val="0"/>
          <w:sz w:val="32"/>
          <w:szCs w:val="32"/>
        </w:rPr>
      </w:pPr>
      <w:r>
        <w:rPr>
          <w:rFonts w:hint="eastAsia" w:ascii="方正仿宋_GB2312" w:hAnsi="方正仿宋_GB2312" w:eastAsia="方正仿宋_GB2312" w:cs="方正仿宋_GB2312"/>
          <w:kern w:val="0"/>
          <w:sz w:val="32"/>
          <w:szCs w:val="32"/>
        </w:rPr>
        <w:t>推广东辛房街道区域养老服务设施连锁运营模式，辖区内养老服务驿站全部委托给镇街级养老照料中心运营，实现在辖区内以养老照料中心为依托，各养老服务驿站服务资源整合、服务功能互补、服务经验共享的区域连锁化运营格局。加强老年餐供给，拓宽社会资本投资参与建设渠道，养老服务机构、社会单位内部食堂、老年餐桌，以及面向社会提供养老助餐服务的社会餐饮企业等可成为养老助餐点，助餐机构享受</w:t>
      </w:r>
      <w:r>
        <w:rPr>
          <w:rFonts w:hint="eastAsia" w:ascii="方正仿宋_GB2312" w:hAnsi="方正仿宋_GB2312" w:eastAsia="方正仿宋_GB2312" w:cs="方正仿宋_GB2312"/>
          <w:kern w:val="0"/>
          <w:sz w:val="32"/>
          <w:szCs w:val="32"/>
          <w:lang w:eastAsia="zh-CN"/>
        </w:rPr>
        <w:t>服务</w:t>
      </w:r>
      <w:r>
        <w:rPr>
          <w:rFonts w:hint="eastAsia" w:ascii="方正仿宋_GB2312" w:hAnsi="方正仿宋_GB2312" w:eastAsia="方正仿宋_GB2312" w:cs="方正仿宋_GB2312"/>
          <w:kern w:val="0"/>
          <w:sz w:val="32"/>
          <w:szCs w:val="32"/>
        </w:rPr>
        <w:t>补贴。推进“物业服务+社区养老服务”模式，支持物业服务企业开展老年供餐、探视走访等形式多样的养老服务。</w:t>
      </w:r>
    </w:p>
    <w:p>
      <w:pPr>
        <w:pStyle w:val="7"/>
        <w:tabs>
          <w:tab w:val="left" w:pos="696"/>
        </w:tabs>
        <w:spacing w:before="0" w:after="0"/>
        <w:ind w:firstLine="643" w:firstLineChars="200"/>
        <w:rPr>
          <w:rFonts w:ascii="方正仿宋_GB2312" w:hAnsi="方正仿宋_GB2312" w:eastAsia="方正仿宋_GB2312" w:cs="方正仿宋_GB2312"/>
          <w:bCs w:val="0"/>
        </w:rPr>
      </w:pPr>
      <w:bookmarkStart w:id="96" w:name="_Toc100671617"/>
      <w:bookmarkStart w:id="97" w:name="_Toc9080"/>
      <w:bookmarkStart w:id="98" w:name="_Toc28242"/>
      <w:r>
        <w:rPr>
          <w:rFonts w:hint="eastAsia" w:ascii="方正仿宋_GB2312" w:hAnsi="方正仿宋_GB2312" w:eastAsia="方正仿宋_GB2312" w:cs="方正仿宋_GB2312"/>
          <w:bCs w:val="0"/>
        </w:rPr>
        <w:t>5.扩大普惠性托育服务供给</w:t>
      </w:r>
      <w:bookmarkEnd w:id="96"/>
      <w:bookmarkEnd w:id="97"/>
      <w:bookmarkEnd w:id="98"/>
    </w:p>
    <w:p>
      <w:pPr>
        <w:spacing w:line="360" w:lineRule="auto"/>
        <w:ind w:firstLine="640" w:firstLineChars="200"/>
        <w:rPr>
          <w:rFonts w:ascii="方正仿宋_GB2312" w:hAnsi="方正仿宋_GB2312" w:eastAsia="方正仿宋_GB2312" w:cs="方正仿宋_GB2312"/>
          <w:color w:val="auto"/>
          <w:kern w:val="0"/>
          <w:sz w:val="32"/>
          <w:szCs w:val="32"/>
        </w:rPr>
      </w:pPr>
      <w:r>
        <w:rPr>
          <w:rFonts w:hint="eastAsia" w:ascii="方正仿宋_GB2312" w:hAnsi="方正仿宋_GB2312" w:eastAsia="方正仿宋_GB2312" w:cs="方正仿宋_GB2312"/>
          <w:color w:val="auto"/>
          <w:kern w:val="0"/>
          <w:sz w:val="32"/>
          <w:szCs w:val="32"/>
        </w:rPr>
        <w:t>将托育服务纳入全区基本公共服务体系，多种途径增加托育服务的有效供给</w:t>
      </w:r>
      <w:bookmarkStart w:id="99" w:name="OLE_LINK10"/>
      <w:r>
        <w:rPr>
          <w:rFonts w:hint="eastAsia" w:ascii="方正仿宋_GB2312" w:hAnsi="方正仿宋_GB2312" w:eastAsia="方正仿宋_GB2312" w:cs="方正仿宋_GB2312"/>
          <w:color w:val="auto"/>
          <w:kern w:val="0"/>
          <w:sz w:val="32"/>
          <w:szCs w:val="32"/>
          <w:lang w:eastAsia="zh-CN"/>
        </w:rPr>
        <w:t>。</w:t>
      </w:r>
      <w:r>
        <w:rPr>
          <w:rFonts w:hint="eastAsia" w:ascii="方正仿宋_GB2312" w:hAnsi="方正仿宋_GB2312" w:eastAsia="方正仿宋_GB2312" w:cs="方正仿宋_GB2312"/>
          <w:color w:val="auto"/>
          <w:kern w:val="0"/>
          <w:sz w:val="32"/>
          <w:szCs w:val="32"/>
        </w:rPr>
        <w:t>鼓励和支持有条件的幼儿园在满足3-6岁儿童入园的基础上，利用空余学位开设托班招收2-3岁幼儿，</w:t>
      </w:r>
      <w:bookmarkEnd w:id="99"/>
      <w:r>
        <w:rPr>
          <w:rFonts w:hint="eastAsia" w:ascii="方正仿宋_GB2312" w:hAnsi="方正仿宋_GB2312" w:eastAsia="方正仿宋_GB2312" w:cs="方正仿宋_GB2312"/>
          <w:color w:val="auto"/>
          <w:kern w:val="0"/>
          <w:sz w:val="32"/>
          <w:szCs w:val="32"/>
        </w:rPr>
        <w:t>提供托育服务</w:t>
      </w:r>
      <w:r>
        <w:rPr>
          <w:rFonts w:hint="eastAsia" w:ascii="方正仿宋_GB2312" w:hAnsi="方正仿宋_GB2312" w:eastAsia="方正仿宋_GB2312" w:cs="方正仿宋_GB2312"/>
          <w:color w:val="auto"/>
          <w:kern w:val="0"/>
          <w:sz w:val="32"/>
          <w:szCs w:val="32"/>
          <w:vertAlign w:val="superscript"/>
        </w:rPr>
        <w:footnoteReference w:id="52"/>
      </w:r>
      <w:r>
        <w:rPr>
          <w:rFonts w:hint="eastAsia" w:ascii="方正仿宋_GB2312" w:hAnsi="方正仿宋_GB2312" w:eastAsia="方正仿宋_GB2312" w:cs="方正仿宋_GB2312"/>
          <w:color w:val="auto"/>
          <w:kern w:val="0"/>
          <w:sz w:val="32"/>
          <w:szCs w:val="32"/>
        </w:rPr>
        <w:t>。到2025年，全区婴幼儿照护服务发展的政策体系基本健全，在门城地区设立一个综合性婴幼儿照护服务指导中心，每个街道均建有不少于20个托位规模的托育服务机构</w:t>
      </w:r>
      <w:r>
        <w:rPr>
          <w:rFonts w:ascii="方正仿宋_GB2312" w:hAnsi="方正仿宋_GB2312" w:eastAsia="方正仿宋_GB2312" w:cs="方正仿宋_GB2312"/>
          <w:color w:val="auto"/>
          <w:kern w:val="0"/>
          <w:sz w:val="32"/>
          <w:szCs w:val="32"/>
        </w:rPr>
        <w:t>，辖区每千人口托位数达到4.5个</w:t>
      </w:r>
      <w:r>
        <w:rPr>
          <w:rFonts w:hint="eastAsia" w:ascii="方正仿宋_GB2312" w:hAnsi="方正仿宋_GB2312" w:eastAsia="方正仿宋_GB2312" w:cs="方正仿宋_GB2312"/>
          <w:color w:val="auto"/>
          <w:kern w:val="0"/>
          <w:sz w:val="32"/>
          <w:szCs w:val="32"/>
        </w:rPr>
        <w:t>（总数1767个托位）</w:t>
      </w:r>
      <w:r>
        <w:rPr>
          <w:rFonts w:ascii="方正仿宋_GB2312" w:hAnsi="方正仿宋_GB2312" w:eastAsia="方正仿宋_GB2312" w:cs="方正仿宋_GB2312"/>
          <w:color w:val="auto"/>
          <w:kern w:val="0"/>
          <w:sz w:val="32"/>
          <w:szCs w:val="32"/>
        </w:rPr>
        <w:t>。全市普惠托位数占比不低于60%</w:t>
      </w:r>
      <w:r>
        <w:rPr>
          <w:rFonts w:hint="eastAsia" w:ascii="方正仿宋_GB2312" w:hAnsi="方正仿宋_GB2312" w:eastAsia="方正仿宋_GB2312" w:cs="方正仿宋_GB2312"/>
          <w:color w:val="auto"/>
          <w:kern w:val="0"/>
          <w:sz w:val="32"/>
          <w:szCs w:val="32"/>
        </w:rPr>
        <w:t>（总数1061个普惠性托位），逐年新增一批普惠性托位。</w:t>
      </w:r>
    </w:p>
    <w:p>
      <w:pPr>
        <w:pStyle w:val="7"/>
        <w:spacing w:before="0" w:after="0"/>
        <w:ind w:firstLine="643" w:firstLineChars="200"/>
        <w:rPr>
          <w:rFonts w:ascii="方正仿宋_GB2312" w:hAnsi="方正仿宋_GB2312" w:eastAsia="方正仿宋_GB2312" w:cs="方正仿宋_GB2312"/>
          <w:bCs w:val="0"/>
        </w:rPr>
      </w:pPr>
      <w:bookmarkStart w:id="100" w:name="_Toc100671618"/>
      <w:bookmarkStart w:id="101" w:name="_Toc14309"/>
      <w:bookmarkStart w:id="102" w:name="_Toc27877"/>
      <w:r>
        <w:rPr>
          <w:rFonts w:hint="eastAsia" w:ascii="方正仿宋_GB2312" w:hAnsi="方正仿宋_GB2312" w:eastAsia="方正仿宋_GB2312" w:cs="方正仿宋_GB2312"/>
          <w:bCs w:val="0"/>
        </w:rPr>
        <w:t>6.支持</w:t>
      </w:r>
      <w:bookmarkStart w:id="103" w:name="OLE_LINK3"/>
      <w:r>
        <w:rPr>
          <w:rFonts w:hint="eastAsia" w:ascii="方正仿宋_GB2312" w:hAnsi="方正仿宋_GB2312" w:eastAsia="方正仿宋_GB2312" w:cs="方正仿宋_GB2312"/>
          <w:bCs w:val="0"/>
        </w:rPr>
        <w:t>社会力量开办托育服务</w:t>
      </w:r>
      <w:bookmarkEnd w:id="100"/>
      <w:bookmarkEnd w:id="101"/>
      <w:bookmarkEnd w:id="102"/>
      <w:bookmarkEnd w:id="103"/>
    </w:p>
    <w:p>
      <w:pPr>
        <w:widowControl/>
        <w:ind w:firstLine="640" w:firstLineChars="200"/>
        <w:rPr>
          <w:rFonts w:ascii="方正仿宋_GB2312" w:hAnsi="方正仿宋_GB2312" w:eastAsia="方正仿宋_GB2312" w:cs="方正仿宋_GB2312"/>
          <w:kern w:val="0"/>
          <w:sz w:val="32"/>
          <w:szCs w:val="32"/>
          <w:lang w:bidi="ar-SA"/>
        </w:rPr>
      </w:pPr>
      <w:r>
        <w:rPr>
          <w:rFonts w:hint="eastAsia" w:ascii="方正仿宋_GB2312" w:hAnsi="方正仿宋_GB2312" w:eastAsia="方正仿宋_GB2312" w:cs="方正仿宋_GB2312"/>
          <w:kern w:val="0"/>
          <w:sz w:val="32"/>
          <w:szCs w:val="32"/>
        </w:rPr>
        <w:t>努力</w:t>
      </w:r>
      <w:r>
        <w:rPr>
          <w:rFonts w:ascii="方正仿宋_GB2312" w:hAnsi="方正仿宋_GB2312" w:eastAsia="方正仿宋_GB2312" w:cs="方正仿宋_GB2312"/>
          <w:kern w:val="0"/>
          <w:sz w:val="32"/>
          <w:szCs w:val="32"/>
        </w:rPr>
        <w:t>争取积极应对人口老龄化重点联系城市、婴幼儿照护服务示范城市、活力发展城市等试点，</w:t>
      </w:r>
      <w:r>
        <w:rPr>
          <w:rFonts w:hint="eastAsia" w:ascii="方正仿宋_GB2312" w:hAnsi="方正仿宋_GB2312" w:eastAsia="方正仿宋_GB2312" w:cs="方正仿宋_GB2312"/>
          <w:kern w:val="0"/>
          <w:sz w:val="32"/>
          <w:szCs w:val="32"/>
        </w:rPr>
        <w:t>汲取</w:t>
      </w:r>
      <w:r>
        <w:rPr>
          <w:rFonts w:ascii="方正仿宋_GB2312" w:hAnsi="方正仿宋_GB2312" w:eastAsia="方正仿宋_GB2312" w:cs="方正仿宋_GB2312"/>
          <w:kern w:val="0"/>
          <w:sz w:val="32"/>
          <w:szCs w:val="32"/>
        </w:rPr>
        <w:t>各地可复制推广的先进经验。</w:t>
      </w:r>
      <w:r>
        <w:rPr>
          <w:rFonts w:hint="eastAsia" w:ascii="方正仿宋_GB2312" w:hAnsi="方正仿宋_GB2312" w:eastAsia="方正仿宋_GB2312" w:cs="方正仿宋_GB2312"/>
          <w:kern w:val="0"/>
          <w:sz w:val="32"/>
          <w:szCs w:val="32"/>
          <w:lang w:eastAsia="zh-CN" w:bidi="ar-SA"/>
        </w:rPr>
        <w:t>鼓励社会力量参与0-3岁婴幼儿照护服务改革与创新，提供差异化、</w:t>
      </w:r>
      <w:r>
        <w:rPr>
          <w:rFonts w:hint="eastAsia" w:ascii="方正仿宋_GB2312" w:hAnsi="方正仿宋_GB2312" w:eastAsia="方正仿宋_GB2312" w:cs="方正仿宋_GB2312"/>
          <w:color w:val="auto"/>
          <w:kern w:val="0"/>
          <w:sz w:val="32"/>
          <w:szCs w:val="32"/>
          <w:lang w:eastAsia="zh-CN" w:bidi="ar-SA"/>
        </w:rPr>
        <w:t>多样性、特色化</w:t>
      </w:r>
      <w:r>
        <w:rPr>
          <w:rFonts w:hint="eastAsia" w:ascii="方正仿宋_GB2312" w:hAnsi="方正仿宋_GB2312" w:eastAsia="方正仿宋_GB2312" w:cs="方正仿宋_GB2312"/>
          <w:color w:val="auto"/>
          <w:kern w:val="0"/>
          <w:sz w:val="32"/>
          <w:szCs w:val="32"/>
          <w:lang w:val="en-US" w:eastAsia="zh-CN" w:bidi="ar-SA"/>
        </w:rPr>
        <w:t>的</w:t>
      </w:r>
      <w:r>
        <w:rPr>
          <w:rFonts w:hint="eastAsia" w:ascii="方正仿宋_GB2312" w:hAnsi="方正仿宋_GB2312" w:eastAsia="方正仿宋_GB2312" w:cs="方正仿宋_GB2312"/>
          <w:color w:val="auto"/>
          <w:kern w:val="0"/>
          <w:sz w:val="32"/>
          <w:szCs w:val="32"/>
          <w:lang w:eastAsia="zh-CN" w:bidi="ar-SA"/>
        </w:rPr>
        <w:t>托育服务。</w:t>
      </w:r>
      <w:r>
        <w:rPr>
          <w:rFonts w:hint="eastAsia" w:ascii="方正仿宋_GB2312" w:hAnsi="方正仿宋_GB2312" w:eastAsia="方正仿宋_GB2312" w:cs="方正仿宋_GB2312"/>
          <w:color w:val="auto"/>
          <w:kern w:val="0"/>
          <w:sz w:val="32"/>
          <w:szCs w:val="32"/>
          <w:lang w:bidi="ar-SA"/>
        </w:rPr>
        <w:t>支持</w:t>
      </w:r>
      <w:r>
        <w:rPr>
          <w:rFonts w:hint="eastAsia" w:ascii="方正仿宋_GB2312" w:hAnsi="方正仿宋_GB2312" w:eastAsia="方正仿宋_GB2312" w:cs="方正仿宋_GB2312"/>
          <w:color w:val="auto"/>
          <w:kern w:val="0"/>
          <w:sz w:val="32"/>
          <w:szCs w:val="32"/>
          <w:lang w:eastAsia="zh-CN" w:bidi="ar-SA"/>
        </w:rPr>
        <w:t>京能集团等</w:t>
      </w:r>
      <w:bookmarkStart w:id="104" w:name="OLE_LINK5"/>
      <w:r>
        <w:rPr>
          <w:rFonts w:hint="eastAsia" w:ascii="方正仿宋_GB2312" w:hAnsi="方正仿宋_GB2312" w:eastAsia="方正仿宋_GB2312" w:cs="方正仿宋_GB2312"/>
          <w:color w:val="auto"/>
          <w:kern w:val="0"/>
          <w:sz w:val="32"/>
          <w:szCs w:val="32"/>
          <w:lang w:eastAsia="zh-CN" w:bidi="ar-SA"/>
        </w:rPr>
        <w:t>企事业单位、</w:t>
      </w:r>
      <w:r>
        <w:rPr>
          <w:rFonts w:hint="eastAsia" w:ascii="方正仿宋_GB2312" w:hAnsi="方正仿宋_GB2312" w:eastAsia="方正仿宋_GB2312" w:cs="方正仿宋_GB2312"/>
          <w:color w:val="auto"/>
          <w:kern w:val="0"/>
          <w:sz w:val="32"/>
          <w:szCs w:val="32"/>
          <w:lang w:bidi="ar-SA"/>
        </w:rPr>
        <w:t>产业园区等用人单位，</w:t>
      </w:r>
      <w:r>
        <w:rPr>
          <w:rFonts w:hint="eastAsia" w:ascii="方正仿宋_GB2312" w:hAnsi="方正仿宋_GB2312" w:eastAsia="方正仿宋_GB2312" w:cs="方正仿宋_GB2312"/>
          <w:color w:val="auto"/>
          <w:kern w:val="0"/>
          <w:sz w:val="32"/>
          <w:szCs w:val="32"/>
          <w:shd w:val="clear" w:color="auto" w:fill="auto"/>
        </w:rPr>
        <w:t>在工作场所为职工提供托育服务，</w:t>
      </w:r>
      <w:r>
        <w:rPr>
          <w:rFonts w:hint="eastAsia" w:ascii="方正仿宋_GB2312" w:hAnsi="方正仿宋_GB2312" w:eastAsia="方正仿宋_GB2312" w:cs="方正仿宋_GB2312"/>
          <w:color w:val="auto"/>
          <w:kern w:val="0"/>
          <w:sz w:val="32"/>
          <w:szCs w:val="32"/>
          <w:lang w:eastAsia="zh-CN" w:bidi="ar-SA"/>
        </w:rPr>
        <w:t>为职工建设福利性托育机构</w:t>
      </w:r>
      <w:bookmarkEnd w:id="104"/>
      <w:r>
        <w:rPr>
          <w:rFonts w:hint="eastAsia" w:ascii="方正仿宋_GB2312" w:hAnsi="方正仿宋_GB2312" w:eastAsia="方正仿宋_GB2312" w:cs="方正仿宋_GB2312"/>
          <w:color w:val="auto"/>
          <w:kern w:val="0"/>
          <w:sz w:val="32"/>
          <w:szCs w:val="32"/>
          <w:lang w:eastAsia="zh-CN" w:bidi="ar-SA"/>
        </w:rPr>
        <w:t>；支持社会力量举办面向社会大众的普惠性托育服务机构</w:t>
      </w:r>
      <w:r>
        <w:rPr>
          <w:rFonts w:hint="eastAsia" w:ascii="方正仿宋_GB2312" w:hAnsi="方正仿宋_GB2312" w:eastAsia="方正仿宋_GB2312" w:cs="方正仿宋_GB2312"/>
          <w:kern w:val="0"/>
          <w:sz w:val="32"/>
          <w:szCs w:val="32"/>
          <w:lang w:eastAsia="zh-CN" w:bidi="ar-SA"/>
        </w:rPr>
        <w:t>建设，提供全日托、半日托、计时托、临时托等多样化的托育服务。探索</w:t>
      </w:r>
      <w:r>
        <w:rPr>
          <w:rFonts w:hint="eastAsia" w:ascii="方正仿宋_GB2312" w:hAnsi="方正仿宋_GB2312" w:eastAsia="方正仿宋_GB2312" w:cs="方正仿宋_GB2312"/>
          <w:kern w:val="0"/>
          <w:sz w:val="32"/>
          <w:szCs w:val="32"/>
          <w:lang w:bidi="ar-SA"/>
        </w:rPr>
        <w:t>托育</w:t>
      </w:r>
      <w:r>
        <w:rPr>
          <w:rFonts w:hint="eastAsia" w:ascii="方正仿宋_GB2312" w:hAnsi="方正仿宋_GB2312" w:eastAsia="方正仿宋_GB2312" w:cs="方正仿宋_GB2312"/>
          <w:kern w:val="0"/>
          <w:sz w:val="32"/>
          <w:szCs w:val="32"/>
          <w:lang w:eastAsia="zh-CN" w:bidi="ar-SA"/>
        </w:rPr>
        <w:t>“1+N”模式，</w:t>
      </w:r>
      <w:r>
        <w:rPr>
          <w:rFonts w:hint="eastAsia" w:ascii="方正仿宋_GB2312" w:hAnsi="方正仿宋_GB2312" w:eastAsia="方正仿宋_GB2312" w:cs="方正仿宋_GB2312"/>
          <w:kern w:val="0"/>
          <w:sz w:val="32"/>
          <w:szCs w:val="32"/>
          <w:lang w:bidi="ar-SA"/>
        </w:rPr>
        <w:t>以一个市场托育服务机构，辐射“N”个</w:t>
      </w:r>
      <w:r>
        <w:rPr>
          <w:rFonts w:hint="eastAsia" w:ascii="方正仿宋_GB2312" w:hAnsi="方正仿宋_GB2312" w:eastAsia="方正仿宋_GB2312" w:cs="方正仿宋_GB2312"/>
          <w:kern w:val="0"/>
          <w:sz w:val="32"/>
          <w:szCs w:val="32"/>
          <w:lang w:eastAsia="zh-CN" w:bidi="ar-SA"/>
        </w:rPr>
        <w:t>软硬件同标准、连锁化的社区普惠</w:t>
      </w:r>
      <w:r>
        <w:rPr>
          <w:rFonts w:hint="eastAsia" w:ascii="方正仿宋_GB2312" w:hAnsi="方正仿宋_GB2312" w:eastAsia="方正仿宋_GB2312" w:cs="方正仿宋_GB2312"/>
          <w:kern w:val="0"/>
          <w:sz w:val="32"/>
          <w:szCs w:val="32"/>
          <w:lang w:bidi="ar-SA"/>
        </w:rPr>
        <w:t>托育机构</w:t>
      </w:r>
      <w:r>
        <w:rPr>
          <w:rFonts w:hint="eastAsia" w:ascii="方正仿宋_GB2312" w:hAnsi="方正仿宋_GB2312" w:eastAsia="方正仿宋_GB2312" w:cs="方正仿宋_GB2312"/>
          <w:kern w:val="0"/>
          <w:sz w:val="32"/>
          <w:szCs w:val="32"/>
          <w:lang w:eastAsia="zh-CN" w:bidi="ar-SA"/>
        </w:rPr>
        <w:t>。普惠</w:t>
      </w:r>
      <w:r>
        <w:rPr>
          <w:rFonts w:hint="eastAsia" w:ascii="方正仿宋_GB2312" w:hAnsi="方正仿宋_GB2312" w:eastAsia="方正仿宋_GB2312" w:cs="方正仿宋_GB2312"/>
          <w:kern w:val="0"/>
          <w:sz w:val="32"/>
          <w:szCs w:val="32"/>
          <w:lang w:bidi="ar-SA"/>
        </w:rPr>
        <w:t>托育机构</w:t>
      </w:r>
      <w:r>
        <w:rPr>
          <w:rFonts w:hint="eastAsia" w:ascii="方正仿宋_GB2312" w:hAnsi="方正仿宋_GB2312" w:eastAsia="方正仿宋_GB2312" w:cs="方正仿宋_GB2312"/>
          <w:kern w:val="0"/>
          <w:sz w:val="32"/>
          <w:szCs w:val="32"/>
          <w:lang w:eastAsia="zh-CN" w:bidi="ar-SA"/>
        </w:rPr>
        <w:t>不另设食堂</w:t>
      </w:r>
      <w:r>
        <w:rPr>
          <w:rFonts w:hint="eastAsia" w:ascii="方正仿宋_GB2312" w:hAnsi="方正仿宋_GB2312" w:eastAsia="方正仿宋_GB2312" w:cs="方正仿宋_GB2312"/>
          <w:kern w:val="0"/>
          <w:sz w:val="32"/>
          <w:szCs w:val="32"/>
          <w:lang w:bidi="ar-SA"/>
        </w:rPr>
        <w:t>、</w:t>
      </w:r>
      <w:r>
        <w:rPr>
          <w:rFonts w:hint="eastAsia" w:ascii="方正仿宋_GB2312" w:hAnsi="方正仿宋_GB2312" w:eastAsia="方正仿宋_GB2312" w:cs="方正仿宋_GB2312"/>
          <w:kern w:val="0"/>
          <w:sz w:val="32"/>
          <w:szCs w:val="32"/>
          <w:lang w:eastAsia="zh-CN" w:bidi="ar-SA"/>
        </w:rPr>
        <w:t>行政管理人员、统一师资调配等，在普惠</w:t>
      </w:r>
      <w:r>
        <w:rPr>
          <w:rFonts w:hint="eastAsia" w:ascii="方正仿宋_GB2312" w:hAnsi="方正仿宋_GB2312" w:eastAsia="方正仿宋_GB2312" w:cs="方正仿宋_GB2312"/>
          <w:kern w:val="0"/>
          <w:sz w:val="32"/>
          <w:szCs w:val="32"/>
          <w:lang w:bidi="ar-SA"/>
        </w:rPr>
        <w:t>托育机构的幼儿可享受普惠型托位价格。</w:t>
      </w:r>
    </w:p>
    <w:p>
      <w:pPr>
        <w:widowControl/>
        <w:ind w:firstLine="640" w:firstLineChars="200"/>
      </w:pPr>
      <w:r>
        <w:rPr>
          <w:rFonts w:hint="eastAsia" w:ascii="方正仿宋_GB2312" w:hAnsi="方正仿宋_GB2312" w:eastAsia="方正仿宋_GB2312" w:cs="方正仿宋_GB2312"/>
          <w:kern w:val="0"/>
          <w:sz w:val="32"/>
          <w:szCs w:val="32"/>
        </w:rPr>
        <w:t>支持符合条件的教育培训机构向托育机构转型，有意向转型升级的教培机构可根据国家住房和城乡建设部发布的《托儿所、幼儿园建筑设计规范（2019年版）》对机构园区进行合理规划、设计、装修，并依据国家卫生健康委印发的《托育机构设置标准（试行）》和《托育机构管理规范（试行）》规章制度，向区卫健</w:t>
      </w:r>
      <w:r>
        <w:rPr>
          <w:rFonts w:hint="eastAsia" w:ascii="方正仿宋_GB2312" w:hAnsi="方正仿宋_GB2312" w:eastAsia="方正仿宋_GB2312" w:cs="方正仿宋_GB2312"/>
          <w:kern w:val="0"/>
          <w:sz w:val="32"/>
          <w:szCs w:val="32"/>
          <w:lang w:eastAsia="zh-Hans"/>
        </w:rPr>
        <w:t>委</w:t>
      </w:r>
      <w:r>
        <w:rPr>
          <w:rFonts w:hint="eastAsia" w:ascii="方正仿宋_GB2312" w:hAnsi="方正仿宋_GB2312" w:eastAsia="方正仿宋_GB2312" w:cs="方正仿宋_GB2312"/>
          <w:kern w:val="0"/>
          <w:sz w:val="32"/>
          <w:szCs w:val="32"/>
        </w:rPr>
        <w:t>申请托育机构备案，在取得备案回执后开园招生。将婴幼儿早期教育课程体系与照护、养育以及潜能激发融为一体，给予孩子悉心照护和科学陪伴。</w:t>
      </w:r>
    </w:p>
    <w:p>
      <w:pPr>
        <w:ind w:firstLine="643" w:firstLineChars="200"/>
        <w:contextualSpacing/>
        <w:outlineLvl w:val="1"/>
        <w:rPr>
          <w:rFonts w:ascii="方正楷体_GB2312" w:hAnsi="方正楷体_GB2312" w:eastAsia="方正楷体_GB2312" w:cs="方正楷体_GB2312"/>
          <w:b/>
          <w:bCs/>
          <w:kern w:val="0"/>
          <w:sz w:val="32"/>
          <w:szCs w:val="32"/>
        </w:rPr>
      </w:pPr>
      <w:bookmarkStart w:id="105" w:name="_Toc100671619"/>
      <w:bookmarkStart w:id="106" w:name="_Toc9609"/>
      <w:bookmarkStart w:id="107" w:name="_Toc22103"/>
      <w:r>
        <w:rPr>
          <w:rFonts w:hint="eastAsia" w:ascii="方正楷体_GB2312" w:hAnsi="方正楷体_GB2312" w:eastAsia="方正楷体_GB2312" w:cs="方正楷体_GB2312"/>
          <w:b/>
          <w:bCs/>
          <w:kern w:val="0"/>
          <w:sz w:val="32"/>
          <w:szCs w:val="32"/>
        </w:rPr>
        <w:t>（</w:t>
      </w:r>
      <w:r>
        <w:rPr>
          <w:rFonts w:hint="eastAsia" w:ascii="方正楷体_GB2312" w:hAnsi="方正楷体_GB2312" w:eastAsia="方正楷体_GB2312" w:cs="方正楷体_GB2312"/>
          <w:b/>
          <w:bCs/>
          <w:kern w:val="0"/>
          <w:sz w:val="32"/>
          <w:szCs w:val="32"/>
          <w:lang w:val="en-US" w:eastAsia="zh-CN"/>
        </w:rPr>
        <w:t>九</w:t>
      </w:r>
      <w:r>
        <w:rPr>
          <w:rFonts w:hint="eastAsia" w:ascii="方正楷体_GB2312" w:hAnsi="方正楷体_GB2312" w:eastAsia="方正楷体_GB2312" w:cs="方正楷体_GB2312"/>
          <w:b/>
          <w:bCs/>
          <w:kern w:val="0"/>
          <w:sz w:val="32"/>
          <w:szCs w:val="32"/>
        </w:rPr>
        <w:t>）</w:t>
      </w:r>
      <w:r>
        <w:rPr>
          <w:rFonts w:hint="eastAsia" w:ascii="方正楷体_GB2312" w:hAnsi="方正楷体_GB2312" w:eastAsia="方正楷体_GB2312" w:cs="方正楷体_GB2312"/>
          <w:b/>
          <w:bCs/>
          <w:kern w:val="0"/>
          <w:sz w:val="32"/>
          <w:szCs w:val="32"/>
          <w:lang w:eastAsia="zh-CN"/>
        </w:rPr>
        <w:t>完善</w:t>
      </w:r>
      <w:r>
        <w:rPr>
          <w:rFonts w:hint="eastAsia" w:ascii="方正楷体_GB2312" w:hAnsi="方正楷体_GB2312" w:eastAsia="方正楷体_GB2312" w:cs="方正楷体_GB2312"/>
          <w:b/>
          <w:bCs/>
          <w:kern w:val="0"/>
          <w:sz w:val="32"/>
          <w:szCs w:val="32"/>
        </w:rPr>
        <w:t>养老托育健康服务体系</w:t>
      </w:r>
      <w:bookmarkEnd w:id="105"/>
      <w:bookmarkEnd w:id="106"/>
      <w:bookmarkEnd w:id="107"/>
    </w:p>
    <w:p>
      <w:pPr>
        <w:pStyle w:val="7"/>
        <w:spacing w:before="0" w:after="0"/>
        <w:ind w:firstLine="704"/>
        <w:rPr>
          <w:rFonts w:ascii="方正仿宋_GB2312" w:hAnsi="方正仿宋_GB2312" w:eastAsia="方正仿宋_GB2312" w:cs="方正仿宋_GB2312"/>
          <w:bCs w:val="0"/>
        </w:rPr>
      </w:pPr>
      <w:bookmarkStart w:id="108" w:name="_Toc100671620"/>
      <w:bookmarkStart w:id="109" w:name="_Toc28822"/>
      <w:bookmarkStart w:id="110" w:name="_Toc30135"/>
      <w:r>
        <w:rPr>
          <w:rFonts w:ascii="方正仿宋_GB2312" w:hAnsi="方正仿宋_GB2312" w:eastAsia="方正仿宋_GB2312" w:cs="方正仿宋_GB2312"/>
          <w:bCs w:val="0"/>
        </w:rPr>
        <w:t>1</w:t>
      </w:r>
      <w:r>
        <w:rPr>
          <w:rFonts w:hint="eastAsia" w:ascii="方正仿宋_GB2312" w:hAnsi="方正仿宋_GB2312" w:eastAsia="方正仿宋_GB2312" w:cs="方正仿宋_GB2312"/>
          <w:bCs w:val="0"/>
        </w:rPr>
        <w:t>.深化医养康养有机结合</w:t>
      </w:r>
      <w:bookmarkEnd w:id="108"/>
      <w:bookmarkEnd w:id="109"/>
      <w:bookmarkEnd w:id="110"/>
    </w:p>
    <w:p>
      <w:pPr>
        <w:spacing w:line="360" w:lineRule="auto"/>
        <w:ind w:firstLine="640" w:firstLineChars="200"/>
        <w:rPr>
          <w:rFonts w:ascii="方正仿宋_GB2312" w:hAnsi="方正仿宋_GB2312" w:eastAsia="方正仿宋_GB2312" w:cs="方正仿宋_GB2312"/>
          <w:kern w:val="0"/>
          <w:sz w:val="32"/>
          <w:szCs w:val="32"/>
        </w:rPr>
      </w:pPr>
      <w:r>
        <w:rPr>
          <w:rFonts w:hint="eastAsia" w:ascii="方正仿宋_GB2312" w:hAnsi="方正仿宋_GB2312" w:eastAsia="方正仿宋_GB2312" w:cs="方正仿宋_GB2312"/>
          <w:kern w:val="0"/>
          <w:sz w:val="32"/>
          <w:szCs w:val="32"/>
        </w:rPr>
        <w:t>统筹养老与医疗服务资源，鼓励医疗卫生机构、养老机构以多种形式开展合作，提供多样化、多层次的医养结合服务。完善医疗机构养老机构签约合作、养老机构设立医疗机构、医疗机构开展养老服务、医疗卫生服务延伸至社区家庭等医养结合服务模式。支持中医医疗机构、社区卫生服务中心、养老服务机构设立不同类型的中医药健康养老服务专区，提供诊疗、调理、咨询等相应的中医药健康养老服务。完善中医医疗机构与基层医疗卫生机构、养老机构的合作机制，促进优质中医药资源向社区、家庭延伸辐射，持续实施中医健康乡村活动。</w:t>
      </w:r>
    </w:p>
    <w:p>
      <w:pPr>
        <w:pStyle w:val="7"/>
        <w:spacing w:before="0" w:after="0"/>
        <w:ind w:firstLine="704"/>
        <w:rPr>
          <w:rFonts w:ascii="方正仿宋_GB2312" w:hAnsi="方正仿宋_GB2312" w:eastAsia="方正仿宋_GB2312" w:cs="方正仿宋_GB2312"/>
          <w:bCs w:val="0"/>
        </w:rPr>
      </w:pPr>
      <w:bookmarkStart w:id="111" w:name="_Toc100671621"/>
      <w:bookmarkStart w:id="112" w:name="_Toc4426"/>
      <w:bookmarkStart w:id="113" w:name="_Toc3686"/>
      <w:r>
        <w:rPr>
          <w:rFonts w:ascii="方正仿宋_GB2312" w:hAnsi="方正仿宋_GB2312" w:eastAsia="方正仿宋_GB2312" w:cs="方正仿宋_GB2312"/>
          <w:bCs w:val="0"/>
        </w:rPr>
        <w:t>2</w:t>
      </w:r>
      <w:r>
        <w:rPr>
          <w:rFonts w:hint="eastAsia" w:ascii="方正仿宋_GB2312" w:hAnsi="方正仿宋_GB2312" w:eastAsia="方正仿宋_GB2312" w:cs="方正仿宋_GB2312"/>
          <w:bCs w:val="0"/>
        </w:rPr>
        <w:t>.提高医疗卫生服务能力</w:t>
      </w:r>
      <w:bookmarkEnd w:id="111"/>
      <w:bookmarkEnd w:id="112"/>
      <w:bookmarkEnd w:id="113"/>
    </w:p>
    <w:p>
      <w:pPr>
        <w:spacing w:line="360" w:lineRule="auto"/>
        <w:ind w:firstLine="640" w:firstLineChars="200"/>
        <w:rPr>
          <w:rFonts w:ascii="方正仿宋_GB2312" w:hAnsi="方正仿宋_GB2312" w:eastAsia="方正仿宋_GB2312" w:cs="方正仿宋_GB2312"/>
          <w:kern w:val="0"/>
          <w:sz w:val="32"/>
          <w:szCs w:val="32"/>
        </w:rPr>
      </w:pPr>
      <w:r>
        <w:rPr>
          <w:rFonts w:hint="eastAsia" w:ascii="方正仿宋_GB2312" w:hAnsi="方正仿宋_GB2312" w:eastAsia="方正仿宋_GB2312" w:cs="方正仿宋_GB2312"/>
          <w:kern w:val="0"/>
          <w:sz w:val="32"/>
          <w:szCs w:val="32"/>
        </w:rPr>
        <w:t>高标准新建门头沟区医院，支持门头沟区医院和中医院创建三级医院。发挥区医院和京煤集团总医院的龙头带动作用，强化医联体建设，提升区域医疗服务能力，完善分级诊疗服务体系，畅通双向转诊通道。完善基层医疗卫生机构配置，推动社区卫生服务机构标准化建设，提升基层卫生服务能力，推动医疗资源下沉。</w:t>
      </w:r>
    </w:p>
    <w:p>
      <w:pPr>
        <w:pStyle w:val="7"/>
        <w:spacing w:before="0" w:after="0"/>
        <w:ind w:firstLine="704"/>
        <w:rPr>
          <w:rFonts w:ascii="方正仿宋_GB2312" w:hAnsi="方正仿宋_GB2312" w:eastAsia="方正仿宋_GB2312" w:cs="方正仿宋_GB2312"/>
          <w:bCs w:val="0"/>
        </w:rPr>
      </w:pPr>
      <w:bookmarkStart w:id="114" w:name="_Toc27371"/>
      <w:bookmarkStart w:id="115" w:name="_Toc100671622"/>
      <w:bookmarkStart w:id="116" w:name="_Toc10690"/>
      <w:r>
        <w:rPr>
          <w:rFonts w:ascii="方正仿宋_GB2312" w:hAnsi="方正仿宋_GB2312" w:eastAsia="方正仿宋_GB2312" w:cs="方正仿宋_GB2312"/>
          <w:bCs w:val="0"/>
        </w:rPr>
        <w:t>3</w:t>
      </w:r>
      <w:r>
        <w:rPr>
          <w:rFonts w:hint="eastAsia" w:ascii="方正仿宋_GB2312" w:hAnsi="方正仿宋_GB2312" w:eastAsia="方正仿宋_GB2312" w:cs="方正仿宋_GB2312"/>
          <w:bCs w:val="0"/>
        </w:rPr>
        <w:t>.加强老年人健康管理和服务</w:t>
      </w:r>
      <w:bookmarkEnd w:id="114"/>
      <w:bookmarkEnd w:id="115"/>
      <w:bookmarkEnd w:id="116"/>
    </w:p>
    <w:p>
      <w:pPr>
        <w:spacing w:line="360" w:lineRule="auto"/>
        <w:ind w:firstLine="640" w:firstLineChars="200"/>
        <w:rPr>
          <w:rFonts w:ascii="方正仿宋_GB2312" w:hAnsi="方正仿宋_GB2312" w:eastAsia="方正仿宋_GB2312" w:cs="方正仿宋_GB2312"/>
          <w:kern w:val="0"/>
          <w:sz w:val="32"/>
          <w:szCs w:val="32"/>
        </w:rPr>
      </w:pPr>
      <w:r>
        <w:rPr>
          <w:rFonts w:hint="eastAsia" w:ascii="方正仿宋_GB2312" w:hAnsi="方正仿宋_GB2312" w:eastAsia="方正仿宋_GB2312" w:cs="方正仿宋_GB2312"/>
          <w:kern w:val="0"/>
          <w:sz w:val="32"/>
          <w:szCs w:val="32"/>
        </w:rPr>
        <w:t>促进以家庭健康保健为基础</w:t>
      </w:r>
      <w:r>
        <w:rPr>
          <w:rFonts w:hint="eastAsia" w:ascii="方正仿宋_GB2312" w:hAnsi="方正仿宋_GB2312" w:eastAsia="方正仿宋_GB2312" w:cs="方正仿宋_GB2312"/>
          <w:kern w:val="0"/>
          <w:sz w:val="32"/>
          <w:szCs w:val="32"/>
          <w:lang w:eastAsia="zh-CN"/>
        </w:rPr>
        <w:t>、</w:t>
      </w:r>
      <w:r>
        <w:rPr>
          <w:rFonts w:hint="eastAsia" w:ascii="方正仿宋_GB2312" w:hAnsi="方正仿宋_GB2312" w:eastAsia="方正仿宋_GB2312" w:cs="方正仿宋_GB2312"/>
          <w:kern w:val="0"/>
          <w:sz w:val="32"/>
          <w:szCs w:val="32"/>
        </w:rPr>
        <w:t>社区提供服务为支持的老年卫生保健体系，为老年人家庭提供健康保健、心理辅导、康复训练、生活护理等咨询、培训、指导的支持性服务。健全安宁疗护服务体系，支持门头沟</w:t>
      </w:r>
      <w:r>
        <w:rPr>
          <w:rFonts w:hint="eastAsia" w:ascii="方正仿宋_GB2312" w:hAnsi="方正仿宋_GB2312" w:eastAsia="方正仿宋_GB2312" w:cs="方正仿宋_GB2312"/>
          <w:sz w:val="32"/>
          <w:szCs w:val="32"/>
          <w:lang w:val="en"/>
        </w:rPr>
        <w:t>区中医院建设安宁疗护中心，</w:t>
      </w:r>
      <w:r>
        <w:rPr>
          <w:rFonts w:hint="eastAsia" w:ascii="方正仿宋_GB2312" w:hAnsi="方正仿宋_GB2312" w:eastAsia="方正仿宋_GB2312" w:cs="方正仿宋_GB2312"/>
          <w:kern w:val="0"/>
          <w:sz w:val="32"/>
          <w:szCs w:val="32"/>
        </w:rPr>
        <w:t>提升临终患者生命尊严。全面开展老年友善医疗机构建设，为老年人就医提供便利。做实家庭医生签约服务，持续提升老年人健康管理服务率和服务质量，为65周岁及以上老年人提供医养结合服务和健康服务。开展老年人心理关爱项目，促进65周岁及以上人群老年期痴呆患病率增速下降。开展社区老年健康服务规范化建设，为辖区老人提供综合连续的健康服务，到2025年，社区卫生服务中心老年健康服务规范化达标率不低于85%；65岁及以上老年人城乡社区规范健康管理服务率达到65%；医疗卫生机构成为老年友善医疗机构占比达到85%。</w:t>
      </w:r>
    </w:p>
    <w:p>
      <w:pPr>
        <w:pStyle w:val="7"/>
        <w:spacing w:before="0" w:after="0"/>
        <w:ind w:firstLine="643" w:firstLineChars="200"/>
        <w:rPr>
          <w:rFonts w:ascii="方正仿宋_GB2312" w:hAnsi="方正仿宋_GB2312" w:eastAsia="方正仿宋_GB2312" w:cs="方正仿宋_GB2312"/>
          <w:bCs w:val="0"/>
        </w:rPr>
      </w:pPr>
      <w:bookmarkStart w:id="117" w:name="_Toc2552"/>
      <w:bookmarkStart w:id="118" w:name="_Toc9962"/>
      <w:bookmarkStart w:id="119" w:name="_Toc100671623"/>
      <w:r>
        <w:rPr>
          <w:rFonts w:hint="eastAsia" w:ascii="方正仿宋_GB2312" w:hAnsi="方正仿宋_GB2312" w:eastAsia="方正仿宋_GB2312" w:cs="方正仿宋_GB2312"/>
          <w:bCs w:val="0"/>
        </w:rPr>
        <w:t>4.提高妇女儿童医疗卫生服务能力</w:t>
      </w:r>
      <w:bookmarkEnd w:id="117"/>
      <w:bookmarkEnd w:id="118"/>
      <w:bookmarkEnd w:id="119"/>
    </w:p>
    <w:p>
      <w:pPr>
        <w:spacing w:line="360" w:lineRule="auto"/>
        <w:ind w:firstLine="640" w:firstLineChars="200"/>
      </w:pPr>
      <w:r>
        <w:rPr>
          <w:rFonts w:hint="eastAsia" w:ascii="方正仿宋_GB2312" w:hAnsi="仿宋" w:eastAsia="方正仿宋_GB2312" w:cs="仿宋"/>
          <w:kern w:val="0"/>
          <w:sz w:val="32"/>
          <w:szCs w:val="32"/>
          <w:lang w:bidi="ar"/>
        </w:rPr>
        <w:t>构建覆盖婚前、孕前、孕期、新生儿和儿童各阶段的出生缺陷防治体系。完善新生儿危重症救治、转诊网络。基层卫生机构每年为辖区内有需求的0-3岁常住儿童提供1-2</w:t>
      </w:r>
      <w:r>
        <w:rPr>
          <w:rFonts w:hint="eastAsia" w:ascii="方正仿宋_GB2312" w:hAnsi="仿宋" w:eastAsia="方正仿宋_GB2312" w:cs="仿宋"/>
          <w:kern w:val="0"/>
          <w:sz w:val="32"/>
          <w:szCs w:val="32"/>
          <w:lang w:eastAsia="zh-Hans" w:bidi="ar"/>
        </w:rPr>
        <w:t>次</w:t>
      </w:r>
      <w:r>
        <w:rPr>
          <w:rFonts w:hint="eastAsia" w:ascii="方正仿宋_GB2312" w:hAnsi="仿宋" w:eastAsia="方正仿宋_GB2312" w:cs="仿宋"/>
          <w:kern w:val="0"/>
          <w:sz w:val="32"/>
          <w:szCs w:val="32"/>
          <w:lang w:bidi="ar"/>
        </w:rPr>
        <w:t>中医调养服务。托育服务机构和医疗卫生机构开展婴幼儿健康管理和科学育儿知识普及等普惠性服务。推进“医育结合”，建设“家庭照护+托育机构照护+妇幼保健机构健康指导”的“医育结合”婴幼儿照护服务模式，为婴幼儿家庭提供新生儿访视、膳食营养指导、生长发育监测、预防接种、安全防护、疾病防控等服务。</w:t>
      </w:r>
      <w:r>
        <w:rPr>
          <w:rFonts w:hint="eastAsia" w:ascii="方正仿宋_GB2312" w:hAnsi="仿宋" w:eastAsia="方正仿宋_GB2312" w:cs="仿宋"/>
          <w:kern w:val="0"/>
          <w:sz w:val="32"/>
          <w:szCs w:val="32"/>
          <w:lang w:eastAsia="zh-Hans" w:bidi="ar"/>
        </w:rPr>
        <w:t>结合</w:t>
      </w:r>
      <w:r>
        <w:rPr>
          <w:rFonts w:hint="eastAsia" w:ascii="方正仿宋_GB2312" w:hAnsi="仿宋" w:eastAsia="方正仿宋_GB2312" w:cs="仿宋"/>
          <w:kern w:val="0"/>
          <w:sz w:val="32"/>
          <w:szCs w:val="32"/>
          <w:lang w:bidi="ar"/>
        </w:rPr>
        <w:t>“健康门头沟”建设，加强与北京儿童医院</w:t>
      </w:r>
      <w:r>
        <w:rPr>
          <w:rFonts w:hint="eastAsia" w:ascii="方正仿宋_GB2312" w:hAnsi="仿宋" w:eastAsia="方正仿宋_GB2312" w:cs="仿宋"/>
          <w:kern w:val="0"/>
          <w:sz w:val="32"/>
          <w:szCs w:val="32"/>
          <w:lang w:eastAsia="zh-Hans" w:bidi="ar"/>
        </w:rPr>
        <w:t>、</w:t>
      </w:r>
      <w:r>
        <w:rPr>
          <w:rFonts w:hint="eastAsia" w:hAnsi="华文仿宋" w:eastAsia="方正仿宋_GB2312" w:cs="汉仪雅酷黑简"/>
          <w:kern w:val="0"/>
          <w:sz w:val="32"/>
        </w:rPr>
        <w:t>首都医科大学</w:t>
      </w:r>
      <w:r>
        <w:rPr>
          <w:rFonts w:hint="eastAsia" w:ascii="方正仿宋_GB2312" w:hAnsi="仿宋" w:eastAsia="方正仿宋_GB2312" w:cs="仿宋"/>
          <w:kern w:val="0"/>
          <w:sz w:val="32"/>
          <w:szCs w:val="32"/>
          <w:lang w:bidi="ar"/>
        </w:rPr>
        <w:t>等优质资源合作对接，积极推进研究型医院建设</w:t>
      </w:r>
      <w:r>
        <w:rPr>
          <w:rFonts w:hint="eastAsia" w:ascii="方正仿宋_GB2312" w:hAnsi="仿宋" w:eastAsia="方正仿宋_GB2312" w:cs="仿宋"/>
          <w:kern w:val="0"/>
          <w:sz w:val="32"/>
          <w:szCs w:val="32"/>
          <w:lang w:eastAsia="zh-Hans" w:bidi="ar"/>
        </w:rPr>
        <w:t>，</w:t>
      </w:r>
      <w:r>
        <w:rPr>
          <w:rFonts w:ascii="方正仿宋_GB2312" w:hAnsi="华文仿宋" w:eastAsia="方正仿宋_GB2312" w:cs="汉仪雅酷黑简"/>
          <w:kern w:val="0"/>
          <w:sz w:val="32"/>
          <w:szCs w:val="32"/>
        </w:rPr>
        <w:t>加强</w:t>
      </w:r>
      <w:r>
        <w:rPr>
          <w:rFonts w:hint="eastAsia" w:ascii="方正仿宋_GB2312" w:hAnsi="华文仿宋" w:eastAsia="方正仿宋_GB2312" w:cs="汉仪雅酷黑简"/>
          <w:kern w:val="0"/>
          <w:sz w:val="32"/>
          <w:szCs w:val="32"/>
        </w:rPr>
        <w:t>二级及以上综合医院儿童</w:t>
      </w:r>
      <w:r>
        <w:rPr>
          <w:rFonts w:ascii="方正仿宋_GB2312" w:hAnsi="华文仿宋" w:eastAsia="方正仿宋_GB2312" w:cs="汉仪雅酷黑简"/>
          <w:kern w:val="0"/>
          <w:sz w:val="32"/>
          <w:szCs w:val="32"/>
        </w:rPr>
        <w:t>专科</w:t>
      </w:r>
      <w:r>
        <w:rPr>
          <w:rFonts w:hint="eastAsia" w:ascii="方正仿宋_GB2312" w:hAnsi="华文仿宋" w:eastAsia="方正仿宋_GB2312" w:cs="汉仪雅酷黑简"/>
          <w:kern w:val="0"/>
          <w:sz w:val="32"/>
          <w:szCs w:val="32"/>
        </w:rPr>
        <w:t>（新生儿科）</w:t>
      </w:r>
      <w:r>
        <w:rPr>
          <w:rFonts w:ascii="方正仿宋_GB2312" w:hAnsi="华文仿宋" w:eastAsia="方正仿宋_GB2312" w:cs="汉仪雅酷黑简"/>
          <w:kern w:val="0"/>
          <w:sz w:val="32"/>
          <w:szCs w:val="32"/>
        </w:rPr>
        <w:t>建设，加强儿科</w:t>
      </w:r>
      <w:r>
        <w:rPr>
          <w:rFonts w:hint="eastAsia" w:ascii="方正仿宋_GB2312" w:hAnsi="华文仿宋" w:eastAsia="方正仿宋_GB2312" w:cs="汉仪雅酷黑简"/>
          <w:kern w:val="0"/>
          <w:sz w:val="32"/>
          <w:szCs w:val="32"/>
        </w:rPr>
        <w:t>（新生儿科）</w:t>
      </w:r>
      <w:r>
        <w:rPr>
          <w:rFonts w:ascii="方正仿宋_GB2312" w:hAnsi="华文仿宋" w:eastAsia="方正仿宋_GB2312" w:cs="汉仪雅酷黑简"/>
          <w:kern w:val="0"/>
          <w:sz w:val="32"/>
          <w:szCs w:val="32"/>
        </w:rPr>
        <w:t>医师的培养，满足</w:t>
      </w:r>
      <w:r>
        <w:rPr>
          <w:rFonts w:hint="eastAsia" w:ascii="方正仿宋_GB2312" w:hAnsi="华文仿宋" w:eastAsia="方正仿宋_GB2312" w:cs="汉仪雅酷黑简"/>
          <w:kern w:val="0"/>
          <w:sz w:val="32"/>
          <w:szCs w:val="32"/>
        </w:rPr>
        <w:t>儿科</w:t>
      </w:r>
      <w:r>
        <w:rPr>
          <w:rFonts w:ascii="方正仿宋_GB2312" w:hAnsi="华文仿宋" w:eastAsia="方正仿宋_GB2312" w:cs="汉仪雅酷黑简"/>
          <w:kern w:val="0"/>
          <w:sz w:val="32"/>
          <w:szCs w:val="32"/>
        </w:rPr>
        <w:t>常见病的诊断和</w:t>
      </w:r>
      <w:r>
        <w:rPr>
          <w:rFonts w:hint="eastAsia" w:ascii="方正仿宋_GB2312" w:hAnsi="华文仿宋" w:eastAsia="方正仿宋_GB2312" w:cs="汉仪雅酷黑简"/>
          <w:kern w:val="0"/>
          <w:sz w:val="32"/>
          <w:szCs w:val="32"/>
        </w:rPr>
        <w:t>治疗</w:t>
      </w:r>
      <w:r>
        <w:rPr>
          <w:rFonts w:ascii="方正仿宋_GB2312" w:hAnsi="华文仿宋" w:eastAsia="方正仿宋_GB2312" w:cs="汉仪雅酷黑简"/>
          <w:kern w:val="0"/>
          <w:sz w:val="32"/>
          <w:szCs w:val="32"/>
        </w:rPr>
        <w:t>需求</w:t>
      </w:r>
      <w:r>
        <w:rPr>
          <w:rFonts w:hint="eastAsia" w:ascii="方正仿宋_GB2312" w:hAnsi="华文仿宋" w:eastAsia="方正仿宋_GB2312" w:cs="汉仪雅酷黑简"/>
          <w:kern w:val="0"/>
          <w:sz w:val="32"/>
          <w:szCs w:val="32"/>
          <w:lang w:eastAsia="zh-Hans"/>
        </w:rPr>
        <w:t>。</w:t>
      </w:r>
      <w:r>
        <w:rPr>
          <w:rFonts w:hint="eastAsia" w:ascii="方正仿宋_GB2312" w:hAnsi="华文仿宋" w:eastAsia="方正仿宋_GB2312" w:cs="汉仪雅酷黑简"/>
          <w:kern w:val="0"/>
          <w:sz w:val="32"/>
          <w:szCs w:val="32"/>
        </w:rPr>
        <w:t>围绕生命全周期开展好妇女儿童健康管理服务，巩固爱婴医院创建成果，</w:t>
      </w:r>
      <w:r>
        <w:rPr>
          <w:rFonts w:ascii="方正仿宋_GB2312" w:hAnsi="华文仿宋" w:eastAsia="方正仿宋_GB2312" w:cs="汉仪雅酷黑简"/>
          <w:kern w:val="0"/>
          <w:sz w:val="32"/>
          <w:szCs w:val="32"/>
        </w:rPr>
        <w:t>以爱婴医院和爱婴社区为基础，</w:t>
      </w:r>
      <w:r>
        <w:rPr>
          <w:rFonts w:hint="eastAsia" w:ascii="方正仿宋_GB2312" w:hAnsi="华文仿宋" w:eastAsia="方正仿宋_GB2312" w:cs="汉仪雅酷黑简"/>
          <w:kern w:val="0"/>
          <w:sz w:val="32"/>
          <w:szCs w:val="32"/>
        </w:rPr>
        <w:t>提升妇女儿童健康水平。</w:t>
      </w:r>
    </w:p>
    <w:p>
      <w:pPr>
        <w:pStyle w:val="7"/>
        <w:spacing w:before="0" w:after="0"/>
        <w:ind w:firstLine="643" w:firstLineChars="200"/>
        <w:rPr>
          <w:rFonts w:ascii="方正仿宋_GB2312" w:hAnsi="方正仿宋_GB2312" w:eastAsia="方正仿宋_GB2312" w:cs="方正仿宋_GB2312"/>
          <w:bCs w:val="0"/>
        </w:rPr>
      </w:pPr>
      <w:bookmarkStart w:id="120" w:name="_Toc24678"/>
      <w:bookmarkStart w:id="121" w:name="_Toc100671624"/>
      <w:bookmarkStart w:id="122" w:name="_Toc28285"/>
      <w:r>
        <w:rPr>
          <w:rFonts w:hint="eastAsia" w:ascii="方正仿宋_GB2312" w:hAnsi="方正仿宋_GB2312" w:eastAsia="方正仿宋_GB2312" w:cs="方正仿宋_GB2312"/>
          <w:bCs w:val="0"/>
        </w:rPr>
        <w:t>5.加强儿童健康管理和服务</w:t>
      </w:r>
      <w:bookmarkEnd w:id="120"/>
      <w:bookmarkEnd w:id="121"/>
      <w:bookmarkEnd w:id="122"/>
    </w:p>
    <w:p>
      <w:pPr>
        <w:widowControl/>
        <w:ind w:firstLine="640" w:firstLineChars="200"/>
      </w:pPr>
      <w:r>
        <w:rPr>
          <w:rFonts w:hint="eastAsia" w:ascii="方正仿宋_GB2312" w:hAnsi="仿宋" w:eastAsia="方正仿宋_GB2312" w:cs="仿宋"/>
          <w:kern w:val="0"/>
          <w:sz w:val="32"/>
          <w:szCs w:val="32"/>
          <w:lang w:bidi="ar"/>
        </w:rPr>
        <w:t>建立健全儿童健康教育体系，普及儿童健康知识，普及学龄前儿童每日不同强度的运动时间不少于180分钟，中等强度及以上的运动时间不少于60分钟等科普知识。树立儿童建立正确健康观，预防和减少儿童疾病发生。各</w:t>
      </w:r>
      <w:r>
        <w:rPr>
          <w:rFonts w:hint="eastAsia" w:ascii="方正仿宋_GB2312" w:hAnsi="仿宋" w:eastAsia="方正仿宋_GB2312" w:cs="仿宋"/>
          <w:kern w:val="0"/>
          <w:sz w:val="32"/>
          <w:szCs w:val="32"/>
          <w:lang w:val="en-US" w:eastAsia="zh-CN" w:bidi="ar"/>
        </w:rPr>
        <w:t>社区</w:t>
      </w:r>
      <w:r>
        <w:rPr>
          <w:rFonts w:hint="eastAsia" w:ascii="方正仿宋_GB2312" w:hAnsi="仿宋" w:eastAsia="方正仿宋_GB2312" w:cs="仿宋"/>
          <w:kern w:val="0"/>
          <w:sz w:val="32"/>
          <w:szCs w:val="32"/>
          <w:lang w:bidi="ar"/>
        </w:rPr>
        <w:t>卫生</w:t>
      </w:r>
      <w:r>
        <w:rPr>
          <w:rFonts w:hint="eastAsia" w:ascii="方正仿宋_GB2312" w:hAnsi="仿宋" w:eastAsia="方正仿宋_GB2312" w:cs="仿宋"/>
          <w:kern w:val="0"/>
          <w:sz w:val="32"/>
          <w:szCs w:val="32"/>
          <w:lang w:val="en-US" w:eastAsia="zh-CN" w:bidi="ar"/>
        </w:rPr>
        <w:t>服务中心</w:t>
      </w:r>
      <w:r>
        <w:rPr>
          <w:rFonts w:hint="eastAsia" w:ascii="方正仿宋_GB2312" w:hAnsi="仿宋" w:eastAsia="方正仿宋_GB2312" w:cs="仿宋"/>
          <w:kern w:val="0"/>
          <w:sz w:val="32"/>
          <w:szCs w:val="32"/>
          <w:lang w:bidi="ar"/>
        </w:rPr>
        <w:t>和妇幼保健院免费开展包括听力筛查、视力筛查、脑发育五项筛查和全身运动质量评估等工作。到2025年，儿童健康促进服务体系基本建立，新生儿、婴儿和5岁以下儿童死亡率分别降至2‰、3‰和4‰以下，新生儿访视、膳食营养、生长发育、预防接种、安全防护、疾病防控等基本公共服务覆盖面提升至100%。</w:t>
      </w:r>
    </w:p>
    <w:p>
      <w:pPr>
        <w:spacing w:line="360" w:lineRule="auto"/>
        <w:ind w:firstLine="643" w:firstLineChars="200"/>
        <w:outlineLvl w:val="1"/>
        <w:rPr>
          <w:rFonts w:ascii="方正楷体_GB2312" w:hAnsi="方正楷体_GB2312" w:eastAsia="方正楷体_GB2312" w:cs="方正楷体_GB2312"/>
          <w:b/>
          <w:bCs/>
          <w:kern w:val="0"/>
          <w:sz w:val="32"/>
          <w:szCs w:val="32"/>
        </w:rPr>
      </w:pPr>
      <w:bookmarkStart w:id="123" w:name="_Toc102979026"/>
      <w:bookmarkStart w:id="124" w:name="_Toc25217"/>
      <w:bookmarkStart w:id="125" w:name="_Toc100671625"/>
      <w:bookmarkStart w:id="126" w:name="_Toc3613"/>
      <w:r>
        <w:rPr>
          <w:rFonts w:hint="eastAsia" w:ascii="方正楷体_GB2312" w:hAnsi="方正楷体_GB2312" w:eastAsia="方正楷体_GB2312" w:cs="方正楷体_GB2312"/>
          <w:b/>
          <w:bCs/>
          <w:kern w:val="0"/>
          <w:sz w:val="32"/>
          <w:szCs w:val="32"/>
        </w:rPr>
        <w:t>（</w:t>
      </w:r>
      <w:r>
        <w:rPr>
          <w:rFonts w:hint="eastAsia" w:ascii="方正楷体_GB2312" w:hAnsi="方正楷体_GB2312" w:eastAsia="方正楷体_GB2312" w:cs="方正楷体_GB2312"/>
          <w:b/>
          <w:bCs/>
          <w:kern w:val="0"/>
          <w:sz w:val="32"/>
          <w:szCs w:val="32"/>
          <w:lang w:val="en-US" w:eastAsia="zh-CN"/>
        </w:rPr>
        <w:t>十</w:t>
      </w:r>
      <w:r>
        <w:rPr>
          <w:rFonts w:hint="eastAsia" w:ascii="方正楷体_GB2312" w:hAnsi="方正楷体_GB2312" w:eastAsia="方正楷体_GB2312" w:cs="方正楷体_GB2312"/>
          <w:b/>
          <w:bCs/>
          <w:kern w:val="0"/>
          <w:sz w:val="32"/>
          <w:szCs w:val="32"/>
        </w:rPr>
        <w:t>）</w:t>
      </w:r>
      <w:bookmarkEnd w:id="123"/>
      <w:bookmarkEnd w:id="124"/>
      <w:bookmarkEnd w:id="125"/>
      <w:bookmarkStart w:id="127" w:name="_Toc100671628"/>
      <w:bookmarkStart w:id="128" w:name="_Toc15045"/>
      <w:r>
        <w:rPr>
          <w:rFonts w:hint="eastAsia" w:ascii="方正楷体_GB2312" w:hAnsi="方正楷体_GB2312" w:eastAsia="方正楷体_GB2312" w:cs="方正楷体_GB2312"/>
          <w:b/>
          <w:bCs/>
          <w:kern w:val="0"/>
          <w:sz w:val="32"/>
          <w:szCs w:val="32"/>
        </w:rPr>
        <w:t>打造京西养老托育人才培养体系</w:t>
      </w:r>
      <w:bookmarkEnd w:id="126"/>
      <w:bookmarkEnd w:id="127"/>
      <w:bookmarkEnd w:id="128"/>
    </w:p>
    <w:p>
      <w:pPr>
        <w:pStyle w:val="7"/>
        <w:spacing w:before="0" w:after="0"/>
        <w:ind w:firstLine="704"/>
        <w:rPr>
          <w:rFonts w:ascii="方正仿宋_GB2312" w:hAnsi="方正仿宋_GB2312" w:eastAsia="方正仿宋_GB2312" w:cs="方正仿宋_GB2312"/>
          <w:bCs w:val="0"/>
        </w:rPr>
      </w:pPr>
      <w:bookmarkStart w:id="129" w:name="_Toc28517"/>
      <w:bookmarkStart w:id="130" w:name="_Toc100671629"/>
      <w:bookmarkStart w:id="131" w:name="_Toc27931"/>
      <w:r>
        <w:rPr>
          <w:rFonts w:hint="eastAsia" w:ascii="方正仿宋_GB2312" w:hAnsi="方正仿宋_GB2312" w:eastAsia="方正仿宋_GB2312" w:cs="方正仿宋_GB2312"/>
          <w:bCs w:val="0"/>
        </w:rPr>
        <w:t>1.强化养老在职人员技能培训</w:t>
      </w:r>
      <w:bookmarkEnd w:id="129"/>
      <w:bookmarkEnd w:id="130"/>
      <w:bookmarkEnd w:id="131"/>
    </w:p>
    <w:p>
      <w:pPr>
        <w:ind w:firstLine="640" w:firstLineChars="200"/>
        <w:rPr>
          <w:rFonts w:ascii="方正仿宋_GB2312" w:hAnsi="方正仿宋_GB2312" w:eastAsia="方正仿宋_GB2312" w:cs="方正仿宋_GB2312"/>
          <w:kern w:val="0"/>
          <w:sz w:val="32"/>
          <w:szCs w:val="32"/>
        </w:rPr>
      </w:pPr>
      <w:r>
        <w:rPr>
          <w:rFonts w:hint="eastAsia" w:ascii="方正仿宋_GB2312" w:hAnsi="方正仿宋_GB2312" w:eastAsia="方正仿宋_GB2312" w:cs="方正仿宋_GB2312"/>
          <w:kern w:val="0"/>
          <w:sz w:val="32"/>
          <w:szCs w:val="32"/>
        </w:rPr>
        <w:t>加强养老服务从业人员技能培训。制定实施养老服务人才培养培训实施办法，实施养老护理员技能提升专项行动。完善养老服务网上培训平台及课程，面向养老护理员、家庭照护者、社会工作者以及志愿者开展线上与线下相结合培训。构建养老在职人员多元评价体系，形成政府支</w:t>
      </w:r>
      <w:r>
        <w:rPr>
          <w:rFonts w:hint="eastAsia" w:ascii="方正仿宋_GB2312" w:hAnsi="方正仿宋_GB2312" w:eastAsia="方正仿宋_GB2312" w:cs="方正仿宋_GB2312"/>
          <w:kern w:val="0"/>
          <w:sz w:val="32"/>
          <w:szCs w:val="32"/>
          <w:lang w:eastAsia="zh-CN"/>
        </w:rPr>
        <w:t>、</w:t>
      </w:r>
      <w:r>
        <w:rPr>
          <w:rFonts w:hint="eastAsia" w:ascii="方正仿宋_GB2312" w:hAnsi="方正仿宋_GB2312" w:eastAsia="方正仿宋_GB2312" w:cs="方正仿宋_GB2312"/>
          <w:kern w:val="0"/>
          <w:sz w:val="32"/>
          <w:szCs w:val="32"/>
        </w:rPr>
        <w:t>行业（企业）为主体</w:t>
      </w:r>
      <w:r>
        <w:rPr>
          <w:rFonts w:hint="eastAsia" w:ascii="方正仿宋_GB2312" w:hAnsi="方正仿宋_GB2312" w:eastAsia="方正仿宋_GB2312" w:cs="方正仿宋_GB2312"/>
          <w:kern w:val="0"/>
          <w:sz w:val="32"/>
          <w:szCs w:val="32"/>
          <w:lang w:eastAsia="zh-CN"/>
        </w:rPr>
        <w:t>、</w:t>
      </w:r>
      <w:r>
        <w:rPr>
          <w:rFonts w:hint="eastAsia" w:ascii="方正仿宋_GB2312" w:hAnsi="方正仿宋_GB2312" w:eastAsia="方正仿宋_GB2312" w:cs="方正仿宋_GB2312"/>
          <w:kern w:val="0"/>
          <w:sz w:val="32"/>
          <w:szCs w:val="32"/>
        </w:rPr>
        <w:t>社会多方参与的服务评价体系。</w:t>
      </w:r>
    </w:p>
    <w:p>
      <w:pPr>
        <w:pStyle w:val="7"/>
        <w:spacing w:before="0" w:after="0"/>
        <w:ind w:firstLine="704"/>
        <w:rPr>
          <w:rFonts w:ascii="方正仿宋_GB2312" w:hAnsi="方正仿宋_GB2312" w:eastAsia="方正仿宋_GB2312" w:cs="方正仿宋_GB2312"/>
          <w:bCs w:val="0"/>
        </w:rPr>
      </w:pPr>
      <w:bookmarkStart w:id="132" w:name="_Toc21492"/>
      <w:bookmarkStart w:id="133" w:name="_Toc100671630"/>
      <w:bookmarkStart w:id="134" w:name="_Toc3334"/>
      <w:r>
        <w:rPr>
          <w:rFonts w:hint="eastAsia" w:ascii="方正仿宋_GB2312" w:hAnsi="方正仿宋_GB2312" w:eastAsia="方正仿宋_GB2312" w:cs="方正仿宋_GB2312"/>
          <w:bCs w:val="0"/>
        </w:rPr>
        <w:t>2.完善人才激励保障政策</w:t>
      </w:r>
      <w:bookmarkEnd w:id="132"/>
      <w:bookmarkEnd w:id="133"/>
      <w:bookmarkEnd w:id="134"/>
    </w:p>
    <w:p>
      <w:pPr>
        <w:ind w:firstLine="640" w:firstLineChars="200"/>
        <w:rPr>
          <w:rFonts w:ascii="方正仿宋_GB2312" w:hAnsi="仿宋" w:eastAsia="方正仿宋_GB2312" w:cs="仿宋"/>
          <w:sz w:val="32"/>
          <w:szCs w:val="32"/>
          <w:shd w:val="clear" w:color="auto" w:fill="FFFFFF"/>
          <w:lang w:bidi="ar"/>
        </w:rPr>
      </w:pPr>
      <w:r>
        <w:rPr>
          <w:rFonts w:hint="eastAsia" w:ascii="方正仿宋_GB2312" w:hAnsi="仿宋" w:eastAsia="方正仿宋_GB2312" w:cs="仿宋"/>
          <w:sz w:val="32"/>
          <w:szCs w:val="32"/>
          <w:shd w:val="clear" w:color="auto" w:fill="FFFFFF"/>
          <w:lang w:bidi="ar"/>
        </w:rPr>
        <w:t>落实养老服务人员入职</w:t>
      </w:r>
      <w:r>
        <w:rPr>
          <w:rFonts w:hint="eastAsia" w:ascii="方正仿宋_GB2312" w:hAnsi="仿宋" w:eastAsia="方正仿宋_GB2312" w:cs="仿宋"/>
          <w:sz w:val="32"/>
          <w:szCs w:val="32"/>
          <w:shd w:val="clear" w:color="auto" w:fill="FFFFFF"/>
          <w:lang w:eastAsia="zh-CN" w:bidi="ar"/>
        </w:rPr>
        <w:t>奖励</w:t>
      </w:r>
      <w:r>
        <w:rPr>
          <w:rFonts w:hint="eastAsia" w:ascii="方正仿宋_GB2312" w:hAnsi="仿宋" w:eastAsia="方正仿宋_GB2312" w:cs="仿宋"/>
          <w:sz w:val="32"/>
          <w:szCs w:val="32"/>
          <w:shd w:val="clear" w:color="auto" w:fill="FFFFFF"/>
          <w:lang w:bidi="ar"/>
        </w:rPr>
        <w:t>、</w:t>
      </w:r>
      <w:r>
        <w:rPr>
          <w:rFonts w:hint="eastAsia" w:ascii="方正仿宋_GB2312" w:hAnsi="仿宋" w:eastAsia="方正仿宋_GB2312" w:cs="仿宋"/>
          <w:sz w:val="32"/>
          <w:szCs w:val="32"/>
          <w:shd w:val="clear" w:color="auto" w:fill="FFFFFF"/>
          <w:lang w:eastAsia="zh-CN" w:bidi="ar"/>
        </w:rPr>
        <w:t>培训</w:t>
      </w:r>
      <w:r>
        <w:rPr>
          <w:rFonts w:hint="eastAsia" w:ascii="方正仿宋_GB2312" w:hAnsi="仿宋" w:eastAsia="方正仿宋_GB2312" w:cs="仿宋"/>
          <w:sz w:val="32"/>
          <w:szCs w:val="32"/>
          <w:shd w:val="clear" w:color="auto" w:fill="FFFFFF"/>
          <w:lang w:bidi="ar"/>
        </w:rPr>
        <w:t>补贴</w:t>
      </w:r>
      <w:r>
        <w:rPr>
          <w:rFonts w:hint="eastAsia" w:ascii="方正仿宋_GB2312" w:hAnsi="仿宋" w:eastAsia="方正仿宋_GB2312" w:cs="仿宋"/>
          <w:sz w:val="32"/>
          <w:szCs w:val="32"/>
          <w:shd w:val="clear" w:color="auto" w:fill="FFFFFF"/>
          <w:lang w:eastAsia="zh-CN" w:bidi="ar"/>
        </w:rPr>
        <w:t>等</w:t>
      </w:r>
      <w:r>
        <w:rPr>
          <w:rFonts w:hint="eastAsia" w:ascii="方正仿宋_GB2312" w:hAnsi="仿宋" w:eastAsia="方正仿宋_GB2312" w:cs="仿宋"/>
          <w:sz w:val="32"/>
          <w:szCs w:val="32"/>
          <w:shd w:val="clear" w:color="auto" w:fill="FFFFFF"/>
          <w:lang w:bidi="ar"/>
        </w:rPr>
        <w:t>制度。对连续从事养老服务工作达到规定年限的高等院校、职业学校的毕业生，给予入职奖励；</w:t>
      </w:r>
      <w:r>
        <w:rPr>
          <w:rFonts w:hint="eastAsia" w:ascii="方正仿宋_GB2312" w:hAnsi="仿宋" w:eastAsia="方正仿宋_GB2312" w:cs="仿宋"/>
          <w:sz w:val="32"/>
          <w:szCs w:val="32"/>
          <w:shd w:val="clear" w:color="auto" w:fill="FFFFFF"/>
          <w:lang w:eastAsia="zh-Hans" w:bidi="ar"/>
        </w:rPr>
        <w:t>对</w:t>
      </w:r>
      <w:r>
        <w:rPr>
          <w:rFonts w:hint="eastAsia" w:ascii="方正仿宋_GB2312" w:hAnsi="仿宋" w:eastAsia="方正仿宋_GB2312" w:cs="仿宋"/>
          <w:sz w:val="32"/>
          <w:szCs w:val="32"/>
          <w:shd w:val="clear" w:color="auto" w:fill="FFFFFF"/>
          <w:lang w:bidi="ar"/>
        </w:rPr>
        <w:t>符合政策的</w:t>
      </w:r>
      <w:r>
        <w:rPr>
          <w:rFonts w:hint="eastAsia" w:ascii="方正仿宋_GB2312" w:hAnsi="仿宋" w:eastAsia="方正仿宋_GB2312" w:cs="仿宋"/>
          <w:sz w:val="32"/>
          <w:szCs w:val="32"/>
          <w:shd w:val="clear" w:color="auto" w:fill="FFFFFF"/>
          <w:lang w:eastAsia="zh-Hans" w:bidi="ar"/>
        </w:rPr>
        <w:t>养老护理人员，按照规定给予</w:t>
      </w:r>
      <w:r>
        <w:rPr>
          <w:rFonts w:hint="eastAsia" w:ascii="方正仿宋_GB2312" w:hAnsi="仿宋" w:eastAsia="方正仿宋_GB2312" w:cs="仿宋"/>
          <w:sz w:val="32"/>
          <w:szCs w:val="32"/>
          <w:shd w:val="clear" w:color="auto" w:fill="FFFFFF"/>
          <w:lang w:bidi="ar"/>
        </w:rPr>
        <w:t>个人技能提升</w:t>
      </w:r>
      <w:r>
        <w:rPr>
          <w:rFonts w:hint="eastAsia" w:ascii="方正仿宋_GB2312" w:hAnsi="仿宋" w:eastAsia="方正仿宋_GB2312" w:cs="仿宋"/>
          <w:sz w:val="32"/>
          <w:szCs w:val="32"/>
          <w:shd w:val="clear" w:color="auto" w:fill="FFFFFF"/>
          <w:lang w:eastAsia="zh-Hans" w:bidi="ar"/>
        </w:rPr>
        <w:t>补贴</w:t>
      </w:r>
      <w:r>
        <w:rPr>
          <w:rFonts w:hint="eastAsia" w:ascii="方正仿宋_GB2312" w:hAnsi="仿宋" w:eastAsia="方正仿宋_GB2312" w:cs="仿宋"/>
          <w:sz w:val="32"/>
          <w:szCs w:val="32"/>
          <w:shd w:val="clear" w:color="auto" w:fill="FFFFFF"/>
          <w:lang w:eastAsia="zh-CN" w:bidi="ar"/>
        </w:rPr>
        <w:t>。</w:t>
      </w:r>
      <w:r>
        <w:rPr>
          <w:rFonts w:hint="eastAsia" w:ascii="方正仿宋_GB2312" w:hAnsi="仿宋" w:eastAsia="方正仿宋_GB2312" w:cs="仿宋"/>
          <w:sz w:val="32"/>
          <w:szCs w:val="32"/>
          <w:shd w:val="clear" w:color="auto" w:fill="FFFFFF"/>
          <w:lang w:bidi="ar"/>
        </w:rPr>
        <w:t>组织举办养老</w:t>
      </w:r>
      <w:r>
        <w:rPr>
          <w:rFonts w:hint="eastAsia" w:ascii="方正仿宋_GB2312" w:hAnsi="方正仿宋_GB2312" w:eastAsia="方正仿宋_GB2312" w:cs="方正仿宋_GB2312"/>
          <w:kern w:val="0"/>
          <w:sz w:val="32"/>
          <w:szCs w:val="32"/>
        </w:rPr>
        <w:t>护理职业技能竞赛，按照规定开展评比表彰。</w:t>
      </w:r>
      <w:r>
        <w:rPr>
          <w:rFonts w:hint="eastAsia" w:ascii="方正仿宋_GB2312" w:hAnsi="仿宋" w:eastAsia="方正仿宋_GB2312" w:cs="仿宋"/>
          <w:sz w:val="32"/>
          <w:szCs w:val="32"/>
          <w:shd w:val="clear" w:color="auto" w:fill="FFFFFF"/>
          <w:lang w:bidi="ar"/>
        </w:rPr>
        <w:t>加强养老护理员关爱，广泛宣传养老护理员先进事迹和奉献精神，增强养老护理员职业吸引力。</w:t>
      </w:r>
    </w:p>
    <w:tbl>
      <w:tblPr>
        <w:tblStyle w:val="2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shd w:val="clear" w:color="auto" w:fill="DCF3F8"/>
          </w:tcPr>
          <w:p>
            <w:pPr>
              <w:widowControl/>
              <w:spacing w:line="360" w:lineRule="auto"/>
              <w:jc w:val="center"/>
              <w:rPr>
                <w:rFonts w:ascii="仿宋" w:hAnsi="仿宋" w:eastAsia="仿宋" w:cs="仿宋"/>
                <w:b/>
                <w:kern w:val="0"/>
                <w:sz w:val="24"/>
              </w:rPr>
            </w:pPr>
            <w:r>
              <w:rPr>
                <w:rFonts w:hint="eastAsia" w:ascii="仿宋" w:hAnsi="仿宋" w:eastAsia="仿宋" w:cs="仿宋"/>
                <w:b/>
                <w:kern w:val="0"/>
                <w:sz w:val="24"/>
              </w:rPr>
              <w:t>专栏5：</w:t>
            </w:r>
            <w:r>
              <w:rPr>
                <w:rFonts w:hint="eastAsia" w:ascii="仿宋" w:hAnsi="仿宋" w:eastAsia="仿宋" w:cs="仿宋"/>
                <w:b/>
                <w:kern w:val="0"/>
                <w:sz w:val="24"/>
                <w:lang w:eastAsia="zh-Hans"/>
              </w:rPr>
              <w:t>养老服务人才培训</w:t>
            </w:r>
            <w:r>
              <w:rPr>
                <w:rFonts w:hint="eastAsia" w:ascii="仿宋" w:hAnsi="仿宋" w:eastAsia="仿宋" w:cs="仿宋"/>
                <w:b/>
                <w:kern w:val="0"/>
                <w:sz w:val="24"/>
              </w:rPr>
              <w:t>提质行动</w:t>
            </w:r>
          </w:p>
          <w:p>
            <w:pPr>
              <w:pStyle w:val="35"/>
              <w:spacing w:line="360" w:lineRule="auto"/>
              <w:ind w:firstLine="480" w:firstLineChars="200"/>
              <w:rPr>
                <w:rFonts w:eastAsia="仿宋"/>
                <w:color w:val="auto"/>
              </w:rPr>
            </w:pPr>
            <w:r>
              <w:rPr>
                <w:rFonts w:hint="eastAsia" w:ascii="仿宋" w:hAnsi="仿宋" w:eastAsia="仿宋" w:cs="仿宋"/>
                <w:bCs/>
                <w:color w:val="auto"/>
              </w:rPr>
              <w:t>“十四五”期间，依托</w:t>
            </w:r>
            <w:r>
              <w:rPr>
                <w:rFonts w:hint="eastAsia" w:ascii="仿宋" w:hAnsi="仿宋" w:eastAsia="仿宋" w:cs="仿宋"/>
                <w:bCs/>
                <w:color w:val="auto"/>
                <w:lang w:eastAsia="zh-CN"/>
              </w:rPr>
              <w:t>有资质的相关培训机构</w:t>
            </w:r>
            <w:r>
              <w:rPr>
                <w:rFonts w:hint="eastAsia" w:ascii="仿宋" w:hAnsi="仿宋" w:eastAsia="仿宋" w:cs="仿宋"/>
                <w:bCs/>
                <w:color w:val="auto"/>
              </w:rPr>
              <w:t>，重点开展养老</w:t>
            </w:r>
            <w:r>
              <w:rPr>
                <w:rFonts w:hint="eastAsia" w:ascii="仿宋" w:hAnsi="仿宋" w:eastAsia="仿宋" w:cs="仿宋"/>
                <w:bCs/>
                <w:color w:val="auto"/>
                <w:lang w:eastAsia="zh-CN"/>
              </w:rPr>
              <w:t>护理员职业技能</w:t>
            </w:r>
            <w:r>
              <w:rPr>
                <w:rFonts w:hint="eastAsia" w:ascii="仿宋" w:hAnsi="仿宋" w:eastAsia="仿宋" w:cs="仿宋"/>
                <w:bCs/>
                <w:color w:val="auto"/>
              </w:rPr>
              <w:t>、</w:t>
            </w:r>
            <w:r>
              <w:rPr>
                <w:rFonts w:hint="eastAsia" w:ascii="仿宋" w:hAnsi="仿宋" w:eastAsia="仿宋" w:cs="仿宋"/>
                <w:bCs/>
                <w:color w:val="auto"/>
                <w:lang w:eastAsia="zh-CN"/>
              </w:rPr>
              <w:t>老年社会工作者</w:t>
            </w:r>
            <w:r>
              <w:rPr>
                <w:rFonts w:hint="eastAsia" w:ascii="仿宋" w:hAnsi="仿宋" w:eastAsia="仿宋" w:cs="仿宋"/>
                <w:bCs/>
                <w:color w:val="auto"/>
              </w:rPr>
              <w:t>等专项培训，分类提升养老服务人员专业化水平。到2025年，万名老年人拥有护理员达到50名，建成1家养老服务实训基地，培训不少于</w:t>
            </w:r>
            <w:r>
              <w:rPr>
                <w:rFonts w:hint="eastAsia" w:ascii="仿宋" w:hAnsi="仿宋" w:eastAsia="仿宋" w:cs="仿宋"/>
                <w:bCs/>
                <w:color w:val="auto"/>
                <w:lang w:val="en-US" w:eastAsia="zh-CN"/>
              </w:rPr>
              <w:t>785</w:t>
            </w:r>
            <w:r>
              <w:rPr>
                <w:rFonts w:hint="eastAsia" w:ascii="仿宋" w:hAnsi="仿宋" w:eastAsia="仿宋" w:cs="仿宋"/>
                <w:bCs/>
                <w:color w:val="auto"/>
              </w:rPr>
              <w:t>人次</w:t>
            </w:r>
            <w:r>
              <w:rPr>
                <w:rFonts w:hint="eastAsia" w:ascii="仿宋" w:hAnsi="仿宋" w:eastAsia="仿宋" w:cs="仿宋"/>
                <w:bCs/>
                <w:color w:val="auto"/>
                <w:vertAlign w:val="superscript"/>
              </w:rPr>
              <w:footnoteReference w:id="53"/>
            </w:r>
            <w:r>
              <w:rPr>
                <w:rFonts w:hint="eastAsia" w:ascii="仿宋" w:hAnsi="仿宋" w:eastAsia="仿宋" w:cs="仿宋"/>
                <w:bCs/>
                <w:color w:val="auto"/>
              </w:rPr>
              <w:t>养老服务人才。</w:t>
            </w:r>
          </w:p>
        </w:tc>
      </w:tr>
    </w:tbl>
    <w:p>
      <w:pPr>
        <w:spacing w:line="360" w:lineRule="auto"/>
        <w:rPr>
          <w:rFonts w:ascii="方正仿宋_GB2312" w:hAnsi="华文仿宋" w:eastAsia="方正仿宋_GB2312" w:cs="汉仪雅酷黑简"/>
          <w:kern w:val="0"/>
          <w:sz w:val="32"/>
          <w:szCs w:val="32"/>
        </w:rPr>
      </w:pPr>
    </w:p>
    <w:p>
      <w:pPr>
        <w:pStyle w:val="7"/>
        <w:spacing w:before="0" w:after="0"/>
        <w:ind w:firstLine="643" w:firstLineChars="200"/>
        <w:rPr>
          <w:rFonts w:ascii="方正仿宋_GB2312" w:hAnsi="方正仿宋_GB2312" w:eastAsia="方正仿宋_GB2312" w:cs="方正仿宋_GB2312"/>
          <w:bCs w:val="0"/>
        </w:rPr>
      </w:pPr>
      <w:bookmarkStart w:id="135" w:name="_Toc30214"/>
      <w:bookmarkStart w:id="136" w:name="_Toc31858"/>
      <w:bookmarkStart w:id="137" w:name="_Toc100671631"/>
      <w:r>
        <w:rPr>
          <w:rFonts w:hint="eastAsia" w:ascii="方正仿宋_GB2312" w:hAnsi="方正仿宋_GB2312" w:eastAsia="方正仿宋_GB2312" w:cs="方正仿宋_GB2312"/>
          <w:bCs w:val="0"/>
        </w:rPr>
        <w:t>3.多措并举扩大</w:t>
      </w:r>
      <w:bookmarkStart w:id="138" w:name="OLE_LINK6"/>
      <w:r>
        <w:rPr>
          <w:rFonts w:hint="eastAsia" w:ascii="方正仿宋_GB2312" w:hAnsi="方正仿宋_GB2312" w:eastAsia="方正仿宋_GB2312" w:cs="方正仿宋_GB2312"/>
          <w:bCs w:val="0"/>
        </w:rPr>
        <w:t>托育人才队伍</w:t>
      </w:r>
      <w:bookmarkEnd w:id="135"/>
      <w:bookmarkEnd w:id="136"/>
      <w:bookmarkEnd w:id="137"/>
    </w:p>
    <w:p>
      <w:pPr>
        <w:spacing w:line="360" w:lineRule="auto"/>
        <w:ind w:firstLine="640" w:firstLineChars="200"/>
        <w:rPr>
          <w:rFonts w:ascii="方正仿宋_GB2312" w:hAnsi="华文仿宋" w:eastAsia="方正仿宋_GB2312" w:cs="汉仪雅酷黑简"/>
          <w:kern w:val="0"/>
          <w:sz w:val="32"/>
          <w:szCs w:val="32"/>
        </w:rPr>
      </w:pPr>
      <w:r>
        <w:rPr>
          <w:rFonts w:hint="eastAsia" w:ascii="方正仿宋_GB2312" w:hAnsi="华文仿宋" w:eastAsia="方正仿宋_GB2312" w:cs="汉仪雅酷黑简"/>
          <w:kern w:val="0"/>
          <w:sz w:val="32"/>
          <w:szCs w:val="32"/>
        </w:rPr>
        <w:t>配合打造“互联网+医疗健康”服务体系。提升医院科研与教学水平，充分发挥区医院首都医科大学教学医院作用，承担研究生学历教育、本科及以上医学生临床教学和实习任务；推动中医医院与高等医学院校建立科研教学合作关系；加强妇幼保健院与中国人民解放军总医院等优质资源合作。推动人才队伍建设高质量发展。充分履行政府办公立医院职能，在突发公共卫生事件与重大传染病疫情防控工作中发挥积极作用。加快完善分级诊疗体系，推进医疗健康联合体建设，不断提升诊疗质量。</w:t>
      </w:r>
      <w:r>
        <w:rPr>
          <w:rFonts w:ascii="方正仿宋_GB2312" w:hAnsi="华文仿宋" w:eastAsia="方正仿宋_GB2312" w:cs="汉仪雅酷黑简"/>
          <w:kern w:val="0"/>
          <w:sz w:val="32"/>
          <w:szCs w:val="32"/>
        </w:rPr>
        <w:t>加强对外宣传工作</w:t>
      </w:r>
      <w:r>
        <w:rPr>
          <w:rFonts w:hint="eastAsia" w:ascii="方正仿宋_GB2312" w:hAnsi="华文仿宋" w:eastAsia="方正仿宋_GB2312" w:cs="汉仪雅酷黑简"/>
          <w:kern w:val="0"/>
          <w:sz w:val="32"/>
          <w:szCs w:val="32"/>
        </w:rPr>
        <w:t>，</w:t>
      </w:r>
      <w:r>
        <w:rPr>
          <w:rFonts w:ascii="方正仿宋_GB2312" w:hAnsi="华文仿宋" w:eastAsia="方正仿宋_GB2312" w:cs="汉仪雅酷黑简"/>
          <w:kern w:val="0"/>
          <w:sz w:val="32"/>
          <w:szCs w:val="32"/>
        </w:rPr>
        <w:t>提高医院影响力。</w:t>
      </w:r>
      <w:bookmarkEnd w:id="138"/>
    </w:p>
    <w:p>
      <w:pPr>
        <w:widowControl/>
        <w:spacing w:line="34" w:lineRule="atLeast"/>
        <w:ind w:firstLine="640" w:firstLineChars="200"/>
        <w:rPr>
          <w:rFonts w:ascii="方正仿宋_GB2312" w:hAnsi="仿宋" w:eastAsia="方正仿宋_GB2312" w:cs="仿宋"/>
          <w:kern w:val="0"/>
          <w:sz w:val="32"/>
          <w:szCs w:val="32"/>
          <w:lang w:eastAsia="zh-Hans" w:bidi="ar"/>
        </w:rPr>
      </w:pPr>
      <w:r>
        <w:rPr>
          <w:rFonts w:hint="eastAsia" w:ascii="方正仿宋_GB2312" w:hAnsi="仿宋" w:eastAsia="方正仿宋_GB2312" w:cs="仿宋"/>
          <w:kern w:val="0"/>
          <w:sz w:val="32"/>
          <w:szCs w:val="32"/>
          <w:lang w:eastAsia="zh-Hans" w:bidi="ar"/>
        </w:rPr>
        <w:t>鼓励</w:t>
      </w:r>
      <w:r>
        <w:rPr>
          <w:rFonts w:hint="eastAsia" w:ascii="方正仿宋_GB2312" w:hAnsi="仿宋" w:eastAsia="方正仿宋_GB2312" w:cs="仿宋"/>
          <w:kern w:val="0"/>
          <w:sz w:val="32"/>
          <w:szCs w:val="32"/>
          <w:lang w:bidi="ar"/>
        </w:rPr>
        <w:t>门头沟区中等</w:t>
      </w:r>
      <w:r>
        <w:rPr>
          <w:rFonts w:hint="eastAsia" w:ascii="方正仿宋_GB2312" w:hAnsi="仿宋" w:eastAsia="方正仿宋_GB2312" w:cs="仿宋"/>
          <w:kern w:val="0"/>
          <w:sz w:val="32"/>
          <w:szCs w:val="32"/>
          <w:lang w:eastAsia="zh-Hans" w:bidi="ar"/>
        </w:rPr>
        <w:t>职业</w:t>
      </w:r>
      <w:r>
        <w:rPr>
          <w:rFonts w:hint="eastAsia" w:ascii="方正仿宋_GB2312" w:hAnsi="仿宋" w:eastAsia="方正仿宋_GB2312" w:cs="仿宋"/>
          <w:kern w:val="0"/>
          <w:sz w:val="32"/>
          <w:szCs w:val="32"/>
          <w:lang w:bidi="ar"/>
        </w:rPr>
        <w:t>学校</w:t>
      </w:r>
      <w:r>
        <w:rPr>
          <w:rFonts w:hint="eastAsia" w:ascii="方正仿宋_GB2312" w:hAnsi="仿宋" w:eastAsia="方正仿宋_GB2312" w:cs="仿宋"/>
          <w:kern w:val="0"/>
          <w:sz w:val="32"/>
          <w:szCs w:val="32"/>
          <w:lang w:eastAsia="zh-Hans" w:bidi="ar"/>
        </w:rPr>
        <w:t>开设婴幼儿托育服务与管理等专业或课程，加强托育学科研究与提升。支持职业院校在托育领域，开展学历教育、非学历培训和社区教育。利用职业技术院校、职业技能培训机构等平台，按照保育师国家职业技能标准，推进托育机构保育师职业技能等级培训和评价，鼓励现有开设托育服务类专职职业院校开展托育服务有关专业证书试点，加大与托育服务关联的岗前、转岗、创业等职业技能培训。</w:t>
      </w:r>
      <w:r>
        <w:rPr>
          <w:rFonts w:hint="eastAsia" w:ascii="方正仿宋_GB2312" w:hAnsi="仿宋" w:eastAsia="方正仿宋_GB2312" w:cs="仿宋"/>
          <w:kern w:val="0"/>
          <w:sz w:val="32"/>
          <w:szCs w:val="32"/>
          <w:lang w:bidi="ar"/>
        </w:rPr>
        <w:t>探索与北京师范大学等具有相关专业特色的院校建立合作，开发</w:t>
      </w:r>
      <w:r>
        <w:rPr>
          <w:rFonts w:hint="eastAsia" w:ascii="方正仿宋_GB2312" w:hAnsi="仿宋" w:eastAsia="方正仿宋_GB2312" w:cs="仿宋"/>
          <w:bCs/>
          <w:kern w:val="0"/>
          <w:sz w:val="32"/>
          <w:szCs w:val="32"/>
          <w:lang w:eastAsia="zh-Hans" w:bidi="ar"/>
        </w:rPr>
        <w:t>育婴员、保育员、营养师等</w:t>
      </w:r>
      <w:r>
        <w:rPr>
          <w:rFonts w:hint="eastAsia" w:ascii="方正仿宋_GB2312" w:hAnsi="仿宋" w:eastAsia="方正仿宋_GB2312" w:cs="仿宋"/>
          <w:kern w:val="0"/>
          <w:sz w:val="32"/>
          <w:szCs w:val="32"/>
          <w:lang w:bidi="ar"/>
        </w:rPr>
        <w:t>托育专业人员培养知识体系。</w:t>
      </w:r>
      <w:r>
        <w:rPr>
          <w:rFonts w:hint="eastAsia" w:ascii="方正仿宋_GB2312" w:hAnsi="仿宋" w:eastAsia="方正仿宋_GB2312" w:cs="仿宋"/>
          <w:bCs/>
          <w:kern w:val="0"/>
          <w:sz w:val="32"/>
          <w:szCs w:val="32"/>
          <w:lang w:bidi="ar"/>
        </w:rPr>
        <w:t>依托“新首钢国际人才社区”建设，</w:t>
      </w:r>
      <w:r>
        <w:rPr>
          <w:rFonts w:hint="eastAsia" w:ascii="方正仿宋_GB2312" w:hAnsi="仿宋" w:eastAsia="方正仿宋_GB2312" w:cs="仿宋"/>
          <w:bCs/>
          <w:kern w:val="0"/>
          <w:sz w:val="32"/>
          <w:szCs w:val="32"/>
          <w:lang w:eastAsia="zh-Hans" w:bidi="ar"/>
        </w:rPr>
        <w:t>培育产教融合型托育企业，建设产教融合实训基地</w:t>
      </w:r>
      <w:r>
        <w:rPr>
          <w:rFonts w:hint="eastAsia" w:ascii="方正仿宋_GB2312" w:hAnsi="仿宋" w:eastAsia="方正仿宋_GB2312" w:cs="仿宋"/>
          <w:kern w:val="0"/>
          <w:sz w:val="32"/>
          <w:szCs w:val="32"/>
          <w:lang w:eastAsia="zh-Hans" w:bidi="ar"/>
        </w:rPr>
        <w:t>，积极培育托育领域专业社会工作者。实施托育从业人员技能提升工程，加强职业道德建设，开展托育从业人员岗前培训和岗位技能提升培训。支持行业协会等组织面向从业人员开展育婴员、保育员等职业技能等级认定。对参加托育相关职业工种培训且技能等级认定合格的从业人员，按照规定给予培训费补贴或技能提升补贴。</w:t>
      </w:r>
    </w:p>
    <w:tbl>
      <w:tblPr>
        <w:tblStyle w:val="2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shd w:val="clear" w:color="auto" w:fill="DCF3F8"/>
          </w:tcPr>
          <w:p>
            <w:pPr>
              <w:widowControl/>
              <w:spacing w:line="360" w:lineRule="auto"/>
              <w:jc w:val="center"/>
              <w:rPr>
                <w:rFonts w:ascii="仿宋" w:hAnsi="仿宋" w:eastAsia="仿宋" w:cs="仿宋"/>
                <w:b/>
                <w:kern w:val="0"/>
                <w:sz w:val="24"/>
              </w:rPr>
            </w:pPr>
            <w:r>
              <w:rPr>
                <w:rFonts w:hint="eastAsia" w:ascii="仿宋" w:hAnsi="仿宋" w:eastAsia="仿宋" w:cs="仿宋"/>
                <w:b/>
                <w:kern w:val="0"/>
                <w:sz w:val="24"/>
              </w:rPr>
              <w:t>专栏6：托育</w:t>
            </w:r>
            <w:r>
              <w:rPr>
                <w:rFonts w:hint="eastAsia" w:ascii="仿宋" w:hAnsi="仿宋" w:eastAsia="仿宋" w:cs="仿宋"/>
                <w:b/>
                <w:kern w:val="0"/>
                <w:sz w:val="24"/>
                <w:lang w:eastAsia="zh-Hans"/>
              </w:rPr>
              <w:t>服务人才培训</w:t>
            </w:r>
            <w:r>
              <w:rPr>
                <w:rFonts w:hint="eastAsia" w:ascii="仿宋" w:hAnsi="仿宋" w:eastAsia="仿宋" w:cs="仿宋"/>
                <w:b/>
                <w:kern w:val="0"/>
                <w:sz w:val="24"/>
              </w:rPr>
              <w:t>提质行动</w:t>
            </w:r>
          </w:p>
          <w:p>
            <w:pPr>
              <w:pStyle w:val="35"/>
              <w:spacing w:line="360" w:lineRule="auto"/>
              <w:ind w:firstLine="480" w:firstLineChars="200"/>
              <w:rPr>
                <w:rFonts w:eastAsia="仿宋"/>
                <w:color w:val="auto"/>
              </w:rPr>
            </w:pPr>
            <w:r>
              <w:rPr>
                <w:rFonts w:hint="eastAsia" w:ascii="仿宋" w:hAnsi="仿宋" w:eastAsia="仿宋" w:cs="仿宋"/>
                <w:bCs/>
                <w:color w:val="auto"/>
              </w:rPr>
              <w:t>“十四五”期间，联合北京市儿童医院、首都医科大学教学医院</w:t>
            </w:r>
            <w:r>
              <w:rPr>
                <w:rFonts w:hint="eastAsia" w:ascii="仿宋" w:hAnsi="仿宋" w:eastAsia="仿宋" w:cs="仿宋"/>
                <w:bCs/>
                <w:color w:val="auto"/>
                <w:lang w:eastAsia="zh-Hans"/>
              </w:rPr>
              <w:t>、</w:t>
            </w:r>
            <w:r>
              <w:rPr>
                <w:rFonts w:hint="eastAsia" w:ascii="仿宋" w:hAnsi="仿宋" w:eastAsia="仿宋" w:cs="仿宋"/>
                <w:bCs/>
                <w:color w:val="auto"/>
              </w:rPr>
              <w:t>北京师范大学及门头沟区职业学校，重点开展托育机构院长、育婴员、保育员、营养师、社工、托育机构等级评定等专项培训，分类提升托育服务人员专业化水平。深化校企合作，建立托育服务用人单位与学校之间的订单培养，积极开展“1+X”制度试点。到2</w:t>
            </w:r>
            <w:r>
              <w:rPr>
                <w:rFonts w:ascii="仿宋" w:hAnsi="仿宋" w:eastAsia="仿宋" w:cs="仿宋"/>
                <w:bCs/>
                <w:color w:val="auto"/>
              </w:rPr>
              <w:t>025</w:t>
            </w:r>
            <w:r>
              <w:rPr>
                <w:rFonts w:hint="eastAsia" w:ascii="仿宋" w:hAnsi="仿宋" w:eastAsia="仿宋" w:cs="仿宋"/>
                <w:bCs/>
                <w:color w:val="auto"/>
              </w:rPr>
              <w:t>年，</w:t>
            </w:r>
            <w:r>
              <w:rPr>
                <w:rFonts w:hint="eastAsia" w:ascii="仿宋" w:hAnsi="仿宋" w:eastAsia="仿宋" w:cs="仿宋"/>
                <w:bCs/>
                <w:color w:val="auto"/>
                <w:highlight w:val="none"/>
              </w:rPr>
              <w:t>培</w:t>
            </w:r>
            <w:r>
              <w:rPr>
                <w:rFonts w:hint="eastAsia" w:ascii="仿宋" w:hAnsi="仿宋" w:eastAsia="仿宋" w:cs="仿宋"/>
                <w:bCs/>
                <w:color w:val="auto"/>
                <w:highlight w:val="none"/>
                <w:lang w:eastAsia="zh-CN"/>
              </w:rPr>
              <w:t>育</w:t>
            </w:r>
            <w:r>
              <w:rPr>
                <w:rFonts w:hint="eastAsia" w:ascii="仿宋" w:hAnsi="仿宋" w:eastAsia="仿宋" w:cs="仿宋"/>
                <w:bCs/>
                <w:color w:val="auto"/>
              </w:rPr>
              <w:t>托育机构院长不少于1</w:t>
            </w:r>
            <w:r>
              <w:rPr>
                <w:rFonts w:ascii="仿宋" w:hAnsi="仿宋" w:eastAsia="仿宋" w:cs="仿宋"/>
                <w:bCs/>
                <w:color w:val="auto"/>
              </w:rPr>
              <w:t>00</w:t>
            </w:r>
            <w:r>
              <w:rPr>
                <w:rFonts w:hint="eastAsia" w:ascii="仿宋" w:hAnsi="仿宋" w:eastAsia="仿宋" w:cs="仿宋"/>
                <w:bCs/>
                <w:color w:val="auto"/>
              </w:rPr>
              <w:t>人次，培养专业管理人员、婴幼儿照护专业人才不少于</w:t>
            </w:r>
            <w:r>
              <w:rPr>
                <w:rFonts w:ascii="仿宋" w:hAnsi="仿宋" w:eastAsia="仿宋" w:cs="仿宋"/>
                <w:bCs/>
                <w:color w:val="auto"/>
              </w:rPr>
              <w:t>500</w:t>
            </w:r>
            <w:r>
              <w:rPr>
                <w:rFonts w:hint="eastAsia" w:ascii="仿宋" w:hAnsi="仿宋" w:eastAsia="仿宋" w:cs="仿宋"/>
                <w:bCs/>
                <w:color w:val="auto"/>
              </w:rPr>
              <w:t>人次。</w:t>
            </w:r>
          </w:p>
        </w:tc>
      </w:tr>
    </w:tbl>
    <w:p>
      <w:pPr>
        <w:pStyle w:val="35"/>
        <w:rPr>
          <w:rFonts w:eastAsiaTheme="minorEastAsia"/>
          <w:color w:val="auto"/>
          <w:lang w:eastAsia="zh-Hans"/>
        </w:rPr>
      </w:pPr>
    </w:p>
    <w:p>
      <w:pPr>
        <w:ind w:firstLine="643" w:firstLineChars="200"/>
        <w:contextualSpacing/>
        <w:outlineLvl w:val="1"/>
        <w:rPr>
          <w:rFonts w:ascii="方正楷体_GB2312" w:hAnsi="方正楷体_GB2312" w:eastAsia="方正楷体_GB2312" w:cs="方正楷体_GB2312"/>
          <w:b/>
          <w:bCs/>
          <w:kern w:val="0"/>
          <w:sz w:val="32"/>
          <w:szCs w:val="32"/>
        </w:rPr>
      </w:pPr>
      <w:bookmarkStart w:id="139" w:name="_Toc31091"/>
      <w:bookmarkStart w:id="140" w:name="_Toc9664"/>
      <w:bookmarkStart w:id="141" w:name="_Toc100671635"/>
      <w:r>
        <w:rPr>
          <w:rFonts w:hint="eastAsia" w:ascii="方正楷体_GB2312" w:hAnsi="方正楷体_GB2312" w:eastAsia="方正楷体_GB2312" w:cs="方正楷体_GB2312"/>
          <w:b/>
          <w:bCs/>
          <w:kern w:val="0"/>
          <w:sz w:val="32"/>
          <w:szCs w:val="32"/>
        </w:rPr>
        <w:t>（十</w:t>
      </w:r>
      <w:r>
        <w:rPr>
          <w:rFonts w:hint="eastAsia" w:ascii="方正楷体_GB2312" w:hAnsi="方正楷体_GB2312" w:eastAsia="方正楷体_GB2312" w:cs="方正楷体_GB2312"/>
          <w:b/>
          <w:bCs/>
          <w:kern w:val="0"/>
          <w:sz w:val="32"/>
          <w:szCs w:val="32"/>
          <w:lang w:val="en-US" w:eastAsia="zh-CN"/>
        </w:rPr>
        <w:t>一</w:t>
      </w:r>
      <w:r>
        <w:rPr>
          <w:rFonts w:hint="eastAsia" w:ascii="方正楷体_GB2312" w:hAnsi="方正楷体_GB2312" w:eastAsia="方正楷体_GB2312" w:cs="方正楷体_GB2312"/>
          <w:b/>
          <w:bCs/>
          <w:kern w:val="0"/>
          <w:sz w:val="32"/>
          <w:szCs w:val="32"/>
        </w:rPr>
        <w:t>）健全养老托育服务行业综合监管体系</w:t>
      </w:r>
      <w:bookmarkEnd w:id="139"/>
      <w:bookmarkEnd w:id="140"/>
      <w:bookmarkEnd w:id="141"/>
    </w:p>
    <w:p>
      <w:pPr>
        <w:pStyle w:val="7"/>
        <w:spacing w:before="0" w:after="0"/>
        <w:ind w:firstLine="704"/>
        <w:rPr>
          <w:rFonts w:ascii="方正仿宋_GB2312" w:hAnsi="方正仿宋_GB2312" w:eastAsia="方正仿宋_GB2312" w:cs="方正仿宋_GB2312"/>
          <w:bCs w:val="0"/>
        </w:rPr>
      </w:pPr>
      <w:bookmarkStart w:id="142" w:name="_Toc30471"/>
      <w:bookmarkStart w:id="143" w:name="_Toc100671636"/>
      <w:bookmarkStart w:id="144" w:name="_Toc1328"/>
      <w:r>
        <w:rPr>
          <w:rFonts w:hint="eastAsia" w:ascii="方正仿宋_GB2312" w:hAnsi="方正仿宋_GB2312" w:eastAsia="方正仿宋_GB2312" w:cs="方正仿宋_GB2312"/>
          <w:bCs w:val="0"/>
        </w:rPr>
        <w:t>1.健全服务基本规范和实施指南</w:t>
      </w:r>
      <w:bookmarkEnd w:id="142"/>
      <w:bookmarkEnd w:id="143"/>
      <w:bookmarkEnd w:id="144"/>
    </w:p>
    <w:p>
      <w:pPr>
        <w:widowControl/>
        <w:ind w:firstLine="640" w:firstLineChars="200"/>
        <w:rPr>
          <w:rFonts w:ascii="方正仿宋_GB2312" w:hAnsi="仿宋" w:eastAsia="方正仿宋_GB2312" w:cs="仿宋"/>
          <w:b/>
          <w:bCs/>
          <w:kern w:val="0"/>
          <w:sz w:val="32"/>
          <w:szCs w:val="32"/>
          <w:lang w:eastAsia="zh-Hans" w:bidi="ar"/>
        </w:rPr>
      </w:pPr>
      <w:r>
        <w:rPr>
          <w:rFonts w:hint="eastAsia" w:ascii="方正仿宋_GB2312" w:hAnsi="仿宋" w:eastAsia="方正仿宋_GB2312" w:cs="仿宋"/>
          <w:kern w:val="0"/>
          <w:sz w:val="32"/>
          <w:szCs w:val="32"/>
          <w:lang w:eastAsia="zh-Hans" w:bidi="ar"/>
        </w:rPr>
        <w:t>推进养老服务标准化建设，</w:t>
      </w:r>
      <w:r>
        <w:rPr>
          <w:rFonts w:hint="eastAsia" w:ascii="方正仿宋_GB2312" w:hAnsi="仿宋" w:eastAsia="方正仿宋_GB2312" w:cs="仿宋"/>
          <w:kern w:val="0"/>
          <w:sz w:val="32"/>
          <w:szCs w:val="32"/>
          <w:lang w:bidi="ar"/>
        </w:rPr>
        <w:t>落实</w:t>
      </w:r>
      <w:r>
        <w:rPr>
          <w:rFonts w:hint="eastAsia" w:ascii="方正仿宋_GB2312" w:hAnsi="仿宋" w:eastAsia="方正仿宋_GB2312" w:cs="仿宋"/>
          <w:kern w:val="0"/>
          <w:sz w:val="32"/>
          <w:szCs w:val="32"/>
          <w:lang w:eastAsia="zh-Hans" w:bidi="ar"/>
        </w:rPr>
        <w:t>养老服务业标准体系</w:t>
      </w:r>
      <w:r>
        <w:rPr>
          <w:rFonts w:hint="eastAsia" w:ascii="方正仿宋_GB2312" w:hAnsi="仿宋" w:eastAsia="方正仿宋_GB2312" w:cs="仿宋"/>
          <w:kern w:val="0"/>
          <w:sz w:val="32"/>
          <w:szCs w:val="32"/>
          <w:lang w:bidi="ar"/>
        </w:rPr>
        <w:t>。</w:t>
      </w:r>
      <w:r>
        <w:rPr>
          <w:rFonts w:hint="eastAsia" w:ascii="方正仿宋_GB2312" w:hAnsi="仿宋" w:eastAsia="方正仿宋_GB2312" w:cs="仿宋"/>
          <w:kern w:val="0"/>
          <w:sz w:val="32"/>
          <w:szCs w:val="32"/>
          <w:lang w:eastAsia="zh-Hans" w:bidi="ar"/>
        </w:rPr>
        <w:t>落实国家和北京市</w:t>
      </w:r>
      <w:r>
        <w:rPr>
          <w:rFonts w:hint="eastAsia" w:ascii="方正仿宋_GB2312" w:hAnsi="仿宋" w:eastAsia="方正仿宋_GB2312" w:cs="仿宋"/>
          <w:kern w:val="0"/>
          <w:sz w:val="32"/>
          <w:szCs w:val="32"/>
          <w:lang w:bidi="ar"/>
        </w:rPr>
        <w:t>养老、托育</w:t>
      </w:r>
      <w:r>
        <w:rPr>
          <w:rFonts w:hint="eastAsia" w:ascii="方正仿宋_GB2312" w:hAnsi="仿宋" w:eastAsia="方正仿宋_GB2312" w:cs="仿宋"/>
          <w:kern w:val="0"/>
          <w:sz w:val="32"/>
          <w:szCs w:val="32"/>
          <w:lang w:eastAsia="zh-Hans" w:bidi="ar"/>
        </w:rPr>
        <w:t>标准和规范，建立健全托育机构设置标准、托育机构管理办法、托育机构卫生保健工作规范、托育机构卫生保健管理办法、托育机构保育活动指南、托育机构负责人和保育人员培训指南、托育机构安全保障工作指南、托育机构消防安全检查指南。研究制定托育机构综合等级评价标准和托育机构保育服务质量评价标准，定期委托专业评估机构开展托育机构评估，并向社会公布评估结果。</w:t>
      </w:r>
    </w:p>
    <w:p>
      <w:pPr>
        <w:pStyle w:val="7"/>
        <w:spacing w:before="0" w:after="0"/>
        <w:ind w:firstLine="704"/>
        <w:rPr>
          <w:rFonts w:ascii="方正仿宋_GB2312" w:hAnsi="方正仿宋_GB2312" w:eastAsia="方正仿宋_GB2312" w:cs="方正仿宋_GB2312"/>
          <w:bCs w:val="0"/>
        </w:rPr>
      </w:pPr>
      <w:bookmarkStart w:id="145" w:name="_Toc100671637"/>
      <w:bookmarkStart w:id="146" w:name="_Toc14489"/>
      <w:bookmarkStart w:id="147" w:name="_Toc18875"/>
      <w:r>
        <w:rPr>
          <w:rFonts w:ascii="方正仿宋_GB2312" w:hAnsi="方正仿宋_GB2312" w:eastAsia="方正仿宋_GB2312" w:cs="方正仿宋_GB2312"/>
          <w:bCs w:val="0"/>
        </w:rPr>
        <w:t>2</w:t>
      </w:r>
      <w:r>
        <w:rPr>
          <w:rFonts w:hint="eastAsia" w:ascii="方正仿宋_GB2312" w:hAnsi="方正仿宋_GB2312" w:eastAsia="方正仿宋_GB2312" w:cs="方正仿宋_GB2312"/>
          <w:bCs w:val="0"/>
        </w:rPr>
        <w:t>.加强养老托育监督管理</w:t>
      </w:r>
      <w:bookmarkEnd w:id="145"/>
      <w:bookmarkEnd w:id="146"/>
      <w:bookmarkEnd w:id="147"/>
    </w:p>
    <w:p>
      <w:pPr>
        <w:widowControl/>
        <w:ind w:firstLine="640" w:firstLineChars="200"/>
        <w:rPr>
          <w:rFonts w:ascii="方正仿宋_GB2312" w:hAnsi="仿宋" w:eastAsia="方正仿宋_GB2312" w:cs="仿宋"/>
          <w:kern w:val="0"/>
          <w:sz w:val="32"/>
          <w:szCs w:val="32"/>
          <w:lang w:eastAsia="zh-Hans" w:bidi="ar"/>
        </w:rPr>
      </w:pPr>
      <w:r>
        <w:rPr>
          <w:rFonts w:hint="eastAsia" w:ascii="方正仿宋_GB2312" w:hAnsi="仿宋" w:eastAsia="方正仿宋_GB2312" w:cs="仿宋"/>
          <w:color w:val="auto"/>
          <w:kern w:val="0"/>
          <w:sz w:val="32"/>
          <w:szCs w:val="32"/>
          <w:shd w:val="clear" w:color="auto" w:fill="auto"/>
          <w:lang w:eastAsia="zh-Hans" w:bidi="ar"/>
        </w:rPr>
        <w:t>落实政府在制度建设、行业规划、行政执法等方面的监管责任，实行监管清单式管理，明确监管事项、监管依据、监管措施、监管流程。</w:t>
      </w:r>
      <w:r>
        <w:rPr>
          <w:rFonts w:hint="eastAsia" w:ascii="方正仿宋_GB2312" w:hAnsi="仿宋" w:eastAsia="方正仿宋_GB2312" w:cs="仿宋"/>
          <w:color w:val="auto"/>
          <w:kern w:val="0"/>
          <w:sz w:val="32"/>
          <w:szCs w:val="32"/>
          <w:lang w:eastAsia="zh-Hans" w:bidi="ar"/>
        </w:rPr>
        <w:t>建立健全以“双随机、一公开”监管为基本手段、以重点监管为补充、以信用监管为基础的新型监管机制，持续强化养老机构和托育机构的消防安全、食品安全管理。充分考虑婴幼儿照护服务特点，合理确定监管方式、流程和频次。强化信用监管，完善养老服务行业自律的诚信管理体系。</w:t>
      </w:r>
      <w:r>
        <w:rPr>
          <w:rFonts w:hint="eastAsia" w:ascii="方正仿宋_GB2312" w:hAnsi="仿宋" w:eastAsia="方正仿宋_GB2312" w:cs="仿宋"/>
          <w:color w:val="auto"/>
          <w:kern w:val="0"/>
          <w:sz w:val="32"/>
          <w:szCs w:val="32"/>
          <w:shd w:val="clear" w:color="auto" w:fill="auto"/>
          <w:lang w:eastAsia="zh-Hans" w:bidi="ar"/>
        </w:rPr>
        <w:t>以托育机构质量安全、从业人员、运营秩序等方面为重点加强监管，</w:t>
      </w:r>
      <w:r>
        <w:rPr>
          <w:rFonts w:hint="eastAsia" w:ascii="方正仿宋_GB2312" w:hAnsi="仿宋" w:eastAsia="方正仿宋_GB2312" w:cs="仿宋"/>
          <w:color w:val="auto"/>
          <w:kern w:val="0"/>
          <w:sz w:val="32"/>
          <w:szCs w:val="32"/>
          <w:lang w:eastAsia="zh-Hans" w:bidi="ar"/>
        </w:rPr>
        <w:t>将托育机构及其工作人员信用信息纳入本市公共信用信息服务平台，实施守信联合激励和失信联合惩戒。对虐童等违法违规行为零容忍，对相关个人和直接管理人员实行终身禁入，并严格按照有关法律法规和政策规定追究责任。落实托育机构人员入职查询</w:t>
      </w:r>
      <w:r>
        <w:rPr>
          <w:rFonts w:hint="eastAsia" w:ascii="方正仿宋_GB2312" w:hAnsi="仿宋" w:eastAsia="方正仿宋_GB2312" w:cs="仿宋"/>
          <w:kern w:val="0"/>
          <w:sz w:val="32"/>
          <w:szCs w:val="32"/>
          <w:lang w:eastAsia="zh-Hans" w:bidi="ar"/>
        </w:rPr>
        <w:t>制度，托育机构、幼儿园新招录教职员工前，应当进行性侵违法犯罪信息查询，对具有性侵违法犯罪记录的人员，不予录用。加强养老服务领域非法集资整治工作。加大联合执法力度，开展对老年人产品和服务消费领域侵权行为的专项整治行动，广泛开展老年人识骗防骗、抵御欺诈销售等宣传教育活动。</w:t>
      </w:r>
    </w:p>
    <w:p>
      <w:pPr>
        <w:pStyle w:val="7"/>
        <w:spacing w:before="0" w:after="0"/>
        <w:ind w:firstLine="704"/>
        <w:rPr>
          <w:rFonts w:ascii="方正仿宋_GB2312" w:hAnsi="方正仿宋_GB2312" w:eastAsia="方正仿宋_GB2312" w:cs="方正仿宋_GB2312"/>
          <w:bCs w:val="0"/>
        </w:rPr>
      </w:pPr>
      <w:bookmarkStart w:id="148" w:name="_Toc10387"/>
      <w:bookmarkStart w:id="149" w:name="_Toc1908"/>
      <w:bookmarkStart w:id="150" w:name="_Toc100671638"/>
      <w:r>
        <w:rPr>
          <w:rFonts w:ascii="方正仿宋_GB2312" w:hAnsi="方正仿宋_GB2312" w:eastAsia="方正仿宋_GB2312" w:cs="方正仿宋_GB2312"/>
          <w:bCs w:val="0"/>
        </w:rPr>
        <w:t>3</w:t>
      </w:r>
      <w:r>
        <w:rPr>
          <w:rFonts w:hint="eastAsia" w:ascii="方正仿宋_GB2312" w:hAnsi="方正仿宋_GB2312" w:eastAsia="方正仿宋_GB2312" w:cs="方正仿宋_GB2312"/>
          <w:bCs w:val="0"/>
        </w:rPr>
        <w:t>.落实安全责任</w:t>
      </w:r>
      <w:bookmarkEnd w:id="148"/>
      <w:bookmarkEnd w:id="149"/>
      <w:bookmarkEnd w:id="150"/>
    </w:p>
    <w:p>
      <w:pPr>
        <w:widowControl/>
        <w:adjustRightInd/>
        <w:snapToGrid/>
        <w:spacing w:line="240" w:lineRule="auto"/>
        <w:ind w:firstLine="640" w:firstLineChars="200"/>
        <w:textAlignment w:val="auto"/>
        <w:rPr>
          <w:rFonts w:ascii="方正仿宋_GB2312" w:hAnsi="仿宋" w:eastAsia="方正仿宋_GB2312" w:cs="仿宋"/>
          <w:kern w:val="0"/>
          <w:sz w:val="32"/>
          <w:szCs w:val="32"/>
          <w:lang w:eastAsia="zh-Hans" w:bidi="ar"/>
        </w:rPr>
      </w:pPr>
      <w:r>
        <w:rPr>
          <w:rFonts w:hint="eastAsia" w:ascii="方正仿宋_GB2312" w:hAnsi="仿宋" w:eastAsia="方正仿宋_GB2312" w:cs="仿宋"/>
          <w:kern w:val="0"/>
          <w:sz w:val="32"/>
          <w:szCs w:val="32"/>
          <w:lang w:eastAsia="zh-Hans" w:bidi="ar"/>
        </w:rPr>
        <w:t>全面推动落实《养老机构服务安全基本规范》国家标准。引导养老机构增强安全风险防范意识</w:t>
      </w:r>
      <w:r>
        <w:rPr>
          <w:rFonts w:hint="eastAsia" w:ascii="方正仿宋_GB2312" w:hAnsi="仿宋" w:eastAsia="方正仿宋_GB2312" w:cs="仿宋"/>
          <w:kern w:val="0"/>
          <w:sz w:val="32"/>
          <w:szCs w:val="32"/>
          <w:lang w:eastAsia="zh-CN" w:bidi="ar"/>
        </w:rPr>
        <w:t>、</w:t>
      </w:r>
      <w:r>
        <w:rPr>
          <w:rFonts w:hint="eastAsia" w:ascii="方正仿宋_GB2312" w:hAnsi="仿宋" w:eastAsia="方正仿宋_GB2312" w:cs="仿宋"/>
          <w:kern w:val="0"/>
          <w:sz w:val="32"/>
          <w:szCs w:val="32"/>
          <w:lang w:eastAsia="zh-Hans" w:bidi="ar"/>
        </w:rPr>
        <w:t>突发事件、尤其是传染性突发公共卫生事件的应对处置能力。推动养老机构建立健全应对突发事件的预防准备、处置救援、事后恢复等工作机制，组织和建设应急响应先期处置队伍。各类托育机构应当制定完善婴幼儿接送、晨午检、消防安全管理等制度以及突发事件应急预案，配备必要的安保人员和物防、技防设施，定期开展应急演练。各类托育机构要加强对从业人员的培训，使其掌握防范、避险、逃生、自救等基本技能，突发情况下须优先保障婴幼儿安全。各类托育机构监控报警系统要24小时运行，确保婴幼儿活动区域全覆盖，监控录像资料保存期不少于90日。</w:t>
      </w:r>
    </w:p>
    <w:p>
      <w:pPr>
        <w:ind w:firstLine="643" w:firstLineChars="200"/>
        <w:contextualSpacing/>
        <w:outlineLvl w:val="1"/>
        <w:rPr>
          <w:rFonts w:ascii="方正楷体_GB2312" w:hAnsi="方正楷体_GB2312" w:eastAsia="方正楷体_GB2312" w:cs="方正楷体_GB2312"/>
          <w:b/>
          <w:bCs/>
          <w:kern w:val="0"/>
          <w:sz w:val="32"/>
          <w:szCs w:val="32"/>
        </w:rPr>
      </w:pPr>
      <w:bookmarkStart w:id="151" w:name="_Toc20585"/>
      <w:bookmarkStart w:id="152" w:name="_Toc100671639"/>
      <w:bookmarkStart w:id="153" w:name="_Toc3682"/>
      <w:r>
        <w:rPr>
          <w:rFonts w:hint="eastAsia" w:ascii="方正楷体_GB2312" w:hAnsi="方正楷体_GB2312" w:eastAsia="方正楷体_GB2312" w:cs="方正楷体_GB2312"/>
          <w:b/>
          <w:bCs/>
          <w:kern w:val="0"/>
          <w:sz w:val="32"/>
          <w:szCs w:val="32"/>
        </w:rPr>
        <w:t>（十</w:t>
      </w:r>
      <w:r>
        <w:rPr>
          <w:rFonts w:hint="eastAsia" w:ascii="方正楷体_GB2312" w:hAnsi="方正楷体_GB2312" w:eastAsia="方正楷体_GB2312" w:cs="方正楷体_GB2312"/>
          <w:b/>
          <w:bCs/>
          <w:kern w:val="0"/>
          <w:sz w:val="32"/>
          <w:szCs w:val="32"/>
          <w:lang w:val="en-US" w:eastAsia="zh-CN"/>
        </w:rPr>
        <w:t>二</w:t>
      </w:r>
      <w:r>
        <w:rPr>
          <w:rFonts w:hint="eastAsia" w:ascii="方正楷体_GB2312" w:hAnsi="方正楷体_GB2312" w:eastAsia="方正楷体_GB2312" w:cs="方正楷体_GB2312"/>
          <w:b/>
          <w:bCs/>
          <w:kern w:val="0"/>
          <w:sz w:val="32"/>
          <w:szCs w:val="32"/>
        </w:rPr>
        <w:t>）营造有利于社会力量参与养老托育发展新生态</w:t>
      </w:r>
      <w:bookmarkEnd w:id="151"/>
      <w:bookmarkEnd w:id="152"/>
      <w:bookmarkEnd w:id="153"/>
    </w:p>
    <w:p>
      <w:pPr>
        <w:pStyle w:val="7"/>
        <w:spacing w:before="0" w:after="0"/>
        <w:ind w:firstLine="704"/>
        <w:rPr>
          <w:rFonts w:ascii="方正仿宋_GB2312" w:hAnsi="方正仿宋_GB2312" w:eastAsia="方正仿宋_GB2312" w:cs="方正仿宋_GB2312"/>
          <w:bCs w:val="0"/>
        </w:rPr>
      </w:pPr>
      <w:bookmarkStart w:id="154" w:name="_Toc100671640"/>
      <w:bookmarkStart w:id="155" w:name="_Toc17055"/>
      <w:bookmarkStart w:id="156" w:name="_Toc25907"/>
      <w:r>
        <w:rPr>
          <w:rFonts w:hint="eastAsia" w:ascii="方正仿宋_GB2312" w:hAnsi="方正仿宋_GB2312" w:eastAsia="方正仿宋_GB2312" w:cs="方正仿宋_GB2312"/>
          <w:bCs w:val="0"/>
        </w:rPr>
        <w:t>1.引入社会力量发展养老托育服务</w:t>
      </w:r>
      <w:bookmarkEnd w:id="154"/>
      <w:bookmarkEnd w:id="155"/>
      <w:bookmarkEnd w:id="156"/>
    </w:p>
    <w:p>
      <w:pPr>
        <w:widowControl/>
        <w:adjustRightInd w:val="0"/>
        <w:snapToGrid w:val="0"/>
        <w:spacing w:line="540" w:lineRule="exact"/>
        <w:ind w:firstLine="640" w:firstLineChars="200"/>
        <w:textAlignment w:val="baseline"/>
        <w:rPr>
          <w:rFonts w:ascii="方正仿宋_GB2312" w:hAnsi="仿宋" w:eastAsia="方正仿宋_GB2312" w:cs="仿宋"/>
          <w:kern w:val="0"/>
          <w:sz w:val="32"/>
          <w:szCs w:val="32"/>
          <w:lang w:eastAsia="zh-Hans" w:bidi="ar"/>
        </w:rPr>
      </w:pPr>
      <w:r>
        <w:rPr>
          <w:rFonts w:hint="eastAsia" w:ascii="方正仿宋_GB2312" w:hAnsi="仿宋" w:eastAsia="方正仿宋_GB2312" w:cs="仿宋"/>
          <w:kern w:val="0"/>
          <w:sz w:val="32"/>
          <w:szCs w:val="32"/>
          <w:lang w:eastAsia="zh-Hans" w:bidi="ar"/>
        </w:rPr>
        <w:t>创新资源配置方式，设计洽谈会、座谈会等多种形式沟通与互动平台，充分发挥中心城</w:t>
      </w:r>
      <w:r>
        <w:rPr>
          <w:rFonts w:hint="eastAsia" w:ascii="方正仿宋_GB2312" w:hAnsi="仿宋" w:eastAsia="方正仿宋_GB2312" w:cs="仿宋"/>
          <w:color w:val="auto"/>
          <w:kern w:val="0"/>
          <w:sz w:val="32"/>
          <w:szCs w:val="32"/>
          <w:lang w:eastAsia="zh-Hans" w:bidi="ar"/>
        </w:rPr>
        <w:t>区</w:t>
      </w:r>
      <w:r>
        <w:rPr>
          <w:rFonts w:hint="eastAsia" w:ascii="方正仿宋_GB2312" w:hAnsi="仿宋" w:eastAsia="方正仿宋_GB2312" w:cs="仿宋"/>
          <w:color w:val="auto"/>
          <w:kern w:val="0"/>
          <w:sz w:val="32"/>
          <w:szCs w:val="32"/>
          <w:shd w:val="clear" w:color="auto" w:fill="auto"/>
          <w:lang w:eastAsia="zh-Hans" w:bidi="ar"/>
        </w:rPr>
        <w:t>公益慈善类社会组织、</w:t>
      </w:r>
      <w:r>
        <w:rPr>
          <w:rFonts w:hint="eastAsia" w:ascii="方正仿宋_GB2312" w:hAnsi="仿宋" w:eastAsia="方正仿宋_GB2312" w:cs="仿宋"/>
          <w:color w:val="auto"/>
          <w:kern w:val="0"/>
          <w:sz w:val="32"/>
          <w:szCs w:val="32"/>
          <w:lang w:eastAsia="zh-Hans" w:bidi="ar"/>
        </w:rPr>
        <w:t>社会团体、社会服务机构、企事业单位等社会力量资源优势，</w:t>
      </w:r>
      <w:r>
        <w:rPr>
          <w:rFonts w:hint="eastAsia" w:ascii="方正仿宋_GB2312" w:hAnsi="仿宋" w:eastAsia="方正仿宋_GB2312" w:cs="仿宋"/>
          <w:color w:val="auto"/>
          <w:kern w:val="0"/>
          <w:sz w:val="32"/>
          <w:szCs w:val="32"/>
          <w:shd w:val="clear" w:color="auto" w:fill="auto"/>
          <w:lang w:eastAsia="zh-Hans" w:bidi="ar"/>
        </w:rPr>
        <w:t>鼓励机构开发志愿服务项目，建立健全“一老一小”志愿服务项目库，</w:t>
      </w:r>
      <w:r>
        <w:rPr>
          <w:rFonts w:hint="eastAsia" w:ascii="方正仿宋_GB2312" w:hAnsi="仿宋" w:eastAsia="方正仿宋_GB2312" w:cs="仿宋"/>
          <w:color w:val="auto"/>
          <w:kern w:val="0"/>
          <w:sz w:val="32"/>
          <w:szCs w:val="32"/>
          <w:lang w:eastAsia="zh-Hans" w:bidi="ar"/>
        </w:rPr>
        <w:t>推动其在敬老院改造升级、</w:t>
      </w:r>
      <w:r>
        <w:rPr>
          <w:rFonts w:hint="eastAsia" w:ascii="方正仿宋_GB2312" w:hAnsi="仿宋" w:eastAsia="方正仿宋_GB2312" w:cs="仿宋"/>
          <w:color w:val="auto"/>
          <w:kern w:val="0"/>
          <w:sz w:val="32"/>
          <w:szCs w:val="32"/>
          <w:lang w:eastAsia="zh-CN" w:bidi="ar"/>
        </w:rPr>
        <w:t>街镇</w:t>
      </w:r>
      <w:r>
        <w:rPr>
          <w:rFonts w:hint="eastAsia" w:ascii="方正仿宋_GB2312" w:hAnsi="仿宋" w:eastAsia="方正仿宋_GB2312" w:cs="仿宋"/>
          <w:color w:val="auto"/>
          <w:kern w:val="0"/>
          <w:sz w:val="32"/>
          <w:szCs w:val="32"/>
          <w:lang w:eastAsia="zh-Hans" w:bidi="ar"/>
        </w:rPr>
        <w:t>养老服务联合体、时间银行等方面发挥作用，探索公</w:t>
      </w:r>
      <w:r>
        <w:rPr>
          <w:rFonts w:hint="eastAsia" w:ascii="方正仿宋_GB2312" w:hAnsi="仿宋" w:eastAsia="方正仿宋_GB2312" w:cs="仿宋"/>
          <w:color w:val="auto"/>
          <w:kern w:val="0"/>
          <w:sz w:val="32"/>
          <w:szCs w:val="32"/>
          <w:lang w:val="en-US" w:eastAsia="zh-CN" w:bidi="ar"/>
        </w:rPr>
        <w:t>益</w:t>
      </w:r>
      <w:r>
        <w:rPr>
          <w:rFonts w:hint="eastAsia" w:ascii="方正仿宋_GB2312" w:hAnsi="仿宋" w:eastAsia="方正仿宋_GB2312" w:cs="仿宋"/>
          <w:color w:val="auto"/>
          <w:kern w:val="0"/>
          <w:sz w:val="32"/>
          <w:szCs w:val="32"/>
          <w:lang w:eastAsia="zh-Hans" w:bidi="ar"/>
        </w:rPr>
        <w:t>慈善与社会治理、社区服</w:t>
      </w:r>
      <w:r>
        <w:rPr>
          <w:rFonts w:hint="eastAsia" w:ascii="方正仿宋_GB2312" w:hAnsi="仿宋" w:eastAsia="方正仿宋_GB2312" w:cs="仿宋"/>
          <w:kern w:val="0"/>
          <w:sz w:val="32"/>
          <w:szCs w:val="32"/>
          <w:lang w:eastAsia="zh-Hans" w:bidi="ar"/>
        </w:rPr>
        <w:t>务发展新途径，促进门头沟区养老托育服务发展，有效弥补养老托育服务行业短板，开创养老托育服务多元供给新局面。</w:t>
      </w:r>
    </w:p>
    <w:tbl>
      <w:tblPr>
        <w:tblStyle w:val="2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shd w:val="clear" w:color="auto" w:fill="DCF3F8"/>
          </w:tcPr>
          <w:p>
            <w:pPr>
              <w:widowControl/>
              <w:spacing w:line="360" w:lineRule="auto"/>
              <w:jc w:val="center"/>
              <w:rPr>
                <w:rFonts w:ascii="仿宋" w:hAnsi="仿宋" w:eastAsia="仿宋" w:cs="仿宋"/>
                <w:b/>
                <w:kern w:val="0"/>
                <w:sz w:val="24"/>
              </w:rPr>
            </w:pPr>
            <w:r>
              <w:rPr>
                <w:rFonts w:hint="eastAsia" w:ascii="仿宋" w:hAnsi="仿宋" w:eastAsia="仿宋" w:cs="仿宋"/>
                <w:b/>
                <w:kern w:val="0"/>
                <w:sz w:val="24"/>
              </w:rPr>
              <w:t>专栏7：</w:t>
            </w:r>
            <w:r>
              <w:rPr>
                <w:rFonts w:hint="eastAsia" w:ascii="方正仿宋_GB2312" w:hAnsi="仿宋" w:eastAsia="方正仿宋_GB2312" w:cs="仿宋"/>
                <w:b/>
                <w:bCs/>
                <w:kern w:val="0"/>
                <w:sz w:val="22"/>
                <w:szCs w:val="22"/>
                <w:lang w:eastAsia="zh-Hans" w:bidi="ar"/>
              </w:rPr>
              <w:t>社会力量支持养老托育</w:t>
            </w:r>
            <w:r>
              <w:rPr>
                <w:rFonts w:hint="eastAsia" w:ascii="方正仿宋_GB2312" w:hAnsi="仿宋" w:eastAsia="方正仿宋_GB2312" w:cs="仿宋"/>
                <w:b/>
                <w:bCs/>
                <w:kern w:val="0"/>
                <w:sz w:val="22"/>
                <w:szCs w:val="22"/>
                <w:lang w:bidi="ar"/>
              </w:rPr>
              <w:t>服务质量</w:t>
            </w:r>
            <w:r>
              <w:rPr>
                <w:rFonts w:hint="eastAsia" w:ascii="方正仿宋_GB2312" w:hAnsi="仿宋" w:eastAsia="方正仿宋_GB2312" w:cs="仿宋"/>
                <w:b/>
                <w:bCs/>
                <w:kern w:val="0"/>
                <w:sz w:val="22"/>
                <w:szCs w:val="22"/>
                <w:lang w:eastAsia="zh-Hans" w:bidi="ar"/>
              </w:rPr>
              <w:t>提升工程</w:t>
            </w:r>
          </w:p>
          <w:p>
            <w:pPr>
              <w:widowControl/>
              <w:tabs>
                <w:tab w:val="left" w:pos="644"/>
              </w:tabs>
              <w:spacing w:line="360" w:lineRule="auto"/>
              <w:ind w:firstLine="480" w:firstLineChars="200"/>
              <w:jc w:val="left"/>
              <w:rPr>
                <w:rFonts w:ascii="仿宋" w:hAnsi="仿宋" w:eastAsia="仿宋" w:cs="仿宋"/>
                <w:bCs/>
                <w:kern w:val="0"/>
                <w:sz w:val="24"/>
              </w:rPr>
            </w:pPr>
            <w:r>
              <w:rPr>
                <w:rFonts w:hint="eastAsia" w:ascii="仿宋" w:hAnsi="仿宋" w:eastAsia="仿宋" w:cs="仿宋"/>
                <w:bCs/>
                <w:kern w:val="0"/>
                <w:sz w:val="24"/>
              </w:rPr>
              <w:t>积极引入公益组织，为公益项目落地创造，助力发挥其在服务设施改造、人才培训、公益慈善项目等牵引作用；引进品牌企业，支持其以独资、合资的方式承办各类民办服务机构，开发智慧信息服务平台，鼓励以输出管理团队、开展服务指导等方式参与提供养老托育服务；引进各类社会服务机构及志愿组织，为老年人提供生活照料、家政服务、精神慰藉、医疗康复、法律维权、信息咨询等多方面服务。</w:t>
            </w:r>
          </w:p>
        </w:tc>
      </w:tr>
    </w:tbl>
    <w:p>
      <w:pPr>
        <w:pStyle w:val="7"/>
        <w:spacing w:before="0" w:after="0"/>
        <w:rPr>
          <w:rFonts w:ascii="方正仿宋_GB2312" w:hAnsi="方正仿宋_GB2312" w:eastAsia="方正仿宋_GB2312" w:cs="方正仿宋_GB2312"/>
          <w:bCs w:val="0"/>
          <w:color w:val="auto"/>
        </w:rPr>
      </w:pPr>
      <w:bookmarkStart w:id="157" w:name="_Toc19051"/>
      <w:bookmarkStart w:id="158" w:name="_Toc102979028"/>
      <w:bookmarkStart w:id="159" w:name="_Toc32318"/>
      <w:bookmarkStart w:id="160" w:name="_Toc100671627"/>
      <w:r>
        <w:rPr>
          <w:rFonts w:ascii="方正仿宋_GB2312" w:hAnsi="方正仿宋_GB2312" w:eastAsia="方正仿宋_GB2312" w:cs="方正仿宋_GB2312"/>
          <w:bCs w:val="0"/>
          <w:color w:val="auto"/>
        </w:rPr>
        <w:t>2</w:t>
      </w:r>
      <w:r>
        <w:rPr>
          <w:rFonts w:hint="eastAsia" w:ascii="方正仿宋_GB2312" w:hAnsi="方正仿宋_GB2312" w:eastAsia="方正仿宋_GB2312" w:cs="方正仿宋_GB2312"/>
          <w:bCs w:val="0"/>
          <w:color w:val="auto"/>
        </w:rPr>
        <w:t>.促进</w:t>
      </w:r>
      <w:r>
        <w:rPr>
          <w:rFonts w:hint="eastAsia" w:ascii="方正仿宋_GB2312" w:hAnsi="方正仿宋_GB2312" w:eastAsia="方正仿宋_GB2312" w:cs="方正仿宋_GB2312"/>
          <w:bCs w:val="0"/>
          <w:color w:val="auto"/>
          <w:lang w:val="en-US" w:eastAsia="zh-CN"/>
        </w:rPr>
        <w:t>银发</w:t>
      </w:r>
      <w:r>
        <w:rPr>
          <w:rFonts w:hint="eastAsia" w:ascii="方正仿宋_GB2312" w:hAnsi="方正仿宋_GB2312" w:eastAsia="方正仿宋_GB2312" w:cs="方正仿宋_GB2312"/>
          <w:bCs w:val="0"/>
          <w:color w:val="auto"/>
        </w:rPr>
        <w:t>康养产业发展</w:t>
      </w:r>
      <w:bookmarkEnd w:id="157"/>
      <w:bookmarkEnd w:id="158"/>
      <w:bookmarkEnd w:id="159"/>
      <w:bookmarkEnd w:id="160"/>
    </w:p>
    <w:p>
      <w:pPr>
        <w:spacing w:line="360" w:lineRule="auto"/>
        <w:ind w:firstLine="640" w:firstLineChars="200"/>
        <w:rPr>
          <w:rFonts w:ascii="方正仿宋_GB2312" w:hAnsi="方正仿宋_GB2312" w:eastAsia="方正仿宋_GB2312" w:cs="方正仿宋_GB2312"/>
          <w:color w:val="auto"/>
          <w:kern w:val="0"/>
          <w:sz w:val="32"/>
          <w:szCs w:val="32"/>
        </w:rPr>
      </w:pPr>
      <w:r>
        <w:rPr>
          <w:rFonts w:hint="eastAsia" w:ascii="方正仿宋_GB2312" w:hAnsi="方正仿宋_GB2312" w:eastAsia="方正仿宋_GB2312" w:cs="方正仿宋_GB2312"/>
          <w:color w:val="auto"/>
          <w:kern w:val="0"/>
          <w:sz w:val="32"/>
          <w:szCs w:val="32"/>
          <w:lang w:eastAsia="zh-CN"/>
        </w:rPr>
        <w:t>依托现代信息技术大力</w:t>
      </w:r>
      <w:r>
        <w:rPr>
          <w:rFonts w:ascii="方正仿宋_GB2312" w:hAnsi="方正仿宋_GB2312" w:eastAsia="方正仿宋_GB2312" w:cs="方正仿宋_GB2312"/>
          <w:color w:val="auto"/>
          <w:kern w:val="0"/>
          <w:sz w:val="32"/>
          <w:szCs w:val="32"/>
        </w:rPr>
        <w:t>发展“互联网+养老服务”</w:t>
      </w:r>
      <w:r>
        <w:rPr>
          <w:rFonts w:hint="eastAsia" w:ascii="方正仿宋_GB2312" w:hAnsi="方正仿宋_GB2312" w:eastAsia="方正仿宋_GB2312" w:cs="方正仿宋_GB2312"/>
          <w:color w:val="auto"/>
          <w:kern w:val="0"/>
          <w:sz w:val="32"/>
          <w:szCs w:val="32"/>
        </w:rPr>
        <w:t>，推动线上线下融合，围绕</w:t>
      </w:r>
      <w:r>
        <w:rPr>
          <w:rFonts w:ascii="方正仿宋_GB2312" w:hAnsi="方正仿宋_GB2312" w:eastAsia="方正仿宋_GB2312" w:cs="方正仿宋_GB2312"/>
          <w:color w:val="auto"/>
          <w:kern w:val="0"/>
          <w:sz w:val="32"/>
          <w:szCs w:val="32"/>
        </w:rPr>
        <w:t>健康咨询、紧急救护、慢性病管理、生活照护、物品代购</w:t>
      </w:r>
      <w:r>
        <w:rPr>
          <w:rFonts w:hint="eastAsia" w:ascii="方正仿宋_GB2312" w:hAnsi="方正仿宋_GB2312" w:eastAsia="方正仿宋_GB2312" w:cs="方正仿宋_GB2312"/>
          <w:color w:val="auto"/>
          <w:kern w:val="0"/>
          <w:sz w:val="32"/>
          <w:szCs w:val="32"/>
        </w:rPr>
        <w:t>、从业人员培训</w:t>
      </w:r>
      <w:r>
        <w:rPr>
          <w:rFonts w:ascii="方正仿宋_GB2312" w:hAnsi="方正仿宋_GB2312" w:eastAsia="方正仿宋_GB2312" w:cs="方正仿宋_GB2312"/>
          <w:color w:val="auto"/>
          <w:kern w:val="0"/>
          <w:sz w:val="32"/>
          <w:szCs w:val="32"/>
        </w:rPr>
        <w:t>等</w:t>
      </w:r>
      <w:r>
        <w:rPr>
          <w:rFonts w:hint="eastAsia" w:ascii="方正仿宋_GB2312" w:hAnsi="方正仿宋_GB2312" w:eastAsia="方正仿宋_GB2312" w:cs="方正仿宋_GB2312"/>
          <w:color w:val="auto"/>
          <w:kern w:val="0"/>
          <w:sz w:val="32"/>
          <w:szCs w:val="32"/>
        </w:rPr>
        <w:t>，为家庭、机构建设与服务提供更加智能化、便捷化、优质化的</w:t>
      </w:r>
      <w:r>
        <w:rPr>
          <w:rFonts w:ascii="方正仿宋_GB2312" w:hAnsi="方正仿宋_GB2312" w:eastAsia="方正仿宋_GB2312" w:cs="方正仿宋_GB2312"/>
          <w:color w:val="auto"/>
          <w:kern w:val="0"/>
          <w:sz w:val="32"/>
          <w:szCs w:val="32"/>
        </w:rPr>
        <w:t>智慧养老服务</w:t>
      </w:r>
      <w:r>
        <w:rPr>
          <w:rFonts w:hint="eastAsia" w:ascii="方正仿宋_GB2312" w:hAnsi="方正仿宋_GB2312" w:eastAsia="方正仿宋_GB2312" w:cs="方正仿宋_GB2312"/>
          <w:color w:val="auto"/>
          <w:kern w:val="0"/>
          <w:sz w:val="32"/>
          <w:szCs w:val="32"/>
        </w:rPr>
        <w:t>。发挥生态涵养区得天独厚的自然环境</w:t>
      </w:r>
      <w:r>
        <w:rPr>
          <w:rFonts w:hint="eastAsia" w:ascii="方正仿宋_GB2312" w:hAnsi="方正仿宋_GB2312" w:eastAsia="方正仿宋_GB2312" w:cs="方正仿宋_GB2312"/>
          <w:color w:val="auto"/>
          <w:kern w:val="0"/>
          <w:sz w:val="32"/>
          <w:szCs w:val="32"/>
          <w:lang w:eastAsia="zh-CN"/>
        </w:rPr>
        <w:t>、</w:t>
      </w:r>
      <w:r>
        <w:rPr>
          <w:rFonts w:hint="eastAsia" w:ascii="方正仿宋_GB2312" w:hAnsi="方正仿宋_GB2312" w:eastAsia="方正仿宋_GB2312" w:cs="方正仿宋_GB2312"/>
          <w:color w:val="auto"/>
          <w:kern w:val="0"/>
          <w:sz w:val="32"/>
          <w:szCs w:val="32"/>
        </w:rPr>
        <w:t>丰富的生态资源</w:t>
      </w:r>
      <w:r>
        <w:rPr>
          <w:rFonts w:hint="eastAsia" w:ascii="方正仿宋_GB2312" w:hAnsi="方正仿宋_GB2312" w:eastAsia="方正仿宋_GB2312" w:cs="方正仿宋_GB2312"/>
          <w:color w:val="auto"/>
          <w:kern w:val="0"/>
          <w:sz w:val="32"/>
          <w:szCs w:val="32"/>
          <w:lang w:val="en-US" w:eastAsia="zh-CN"/>
        </w:rPr>
        <w:t>以及</w:t>
      </w:r>
      <w:r>
        <w:rPr>
          <w:rFonts w:hint="eastAsia" w:ascii="方正仿宋_GB2312" w:hAnsi="方正仿宋_GB2312" w:eastAsia="方正仿宋_GB2312" w:cs="方正仿宋_GB2312"/>
          <w:color w:val="auto"/>
          <w:kern w:val="0"/>
          <w:sz w:val="32"/>
          <w:szCs w:val="32"/>
        </w:rPr>
        <w:t>历史文化优势，发展</w:t>
      </w:r>
      <w:r>
        <w:rPr>
          <w:rFonts w:hint="eastAsia" w:ascii="方正仿宋_GB2312" w:hAnsi="方正仿宋_GB2312" w:eastAsia="方正仿宋_GB2312" w:cs="方正仿宋_GB2312"/>
          <w:color w:val="auto"/>
          <w:kern w:val="0"/>
          <w:sz w:val="32"/>
          <w:szCs w:val="32"/>
          <w:lang w:val="en-US" w:eastAsia="zh-CN"/>
        </w:rPr>
        <w:t>银发</w:t>
      </w:r>
      <w:r>
        <w:rPr>
          <w:rFonts w:hint="eastAsia" w:ascii="方正仿宋_GB2312" w:hAnsi="方正仿宋_GB2312" w:eastAsia="方正仿宋_GB2312" w:cs="方正仿宋_GB2312"/>
          <w:color w:val="auto"/>
          <w:kern w:val="0"/>
          <w:sz w:val="32"/>
          <w:szCs w:val="32"/>
        </w:rPr>
        <w:t>健康养生旅游产业，打造具有鲜明特色的健康养生旅游度假区。</w:t>
      </w:r>
    </w:p>
    <w:p>
      <w:pPr>
        <w:pStyle w:val="7"/>
        <w:spacing w:before="0" w:after="0"/>
        <w:ind w:firstLine="704"/>
        <w:rPr>
          <w:rFonts w:ascii="方正仿宋_GB2312" w:hAnsi="方正仿宋_GB2312" w:eastAsia="方正仿宋_GB2312" w:cs="方正仿宋_GB2312"/>
          <w:bCs w:val="0"/>
        </w:rPr>
      </w:pPr>
      <w:bookmarkStart w:id="161" w:name="_Toc1707"/>
      <w:bookmarkStart w:id="162" w:name="_Toc100671641"/>
      <w:bookmarkStart w:id="163" w:name="_Toc3000"/>
      <w:r>
        <w:rPr>
          <w:rFonts w:hint="eastAsia" w:ascii="方正仿宋_GB2312" w:hAnsi="方正仿宋_GB2312" w:eastAsia="方正仿宋_GB2312" w:cs="方正仿宋_GB2312"/>
          <w:bCs w:val="0"/>
          <w:lang w:val="en-US" w:eastAsia="zh-CN"/>
        </w:rPr>
        <w:t>3</w:t>
      </w:r>
      <w:r>
        <w:rPr>
          <w:rFonts w:hint="eastAsia" w:ascii="方正仿宋_GB2312" w:hAnsi="方正仿宋_GB2312" w:eastAsia="方正仿宋_GB2312" w:cs="方正仿宋_GB2312"/>
          <w:bCs w:val="0"/>
        </w:rPr>
        <w:t>.激发老年教育发展活力</w:t>
      </w:r>
      <w:bookmarkEnd w:id="161"/>
      <w:bookmarkEnd w:id="162"/>
      <w:bookmarkEnd w:id="163"/>
    </w:p>
    <w:p>
      <w:pPr>
        <w:spacing w:line="360" w:lineRule="auto"/>
        <w:ind w:firstLine="640" w:firstLineChars="200"/>
        <w:rPr>
          <w:rFonts w:hint="eastAsia" w:ascii="方正仿宋_GB2312" w:hAnsi="方正仿宋_GB2312" w:eastAsia="方正仿宋_GB2312" w:cs="方正仿宋_GB2312"/>
          <w:kern w:val="0"/>
          <w:sz w:val="32"/>
          <w:szCs w:val="32"/>
        </w:rPr>
      </w:pPr>
      <w:r>
        <w:rPr>
          <w:rFonts w:hint="eastAsia" w:ascii="方正仿宋_GB2312" w:hAnsi="方正仿宋_GB2312" w:eastAsia="方正仿宋_GB2312" w:cs="方正仿宋_GB2312"/>
          <w:kern w:val="0"/>
          <w:sz w:val="32"/>
          <w:szCs w:val="32"/>
        </w:rPr>
        <w:t>鼓励利用现有老年教育资源，及时向镇和农村辐射，推动老年教育重心下移，逐步提高老年教育覆盖率。完善“互联网+老年教育”服务模式，鼓励符合条件的各类教育培训机构开发适合老年人特点的教育产品和培训课程，发展线上学习、互动交流等老年数字教育新业态。鼓励社会力量兴办老年教育。各镇、街道至少组建一支老年教育志愿者服务团队，每个村委会、居委会培育3-5个老年学习共同体，以各种形式经常性参与教育活动的老年人占老年人口总数的比例达到40%左右。</w:t>
      </w:r>
    </w:p>
    <w:p>
      <w:pPr>
        <w:pStyle w:val="7"/>
        <w:spacing w:before="0" w:after="0"/>
        <w:ind w:firstLine="704"/>
        <w:rPr>
          <w:rFonts w:ascii="方正仿宋_GB2312" w:hAnsi="方正仿宋_GB2312" w:eastAsia="方正仿宋_GB2312" w:cs="方正仿宋_GB2312"/>
          <w:bCs w:val="0"/>
        </w:rPr>
      </w:pPr>
      <w:bookmarkStart w:id="164" w:name="_Toc3119"/>
      <w:bookmarkStart w:id="165" w:name="_Toc18993"/>
      <w:bookmarkStart w:id="166" w:name="_Toc100671642"/>
      <w:r>
        <w:rPr>
          <w:rFonts w:hint="eastAsia" w:ascii="方正仿宋_GB2312" w:hAnsi="方正仿宋_GB2312" w:eastAsia="方正仿宋_GB2312" w:cs="方正仿宋_GB2312"/>
          <w:bCs w:val="0"/>
          <w:lang w:val="en-US" w:eastAsia="zh-CN"/>
        </w:rPr>
        <w:t>4</w:t>
      </w:r>
      <w:r>
        <w:rPr>
          <w:rFonts w:hint="eastAsia" w:ascii="方正仿宋_GB2312" w:hAnsi="方正仿宋_GB2312" w:eastAsia="方正仿宋_GB2312" w:cs="方正仿宋_GB2312"/>
          <w:bCs w:val="0"/>
        </w:rPr>
        <w:t>.</w:t>
      </w:r>
      <w:bookmarkStart w:id="167" w:name="_Toc90918997"/>
      <w:r>
        <w:rPr>
          <w:rFonts w:hint="eastAsia" w:ascii="方正仿宋_GB2312" w:hAnsi="方正仿宋_GB2312" w:eastAsia="方正仿宋_GB2312" w:cs="方正仿宋_GB2312"/>
          <w:bCs w:val="0"/>
        </w:rPr>
        <w:t>加强开发老年人力资源</w:t>
      </w:r>
      <w:bookmarkEnd w:id="164"/>
      <w:bookmarkEnd w:id="165"/>
      <w:bookmarkEnd w:id="166"/>
      <w:bookmarkEnd w:id="167"/>
    </w:p>
    <w:p>
      <w:pPr>
        <w:pStyle w:val="20"/>
        <w:spacing w:beforeAutospacing="0" w:afterAutospacing="0" w:line="360" w:lineRule="auto"/>
        <w:ind w:firstLine="640" w:firstLineChars="200"/>
        <w:jc w:val="both"/>
        <w:rPr>
          <w:rFonts w:hint="eastAsia" w:ascii="方正仿宋_GB2312" w:hAnsi="仿宋" w:eastAsia="方正仿宋_GB2312" w:cs="仿宋"/>
          <w:sz w:val="32"/>
          <w:szCs w:val="32"/>
          <w:shd w:val="clear" w:color="auto" w:fill="FFFFFF"/>
          <w:lang w:bidi="ar"/>
        </w:rPr>
      </w:pPr>
      <w:r>
        <w:rPr>
          <w:rFonts w:hint="eastAsia" w:ascii="方正仿宋_GB2312" w:hAnsi="仿宋" w:eastAsia="方正仿宋_GB2312" w:cs="仿宋"/>
          <w:sz w:val="32"/>
          <w:szCs w:val="32"/>
          <w:shd w:val="clear" w:color="auto" w:fill="FFFFFF"/>
          <w:lang w:bidi="ar"/>
        </w:rPr>
        <w:t>激活老年人力资源，引导有劳动能力和就业意愿的老年人继续就业。</w:t>
      </w:r>
      <w:r>
        <w:rPr>
          <w:rFonts w:hint="eastAsia" w:ascii="方正仿宋_GB2312" w:hAnsi="仿宋" w:eastAsia="方正仿宋_GB2312" w:cs="仿宋"/>
          <w:bCs/>
          <w:sz w:val="32"/>
          <w:szCs w:val="32"/>
          <w:shd w:val="clear" w:color="auto" w:fill="FFFFFF"/>
          <w:lang w:bidi="ar"/>
        </w:rPr>
        <w:t>搭建多种类型老年参与公共事务平台，引进公益资源支持老年人社会参与活动。</w:t>
      </w:r>
      <w:r>
        <w:rPr>
          <w:rFonts w:hint="eastAsia" w:ascii="方正仿宋_GB2312" w:hAnsi="仿宋" w:eastAsia="方正仿宋_GB2312" w:cs="仿宋"/>
          <w:sz w:val="32"/>
          <w:szCs w:val="32"/>
          <w:shd w:val="clear" w:color="auto" w:fill="FFFFFF"/>
          <w:lang w:bidi="ar"/>
        </w:rPr>
        <w:t>向老年人提供政策咨询、职业指导、职业介绍等公共就业服务。支持老年人才自主创业，培育基层老年社会组织，引导老年群众组织规范发展，发挥其在老年人文化、教育、体育以及老年学研究、志愿服务、老龄产业发展等方面的积极作用。鼓励、引导老年人积极参加基层老年协会等各类基层社会组织，广泛参与社会治安、疫情防控、环境保护、纠纷调解、邻里互助等志愿服务。到2025年，老年志愿者注册人数占老年人口比例达到21%。</w:t>
      </w:r>
    </w:p>
    <w:p>
      <w:pPr>
        <w:pStyle w:val="7"/>
        <w:spacing w:before="0" w:after="0"/>
        <w:ind w:firstLine="704"/>
        <w:rPr>
          <w:rFonts w:ascii="方正仿宋_GB2312" w:hAnsi="方正仿宋_GB2312" w:eastAsia="方正仿宋_GB2312" w:cs="方正仿宋_GB2312"/>
          <w:bCs w:val="0"/>
          <w:color w:val="auto"/>
        </w:rPr>
      </w:pPr>
      <w:bookmarkStart w:id="168" w:name="_Toc4071"/>
      <w:bookmarkStart w:id="169" w:name="_Toc100671643"/>
      <w:bookmarkStart w:id="170" w:name="_Toc32059"/>
      <w:r>
        <w:rPr>
          <w:rFonts w:hint="eastAsia" w:ascii="方正仿宋_GB2312" w:hAnsi="方正仿宋_GB2312" w:eastAsia="方正仿宋_GB2312" w:cs="方正仿宋_GB2312"/>
          <w:bCs w:val="0"/>
          <w:color w:val="auto"/>
          <w:lang w:val="en-US" w:eastAsia="zh-CN"/>
        </w:rPr>
        <w:t>5</w:t>
      </w:r>
      <w:r>
        <w:rPr>
          <w:rFonts w:hint="eastAsia" w:ascii="方正仿宋_GB2312" w:hAnsi="方正仿宋_GB2312" w:eastAsia="方正仿宋_GB2312" w:cs="方正仿宋_GB2312"/>
          <w:bCs w:val="0"/>
          <w:color w:val="auto"/>
        </w:rPr>
        <w:t>.加大</w:t>
      </w:r>
      <w:r>
        <w:rPr>
          <w:rFonts w:hint="eastAsia" w:ascii="方正仿宋_GB2312" w:hAnsi="方正仿宋_GB2312" w:eastAsia="方正仿宋_GB2312" w:cs="方正仿宋_GB2312"/>
          <w:bCs w:val="0"/>
          <w:color w:val="auto"/>
          <w:lang w:val="en-US" w:eastAsia="zh-CN"/>
        </w:rPr>
        <w:t>养老</w:t>
      </w:r>
      <w:r>
        <w:rPr>
          <w:rFonts w:hint="eastAsia" w:ascii="方正仿宋_GB2312" w:hAnsi="方正仿宋_GB2312" w:eastAsia="方正仿宋_GB2312" w:cs="方正仿宋_GB2312"/>
          <w:bCs w:val="0"/>
          <w:color w:val="auto"/>
        </w:rPr>
        <w:t>托育知识宣传教育</w:t>
      </w:r>
      <w:bookmarkEnd w:id="168"/>
      <w:bookmarkEnd w:id="169"/>
      <w:bookmarkEnd w:id="170"/>
    </w:p>
    <w:p>
      <w:pPr>
        <w:widowControl/>
        <w:spacing w:line="34" w:lineRule="atLeast"/>
        <w:ind w:firstLine="640" w:firstLineChars="200"/>
        <w:rPr>
          <w:rFonts w:ascii="方正仿宋_GB2312" w:hAnsi="仿宋" w:eastAsia="方正仿宋_GB2312" w:cs="仿宋"/>
          <w:kern w:val="0"/>
          <w:sz w:val="32"/>
          <w:szCs w:val="32"/>
          <w:lang w:bidi="ar"/>
        </w:rPr>
      </w:pPr>
      <w:r>
        <w:rPr>
          <w:rFonts w:hint="eastAsia" w:ascii="方正仿宋_GB2312" w:hAnsi="方正仿宋_GB2312" w:eastAsia="方正仿宋_GB2312" w:cs="方正仿宋_GB2312"/>
          <w:color w:val="auto"/>
          <w:sz w:val="32"/>
          <w:szCs w:val="32"/>
          <w:highlight w:val="none"/>
          <w:lang w:val="zh-CN"/>
        </w:rPr>
        <w:t>弘扬中华民族尊老爱幼传统美德，持续开展“敬老</w:t>
      </w:r>
      <w:r>
        <w:rPr>
          <w:rFonts w:hint="eastAsia" w:ascii="方正仿宋_GB2312" w:hAnsi="方正仿宋_GB2312" w:eastAsia="方正仿宋_GB2312" w:cs="方正仿宋_GB2312"/>
          <w:color w:val="auto"/>
          <w:sz w:val="32"/>
          <w:szCs w:val="32"/>
          <w:highlight w:val="none"/>
          <w:lang w:val="en-US" w:eastAsia="zh-CN"/>
        </w:rPr>
        <w:t>月</w:t>
      </w:r>
      <w:r>
        <w:rPr>
          <w:rFonts w:hint="eastAsia" w:ascii="方正仿宋_GB2312" w:hAnsi="方正仿宋_GB2312" w:eastAsia="方正仿宋_GB2312" w:cs="方正仿宋_GB2312"/>
          <w:color w:val="auto"/>
          <w:sz w:val="32"/>
          <w:szCs w:val="32"/>
          <w:highlight w:val="none"/>
          <w:lang w:val="zh-CN"/>
        </w:rPr>
        <w:t>”系列活动。开展积极应对人口老龄化</w:t>
      </w:r>
      <w:r>
        <w:rPr>
          <w:rFonts w:hint="eastAsia" w:ascii="方正仿宋_GB2312" w:hAnsi="方正仿宋_GB2312" w:eastAsia="方正仿宋_GB2312" w:cs="方正仿宋_GB2312"/>
          <w:color w:val="auto"/>
          <w:sz w:val="32"/>
          <w:szCs w:val="32"/>
          <w:highlight w:val="none"/>
        </w:rPr>
        <w:t>宣传</w:t>
      </w:r>
      <w:r>
        <w:rPr>
          <w:rFonts w:hint="eastAsia" w:ascii="方正仿宋_GB2312" w:hAnsi="方正仿宋_GB2312" w:eastAsia="方正仿宋_GB2312" w:cs="方正仿宋_GB2312"/>
          <w:color w:val="auto"/>
          <w:sz w:val="32"/>
          <w:szCs w:val="32"/>
          <w:highlight w:val="none"/>
          <w:lang w:val="zh-CN"/>
        </w:rPr>
        <w:t>，引导群众正确看待人口发展趋势，营造全社会关心、支持、参与</w:t>
      </w:r>
      <w:r>
        <w:rPr>
          <w:rFonts w:hint="eastAsia" w:ascii="方正仿宋_GB2312" w:hAnsi="方正仿宋_GB2312" w:eastAsia="方正仿宋_GB2312" w:cs="方正仿宋_GB2312"/>
          <w:color w:val="auto"/>
          <w:sz w:val="32"/>
          <w:szCs w:val="32"/>
          <w:highlight w:val="none"/>
          <w:lang w:val="en-US" w:eastAsia="zh-CN"/>
        </w:rPr>
        <w:t>养老托育</w:t>
      </w:r>
      <w:r>
        <w:rPr>
          <w:rFonts w:hint="eastAsia" w:ascii="方正仿宋_GB2312" w:hAnsi="方正仿宋_GB2312" w:eastAsia="方正仿宋_GB2312" w:cs="方正仿宋_GB2312"/>
          <w:color w:val="auto"/>
          <w:sz w:val="32"/>
          <w:szCs w:val="32"/>
          <w:highlight w:val="none"/>
          <w:lang w:val="zh-CN"/>
        </w:rPr>
        <w:t>事业的良好氛围。</w:t>
      </w:r>
      <w:r>
        <w:rPr>
          <w:rFonts w:hint="eastAsia" w:ascii="方正仿宋_GB2312" w:hAnsi="仿宋" w:eastAsia="方正仿宋_GB2312" w:cs="仿宋"/>
          <w:color w:val="auto"/>
          <w:kern w:val="0"/>
          <w:sz w:val="32"/>
          <w:szCs w:val="32"/>
          <w:lang w:eastAsia="zh-Hans" w:bidi="ar"/>
        </w:rPr>
        <w:t>坚持舆论导向，重视正面宣传，发挥主流媒体主导作用，利用媒体、网络、社区等渠道，广泛普及宣传托育知识。制定门头沟区科学育儿宣传教育实施方案，组建科学育儿专家宣讲团或服务指导工作队等，以专题讲座、主题活动、宣传片播放等形式，使育儿宣传进社区、进家庭，形成全社会关心、重视、支持</w:t>
      </w:r>
      <w:r>
        <w:rPr>
          <w:rFonts w:hint="eastAsia" w:ascii="方正仿宋_GB2312" w:hAnsi="仿宋" w:eastAsia="方正仿宋_GB2312" w:cs="仿宋"/>
          <w:kern w:val="0"/>
          <w:sz w:val="32"/>
          <w:szCs w:val="32"/>
          <w:lang w:eastAsia="zh-Hans" w:bidi="ar"/>
        </w:rPr>
        <w:t>、参与托育服务的共识，营造托育事业共建共享良好生态。</w:t>
      </w:r>
    </w:p>
    <w:p>
      <w:pPr>
        <w:pStyle w:val="3"/>
        <w:spacing w:before="0" w:after="0" w:line="240" w:lineRule="auto"/>
        <w:ind w:firstLine="643" w:firstLineChars="200"/>
        <w:rPr>
          <w:rFonts w:ascii="方正楷体_GB2312" w:hAnsi="方正楷体_GB2312" w:eastAsia="方正楷体_GB2312" w:cs="方正楷体_GB2312"/>
          <w:kern w:val="0"/>
          <w:sz w:val="32"/>
          <w:szCs w:val="32"/>
        </w:rPr>
      </w:pPr>
      <w:bookmarkStart w:id="171" w:name="_Toc4568"/>
      <w:bookmarkStart w:id="172" w:name="_Toc100671644"/>
      <w:bookmarkStart w:id="173" w:name="_Toc30716"/>
      <w:r>
        <w:rPr>
          <w:rFonts w:hint="eastAsia" w:ascii="黑体" w:hAnsi="黑体" w:eastAsia="黑体" w:cs="黑体"/>
          <w:kern w:val="0"/>
          <w:sz w:val="32"/>
          <w:szCs w:val="32"/>
        </w:rPr>
        <w:t>四、保障措施</w:t>
      </w:r>
      <w:bookmarkEnd w:id="171"/>
      <w:bookmarkEnd w:id="172"/>
      <w:bookmarkEnd w:id="173"/>
      <w:bookmarkStart w:id="174" w:name="_Toc100671645"/>
    </w:p>
    <w:p>
      <w:pPr>
        <w:ind w:firstLine="643" w:firstLineChars="200"/>
        <w:contextualSpacing/>
        <w:outlineLvl w:val="1"/>
        <w:rPr>
          <w:rFonts w:ascii="方正楷体_GB2312" w:hAnsi="方正楷体_GB2312" w:eastAsia="方正楷体_GB2312" w:cs="方正楷体_GB2312"/>
          <w:b/>
          <w:bCs/>
          <w:kern w:val="0"/>
          <w:sz w:val="32"/>
          <w:szCs w:val="32"/>
        </w:rPr>
      </w:pPr>
      <w:bookmarkStart w:id="175" w:name="_Toc26127"/>
      <w:bookmarkStart w:id="176" w:name="_Toc20326"/>
      <w:r>
        <w:rPr>
          <w:rFonts w:hint="eastAsia" w:ascii="方正楷体_GB2312" w:hAnsi="方正楷体_GB2312" w:eastAsia="方正楷体_GB2312" w:cs="方正楷体_GB2312"/>
          <w:b/>
          <w:bCs/>
          <w:kern w:val="0"/>
          <w:sz w:val="32"/>
          <w:szCs w:val="32"/>
        </w:rPr>
        <w:t>（十</w:t>
      </w:r>
      <w:r>
        <w:rPr>
          <w:rFonts w:hint="eastAsia" w:ascii="方正楷体_GB2312" w:hAnsi="方正楷体_GB2312" w:eastAsia="方正楷体_GB2312" w:cs="方正楷体_GB2312"/>
          <w:b/>
          <w:bCs/>
          <w:kern w:val="0"/>
          <w:sz w:val="32"/>
          <w:szCs w:val="32"/>
          <w:lang w:val="en-US" w:eastAsia="zh-CN"/>
        </w:rPr>
        <w:t>三</w:t>
      </w:r>
      <w:r>
        <w:rPr>
          <w:rFonts w:hint="eastAsia" w:ascii="方正楷体_GB2312" w:hAnsi="方正楷体_GB2312" w:eastAsia="方正楷体_GB2312" w:cs="方正楷体_GB2312"/>
          <w:b/>
          <w:bCs/>
          <w:kern w:val="0"/>
          <w:sz w:val="32"/>
          <w:szCs w:val="32"/>
        </w:rPr>
        <w:t>）健全工作机制</w:t>
      </w:r>
      <w:bookmarkEnd w:id="174"/>
      <w:bookmarkEnd w:id="175"/>
      <w:bookmarkEnd w:id="176"/>
    </w:p>
    <w:p>
      <w:pPr>
        <w:ind w:left="0" w:leftChars="0" w:firstLine="640" w:firstLineChars="200"/>
        <w:rPr>
          <w:rFonts w:ascii="方正仿宋_GB2312" w:hAnsi="仿宋" w:eastAsia="方正仿宋_GB2312" w:cs="仿宋"/>
          <w:color w:val="auto"/>
          <w:kern w:val="0"/>
          <w:sz w:val="32"/>
          <w:szCs w:val="32"/>
          <w:lang w:eastAsia="zh-Hans" w:bidi="ar"/>
        </w:rPr>
      </w:pPr>
      <w:r>
        <w:rPr>
          <w:rFonts w:hint="eastAsia" w:ascii="方正仿宋_GB2312" w:hAnsi="仿宋" w:eastAsia="方正仿宋_GB2312" w:cs="仿宋"/>
          <w:kern w:val="0"/>
          <w:sz w:val="32"/>
          <w:szCs w:val="32"/>
          <w:lang w:bidi="ar"/>
        </w:rPr>
        <w:t>要</w:t>
      </w:r>
      <w:r>
        <w:rPr>
          <w:rFonts w:hint="eastAsia" w:ascii="方正仿宋_GB2312" w:hAnsi="仿宋" w:eastAsia="方正仿宋_GB2312" w:cs="仿宋"/>
          <w:kern w:val="0"/>
          <w:sz w:val="32"/>
          <w:szCs w:val="32"/>
          <w:lang w:eastAsia="zh-Hans" w:bidi="ar"/>
        </w:rPr>
        <w:t>成立以区委书记</w:t>
      </w:r>
      <w:r>
        <w:rPr>
          <w:rFonts w:hint="eastAsia" w:ascii="方正仿宋_GB2312" w:hAnsi="仿宋" w:eastAsia="方正仿宋_GB2312" w:cs="仿宋"/>
          <w:kern w:val="0"/>
          <w:sz w:val="32"/>
          <w:szCs w:val="32"/>
          <w:lang w:bidi="ar"/>
        </w:rPr>
        <w:t>、区长</w:t>
      </w:r>
      <w:r>
        <w:rPr>
          <w:rFonts w:hint="eastAsia" w:ascii="方正仿宋_GB2312" w:hAnsi="仿宋" w:eastAsia="方正仿宋_GB2312" w:cs="仿宋"/>
          <w:kern w:val="0"/>
          <w:sz w:val="32"/>
          <w:szCs w:val="32"/>
          <w:lang w:eastAsia="zh-Hans" w:bidi="ar"/>
        </w:rPr>
        <w:t>为组长</w:t>
      </w:r>
      <w:r>
        <w:rPr>
          <w:rFonts w:hint="eastAsia" w:ascii="方正仿宋_GB2312" w:hAnsi="仿宋" w:eastAsia="方正仿宋_GB2312" w:cs="仿宋"/>
          <w:kern w:val="0"/>
          <w:sz w:val="32"/>
          <w:szCs w:val="32"/>
          <w:lang w:bidi="ar"/>
        </w:rPr>
        <w:t>的“一老一小”工作领导小组</w:t>
      </w:r>
      <w:r>
        <w:rPr>
          <w:rFonts w:hint="eastAsia" w:ascii="方正仿宋_GB2312" w:hAnsi="仿宋" w:eastAsia="方正仿宋_GB2312" w:cs="仿宋"/>
          <w:kern w:val="0"/>
          <w:sz w:val="32"/>
          <w:szCs w:val="32"/>
          <w:lang w:eastAsia="zh-Hans" w:bidi="ar"/>
        </w:rPr>
        <w:t>，</w:t>
      </w:r>
      <w:r>
        <w:rPr>
          <w:rFonts w:hint="eastAsia" w:ascii="方正仿宋_GB2312" w:hAnsi="仿宋" w:eastAsia="方正仿宋_GB2312" w:cs="仿宋"/>
          <w:kern w:val="0"/>
          <w:sz w:val="32"/>
          <w:szCs w:val="32"/>
          <w:lang w:bidi="ar"/>
        </w:rPr>
        <w:t>民政、卫生健康、发展改革、教育、人保</w:t>
      </w:r>
      <w:r>
        <w:rPr>
          <w:rFonts w:hint="eastAsia" w:ascii="方正仿宋_GB2312" w:hAnsi="仿宋" w:eastAsia="方正仿宋_GB2312" w:cs="仿宋"/>
          <w:kern w:val="0"/>
          <w:sz w:val="32"/>
          <w:szCs w:val="32"/>
          <w:lang w:eastAsia="zh-CN" w:bidi="ar"/>
        </w:rPr>
        <w:t>、财政</w:t>
      </w:r>
      <w:r>
        <w:rPr>
          <w:rFonts w:hint="eastAsia" w:ascii="方正仿宋_GB2312" w:hAnsi="仿宋" w:eastAsia="方正仿宋_GB2312" w:cs="仿宋"/>
          <w:kern w:val="0"/>
          <w:sz w:val="32"/>
          <w:szCs w:val="32"/>
          <w:lang w:bidi="ar"/>
        </w:rPr>
        <w:t>等</w:t>
      </w:r>
      <w:r>
        <w:rPr>
          <w:rFonts w:hint="eastAsia" w:ascii="方正仿宋_GB2312" w:hAnsi="仿宋" w:eastAsia="方正仿宋_GB2312" w:cs="仿宋"/>
          <w:kern w:val="0"/>
          <w:sz w:val="32"/>
          <w:szCs w:val="32"/>
          <w:lang w:eastAsia="zh-Hans" w:bidi="ar"/>
        </w:rPr>
        <w:t>相关部门主要</w:t>
      </w:r>
      <w:r>
        <w:rPr>
          <w:rFonts w:hint="eastAsia" w:ascii="方正仿宋_GB2312" w:hAnsi="仿宋" w:eastAsia="方正仿宋_GB2312" w:cs="仿宋"/>
          <w:kern w:val="0"/>
          <w:sz w:val="32"/>
          <w:szCs w:val="32"/>
          <w:lang w:bidi="ar"/>
        </w:rPr>
        <w:t>负责人参加</w:t>
      </w:r>
      <w:r>
        <w:rPr>
          <w:rFonts w:hint="eastAsia" w:ascii="方正仿宋_GB2312" w:hAnsi="仿宋" w:eastAsia="方正仿宋_GB2312" w:cs="仿宋"/>
          <w:kern w:val="0"/>
          <w:sz w:val="32"/>
          <w:szCs w:val="32"/>
          <w:lang w:eastAsia="zh-Hans" w:bidi="ar"/>
        </w:rPr>
        <w:t>，负责统筹协调、指导、管理推进养老托育服务发展工作</w:t>
      </w:r>
      <w:r>
        <w:rPr>
          <w:rFonts w:hint="eastAsia" w:ascii="方正仿宋_GB2312" w:hAnsi="仿宋" w:eastAsia="方正仿宋_GB2312" w:cs="仿宋"/>
          <w:kern w:val="0"/>
          <w:sz w:val="32"/>
          <w:szCs w:val="32"/>
          <w:lang w:bidi="ar"/>
        </w:rPr>
        <w:t>，定期听取工作进展报告</w:t>
      </w:r>
      <w:r>
        <w:rPr>
          <w:rFonts w:hint="eastAsia" w:ascii="方正仿宋_GB2312" w:hAnsi="仿宋" w:eastAsia="方正仿宋_GB2312" w:cs="仿宋"/>
          <w:kern w:val="0"/>
          <w:sz w:val="32"/>
          <w:szCs w:val="32"/>
          <w:lang w:eastAsia="zh-Hans" w:bidi="ar"/>
        </w:rPr>
        <w:t>。领导小组办公室</w:t>
      </w:r>
      <w:r>
        <w:rPr>
          <w:rFonts w:hint="eastAsia" w:ascii="方正仿宋_GB2312" w:hAnsi="仿宋" w:eastAsia="方正仿宋_GB2312" w:cs="仿宋"/>
          <w:kern w:val="0"/>
          <w:sz w:val="32"/>
          <w:szCs w:val="32"/>
          <w:lang w:eastAsia="zh-CN" w:bidi="ar"/>
        </w:rPr>
        <w:t>分别</w:t>
      </w:r>
      <w:r>
        <w:rPr>
          <w:rFonts w:hint="eastAsia" w:ascii="方正仿宋_GB2312" w:hAnsi="仿宋" w:eastAsia="方正仿宋_GB2312" w:cs="仿宋"/>
          <w:kern w:val="0"/>
          <w:sz w:val="32"/>
          <w:szCs w:val="32"/>
          <w:lang w:bidi="ar"/>
        </w:rPr>
        <w:t>设在民政局</w:t>
      </w:r>
      <w:r>
        <w:rPr>
          <w:rFonts w:hint="eastAsia" w:ascii="方正仿宋_GB2312" w:hAnsi="仿宋" w:eastAsia="方正仿宋_GB2312" w:cs="仿宋"/>
          <w:kern w:val="0"/>
          <w:sz w:val="32"/>
          <w:szCs w:val="32"/>
          <w:lang w:eastAsia="zh-CN" w:bidi="ar"/>
        </w:rPr>
        <w:t>、卫生健康委</w:t>
      </w:r>
      <w:r>
        <w:rPr>
          <w:rFonts w:hint="eastAsia" w:ascii="方正仿宋_GB2312" w:hAnsi="仿宋" w:eastAsia="方正仿宋_GB2312" w:cs="仿宋"/>
          <w:kern w:val="0"/>
          <w:sz w:val="32"/>
          <w:szCs w:val="32"/>
          <w:lang w:bidi="ar"/>
        </w:rPr>
        <w:t>，</w:t>
      </w:r>
      <w:r>
        <w:rPr>
          <w:rFonts w:hint="eastAsia" w:ascii="方正仿宋_GB2312" w:hAnsi="仿宋" w:eastAsia="方正仿宋_GB2312" w:cs="仿宋"/>
          <w:kern w:val="0"/>
          <w:sz w:val="32"/>
          <w:szCs w:val="32"/>
          <w:lang w:eastAsia="zh-CN" w:bidi="ar"/>
        </w:rPr>
        <w:t>各自</w:t>
      </w:r>
      <w:r>
        <w:rPr>
          <w:rFonts w:hint="eastAsia" w:ascii="方正仿宋_GB2312" w:hAnsi="仿宋" w:eastAsia="方正仿宋_GB2312" w:cs="仿宋"/>
          <w:kern w:val="0"/>
          <w:sz w:val="32"/>
          <w:szCs w:val="32"/>
          <w:lang w:bidi="ar"/>
        </w:rPr>
        <w:t>负责</w:t>
      </w:r>
      <w:r>
        <w:rPr>
          <w:rFonts w:hint="eastAsia" w:ascii="方正仿宋_GB2312" w:hAnsi="仿宋" w:eastAsia="方正仿宋_GB2312" w:cs="仿宋"/>
          <w:kern w:val="0"/>
          <w:sz w:val="32"/>
          <w:szCs w:val="32"/>
          <w:lang w:eastAsia="zh-CN" w:bidi="ar"/>
        </w:rPr>
        <w:t>各自领域</w:t>
      </w:r>
      <w:r>
        <w:rPr>
          <w:rFonts w:hint="eastAsia" w:ascii="方正仿宋_GB2312" w:hAnsi="仿宋" w:eastAsia="方正仿宋_GB2312" w:cs="仿宋"/>
          <w:kern w:val="0"/>
          <w:sz w:val="32"/>
          <w:szCs w:val="32"/>
          <w:lang w:bidi="ar"/>
        </w:rPr>
        <w:t>日常协调工作。要建立领导小组统一指挥下的“一老一小”专项工作小组，推进方案编制与落地实施。</w:t>
      </w:r>
      <w:r>
        <w:rPr>
          <w:rFonts w:hint="eastAsia" w:ascii="方正仿宋_GB2312" w:hAnsi="仿宋" w:eastAsia="方正仿宋_GB2312" w:cs="仿宋"/>
          <w:kern w:val="0"/>
          <w:sz w:val="32"/>
          <w:szCs w:val="32"/>
          <w:lang w:eastAsia="zh-Hans" w:bidi="ar"/>
        </w:rPr>
        <w:t>各相关部门根据职责分工</w:t>
      </w:r>
      <w:r>
        <w:rPr>
          <w:rFonts w:hint="eastAsia" w:ascii="方正仿宋_GB2312" w:hAnsi="仿宋" w:eastAsia="方正仿宋_GB2312" w:cs="仿宋"/>
          <w:kern w:val="0"/>
          <w:sz w:val="32"/>
          <w:szCs w:val="32"/>
          <w:lang w:bidi="ar"/>
        </w:rPr>
        <w:t>和领导小组统一部署</w:t>
      </w:r>
      <w:r>
        <w:rPr>
          <w:rFonts w:hint="eastAsia" w:ascii="方正仿宋_GB2312" w:hAnsi="仿宋" w:eastAsia="方正仿宋_GB2312" w:cs="仿宋"/>
          <w:kern w:val="0"/>
          <w:sz w:val="32"/>
          <w:szCs w:val="32"/>
          <w:lang w:eastAsia="zh-Hans" w:bidi="ar"/>
        </w:rPr>
        <w:t>，制定具体</w:t>
      </w:r>
      <w:r>
        <w:rPr>
          <w:rFonts w:hint="eastAsia" w:ascii="方正仿宋_GB2312" w:hAnsi="仿宋" w:eastAsia="方正仿宋_GB2312" w:cs="仿宋"/>
          <w:kern w:val="0"/>
          <w:sz w:val="32"/>
          <w:szCs w:val="32"/>
          <w:lang w:bidi="ar"/>
        </w:rPr>
        <w:t>工作措施与进度计划</w:t>
      </w:r>
      <w:r>
        <w:rPr>
          <w:rFonts w:hint="eastAsia" w:ascii="方正仿宋_GB2312" w:hAnsi="仿宋" w:eastAsia="方正仿宋_GB2312" w:cs="仿宋"/>
          <w:kern w:val="0"/>
          <w:sz w:val="32"/>
          <w:szCs w:val="32"/>
          <w:lang w:eastAsia="zh-Hans" w:bidi="ar"/>
        </w:rPr>
        <w:t>，推</w:t>
      </w:r>
      <w:r>
        <w:rPr>
          <w:rFonts w:hint="eastAsia" w:ascii="方正仿宋_GB2312" w:hAnsi="仿宋" w:eastAsia="方正仿宋_GB2312" w:cs="仿宋"/>
          <w:color w:val="auto"/>
          <w:kern w:val="0"/>
          <w:sz w:val="32"/>
          <w:szCs w:val="32"/>
          <w:lang w:eastAsia="zh-Hans" w:bidi="ar"/>
        </w:rPr>
        <w:t>动各项任务落地实施。</w:t>
      </w:r>
      <w:r>
        <w:rPr>
          <w:rFonts w:hint="eastAsia" w:ascii="方正仿宋_GB2312" w:hAnsi="仿宋" w:eastAsia="方正仿宋_GB2312" w:cs="仿宋"/>
          <w:color w:val="auto"/>
          <w:kern w:val="0"/>
          <w:sz w:val="32"/>
          <w:szCs w:val="32"/>
          <w:lang w:bidi="ar"/>
        </w:rPr>
        <w:t>要建立“一老一小”重大事项协调机制，重要的政策、投资、项目、平台等事项，要及时报请领导小组研究决策。</w:t>
      </w:r>
      <w:r>
        <w:rPr>
          <w:rFonts w:hint="eastAsia" w:ascii="方正仿宋_GB2312" w:hAnsi="方正仿宋_GB2312" w:eastAsia="方正仿宋_GB2312" w:cs="方正仿宋_GB2312"/>
          <w:color w:val="auto"/>
          <w:kern w:val="0"/>
          <w:sz w:val="32"/>
          <w:szCs w:val="32"/>
        </w:rPr>
        <w:t>进一步完善养老托育服务体系，将“一老一小”工作纳入国民经济和社会发展规划和本地“为民办实事”清单统筹推进，</w:t>
      </w:r>
      <w:r>
        <w:rPr>
          <w:rFonts w:hint="eastAsia" w:ascii="方正仿宋_GB2312" w:hAnsi="方正仿宋_GB2312" w:eastAsia="方正仿宋_GB2312" w:cs="方正仿宋_GB2312"/>
          <w:color w:val="auto"/>
          <w:kern w:val="0"/>
          <w:sz w:val="32"/>
          <w:szCs w:val="32"/>
          <w:lang w:val="en-US" w:eastAsia="zh-CN"/>
        </w:rPr>
        <w:t>促进服务能力提质扩容和服务设施均衡布局。</w:t>
      </w:r>
    </w:p>
    <w:p>
      <w:pPr>
        <w:ind w:firstLine="643" w:firstLineChars="200"/>
        <w:contextualSpacing/>
        <w:outlineLvl w:val="1"/>
        <w:rPr>
          <w:rFonts w:ascii="方正楷体_GB2312" w:hAnsi="方正楷体_GB2312" w:eastAsia="方正楷体_GB2312" w:cs="方正楷体_GB2312"/>
          <w:b/>
          <w:bCs/>
          <w:color w:val="auto"/>
          <w:kern w:val="0"/>
          <w:sz w:val="32"/>
          <w:szCs w:val="32"/>
        </w:rPr>
      </w:pPr>
      <w:bookmarkStart w:id="177" w:name="_Toc29441"/>
      <w:bookmarkStart w:id="178" w:name="_Toc29645"/>
      <w:bookmarkStart w:id="179" w:name="_Toc100671647"/>
      <w:r>
        <w:rPr>
          <w:rFonts w:hint="eastAsia" w:ascii="方正楷体_GB2312" w:hAnsi="方正楷体_GB2312" w:eastAsia="方正楷体_GB2312" w:cs="方正楷体_GB2312"/>
          <w:b/>
          <w:bCs/>
          <w:color w:val="auto"/>
          <w:kern w:val="0"/>
          <w:sz w:val="32"/>
          <w:szCs w:val="32"/>
        </w:rPr>
        <w:t>（十</w:t>
      </w:r>
      <w:r>
        <w:rPr>
          <w:rFonts w:hint="eastAsia" w:ascii="方正楷体_GB2312" w:hAnsi="方正楷体_GB2312" w:eastAsia="方正楷体_GB2312" w:cs="方正楷体_GB2312"/>
          <w:b/>
          <w:bCs/>
          <w:color w:val="auto"/>
          <w:kern w:val="0"/>
          <w:sz w:val="32"/>
          <w:szCs w:val="32"/>
          <w:lang w:val="en-US" w:eastAsia="zh-CN"/>
        </w:rPr>
        <w:t>四</w:t>
      </w:r>
      <w:r>
        <w:rPr>
          <w:rFonts w:hint="eastAsia" w:ascii="方正楷体_GB2312" w:hAnsi="方正楷体_GB2312" w:eastAsia="方正楷体_GB2312" w:cs="方正楷体_GB2312"/>
          <w:b/>
          <w:bCs/>
          <w:color w:val="auto"/>
          <w:kern w:val="0"/>
          <w:sz w:val="32"/>
          <w:szCs w:val="32"/>
        </w:rPr>
        <w:t>）加大资金投入</w:t>
      </w:r>
      <w:bookmarkEnd w:id="177"/>
      <w:bookmarkEnd w:id="178"/>
      <w:bookmarkEnd w:id="179"/>
    </w:p>
    <w:p>
      <w:pPr>
        <w:ind w:firstLine="640" w:firstLineChars="200"/>
        <w:rPr>
          <w:rFonts w:ascii="方正仿宋_GB2312" w:hAnsi="方正仿宋_GB2312" w:eastAsia="方正仿宋_GB2312" w:cs="方正仿宋_GB2312"/>
          <w:kern w:val="0"/>
          <w:sz w:val="32"/>
          <w:szCs w:val="32"/>
        </w:rPr>
      </w:pPr>
      <w:r>
        <w:rPr>
          <w:rFonts w:hint="eastAsia" w:ascii="方正仿宋_GB2312" w:hAnsi="方正仿宋_GB2312" w:eastAsia="方正仿宋_GB2312" w:cs="方正仿宋_GB2312"/>
          <w:color w:val="auto"/>
          <w:kern w:val="0"/>
          <w:sz w:val="32"/>
          <w:szCs w:val="32"/>
        </w:rPr>
        <w:t>根据经济社会发展状况和“一老一小”人口变化，建立稳定的经济投入保障机制，聚焦兜好底线、广泛普惠的刚性需求，统筹相关资金，确保投入。</w:t>
      </w:r>
      <w:r>
        <w:rPr>
          <w:rFonts w:hint="eastAsia" w:ascii="方正仿宋_GB2312" w:hAnsi="仿宋" w:eastAsia="方正仿宋_GB2312" w:cs="仿宋"/>
          <w:color w:val="auto"/>
          <w:kern w:val="0"/>
          <w:sz w:val="32"/>
          <w:szCs w:val="32"/>
          <w:lang w:bidi="ar"/>
        </w:rPr>
        <w:t>发挥财政资金在支持养老托育服务方面的引导示范作用，加大政府购买养老托育服务力度，拓宽投融资渠道，积极引导社会力量积极参与托育服务事业发展。</w:t>
      </w:r>
      <w:r>
        <w:rPr>
          <w:rFonts w:hint="eastAsia" w:ascii="方正仿宋_GB2312" w:hAnsi="方正仿宋_GB2312" w:eastAsia="方正仿宋_GB2312" w:cs="方正仿宋_GB2312"/>
          <w:color w:val="auto"/>
          <w:sz w:val="32"/>
          <w:szCs w:val="32"/>
          <w:highlight w:val="none"/>
          <w:lang w:val="zh-CN"/>
        </w:rPr>
        <w:t>丰富贷款产品和服务，加大养老托育行业增信支持力度，支持养老托育企业发展。</w:t>
      </w:r>
      <w:r>
        <w:rPr>
          <w:rFonts w:hint="eastAsia" w:ascii="方正仿宋_GB2312" w:hAnsi="仿宋" w:eastAsia="方正仿宋_GB2312" w:cs="仿宋"/>
          <w:color w:val="auto"/>
          <w:kern w:val="0"/>
          <w:sz w:val="32"/>
          <w:szCs w:val="32"/>
          <w:lang w:bidi="ar"/>
        </w:rPr>
        <w:t>支持重点企业和项目建设，综合运用信贷激励、税收奖励等财税手段促进养老</w:t>
      </w:r>
      <w:r>
        <w:rPr>
          <w:rFonts w:hint="eastAsia" w:ascii="方正仿宋_GB2312" w:hAnsi="仿宋" w:eastAsia="方正仿宋_GB2312" w:cs="仿宋"/>
          <w:color w:val="auto"/>
          <w:kern w:val="0"/>
          <w:sz w:val="32"/>
          <w:szCs w:val="32"/>
          <w:lang w:val="en-US" w:eastAsia="zh-CN" w:bidi="ar"/>
        </w:rPr>
        <w:t>托育</w:t>
      </w:r>
      <w:r>
        <w:rPr>
          <w:rFonts w:hint="eastAsia" w:ascii="方正仿宋_GB2312" w:hAnsi="仿宋" w:eastAsia="方正仿宋_GB2312" w:cs="仿宋"/>
          <w:color w:val="auto"/>
          <w:kern w:val="0"/>
          <w:sz w:val="32"/>
          <w:szCs w:val="32"/>
          <w:lang w:bidi="ar"/>
        </w:rPr>
        <w:t>服务业发展壮大。</w:t>
      </w:r>
      <w:r>
        <w:rPr>
          <w:rFonts w:hint="eastAsia" w:ascii="方正仿宋_GB2312" w:hAnsi="方正仿宋_GB2312" w:eastAsia="方正仿宋_GB2312" w:cs="方正仿宋_GB2312"/>
          <w:color w:val="auto"/>
          <w:kern w:val="0"/>
          <w:sz w:val="32"/>
          <w:szCs w:val="32"/>
        </w:rPr>
        <w:t>完善财税和社会政策，推动各项税费优惠举措落地，创新发展相关金融产品和</w:t>
      </w:r>
      <w:r>
        <w:rPr>
          <w:rFonts w:hint="eastAsia" w:ascii="方正仿宋_GB2312" w:hAnsi="方正仿宋_GB2312" w:eastAsia="方正仿宋_GB2312" w:cs="方正仿宋_GB2312"/>
          <w:kern w:val="0"/>
          <w:sz w:val="32"/>
          <w:szCs w:val="32"/>
        </w:rPr>
        <w:t>服务，引导保险资金等各类社会资本投入“一老一小”事业，形成财政资金、社会资本等多元结合的投入机制。</w:t>
      </w:r>
    </w:p>
    <w:p>
      <w:pPr>
        <w:ind w:firstLine="643" w:firstLineChars="200"/>
        <w:contextualSpacing/>
        <w:outlineLvl w:val="1"/>
        <w:rPr>
          <w:rFonts w:ascii="方正楷体_GB2312" w:hAnsi="方正楷体_GB2312" w:eastAsia="方正楷体_GB2312" w:cs="方正楷体_GB2312"/>
          <w:b/>
          <w:bCs/>
          <w:kern w:val="0"/>
          <w:sz w:val="32"/>
          <w:szCs w:val="32"/>
        </w:rPr>
      </w:pPr>
      <w:bookmarkStart w:id="180" w:name="_Toc12313"/>
      <w:bookmarkStart w:id="181" w:name="_Toc100671648"/>
      <w:bookmarkStart w:id="182" w:name="_Toc8533"/>
      <w:r>
        <w:rPr>
          <w:rFonts w:hint="eastAsia" w:ascii="方正楷体_GB2312" w:hAnsi="方正楷体_GB2312" w:eastAsia="方正楷体_GB2312" w:cs="方正楷体_GB2312"/>
          <w:b/>
          <w:bCs/>
          <w:kern w:val="0"/>
          <w:sz w:val="32"/>
          <w:szCs w:val="32"/>
        </w:rPr>
        <w:t>（十</w:t>
      </w:r>
      <w:r>
        <w:rPr>
          <w:rFonts w:hint="eastAsia" w:ascii="方正楷体_GB2312" w:hAnsi="方正楷体_GB2312" w:eastAsia="方正楷体_GB2312" w:cs="方正楷体_GB2312"/>
          <w:b/>
          <w:bCs/>
          <w:kern w:val="0"/>
          <w:sz w:val="32"/>
          <w:szCs w:val="32"/>
          <w:lang w:val="en-US" w:eastAsia="zh-CN"/>
        </w:rPr>
        <w:t>五</w:t>
      </w:r>
      <w:r>
        <w:rPr>
          <w:rFonts w:hint="eastAsia" w:ascii="方正楷体_GB2312" w:hAnsi="方正楷体_GB2312" w:eastAsia="方正楷体_GB2312" w:cs="方正楷体_GB2312"/>
          <w:b/>
          <w:bCs/>
          <w:kern w:val="0"/>
          <w:sz w:val="32"/>
          <w:szCs w:val="32"/>
        </w:rPr>
        <w:t>）创新支持政策</w:t>
      </w:r>
      <w:bookmarkEnd w:id="180"/>
      <w:bookmarkEnd w:id="181"/>
      <w:bookmarkEnd w:id="182"/>
    </w:p>
    <w:p>
      <w:pPr>
        <w:widowControl w:val="0"/>
        <w:ind w:firstLine="640" w:firstLineChars="200"/>
        <w:jc w:val="both"/>
        <w:rPr>
          <w:rFonts w:hint="eastAsia" w:ascii="仿宋" w:hAnsi="仿宋" w:eastAsia="仿宋" w:cs="仿宋"/>
          <w:kern w:val="0"/>
          <w:sz w:val="32"/>
          <w:szCs w:val="32"/>
          <w:lang w:eastAsia="zh-Hans" w:bidi="ar"/>
        </w:rPr>
      </w:pPr>
      <w:r>
        <w:rPr>
          <w:rFonts w:hint="eastAsia" w:ascii="方正仿宋_GB2312" w:hAnsi="方正仿宋_GB2312" w:eastAsia="方正仿宋_GB2312" w:cs="方正仿宋_GB2312"/>
          <w:kern w:val="0"/>
          <w:sz w:val="32"/>
          <w:szCs w:val="32"/>
        </w:rPr>
        <w:t>在落实国家和北京市相关政策措施的基础上，创新提出规划、土地、住房、财政、投资、融资、人才等方面优惠政策，发挥政策的系统集成效应，支持养老托育服务健康发展。不断优化养老托育领域营商环境，深化“放管服”，充分发挥市场在养老服务资源配置中的决定性作用，按照全面放开、非禁即入的原则，鼓励品牌连锁企业做大做强，激励社会资本投入养老领域，鼓励慈善组织和非营利机构做养老</w:t>
      </w:r>
      <w:r>
        <w:rPr>
          <w:rFonts w:hint="eastAsia" w:ascii="方正仿宋_GB2312" w:hAnsi="方正仿宋_GB2312" w:eastAsia="方正仿宋_GB2312" w:cs="方正仿宋_GB2312"/>
          <w:kern w:val="0"/>
          <w:sz w:val="32"/>
          <w:szCs w:val="32"/>
          <w:lang w:eastAsia="zh-Hans"/>
        </w:rPr>
        <w:t>、托育</w:t>
      </w:r>
      <w:r>
        <w:rPr>
          <w:rFonts w:hint="eastAsia" w:ascii="方正仿宋_GB2312" w:hAnsi="方正仿宋_GB2312" w:eastAsia="方正仿宋_GB2312" w:cs="方正仿宋_GB2312"/>
          <w:kern w:val="0"/>
          <w:sz w:val="32"/>
          <w:szCs w:val="32"/>
        </w:rPr>
        <w:t>，支持各类市场主体增加养老</w:t>
      </w:r>
      <w:r>
        <w:rPr>
          <w:rFonts w:hint="eastAsia" w:ascii="方正仿宋_GB2312" w:hAnsi="方正仿宋_GB2312" w:eastAsia="方正仿宋_GB2312" w:cs="方正仿宋_GB2312"/>
          <w:kern w:val="0"/>
          <w:sz w:val="32"/>
          <w:szCs w:val="32"/>
          <w:lang w:eastAsia="zh-Hans"/>
        </w:rPr>
        <w:t>、托育</w:t>
      </w:r>
      <w:r>
        <w:rPr>
          <w:rFonts w:hint="eastAsia" w:ascii="方正仿宋_GB2312" w:hAnsi="方正仿宋_GB2312" w:eastAsia="方正仿宋_GB2312" w:cs="方正仿宋_GB2312"/>
          <w:kern w:val="0"/>
          <w:sz w:val="32"/>
          <w:szCs w:val="32"/>
        </w:rPr>
        <w:t>服务和产品供给，降低专业化养老供应商自身税负。</w:t>
      </w:r>
      <w:r>
        <w:rPr>
          <w:rFonts w:hint="eastAsia" w:ascii="方正仿宋_GB2312" w:hAnsi="仿宋" w:eastAsia="方正仿宋_GB2312" w:cs="仿宋"/>
          <w:kern w:val="0"/>
          <w:sz w:val="32"/>
          <w:szCs w:val="32"/>
          <w:lang w:eastAsia="zh-Hans" w:bidi="ar"/>
        </w:rPr>
        <w:t>营造托育发展良好营商环境，充分调动社会力量积极性，培育托育服务供需市场，加快构建托育服务体系，</w:t>
      </w:r>
      <w:r>
        <w:rPr>
          <w:rFonts w:hint="eastAsia" w:ascii="方正仿宋_GB2312" w:hAnsi="仿宋" w:eastAsia="方正仿宋_GB2312" w:cs="仿宋"/>
          <w:kern w:val="0"/>
          <w:sz w:val="32"/>
          <w:szCs w:val="32"/>
          <w:lang w:bidi="ar"/>
        </w:rPr>
        <w:t>优化托育服务发展环境</w:t>
      </w:r>
      <w:r>
        <w:rPr>
          <w:rFonts w:hint="eastAsia" w:ascii="方正仿宋_GB2312" w:hAnsi="仿宋" w:eastAsia="方正仿宋_GB2312" w:cs="仿宋"/>
          <w:kern w:val="0"/>
          <w:sz w:val="32"/>
          <w:szCs w:val="32"/>
          <w:lang w:eastAsia="zh-Hans" w:bidi="ar"/>
        </w:rPr>
        <w:t>。</w:t>
      </w:r>
    </w:p>
    <w:p>
      <w:pPr>
        <w:pStyle w:val="15"/>
        <w:widowControl/>
        <w:ind w:firstLine="640" w:firstLineChars="200"/>
        <w:jc w:val="left"/>
        <w:rPr>
          <w:rFonts w:hint="eastAsia" w:ascii="仿宋" w:hAnsi="仿宋" w:eastAsia="仿宋" w:cs="仿宋"/>
          <w:kern w:val="0"/>
          <w:sz w:val="32"/>
          <w:szCs w:val="32"/>
          <w:lang w:eastAsia="zh-Hans" w:bidi="ar"/>
        </w:rPr>
        <w:sectPr>
          <w:pgSz w:w="11906" w:h="16838"/>
          <w:pgMar w:top="1440" w:right="1800" w:bottom="1440" w:left="1800" w:header="851" w:footer="992" w:gutter="0"/>
          <w:cols w:space="425" w:num="1"/>
          <w:docGrid w:type="lines" w:linePitch="312" w:charSpace="0"/>
        </w:sectPr>
      </w:pPr>
    </w:p>
    <w:p>
      <w:pPr>
        <w:pStyle w:val="21"/>
        <w:ind w:left="0" w:leftChars="0" w:firstLine="0" w:firstLineChars="0"/>
        <w:rPr>
          <w:rFonts w:ascii="宋体" w:hAnsi="宋体" w:eastAsia="宋体" w:cs="宋体"/>
          <w:b/>
          <w:bCs/>
          <w:kern w:val="0"/>
          <w:sz w:val="24"/>
        </w:rPr>
      </w:pPr>
      <w:r>
        <w:rPr>
          <w:rFonts w:hint="eastAsia" w:ascii="宋体" w:hAnsi="宋体" w:eastAsia="宋体" w:cs="宋体"/>
          <w:b/>
          <w:bCs/>
          <w:kern w:val="0"/>
          <w:sz w:val="24"/>
        </w:rPr>
        <w:t>附件：</w:t>
      </w:r>
    </w:p>
    <w:p>
      <w:pPr>
        <w:rPr>
          <w:b/>
          <w:bCs/>
          <w:sz w:val="24"/>
        </w:rPr>
      </w:pPr>
      <w:r>
        <w:rPr>
          <w:rFonts w:hint="eastAsia"/>
          <w:b/>
          <w:bCs/>
          <w:sz w:val="24"/>
        </w:rPr>
        <w:t>1.重大项目清单</w:t>
      </w:r>
    </w:p>
    <w:tbl>
      <w:tblPr>
        <w:tblStyle w:val="23"/>
        <w:tblW w:w="13711" w:type="dxa"/>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1664"/>
        <w:gridCol w:w="1122"/>
        <w:gridCol w:w="1088"/>
        <w:gridCol w:w="1136"/>
        <w:gridCol w:w="1136"/>
        <w:gridCol w:w="2196"/>
        <w:gridCol w:w="1766"/>
        <w:gridCol w:w="1442"/>
        <w:gridCol w:w="14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9" w:type="dxa"/>
            <w:vAlign w:val="center"/>
          </w:tcPr>
          <w:p>
            <w:pPr>
              <w:jc w:val="center"/>
              <w:rPr>
                <w:b/>
                <w:bCs/>
              </w:rPr>
            </w:pPr>
            <w:r>
              <w:rPr>
                <w:rFonts w:hint="eastAsia"/>
                <w:b/>
                <w:bCs/>
              </w:rPr>
              <w:t>序号</w:t>
            </w:r>
          </w:p>
        </w:tc>
        <w:tc>
          <w:tcPr>
            <w:tcW w:w="1664" w:type="dxa"/>
            <w:vAlign w:val="center"/>
          </w:tcPr>
          <w:p>
            <w:pPr>
              <w:jc w:val="center"/>
              <w:rPr>
                <w:b/>
                <w:bCs/>
              </w:rPr>
            </w:pPr>
            <w:r>
              <w:rPr>
                <w:rFonts w:hint="eastAsia"/>
                <w:b/>
                <w:bCs/>
              </w:rPr>
              <w:t>项目名称</w:t>
            </w:r>
          </w:p>
        </w:tc>
        <w:tc>
          <w:tcPr>
            <w:tcW w:w="1122" w:type="dxa"/>
            <w:vAlign w:val="center"/>
          </w:tcPr>
          <w:p>
            <w:pPr>
              <w:jc w:val="center"/>
              <w:rPr>
                <w:b/>
                <w:bCs/>
              </w:rPr>
            </w:pPr>
            <w:r>
              <w:rPr>
                <w:rFonts w:hint="eastAsia"/>
                <w:b/>
                <w:bCs/>
              </w:rPr>
              <w:t>项目类型</w:t>
            </w:r>
          </w:p>
        </w:tc>
        <w:tc>
          <w:tcPr>
            <w:tcW w:w="1088" w:type="dxa"/>
            <w:vAlign w:val="center"/>
          </w:tcPr>
          <w:p>
            <w:pPr>
              <w:jc w:val="center"/>
              <w:rPr>
                <w:b/>
                <w:bCs/>
              </w:rPr>
            </w:pPr>
            <w:r>
              <w:rPr>
                <w:rFonts w:hint="eastAsia"/>
                <w:b/>
                <w:bCs/>
              </w:rPr>
              <w:t>计划进度</w:t>
            </w:r>
          </w:p>
        </w:tc>
        <w:tc>
          <w:tcPr>
            <w:tcW w:w="1136" w:type="dxa"/>
            <w:vAlign w:val="center"/>
          </w:tcPr>
          <w:p>
            <w:pPr>
              <w:jc w:val="center"/>
              <w:rPr>
                <w:b/>
                <w:bCs/>
              </w:rPr>
            </w:pPr>
            <w:r>
              <w:rPr>
                <w:rFonts w:hint="eastAsia"/>
                <w:b/>
                <w:bCs/>
              </w:rPr>
              <w:t>完成期限</w:t>
            </w:r>
          </w:p>
        </w:tc>
        <w:tc>
          <w:tcPr>
            <w:tcW w:w="1136" w:type="dxa"/>
            <w:vAlign w:val="center"/>
          </w:tcPr>
          <w:p>
            <w:pPr>
              <w:jc w:val="center"/>
              <w:rPr>
                <w:b/>
                <w:bCs/>
              </w:rPr>
            </w:pPr>
            <w:r>
              <w:rPr>
                <w:rFonts w:hint="eastAsia"/>
                <w:b/>
                <w:bCs/>
              </w:rPr>
              <w:t>建设地点</w:t>
            </w:r>
          </w:p>
        </w:tc>
        <w:tc>
          <w:tcPr>
            <w:tcW w:w="2196" w:type="dxa"/>
            <w:vAlign w:val="center"/>
          </w:tcPr>
          <w:p>
            <w:pPr>
              <w:jc w:val="center"/>
              <w:rPr>
                <w:b/>
                <w:bCs/>
              </w:rPr>
            </w:pPr>
            <w:r>
              <w:rPr>
                <w:rFonts w:hint="eastAsia"/>
                <w:b/>
                <w:bCs/>
              </w:rPr>
              <w:t>建设内容和规模</w:t>
            </w:r>
          </w:p>
        </w:tc>
        <w:tc>
          <w:tcPr>
            <w:tcW w:w="1766" w:type="dxa"/>
            <w:vAlign w:val="center"/>
          </w:tcPr>
          <w:p>
            <w:pPr>
              <w:jc w:val="center"/>
              <w:rPr>
                <w:b/>
                <w:bCs/>
              </w:rPr>
            </w:pPr>
            <w:r>
              <w:rPr>
                <w:rFonts w:hint="eastAsia"/>
                <w:b/>
                <w:bCs/>
              </w:rPr>
              <w:t>测算金额</w:t>
            </w:r>
          </w:p>
        </w:tc>
        <w:tc>
          <w:tcPr>
            <w:tcW w:w="1442" w:type="dxa"/>
            <w:vAlign w:val="center"/>
          </w:tcPr>
          <w:p>
            <w:pPr>
              <w:jc w:val="center"/>
              <w:rPr>
                <w:b/>
                <w:bCs/>
              </w:rPr>
            </w:pPr>
            <w:r>
              <w:rPr>
                <w:rFonts w:hint="eastAsia"/>
                <w:b/>
                <w:bCs/>
              </w:rPr>
              <w:t>组织实施单位</w:t>
            </w:r>
          </w:p>
        </w:tc>
        <w:tc>
          <w:tcPr>
            <w:tcW w:w="1482" w:type="dxa"/>
            <w:vAlign w:val="center"/>
          </w:tcPr>
          <w:p>
            <w:pPr>
              <w:jc w:val="center"/>
              <w:rPr>
                <w:b/>
                <w:bCs/>
              </w:rPr>
            </w:pPr>
            <w:r>
              <w:rPr>
                <w:rFonts w:hint="eastAsia"/>
                <w:b/>
                <w:bCs/>
              </w:rPr>
              <w:t>资金来源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9" w:type="dxa"/>
            <w:vAlign w:val="center"/>
          </w:tcPr>
          <w:p>
            <w:pPr>
              <w:jc w:val="center"/>
            </w:pPr>
            <w:r>
              <w:rPr>
                <w:rFonts w:hint="eastAsia"/>
              </w:rPr>
              <w:t>1</w:t>
            </w:r>
          </w:p>
        </w:tc>
        <w:tc>
          <w:tcPr>
            <w:tcW w:w="1664" w:type="dxa"/>
            <w:vAlign w:val="center"/>
          </w:tcPr>
          <w:p>
            <w:pPr>
              <w:jc w:val="center"/>
            </w:pPr>
            <w:r>
              <w:rPr>
                <w:rFonts w:hint="eastAsia" w:ascii="宋体" w:hAnsi="宋体" w:eastAsia="宋体" w:cs="宋体"/>
                <w:kern w:val="0"/>
                <w:sz w:val="22"/>
                <w:szCs w:val="22"/>
                <w:lang w:bidi="ar"/>
              </w:rPr>
              <w:t>MC00-0015-0086地块福利用地</w:t>
            </w:r>
          </w:p>
        </w:tc>
        <w:tc>
          <w:tcPr>
            <w:tcW w:w="1122" w:type="dxa"/>
            <w:vAlign w:val="center"/>
          </w:tcPr>
          <w:p>
            <w:pPr>
              <w:jc w:val="center"/>
            </w:pPr>
            <w:r>
              <w:rPr>
                <w:rFonts w:hint="eastAsia"/>
              </w:rPr>
              <w:t>养老、儿童、残疾人</w:t>
            </w:r>
          </w:p>
        </w:tc>
        <w:tc>
          <w:tcPr>
            <w:tcW w:w="1088" w:type="dxa"/>
            <w:vAlign w:val="center"/>
          </w:tcPr>
          <w:p>
            <w:pPr>
              <w:jc w:val="center"/>
            </w:pPr>
            <w:r>
              <w:rPr>
                <w:rFonts w:hint="eastAsia" w:ascii="宋体" w:hAnsi="宋体" w:eastAsia="宋体" w:cs="宋体"/>
                <w:kern w:val="0"/>
                <w:sz w:val="22"/>
                <w:szCs w:val="22"/>
                <w:lang w:bidi="ar"/>
              </w:rPr>
              <w:t>前期</w:t>
            </w:r>
          </w:p>
        </w:tc>
        <w:tc>
          <w:tcPr>
            <w:tcW w:w="1136" w:type="dxa"/>
            <w:vAlign w:val="center"/>
          </w:tcPr>
          <w:p>
            <w:pPr>
              <w:jc w:val="center"/>
              <w:rPr>
                <w:rFonts w:ascii="宋体" w:hAnsi="宋体" w:eastAsia="宋体" w:cs="宋体"/>
                <w:kern w:val="0"/>
                <w:sz w:val="22"/>
                <w:szCs w:val="22"/>
                <w:lang w:bidi="ar"/>
              </w:rPr>
            </w:pPr>
            <w:r>
              <w:rPr>
                <w:rFonts w:hint="eastAsia" w:ascii="宋体" w:hAnsi="宋体" w:eastAsia="宋体" w:cs="宋体"/>
                <w:kern w:val="0"/>
                <w:sz w:val="22"/>
                <w:szCs w:val="22"/>
                <w:lang w:bidi="ar"/>
              </w:rPr>
              <w:t>2025年</w:t>
            </w:r>
          </w:p>
        </w:tc>
        <w:tc>
          <w:tcPr>
            <w:tcW w:w="1136" w:type="dxa"/>
            <w:vAlign w:val="center"/>
          </w:tcPr>
          <w:p>
            <w:pPr>
              <w:jc w:val="center"/>
            </w:pPr>
            <w:r>
              <w:rPr>
                <w:rFonts w:hint="eastAsia" w:ascii="宋体" w:hAnsi="宋体" w:eastAsia="宋体" w:cs="宋体"/>
                <w:kern w:val="0"/>
                <w:sz w:val="22"/>
                <w:szCs w:val="22"/>
                <w:lang w:bidi="ar"/>
              </w:rPr>
              <w:t>门城永定镇</w:t>
            </w:r>
          </w:p>
        </w:tc>
        <w:tc>
          <w:tcPr>
            <w:tcW w:w="2196" w:type="dxa"/>
            <w:vAlign w:val="center"/>
          </w:tcPr>
          <w:p>
            <w:pPr>
              <w:jc w:val="center"/>
              <w:rPr>
                <w:rFonts w:hint="eastAsia" w:eastAsia="宋体"/>
                <w:lang w:eastAsia="zh-CN"/>
              </w:rPr>
            </w:pPr>
            <w:r>
              <w:rPr>
                <w:rFonts w:hint="eastAsia"/>
              </w:rPr>
              <w:t>用地面积</w:t>
            </w:r>
            <w:r>
              <w:rPr>
                <w:rFonts w:hint="eastAsia" w:ascii="宋体" w:hAnsi="宋体" w:eastAsia="宋体" w:cs="宋体"/>
                <w:kern w:val="0"/>
                <w:sz w:val="22"/>
                <w:szCs w:val="22"/>
                <w:lang w:bidi="ar"/>
              </w:rPr>
              <w:t>17065平方米，计划设置床位400张</w:t>
            </w:r>
            <w:r>
              <w:rPr>
                <w:rFonts w:hint="eastAsia" w:ascii="宋体" w:hAnsi="宋体" w:eastAsia="宋体" w:cs="宋体"/>
                <w:kern w:val="0"/>
                <w:sz w:val="22"/>
                <w:szCs w:val="22"/>
                <w:lang w:eastAsia="zh-CN" w:bidi="ar"/>
              </w:rPr>
              <w:t>。</w:t>
            </w:r>
          </w:p>
        </w:tc>
        <w:tc>
          <w:tcPr>
            <w:tcW w:w="1766" w:type="dxa"/>
            <w:vMerge w:val="restart"/>
            <w:vAlign w:val="center"/>
          </w:tcPr>
          <w:p>
            <w:pPr>
              <w:jc w:val="center"/>
            </w:pPr>
            <w:r>
              <w:rPr>
                <w:rFonts w:hint="eastAsia" w:ascii="宋体" w:hAnsi="宋体" w:eastAsia="宋体" w:cs="宋体"/>
                <w:kern w:val="0"/>
                <w:sz w:val="22"/>
                <w:szCs w:val="22"/>
                <w:lang w:bidi="ar"/>
              </w:rPr>
              <w:t>12000万</w:t>
            </w:r>
          </w:p>
        </w:tc>
        <w:tc>
          <w:tcPr>
            <w:tcW w:w="1442" w:type="dxa"/>
            <w:vAlign w:val="center"/>
          </w:tcPr>
          <w:p>
            <w:pPr>
              <w:jc w:val="center"/>
            </w:pPr>
            <w:r>
              <w:rPr>
                <w:rFonts w:hint="eastAsia"/>
              </w:rPr>
              <w:t>区民政局、</w:t>
            </w:r>
            <w:r>
              <w:t>区发展改革委</w:t>
            </w:r>
          </w:p>
        </w:tc>
        <w:tc>
          <w:tcPr>
            <w:tcW w:w="1482" w:type="dxa"/>
            <w:vMerge w:val="restart"/>
            <w:vAlign w:val="center"/>
          </w:tcPr>
          <w:p>
            <w:pPr>
              <w:jc w:val="center"/>
            </w:pPr>
            <w:r>
              <w:rPr>
                <w:rFonts w:hint="eastAsia"/>
              </w:rPr>
              <w:t>市政府投资，已纳入北京市“十四五”投资重大储备项目库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9" w:type="dxa"/>
            <w:vAlign w:val="center"/>
          </w:tcPr>
          <w:p>
            <w:pPr>
              <w:jc w:val="center"/>
            </w:pPr>
            <w:r>
              <w:rPr>
                <w:rFonts w:hint="eastAsia"/>
              </w:rPr>
              <w:t>2</w:t>
            </w:r>
          </w:p>
        </w:tc>
        <w:tc>
          <w:tcPr>
            <w:tcW w:w="1664" w:type="dxa"/>
            <w:vAlign w:val="center"/>
          </w:tcPr>
          <w:p>
            <w:pPr>
              <w:jc w:val="center"/>
            </w:pPr>
            <w:r>
              <w:rPr>
                <w:rFonts w:hint="eastAsia" w:ascii="宋体" w:hAnsi="宋体" w:eastAsia="宋体" w:cs="宋体"/>
                <w:kern w:val="0"/>
                <w:sz w:val="22"/>
                <w:szCs w:val="22"/>
                <w:lang w:bidi="ar"/>
              </w:rPr>
              <w:t>MC00-0013-0063地块福利用地</w:t>
            </w:r>
          </w:p>
        </w:tc>
        <w:tc>
          <w:tcPr>
            <w:tcW w:w="1122" w:type="dxa"/>
            <w:vAlign w:val="center"/>
          </w:tcPr>
          <w:p>
            <w:pPr>
              <w:jc w:val="center"/>
            </w:pPr>
            <w:r>
              <w:rPr>
                <w:rFonts w:hint="eastAsia"/>
              </w:rPr>
              <w:t>养老</w:t>
            </w:r>
          </w:p>
        </w:tc>
        <w:tc>
          <w:tcPr>
            <w:tcW w:w="1088" w:type="dxa"/>
            <w:vAlign w:val="center"/>
          </w:tcPr>
          <w:p>
            <w:pPr>
              <w:jc w:val="center"/>
            </w:pPr>
            <w:r>
              <w:rPr>
                <w:rFonts w:hint="eastAsia" w:ascii="宋体" w:hAnsi="宋体" w:eastAsia="宋体" w:cs="宋体"/>
                <w:kern w:val="0"/>
                <w:sz w:val="22"/>
                <w:szCs w:val="22"/>
                <w:lang w:bidi="ar"/>
              </w:rPr>
              <w:t>前期</w:t>
            </w:r>
          </w:p>
        </w:tc>
        <w:tc>
          <w:tcPr>
            <w:tcW w:w="1136" w:type="dxa"/>
            <w:vAlign w:val="center"/>
          </w:tcPr>
          <w:p>
            <w:pPr>
              <w:jc w:val="center"/>
              <w:rPr>
                <w:rFonts w:ascii="宋体" w:hAnsi="宋体" w:eastAsia="宋体" w:cs="宋体"/>
                <w:kern w:val="0"/>
                <w:sz w:val="22"/>
                <w:szCs w:val="22"/>
                <w:lang w:bidi="ar"/>
              </w:rPr>
            </w:pPr>
            <w:r>
              <w:rPr>
                <w:rFonts w:hint="eastAsia" w:ascii="宋体" w:hAnsi="宋体" w:eastAsia="宋体" w:cs="宋体"/>
                <w:kern w:val="0"/>
                <w:sz w:val="22"/>
                <w:szCs w:val="22"/>
                <w:lang w:bidi="ar"/>
              </w:rPr>
              <w:t>2025年</w:t>
            </w:r>
          </w:p>
        </w:tc>
        <w:tc>
          <w:tcPr>
            <w:tcW w:w="1136" w:type="dxa"/>
            <w:vAlign w:val="center"/>
          </w:tcPr>
          <w:p>
            <w:pPr>
              <w:jc w:val="center"/>
            </w:pPr>
            <w:r>
              <w:rPr>
                <w:rFonts w:hint="eastAsia" w:ascii="宋体" w:hAnsi="宋体" w:eastAsia="宋体" w:cs="宋体"/>
                <w:kern w:val="0"/>
                <w:sz w:val="22"/>
                <w:szCs w:val="22"/>
                <w:lang w:bidi="ar"/>
              </w:rPr>
              <w:t>门城永定镇</w:t>
            </w:r>
          </w:p>
        </w:tc>
        <w:tc>
          <w:tcPr>
            <w:tcW w:w="2196" w:type="dxa"/>
            <w:vAlign w:val="center"/>
          </w:tcPr>
          <w:p>
            <w:pPr>
              <w:jc w:val="center"/>
              <w:rPr>
                <w:rFonts w:hint="eastAsia" w:eastAsia="宋体"/>
                <w:lang w:eastAsia="zh-CN"/>
              </w:rPr>
            </w:pPr>
            <w:r>
              <w:rPr>
                <w:rFonts w:hint="eastAsia"/>
              </w:rPr>
              <w:t>用地面积</w:t>
            </w:r>
            <w:r>
              <w:rPr>
                <w:rFonts w:hint="eastAsia" w:ascii="宋体" w:hAnsi="宋体" w:eastAsia="宋体" w:cs="宋体"/>
                <w:kern w:val="0"/>
                <w:sz w:val="22"/>
                <w:szCs w:val="22"/>
                <w:lang w:bidi="ar"/>
              </w:rPr>
              <w:t>3631平方米，计划设置床位100张</w:t>
            </w:r>
            <w:r>
              <w:rPr>
                <w:rFonts w:hint="eastAsia" w:ascii="宋体" w:hAnsi="宋体" w:eastAsia="宋体" w:cs="宋体"/>
                <w:kern w:val="0"/>
                <w:sz w:val="22"/>
                <w:szCs w:val="22"/>
                <w:lang w:eastAsia="zh-CN" w:bidi="ar"/>
              </w:rPr>
              <w:t>。</w:t>
            </w:r>
          </w:p>
        </w:tc>
        <w:tc>
          <w:tcPr>
            <w:tcW w:w="1766" w:type="dxa"/>
            <w:vMerge w:val="continue"/>
            <w:vAlign w:val="center"/>
          </w:tcPr>
          <w:p>
            <w:pPr>
              <w:jc w:val="center"/>
            </w:pPr>
          </w:p>
        </w:tc>
        <w:tc>
          <w:tcPr>
            <w:tcW w:w="1442" w:type="dxa"/>
            <w:vAlign w:val="center"/>
          </w:tcPr>
          <w:p>
            <w:pPr>
              <w:jc w:val="center"/>
            </w:pPr>
            <w:r>
              <w:rPr>
                <w:rFonts w:hint="eastAsia"/>
              </w:rPr>
              <w:t>区民政局、</w:t>
            </w:r>
            <w:r>
              <w:t>区发展改革委</w:t>
            </w:r>
          </w:p>
        </w:tc>
        <w:tc>
          <w:tcPr>
            <w:tcW w:w="1482"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9" w:type="dxa"/>
            <w:vAlign w:val="center"/>
          </w:tcPr>
          <w:p>
            <w:pPr>
              <w:jc w:val="center"/>
            </w:pPr>
            <w:r>
              <w:rPr>
                <w:rFonts w:hint="eastAsia"/>
              </w:rPr>
              <w:t>3</w:t>
            </w:r>
          </w:p>
        </w:tc>
        <w:tc>
          <w:tcPr>
            <w:tcW w:w="1664" w:type="dxa"/>
            <w:vAlign w:val="center"/>
          </w:tcPr>
          <w:p>
            <w:pPr>
              <w:jc w:val="center"/>
            </w:pPr>
            <w:r>
              <w:rPr>
                <w:rFonts w:hint="eastAsia" w:ascii="宋体" w:hAnsi="宋体" w:eastAsia="宋体" w:cs="宋体"/>
                <w:kern w:val="0"/>
                <w:sz w:val="22"/>
                <w:szCs w:val="22"/>
                <w:lang w:bidi="ar"/>
              </w:rPr>
              <w:t>MC00-0605-0009地块福利用地</w:t>
            </w:r>
          </w:p>
        </w:tc>
        <w:tc>
          <w:tcPr>
            <w:tcW w:w="1122" w:type="dxa"/>
            <w:vAlign w:val="center"/>
          </w:tcPr>
          <w:p>
            <w:pPr>
              <w:jc w:val="center"/>
            </w:pPr>
            <w:r>
              <w:rPr>
                <w:rFonts w:hint="eastAsia"/>
              </w:rPr>
              <w:t>养老</w:t>
            </w:r>
          </w:p>
        </w:tc>
        <w:tc>
          <w:tcPr>
            <w:tcW w:w="1088" w:type="dxa"/>
            <w:vAlign w:val="center"/>
          </w:tcPr>
          <w:p>
            <w:pPr>
              <w:jc w:val="center"/>
            </w:pPr>
            <w:r>
              <w:rPr>
                <w:rFonts w:hint="eastAsia" w:ascii="宋体" w:hAnsi="宋体" w:eastAsia="宋体" w:cs="宋体"/>
                <w:kern w:val="0"/>
                <w:sz w:val="22"/>
                <w:szCs w:val="22"/>
                <w:lang w:bidi="ar"/>
              </w:rPr>
              <w:t>前期</w:t>
            </w:r>
          </w:p>
        </w:tc>
        <w:tc>
          <w:tcPr>
            <w:tcW w:w="1136" w:type="dxa"/>
            <w:vAlign w:val="center"/>
          </w:tcPr>
          <w:p>
            <w:pPr>
              <w:jc w:val="center"/>
              <w:rPr>
                <w:rFonts w:ascii="宋体" w:hAnsi="宋体" w:eastAsia="宋体" w:cs="宋体"/>
                <w:kern w:val="0"/>
                <w:sz w:val="22"/>
                <w:szCs w:val="22"/>
                <w:lang w:bidi="ar"/>
              </w:rPr>
            </w:pPr>
            <w:r>
              <w:rPr>
                <w:rFonts w:hint="eastAsia" w:ascii="宋体" w:hAnsi="宋体" w:eastAsia="宋体" w:cs="宋体"/>
                <w:kern w:val="0"/>
                <w:sz w:val="22"/>
                <w:szCs w:val="22"/>
                <w:lang w:bidi="ar"/>
              </w:rPr>
              <w:t>2025年</w:t>
            </w:r>
          </w:p>
        </w:tc>
        <w:tc>
          <w:tcPr>
            <w:tcW w:w="1136" w:type="dxa"/>
            <w:vAlign w:val="center"/>
          </w:tcPr>
          <w:p>
            <w:pPr>
              <w:jc w:val="center"/>
            </w:pPr>
            <w:r>
              <w:rPr>
                <w:rFonts w:hint="eastAsia" w:ascii="宋体" w:hAnsi="宋体" w:eastAsia="宋体" w:cs="宋体"/>
                <w:kern w:val="0"/>
                <w:sz w:val="22"/>
                <w:szCs w:val="22"/>
                <w:lang w:bidi="ar"/>
              </w:rPr>
              <w:t>门城永定镇</w:t>
            </w:r>
          </w:p>
        </w:tc>
        <w:tc>
          <w:tcPr>
            <w:tcW w:w="2196" w:type="dxa"/>
            <w:vAlign w:val="center"/>
          </w:tcPr>
          <w:p>
            <w:pPr>
              <w:jc w:val="center"/>
              <w:rPr>
                <w:rFonts w:hint="eastAsia" w:eastAsia="宋体"/>
                <w:lang w:eastAsia="zh-CN"/>
              </w:rPr>
            </w:pPr>
            <w:r>
              <w:rPr>
                <w:rFonts w:hint="eastAsia"/>
              </w:rPr>
              <w:t>用地面积</w:t>
            </w:r>
            <w:r>
              <w:rPr>
                <w:rFonts w:hint="eastAsia" w:ascii="宋体" w:hAnsi="宋体" w:eastAsia="宋体" w:cs="宋体"/>
                <w:kern w:val="0"/>
                <w:sz w:val="22"/>
                <w:szCs w:val="22"/>
                <w:lang w:bidi="ar"/>
              </w:rPr>
              <w:t>2800平方米，计划设置床位60张</w:t>
            </w:r>
            <w:r>
              <w:rPr>
                <w:rFonts w:hint="eastAsia" w:ascii="宋体" w:hAnsi="宋体" w:eastAsia="宋体" w:cs="宋体"/>
                <w:kern w:val="0"/>
                <w:sz w:val="22"/>
                <w:szCs w:val="22"/>
                <w:lang w:eastAsia="zh-CN" w:bidi="ar"/>
              </w:rPr>
              <w:t>。</w:t>
            </w:r>
          </w:p>
        </w:tc>
        <w:tc>
          <w:tcPr>
            <w:tcW w:w="1766" w:type="dxa"/>
            <w:vAlign w:val="center"/>
          </w:tcPr>
          <w:p>
            <w:pPr>
              <w:jc w:val="center"/>
            </w:pPr>
            <w:r>
              <w:rPr>
                <w:rFonts w:hint="eastAsia" w:ascii="宋体" w:hAnsi="宋体" w:eastAsia="宋体" w:cs="宋体"/>
                <w:kern w:val="0"/>
                <w:sz w:val="22"/>
                <w:szCs w:val="22"/>
                <w:lang w:bidi="ar"/>
              </w:rPr>
              <w:t>4000万</w:t>
            </w:r>
          </w:p>
        </w:tc>
        <w:tc>
          <w:tcPr>
            <w:tcW w:w="1442" w:type="dxa"/>
            <w:vAlign w:val="center"/>
          </w:tcPr>
          <w:p>
            <w:pPr>
              <w:jc w:val="center"/>
            </w:pPr>
            <w:r>
              <w:rPr>
                <w:rFonts w:hint="eastAsia"/>
              </w:rPr>
              <w:t>区民政局、</w:t>
            </w:r>
            <w:r>
              <w:t>区发展改革委</w:t>
            </w:r>
          </w:p>
        </w:tc>
        <w:tc>
          <w:tcPr>
            <w:tcW w:w="1482" w:type="dxa"/>
            <w:vAlign w:val="center"/>
          </w:tcPr>
          <w:p>
            <w:pPr>
              <w:jc w:val="center"/>
            </w:pPr>
            <w:r>
              <w:rPr>
                <w:rFonts w:hint="eastAsia"/>
              </w:rPr>
              <w:t>已纳入北京市“十四五”投资重大储备项目库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9" w:type="dxa"/>
            <w:vAlign w:val="center"/>
          </w:tcPr>
          <w:p>
            <w:pPr>
              <w:jc w:val="center"/>
            </w:pPr>
            <w:r>
              <w:rPr>
                <w:rFonts w:hint="eastAsia"/>
              </w:rPr>
              <w:t>4</w:t>
            </w:r>
          </w:p>
        </w:tc>
        <w:tc>
          <w:tcPr>
            <w:tcW w:w="1664" w:type="dxa"/>
            <w:vAlign w:val="center"/>
          </w:tcPr>
          <w:p>
            <w:pPr>
              <w:jc w:val="center"/>
            </w:pPr>
            <w:r>
              <w:rPr>
                <w:rFonts w:hint="eastAsia" w:ascii="宋体" w:hAnsi="宋体" w:eastAsia="宋体" w:cs="宋体"/>
                <w:kern w:val="0"/>
                <w:sz w:val="22"/>
                <w:szCs w:val="22"/>
                <w:lang w:bidi="ar"/>
              </w:rPr>
              <w:t>MC16-0058地块福利用地</w:t>
            </w:r>
          </w:p>
        </w:tc>
        <w:tc>
          <w:tcPr>
            <w:tcW w:w="1122" w:type="dxa"/>
            <w:vAlign w:val="center"/>
          </w:tcPr>
          <w:p>
            <w:pPr>
              <w:jc w:val="center"/>
            </w:pPr>
            <w:r>
              <w:rPr>
                <w:rFonts w:hint="eastAsia"/>
              </w:rPr>
              <w:t>养老</w:t>
            </w:r>
          </w:p>
        </w:tc>
        <w:tc>
          <w:tcPr>
            <w:tcW w:w="1088" w:type="dxa"/>
            <w:vAlign w:val="center"/>
          </w:tcPr>
          <w:p>
            <w:pPr>
              <w:jc w:val="center"/>
            </w:pPr>
            <w:r>
              <w:rPr>
                <w:rFonts w:hint="eastAsia" w:ascii="宋体" w:hAnsi="宋体" w:eastAsia="宋体" w:cs="宋体"/>
                <w:kern w:val="0"/>
                <w:sz w:val="22"/>
                <w:szCs w:val="22"/>
                <w:lang w:bidi="ar"/>
              </w:rPr>
              <w:t>前期</w:t>
            </w:r>
          </w:p>
        </w:tc>
        <w:tc>
          <w:tcPr>
            <w:tcW w:w="1136" w:type="dxa"/>
            <w:vAlign w:val="center"/>
          </w:tcPr>
          <w:p>
            <w:pPr>
              <w:jc w:val="center"/>
              <w:rPr>
                <w:rFonts w:ascii="宋体" w:hAnsi="宋体" w:eastAsia="宋体" w:cs="宋体"/>
                <w:kern w:val="0"/>
                <w:sz w:val="22"/>
                <w:szCs w:val="22"/>
                <w:lang w:bidi="ar"/>
              </w:rPr>
            </w:pPr>
            <w:r>
              <w:rPr>
                <w:rFonts w:hint="eastAsia" w:ascii="宋体" w:hAnsi="宋体" w:eastAsia="宋体" w:cs="宋体"/>
                <w:kern w:val="0"/>
                <w:sz w:val="22"/>
                <w:szCs w:val="22"/>
                <w:lang w:bidi="ar"/>
              </w:rPr>
              <w:t>2025年</w:t>
            </w:r>
          </w:p>
        </w:tc>
        <w:tc>
          <w:tcPr>
            <w:tcW w:w="1136" w:type="dxa"/>
            <w:vAlign w:val="center"/>
          </w:tcPr>
          <w:p>
            <w:pPr>
              <w:jc w:val="center"/>
            </w:pPr>
            <w:r>
              <w:rPr>
                <w:rFonts w:hint="eastAsia" w:ascii="宋体" w:hAnsi="宋体" w:eastAsia="宋体" w:cs="宋体"/>
                <w:kern w:val="0"/>
                <w:sz w:val="22"/>
                <w:szCs w:val="22"/>
                <w:lang w:bidi="ar"/>
              </w:rPr>
              <w:t>门城永定镇</w:t>
            </w:r>
          </w:p>
        </w:tc>
        <w:tc>
          <w:tcPr>
            <w:tcW w:w="2196" w:type="dxa"/>
            <w:vAlign w:val="center"/>
          </w:tcPr>
          <w:p>
            <w:pPr>
              <w:jc w:val="center"/>
              <w:rPr>
                <w:rFonts w:hint="eastAsia" w:eastAsia="宋体"/>
                <w:lang w:eastAsia="zh-CN"/>
              </w:rPr>
            </w:pPr>
            <w:r>
              <w:rPr>
                <w:rFonts w:hint="eastAsia"/>
              </w:rPr>
              <w:t>用地面积</w:t>
            </w:r>
            <w:r>
              <w:rPr>
                <w:rFonts w:hint="eastAsia" w:ascii="宋体" w:hAnsi="宋体" w:eastAsia="宋体" w:cs="宋体"/>
                <w:kern w:val="0"/>
                <w:sz w:val="22"/>
                <w:szCs w:val="22"/>
                <w:lang w:bidi="ar"/>
              </w:rPr>
              <w:t>12421平方米，计划设置床位300张</w:t>
            </w:r>
            <w:r>
              <w:rPr>
                <w:rFonts w:hint="eastAsia" w:ascii="宋体" w:hAnsi="宋体" w:eastAsia="宋体" w:cs="宋体"/>
                <w:kern w:val="0"/>
                <w:sz w:val="22"/>
                <w:szCs w:val="22"/>
                <w:lang w:eastAsia="zh-CN" w:bidi="ar"/>
              </w:rPr>
              <w:t>。</w:t>
            </w:r>
          </w:p>
        </w:tc>
        <w:tc>
          <w:tcPr>
            <w:tcW w:w="1766" w:type="dxa"/>
            <w:vAlign w:val="center"/>
          </w:tcPr>
          <w:p>
            <w:pPr>
              <w:jc w:val="center"/>
            </w:pPr>
            <w:r>
              <w:rPr>
                <w:rFonts w:hint="eastAsia" w:ascii="宋体" w:hAnsi="宋体" w:eastAsia="宋体" w:cs="宋体"/>
                <w:kern w:val="0"/>
                <w:sz w:val="22"/>
                <w:szCs w:val="22"/>
                <w:lang w:bidi="ar"/>
              </w:rPr>
              <w:t>12000万</w:t>
            </w:r>
          </w:p>
        </w:tc>
        <w:tc>
          <w:tcPr>
            <w:tcW w:w="1442" w:type="dxa"/>
            <w:vAlign w:val="center"/>
          </w:tcPr>
          <w:p>
            <w:pPr>
              <w:jc w:val="center"/>
            </w:pPr>
            <w:r>
              <w:rPr>
                <w:rFonts w:hint="eastAsia"/>
              </w:rPr>
              <w:t>区民政局、</w:t>
            </w:r>
            <w:r>
              <w:t>区发展改革委</w:t>
            </w:r>
          </w:p>
        </w:tc>
        <w:tc>
          <w:tcPr>
            <w:tcW w:w="1482" w:type="dxa"/>
            <w:vAlign w:val="center"/>
          </w:tcPr>
          <w:p>
            <w:pPr>
              <w:jc w:val="center"/>
            </w:pPr>
            <w:r>
              <w:rPr>
                <w:rFonts w:hint="eastAsia"/>
              </w:rPr>
              <w:t>已纳入北京市“十四五”投资重大储备项目库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9" w:type="dxa"/>
            <w:vAlign w:val="center"/>
          </w:tcPr>
          <w:p>
            <w:pPr>
              <w:jc w:val="center"/>
            </w:pPr>
            <w:r>
              <w:rPr>
                <w:rFonts w:hint="eastAsia"/>
              </w:rPr>
              <w:t>5</w:t>
            </w:r>
          </w:p>
        </w:tc>
        <w:tc>
          <w:tcPr>
            <w:tcW w:w="1664" w:type="dxa"/>
            <w:vAlign w:val="center"/>
          </w:tcPr>
          <w:p>
            <w:pPr>
              <w:jc w:val="center"/>
              <w:rPr>
                <w:rFonts w:ascii="宋体" w:hAnsi="宋体" w:eastAsia="宋体" w:cs="宋体"/>
                <w:kern w:val="0"/>
                <w:sz w:val="22"/>
                <w:szCs w:val="22"/>
                <w:lang w:bidi="ar"/>
              </w:rPr>
            </w:pPr>
            <w:r>
              <w:rPr>
                <w:rFonts w:hint="eastAsia" w:ascii="宋体" w:hAnsi="宋体" w:eastAsia="宋体" w:cs="宋体"/>
                <w:kern w:val="0"/>
                <w:sz w:val="22"/>
                <w:szCs w:val="22"/>
                <w:lang w:bidi="ar"/>
              </w:rPr>
              <w:t>社区养老服务设施建设</w:t>
            </w:r>
          </w:p>
        </w:tc>
        <w:tc>
          <w:tcPr>
            <w:tcW w:w="1122" w:type="dxa"/>
            <w:vAlign w:val="center"/>
          </w:tcPr>
          <w:p>
            <w:pPr>
              <w:jc w:val="center"/>
            </w:pPr>
            <w:r>
              <w:rPr>
                <w:rFonts w:hint="eastAsia"/>
              </w:rPr>
              <w:t>养老</w:t>
            </w:r>
          </w:p>
        </w:tc>
        <w:tc>
          <w:tcPr>
            <w:tcW w:w="1088" w:type="dxa"/>
            <w:vAlign w:val="center"/>
          </w:tcPr>
          <w:p>
            <w:pPr>
              <w:jc w:val="center"/>
              <w:rPr>
                <w:rFonts w:ascii="宋体" w:hAnsi="宋体" w:eastAsia="宋体" w:cs="宋体"/>
                <w:kern w:val="0"/>
                <w:sz w:val="22"/>
                <w:szCs w:val="22"/>
                <w:lang w:bidi="ar"/>
              </w:rPr>
            </w:pPr>
            <w:r>
              <w:rPr>
                <w:rFonts w:hint="eastAsia" w:ascii="宋体" w:hAnsi="宋体" w:eastAsia="宋体" w:cs="宋体"/>
                <w:kern w:val="0"/>
                <w:sz w:val="22"/>
                <w:szCs w:val="22"/>
                <w:lang w:bidi="ar"/>
              </w:rPr>
              <w:t>完成</w:t>
            </w:r>
          </w:p>
        </w:tc>
        <w:tc>
          <w:tcPr>
            <w:tcW w:w="1136" w:type="dxa"/>
            <w:vAlign w:val="center"/>
          </w:tcPr>
          <w:p>
            <w:pPr>
              <w:jc w:val="center"/>
              <w:rPr>
                <w:rFonts w:ascii="宋体" w:hAnsi="宋体" w:eastAsia="宋体" w:cs="宋体"/>
                <w:kern w:val="0"/>
                <w:sz w:val="22"/>
                <w:szCs w:val="22"/>
                <w:lang w:bidi="ar"/>
              </w:rPr>
            </w:pPr>
            <w:r>
              <w:rPr>
                <w:rFonts w:hint="eastAsia" w:ascii="宋体" w:hAnsi="宋体" w:eastAsia="宋体" w:cs="宋体"/>
                <w:kern w:val="0"/>
                <w:sz w:val="22"/>
                <w:szCs w:val="22"/>
                <w:lang w:bidi="ar"/>
              </w:rPr>
              <w:t>2022-2025年</w:t>
            </w:r>
          </w:p>
        </w:tc>
        <w:tc>
          <w:tcPr>
            <w:tcW w:w="1136" w:type="dxa"/>
            <w:vAlign w:val="center"/>
          </w:tcPr>
          <w:p>
            <w:pPr>
              <w:jc w:val="center"/>
              <w:rPr>
                <w:rFonts w:ascii="宋体" w:hAnsi="宋体" w:eastAsia="宋体" w:cs="宋体"/>
                <w:kern w:val="0"/>
                <w:sz w:val="22"/>
                <w:szCs w:val="22"/>
                <w:lang w:bidi="ar"/>
              </w:rPr>
            </w:pPr>
            <w:r>
              <w:rPr>
                <w:rFonts w:hint="eastAsia" w:ascii="宋体" w:hAnsi="宋体" w:eastAsia="宋体" w:cs="宋体"/>
                <w:kern w:val="0"/>
                <w:sz w:val="22"/>
                <w:szCs w:val="22"/>
                <w:lang w:bidi="ar"/>
              </w:rPr>
              <w:t>全区各相关镇街</w:t>
            </w:r>
          </w:p>
        </w:tc>
        <w:tc>
          <w:tcPr>
            <w:tcW w:w="2196" w:type="dxa"/>
            <w:vAlign w:val="center"/>
          </w:tcPr>
          <w:p>
            <w:pPr>
              <w:jc w:val="center"/>
              <w:rPr>
                <w:rFonts w:hint="eastAsia" w:eastAsiaTheme="minorEastAsia"/>
                <w:lang w:eastAsia="zh-CN"/>
              </w:rPr>
            </w:pPr>
            <w:r>
              <w:rPr>
                <w:rFonts w:hint="eastAsia"/>
              </w:rPr>
              <w:t>新建养老服务驿站</w:t>
            </w:r>
            <w:r>
              <w:rPr>
                <w:rFonts w:hint="eastAsia"/>
                <w:lang w:val="en-US" w:eastAsia="zh-CN"/>
              </w:rPr>
              <w:t>6</w:t>
            </w:r>
            <w:r>
              <w:rPr>
                <w:rFonts w:hint="eastAsia"/>
              </w:rPr>
              <w:t>个，邻里互助点</w:t>
            </w:r>
            <w:r>
              <w:rPr>
                <w:rFonts w:hint="eastAsia"/>
                <w:lang w:val="en-US" w:eastAsia="zh-CN"/>
              </w:rPr>
              <w:t>20</w:t>
            </w:r>
            <w:r>
              <w:rPr>
                <w:rFonts w:hint="eastAsia"/>
              </w:rPr>
              <w:t>个，老年餐桌</w:t>
            </w:r>
            <w:r>
              <w:rPr>
                <w:rFonts w:hint="eastAsia"/>
                <w:lang w:val="en-US" w:eastAsia="zh-CN"/>
              </w:rPr>
              <w:t>8</w:t>
            </w:r>
            <w:r>
              <w:rPr>
                <w:rFonts w:hint="eastAsia"/>
              </w:rPr>
              <w:t>个</w:t>
            </w:r>
            <w:r>
              <w:rPr>
                <w:rFonts w:hint="eastAsia"/>
                <w:lang w:eastAsia="zh-CN"/>
              </w:rPr>
              <w:t>。</w:t>
            </w:r>
          </w:p>
        </w:tc>
        <w:tc>
          <w:tcPr>
            <w:tcW w:w="1766" w:type="dxa"/>
            <w:vAlign w:val="center"/>
          </w:tcPr>
          <w:p>
            <w:pPr>
              <w:jc w:val="center"/>
              <w:rPr>
                <w:rFonts w:ascii="宋体" w:hAnsi="宋体" w:eastAsia="宋体" w:cs="宋体"/>
                <w:kern w:val="0"/>
                <w:sz w:val="22"/>
                <w:szCs w:val="22"/>
                <w:lang w:bidi="ar"/>
              </w:rPr>
            </w:pPr>
            <w:r>
              <w:rPr>
                <w:rFonts w:hint="eastAsia" w:ascii="宋体" w:hAnsi="宋体" w:eastAsia="宋体" w:cs="宋体"/>
                <w:kern w:val="0"/>
                <w:sz w:val="22"/>
                <w:szCs w:val="22"/>
                <w:lang w:bidi="ar"/>
              </w:rPr>
              <w:t>社会力量自筹</w:t>
            </w:r>
          </w:p>
        </w:tc>
        <w:tc>
          <w:tcPr>
            <w:tcW w:w="1442" w:type="dxa"/>
            <w:vAlign w:val="center"/>
          </w:tcPr>
          <w:p>
            <w:pPr>
              <w:jc w:val="center"/>
              <w:rPr>
                <w:rFonts w:hint="eastAsia" w:eastAsiaTheme="minorEastAsia"/>
                <w:lang w:eastAsia="zh-CN"/>
              </w:rPr>
            </w:pPr>
            <w:r>
              <w:rPr>
                <w:rFonts w:hint="eastAsia"/>
              </w:rPr>
              <w:t>区民政局、</w:t>
            </w:r>
            <w:r>
              <w:t>区发展改革委</w:t>
            </w:r>
            <w:r>
              <w:rPr>
                <w:rFonts w:hint="eastAsia"/>
                <w:lang w:eastAsia="zh-CN"/>
              </w:rPr>
              <w:t>、街镇</w:t>
            </w:r>
          </w:p>
        </w:tc>
        <w:tc>
          <w:tcPr>
            <w:tcW w:w="1482" w:type="dxa"/>
            <w:vAlign w:val="center"/>
          </w:tcPr>
          <w:p>
            <w:pPr>
              <w:jc w:val="center"/>
              <w:rPr>
                <w:rFonts w:hint="eastAsia"/>
              </w:rPr>
            </w:pPr>
          </w:p>
          <w:p>
            <w:pPr>
              <w:pStyle w:val="17"/>
              <w:jc w:val="center"/>
              <w:rPr>
                <w:rFonts w:hint="eastAsia" w:eastAsia="宋体"/>
                <w:lang w:eastAsia="zh-CN"/>
              </w:rPr>
            </w:pPr>
            <w:r>
              <w:rPr>
                <w:rFonts w:hint="eastAsia" w:ascii="宋体" w:hAnsi="宋体" w:eastAsia="宋体" w:cs="宋体"/>
                <w:kern w:val="0"/>
                <w:sz w:val="22"/>
                <w:szCs w:val="22"/>
                <w:lang w:bidi="ar"/>
              </w:rPr>
              <w:t>社会力量自筹</w:t>
            </w:r>
            <w:r>
              <w:rPr>
                <w:rFonts w:hint="eastAsia" w:ascii="宋体" w:hAnsi="宋体" w:eastAsia="宋体" w:cs="宋体"/>
                <w:kern w:val="0"/>
                <w:sz w:val="22"/>
                <w:szCs w:val="22"/>
                <w:lang w:eastAsia="zh-CN" w:bidi="ar"/>
              </w:rPr>
              <w:t>、财政资金支持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9" w:type="dxa"/>
            <w:vAlign w:val="center"/>
          </w:tcPr>
          <w:p>
            <w:pPr>
              <w:jc w:val="center"/>
            </w:pPr>
            <w:r>
              <w:rPr>
                <w:rFonts w:hint="eastAsia"/>
              </w:rPr>
              <w:t>6</w:t>
            </w:r>
          </w:p>
        </w:tc>
        <w:tc>
          <w:tcPr>
            <w:tcW w:w="1664" w:type="dxa"/>
            <w:vAlign w:val="center"/>
          </w:tcPr>
          <w:p>
            <w:pPr>
              <w:jc w:val="center"/>
              <w:rPr>
                <w:rFonts w:ascii="宋体" w:hAnsi="宋体" w:eastAsia="宋体" w:cs="宋体"/>
                <w:kern w:val="0"/>
                <w:sz w:val="22"/>
                <w:szCs w:val="22"/>
                <w:lang w:bidi="ar"/>
              </w:rPr>
            </w:pPr>
            <w:r>
              <w:rPr>
                <w:rFonts w:hint="eastAsia" w:ascii="宋体" w:hAnsi="宋体" w:eastAsia="宋体" w:cs="宋体"/>
                <w:kern w:val="0"/>
                <w:sz w:val="22"/>
                <w:szCs w:val="22"/>
                <w:lang w:bidi="ar"/>
              </w:rPr>
              <w:t>门头沟区新城20街区地块A61机构养老设施建设项目</w:t>
            </w:r>
          </w:p>
        </w:tc>
        <w:tc>
          <w:tcPr>
            <w:tcW w:w="1122" w:type="dxa"/>
            <w:vAlign w:val="center"/>
          </w:tcPr>
          <w:p>
            <w:pPr>
              <w:jc w:val="center"/>
            </w:pPr>
            <w:r>
              <w:rPr>
                <w:rFonts w:hint="eastAsia"/>
              </w:rPr>
              <w:t>养老</w:t>
            </w:r>
          </w:p>
        </w:tc>
        <w:tc>
          <w:tcPr>
            <w:tcW w:w="1088" w:type="dxa"/>
            <w:vAlign w:val="center"/>
          </w:tcPr>
          <w:p>
            <w:pPr>
              <w:jc w:val="center"/>
              <w:rPr>
                <w:rFonts w:ascii="宋体" w:hAnsi="宋体" w:eastAsia="宋体" w:cs="宋体"/>
                <w:kern w:val="0"/>
                <w:sz w:val="22"/>
                <w:szCs w:val="22"/>
                <w:lang w:bidi="ar"/>
              </w:rPr>
            </w:pPr>
            <w:r>
              <w:rPr>
                <w:rFonts w:hint="eastAsia" w:ascii="宋体" w:hAnsi="宋体" w:eastAsia="宋体" w:cs="宋体"/>
                <w:kern w:val="0"/>
                <w:sz w:val="22"/>
                <w:szCs w:val="22"/>
                <w:lang w:bidi="ar"/>
              </w:rPr>
              <w:t>完工</w:t>
            </w:r>
          </w:p>
        </w:tc>
        <w:tc>
          <w:tcPr>
            <w:tcW w:w="1136" w:type="dxa"/>
            <w:vAlign w:val="center"/>
          </w:tcPr>
          <w:p>
            <w:pPr>
              <w:jc w:val="center"/>
              <w:rPr>
                <w:rFonts w:ascii="宋体" w:hAnsi="宋体" w:eastAsia="宋体" w:cs="宋体"/>
                <w:kern w:val="0"/>
                <w:sz w:val="22"/>
                <w:szCs w:val="22"/>
                <w:lang w:bidi="ar"/>
              </w:rPr>
            </w:pPr>
            <w:r>
              <w:rPr>
                <w:rFonts w:hint="eastAsia" w:ascii="宋体" w:hAnsi="宋体" w:eastAsia="宋体" w:cs="宋体"/>
                <w:kern w:val="0"/>
                <w:sz w:val="22"/>
                <w:szCs w:val="22"/>
                <w:lang w:bidi="ar"/>
              </w:rPr>
              <w:t>2025年</w:t>
            </w:r>
          </w:p>
        </w:tc>
        <w:tc>
          <w:tcPr>
            <w:tcW w:w="1136" w:type="dxa"/>
            <w:vAlign w:val="center"/>
          </w:tcPr>
          <w:p>
            <w:pPr>
              <w:jc w:val="center"/>
              <w:rPr>
                <w:rFonts w:ascii="宋体" w:hAnsi="宋体" w:eastAsia="宋体" w:cs="宋体"/>
                <w:kern w:val="0"/>
                <w:sz w:val="22"/>
                <w:szCs w:val="22"/>
                <w:lang w:bidi="ar"/>
              </w:rPr>
            </w:pPr>
            <w:r>
              <w:rPr>
                <w:rFonts w:hint="eastAsia" w:ascii="宋体" w:hAnsi="宋体" w:eastAsia="宋体" w:cs="宋体"/>
                <w:kern w:val="0"/>
                <w:sz w:val="22"/>
                <w:szCs w:val="22"/>
                <w:lang w:bidi="ar"/>
              </w:rPr>
              <w:t>永定镇</w:t>
            </w:r>
          </w:p>
        </w:tc>
        <w:tc>
          <w:tcPr>
            <w:tcW w:w="2196" w:type="dxa"/>
            <w:vAlign w:val="center"/>
          </w:tcPr>
          <w:p>
            <w:pPr>
              <w:jc w:val="center"/>
            </w:pPr>
            <w:r>
              <w:rPr>
                <w:rFonts w:hint="eastAsia"/>
              </w:rPr>
              <w:t>占地面积为8594.12平方米，规划建筑面积10671平方米，其中地上三层、地下一层。建筑内容包括养老床位230张、业务用房和附属设施等。</w:t>
            </w:r>
          </w:p>
        </w:tc>
        <w:tc>
          <w:tcPr>
            <w:tcW w:w="1766" w:type="dxa"/>
            <w:vAlign w:val="center"/>
          </w:tcPr>
          <w:p>
            <w:pPr>
              <w:jc w:val="center"/>
              <w:rPr>
                <w:rFonts w:hint="eastAsia" w:ascii="宋体" w:hAnsi="宋体" w:eastAsia="宋体" w:cs="宋体"/>
                <w:kern w:val="0"/>
                <w:sz w:val="22"/>
                <w:szCs w:val="22"/>
                <w:lang w:eastAsia="zh-CN" w:bidi="ar"/>
              </w:rPr>
            </w:pPr>
            <w:r>
              <w:rPr>
                <w:rFonts w:hint="eastAsia" w:ascii="宋体" w:hAnsi="宋体" w:eastAsia="宋体" w:cs="宋体"/>
                <w:kern w:val="0"/>
                <w:sz w:val="22"/>
                <w:szCs w:val="22"/>
                <w:lang w:bidi="ar"/>
              </w:rPr>
              <w:t>5614.03万（区财政</w:t>
            </w:r>
            <w:r>
              <w:rPr>
                <w:rFonts w:hint="eastAsia" w:ascii="宋体" w:hAnsi="宋体" w:eastAsia="宋体" w:cs="宋体"/>
                <w:kern w:val="0"/>
                <w:sz w:val="22"/>
                <w:szCs w:val="22"/>
                <w:lang w:eastAsia="zh-CN" w:bidi="ar"/>
              </w:rPr>
              <w:t>已支付</w:t>
            </w:r>
          </w:p>
          <w:p>
            <w:pPr>
              <w:jc w:val="center"/>
              <w:rPr>
                <w:rFonts w:ascii="宋体" w:hAnsi="宋体" w:eastAsia="宋体" w:cs="宋体"/>
                <w:kern w:val="0"/>
                <w:sz w:val="22"/>
                <w:szCs w:val="22"/>
                <w:lang w:bidi="ar"/>
              </w:rPr>
            </w:pPr>
            <w:r>
              <w:rPr>
                <w:rFonts w:hint="eastAsia" w:ascii="宋体" w:hAnsi="宋体" w:eastAsia="宋体" w:cs="宋体"/>
                <w:kern w:val="0"/>
                <w:sz w:val="22"/>
                <w:szCs w:val="22"/>
                <w:lang w:bidi="ar"/>
              </w:rPr>
              <w:t>3077.71万）</w:t>
            </w:r>
          </w:p>
        </w:tc>
        <w:tc>
          <w:tcPr>
            <w:tcW w:w="1442" w:type="dxa"/>
            <w:vAlign w:val="center"/>
          </w:tcPr>
          <w:p>
            <w:pPr>
              <w:jc w:val="center"/>
            </w:pPr>
            <w:r>
              <w:rPr>
                <w:rFonts w:hint="eastAsia"/>
              </w:rPr>
              <w:t>区民政局</w:t>
            </w:r>
          </w:p>
        </w:tc>
        <w:tc>
          <w:tcPr>
            <w:tcW w:w="1482" w:type="dxa"/>
            <w:vAlign w:val="center"/>
          </w:tcPr>
          <w:p>
            <w:pPr>
              <w:jc w:val="center"/>
            </w:pPr>
            <w:r>
              <w:rPr>
                <w:rFonts w:hint="eastAsia"/>
              </w:rPr>
              <w:t>已纳入北京市“十四五”投资重大储备项目库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9" w:type="dxa"/>
            <w:vAlign w:val="center"/>
          </w:tcPr>
          <w:p>
            <w:pPr>
              <w:jc w:val="center"/>
            </w:pPr>
            <w:r>
              <w:rPr>
                <w:rFonts w:hint="eastAsia"/>
              </w:rPr>
              <w:t>7</w:t>
            </w:r>
          </w:p>
        </w:tc>
        <w:tc>
          <w:tcPr>
            <w:tcW w:w="1664" w:type="dxa"/>
            <w:vAlign w:val="center"/>
          </w:tcPr>
          <w:p>
            <w:pPr>
              <w:jc w:val="center"/>
              <w:rPr>
                <w:rFonts w:ascii="宋体" w:hAnsi="宋体" w:eastAsia="宋体" w:cs="宋体"/>
                <w:kern w:val="0"/>
                <w:sz w:val="22"/>
                <w:szCs w:val="22"/>
                <w:lang w:bidi="ar"/>
              </w:rPr>
            </w:pPr>
            <w:r>
              <w:rPr>
                <w:rFonts w:hint="eastAsia" w:ascii="宋体" w:hAnsi="宋体" w:eastAsia="宋体" w:cs="宋体"/>
                <w:kern w:val="0"/>
                <w:sz w:val="22"/>
                <w:szCs w:val="22"/>
                <w:lang w:bidi="ar"/>
              </w:rPr>
              <w:t>门头沟区新城20街区养老机构设备购置项目</w:t>
            </w:r>
          </w:p>
        </w:tc>
        <w:tc>
          <w:tcPr>
            <w:tcW w:w="1122" w:type="dxa"/>
            <w:vAlign w:val="center"/>
          </w:tcPr>
          <w:p>
            <w:pPr>
              <w:jc w:val="center"/>
            </w:pPr>
            <w:r>
              <w:rPr>
                <w:rFonts w:hint="eastAsia"/>
              </w:rPr>
              <w:t>养老</w:t>
            </w:r>
          </w:p>
        </w:tc>
        <w:tc>
          <w:tcPr>
            <w:tcW w:w="1088" w:type="dxa"/>
            <w:vAlign w:val="center"/>
          </w:tcPr>
          <w:p>
            <w:pPr>
              <w:jc w:val="center"/>
              <w:rPr>
                <w:rFonts w:ascii="宋体" w:hAnsi="宋体" w:eastAsia="宋体" w:cs="宋体"/>
                <w:kern w:val="0"/>
                <w:sz w:val="22"/>
                <w:szCs w:val="22"/>
                <w:lang w:bidi="ar"/>
              </w:rPr>
            </w:pPr>
            <w:r>
              <w:rPr>
                <w:rFonts w:hint="eastAsia" w:ascii="宋体" w:hAnsi="宋体" w:eastAsia="宋体" w:cs="宋体"/>
                <w:kern w:val="0"/>
                <w:sz w:val="22"/>
                <w:szCs w:val="22"/>
                <w:lang w:bidi="ar"/>
              </w:rPr>
              <w:t>完成</w:t>
            </w:r>
          </w:p>
        </w:tc>
        <w:tc>
          <w:tcPr>
            <w:tcW w:w="1136" w:type="dxa"/>
            <w:vAlign w:val="center"/>
          </w:tcPr>
          <w:p>
            <w:pPr>
              <w:jc w:val="center"/>
              <w:rPr>
                <w:rFonts w:ascii="宋体" w:hAnsi="宋体" w:eastAsia="宋体" w:cs="宋体"/>
                <w:kern w:val="0"/>
                <w:sz w:val="22"/>
                <w:szCs w:val="22"/>
                <w:lang w:bidi="ar"/>
              </w:rPr>
            </w:pPr>
            <w:r>
              <w:rPr>
                <w:rFonts w:hint="eastAsia" w:ascii="宋体" w:hAnsi="宋体" w:eastAsia="宋体" w:cs="宋体"/>
                <w:kern w:val="0"/>
                <w:sz w:val="22"/>
                <w:szCs w:val="22"/>
                <w:lang w:bidi="ar"/>
              </w:rPr>
              <w:t>2025年</w:t>
            </w:r>
          </w:p>
        </w:tc>
        <w:tc>
          <w:tcPr>
            <w:tcW w:w="1136" w:type="dxa"/>
            <w:vAlign w:val="center"/>
          </w:tcPr>
          <w:p>
            <w:pPr>
              <w:jc w:val="center"/>
              <w:rPr>
                <w:rFonts w:ascii="宋体" w:hAnsi="宋体" w:eastAsia="宋体" w:cs="宋体"/>
                <w:kern w:val="0"/>
                <w:sz w:val="22"/>
                <w:szCs w:val="22"/>
                <w:lang w:bidi="ar"/>
              </w:rPr>
            </w:pPr>
            <w:r>
              <w:rPr>
                <w:rFonts w:hint="eastAsia" w:ascii="宋体" w:hAnsi="宋体" w:eastAsia="宋体" w:cs="宋体"/>
                <w:kern w:val="0"/>
                <w:sz w:val="22"/>
                <w:szCs w:val="22"/>
                <w:lang w:bidi="ar"/>
              </w:rPr>
              <w:t>永定镇</w:t>
            </w:r>
          </w:p>
        </w:tc>
        <w:tc>
          <w:tcPr>
            <w:tcW w:w="2196" w:type="dxa"/>
            <w:vAlign w:val="center"/>
          </w:tcPr>
          <w:p>
            <w:pPr>
              <w:jc w:val="center"/>
              <w:rPr>
                <w:rFonts w:hint="eastAsia" w:eastAsiaTheme="minorEastAsia"/>
                <w:lang w:eastAsia="zh-CN"/>
              </w:rPr>
            </w:pPr>
            <w:r>
              <w:rPr>
                <w:rFonts w:hint="eastAsia"/>
              </w:rPr>
              <w:t>项目房屋建成后还需要配置厨房、康复、电器家具等必要设备设施</w:t>
            </w:r>
            <w:r>
              <w:rPr>
                <w:rFonts w:hint="eastAsia"/>
                <w:lang w:eastAsia="zh-CN"/>
              </w:rPr>
              <w:t>。</w:t>
            </w:r>
          </w:p>
        </w:tc>
        <w:tc>
          <w:tcPr>
            <w:tcW w:w="1766" w:type="dxa"/>
            <w:vAlign w:val="center"/>
          </w:tcPr>
          <w:p>
            <w:pPr>
              <w:jc w:val="center"/>
              <w:rPr>
                <w:rFonts w:ascii="宋体" w:hAnsi="宋体" w:eastAsia="宋体" w:cs="宋体"/>
                <w:kern w:val="0"/>
                <w:sz w:val="22"/>
                <w:szCs w:val="22"/>
                <w:lang w:bidi="ar"/>
              </w:rPr>
            </w:pPr>
            <w:r>
              <w:rPr>
                <w:rFonts w:hint="eastAsia" w:ascii="宋体" w:hAnsi="宋体" w:eastAsia="宋体" w:cs="宋体"/>
                <w:kern w:val="0"/>
                <w:sz w:val="22"/>
                <w:szCs w:val="22"/>
                <w:lang w:bidi="ar"/>
              </w:rPr>
              <w:t>1040万元</w:t>
            </w:r>
          </w:p>
        </w:tc>
        <w:tc>
          <w:tcPr>
            <w:tcW w:w="1442" w:type="dxa"/>
            <w:vAlign w:val="center"/>
          </w:tcPr>
          <w:p>
            <w:pPr>
              <w:jc w:val="center"/>
            </w:pPr>
            <w:r>
              <w:rPr>
                <w:rFonts w:hint="eastAsia"/>
              </w:rPr>
              <w:t>区民政局</w:t>
            </w:r>
          </w:p>
        </w:tc>
        <w:tc>
          <w:tcPr>
            <w:tcW w:w="1482" w:type="dxa"/>
            <w:vAlign w:val="center"/>
          </w:tcPr>
          <w:p>
            <w:pPr>
              <w:jc w:val="center"/>
            </w:pPr>
            <w:r>
              <w:rPr>
                <w:rFonts w:hint="eastAsia"/>
              </w:rPr>
              <w:t>已纳入北京市“十四五”投资重大储备项目库，申请市政府投资解决或福彩公益金支持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9" w:type="dxa"/>
            <w:vAlign w:val="center"/>
          </w:tcPr>
          <w:p>
            <w:pPr>
              <w:jc w:val="center"/>
            </w:pPr>
            <w:r>
              <w:rPr>
                <w:rFonts w:hint="eastAsia"/>
              </w:rPr>
              <w:t>8</w:t>
            </w:r>
          </w:p>
        </w:tc>
        <w:tc>
          <w:tcPr>
            <w:tcW w:w="1664" w:type="dxa"/>
            <w:vAlign w:val="center"/>
          </w:tcPr>
          <w:p>
            <w:pPr>
              <w:jc w:val="center"/>
              <w:rPr>
                <w:rFonts w:ascii="宋体" w:hAnsi="宋体" w:eastAsia="宋体" w:cs="宋体"/>
                <w:kern w:val="0"/>
                <w:sz w:val="22"/>
                <w:szCs w:val="22"/>
                <w:lang w:bidi="ar"/>
              </w:rPr>
            </w:pPr>
            <w:r>
              <w:rPr>
                <w:rFonts w:hint="eastAsia" w:ascii="宋体" w:hAnsi="宋体" w:eastAsia="宋体" w:cs="宋体"/>
                <w:kern w:val="0"/>
                <w:sz w:val="22"/>
                <w:szCs w:val="22"/>
                <w:lang w:bidi="ar"/>
              </w:rPr>
              <w:t>门头沟区妙峰山镇桃园村养老综合服务中心建设项目</w:t>
            </w:r>
          </w:p>
        </w:tc>
        <w:tc>
          <w:tcPr>
            <w:tcW w:w="1122" w:type="dxa"/>
            <w:vAlign w:val="center"/>
          </w:tcPr>
          <w:p>
            <w:pPr>
              <w:jc w:val="center"/>
            </w:pPr>
            <w:r>
              <w:rPr>
                <w:rFonts w:hint="eastAsia"/>
              </w:rPr>
              <w:t>养老</w:t>
            </w:r>
          </w:p>
        </w:tc>
        <w:tc>
          <w:tcPr>
            <w:tcW w:w="1088" w:type="dxa"/>
            <w:vAlign w:val="center"/>
          </w:tcPr>
          <w:p>
            <w:pPr>
              <w:jc w:val="center"/>
              <w:rPr>
                <w:rFonts w:hint="eastAsia" w:ascii="宋体" w:hAnsi="宋体" w:eastAsia="宋体" w:cs="宋体"/>
                <w:kern w:val="0"/>
                <w:sz w:val="22"/>
                <w:szCs w:val="22"/>
                <w:highlight w:val="none"/>
                <w:lang w:eastAsia="zh-CN" w:bidi="ar"/>
              </w:rPr>
            </w:pPr>
            <w:r>
              <w:rPr>
                <w:rFonts w:hint="eastAsia" w:ascii="宋体" w:hAnsi="宋体" w:eastAsia="宋体" w:cs="宋体"/>
                <w:kern w:val="0"/>
                <w:sz w:val="22"/>
                <w:szCs w:val="22"/>
                <w:highlight w:val="none"/>
                <w:lang w:eastAsia="zh-CN" w:bidi="ar"/>
              </w:rPr>
              <w:t>前期</w:t>
            </w:r>
          </w:p>
        </w:tc>
        <w:tc>
          <w:tcPr>
            <w:tcW w:w="1136" w:type="dxa"/>
            <w:vAlign w:val="center"/>
          </w:tcPr>
          <w:p>
            <w:pPr>
              <w:jc w:val="center"/>
              <w:rPr>
                <w:rFonts w:ascii="宋体" w:hAnsi="宋体" w:eastAsia="宋体" w:cs="宋体"/>
                <w:kern w:val="0"/>
                <w:sz w:val="22"/>
                <w:szCs w:val="22"/>
                <w:lang w:bidi="ar"/>
              </w:rPr>
            </w:pPr>
            <w:r>
              <w:rPr>
                <w:rFonts w:hint="eastAsia" w:ascii="宋体" w:hAnsi="宋体" w:eastAsia="宋体" w:cs="宋体"/>
                <w:kern w:val="0"/>
                <w:sz w:val="22"/>
                <w:szCs w:val="22"/>
                <w:lang w:bidi="ar"/>
              </w:rPr>
              <w:t>2025年</w:t>
            </w:r>
          </w:p>
        </w:tc>
        <w:tc>
          <w:tcPr>
            <w:tcW w:w="1136" w:type="dxa"/>
            <w:vAlign w:val="center"/>
          </w:tcPr>
          <w:p>
            <w:pPr>
              <w:jc w:val="center"/>
              <w:rPr>
                <w:rFonts w:ascii="宋体" w:hAnsi="宋体" w:eastAsia="宋体" w:cs="宋体"/>
                <w:kern w:val="0"/>
                <w:sz w:val="22"/>
                <w:szCs w:val="22"/>
                <w:lang w:bidi="ar"/>
              </w:rPr>
            </w:pPr>
            <w:r>
              <w:rPr>
                <w:rFonts w:hint="eastAsia" w:ascii="宋体" w:hAnsi="宋体" w:eastAsia="宋体" w:cs="宋体"/>
                <w:kern w:val="0"/>
                <w:sz w:val="22"/>
                <w:szCs w:val="22"/>
                <w:lang w:bidi="ar"/>
              </w:rPr>
              <w:t>妙峰山镇</w:t>
            </w:r>
          </w:p>
        </w:tc>
        <w:tc>
          <w:tcPr>
            <w:tcW w:w="2196" w:type="dxa"/>
            <w:vAlign w:val="center"/>
          </w:tcPr>
          <w:p>
            <w:pPr>
              <w:jc w:val="center"/>
              <w:rPr>
                <w:rFonts w:hint="eastAsia" w:eastAsiaTheme="minorEastAsia"/>
                <w:lang w:eastAsia="zh-CN"/>
              </w:rPr>
            </w:pPr>
            <w:r>
              <w:rPr>
                <w:rFonts w:hint="eastAsia"/>
              </w:rPr>
              <w:t>项目总用地面积30216平方米，规划总建筑面积36259平方米，可提供养老服务床位600张</w:t>
            </w:r>
            <w:r>
              <w:rPr>
                <w:rFonts w:hint="eastAsia"/>
                <w:lang w:eastAsia="zh-CN"/>
              </w:rPr>
              <w:t>。</w:t>
            </w:r>
          </w:p>
        </w:tc>
        <w:tc>
          <w:tcPr>
            <w:tcW w:w="1766" w:type="dxa"/>
            <w:vAlign w:val="center"/>
          </w:tcPr>
          <w:p>
            <w:pPr>
              <w:jc w:val="center"/>
              <w:rPr>
                <w:rFonts w:ascii="宋体" w:hAnsi="宋体" w:eastAsia="宋体" w:cs="宋体"/>
                <w:kern w:val="0"/>
                <w:sz w:val="22"/>
                <w:szCs w:val="22"/>
                <w:lang w:bidi="ar"/>
              </w:rPr>
            </w:pPr>
            <w:r>
              <w:rPr>
                <w:rFonts w:hint="eastAsia" w:ascii="宋体" w:hAnsi="宋体" w:eastAsia="宋体" w:cs="宋体"/>
                <w:kern w:val="0"/>
                <w:sz w:val="22"/>
                <w:szCs w:val="22"/>
                <w:lang w:bidi="ar"/>
              </w:rPr>
              <w:t>预计9692万</w:t>
            </w:r>
          </w:p>
        </w:tc>
        <w:tc>
          <w:tcPr>
            <w:tcW w:w="1442" w:type="dxa"/>
            <w:vAlign w:val="center"/>
          </w:tcPr>
          <w:p>
            <w:pPr>
              <w:jc w:val="center"/>
            </w:pPr>
            <w:r>
              <w:rPr>
                <w:rFonts w:hint="eastAsia"/>
              </w:rPr>
              <w:t>妙峰山镇政府</w:t>
            </w:r>
          </w:p>
        </w:tc>
        <w:tc>
          <w:tcPr>
            <w:tcW w:w="1482" w:type="dxa"/>
            <w:vAlign w:val="center"/>
          </w:tcPr>
          <w:p>
            <w:pPr>
              <w:jc w:val="center"/>
            </w:pPr>
            <w:r>
              <w:rPr>
                <w:rFonts w:hint="eastAsia" w:ascii="宋体" w:hAnsi="宋体" w:eastAsia="宋体" w:cs="宋体"/>
                <w:kern w:val="0"/>
                <w:sz w:val="22"/>
                <w:szCs w:val="22"/>
                <w:lang w:bidi="ar"/>
              </w:rPr>
              <w:t>社会力量自筹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9" w:type="dxa"/>
            <w:vAlign w:val="center"/>
          </w:tcPr>
          <w:p>
            <w:pPr>
              <w:jc w:val="center"/>
            </w:pPr>
            <w:r>
              <w:rPr>
                <w:rFonts w:hint="eastAsia"/>
              </w:rPr>
              <w:t>9</w:t>
            </w:r>
          </w:p>
        </w:tc>
        <w:tc>
          <w:tcPr>
            <w:tcW w:w="1664" w:type="dxa"/>
            <w:vAlign w:val="center"/>
          </w:tcPr>
          <w:p>
            <w:pPr>
              <w:jc w:val="center"/>
              <w:rPr>
                <w:rFonts w:ascii="宋体" w:hAnsi="宋体" w:eastAsia="宋体" w:cs="宋体"/>
                <w:kern w:val="0"/>
                <w:sz w:val="22"/>
                <w:szCs w:val="22"/>
                <w:lang w:bidi="ar"/>
              </w:rPr>
            </w:pPr>
            <w:r>
              <w:rPr>
                <w:rFonts w:hint="eastAsia" w:ascii="宋体" w:hAnsi="宋体" w:eastAsia="宋体" w:cs="宋体"/>
                <w:kern w:val="0"/>
                <w:sz w:val="22"/>
                <w:szCs w:val="22"/>
                <w:lang w:bidi="ar"/>
              </w:rPr>
              <w:t>门头沟区妙峰山镇水峪嘴村老年服务中心项目</w:t>
            </w:r>
          </w:p>
        </w:tc>
        <w:tc>
          <w:tcPr>
            <w:tcW w:w="1122" w:type="dxa"/>
            <w:vAlign w:val="center"/>
          </w:tcPr>
          <w:p>
            <w:pPr>
              <w:jc w:val="center"/>
            </w:pPr>
            <w:r>
              <w:rPr>
                <w:rFonts w:hint="eastAsia"/>
              </w:rPr>
              <w:t>养老</w:t>
            </w:r>
          </w:p>
        </w:tc>
        <w:tc>
          <w:tcPr>
            <w:tcW w:w="1088" w:type="dxa"/>
            <w:vAlign w:val="center"/>
          </w:tcPr>
          <w:p>
            <w:pPr>
              <w:jc w:val="center"/>
              <w:rPr>
                <w:rFonts w:hint="eastAsia" w:ascii="宋体" w:hAnsi="宋体" w:eastAsia="宋体" w:cs="宋体"/>
                <w:kern w:val="0"/>
                <w:sz w:val="22"/>
                <w:szCs w:val="22"/>
                <w:highlight w:val="none"/>
                <w:lang w:eastAsia="zh-CN" w:bidi="ar"/>
              </w:rPr>
            </w:pPr>
            <w:r>
              <w:rPr>
                <w:rFonts w:hint="eastAsia" w:ascii="宋体" w:hAnsi="宋体" w:eastAsia="宋体" w:cs="宋体"/>
                <w:kern w:val="0"/>
                <w:sz w:val="22"/>
                <w:szCs w:val="22"/>
                <w:highlight w:val="none"/>
                <w:lang w:eastAsia="zh-CN" w:bidi="ar"/>
              </w:rPr>
              <w:t>前期</w:t>
            </w:r>
          </w:p>
        </w:tc>
        <w:tc>
          <w:tcPr>
            <w:tcW w:w="1136" w:type="dxa"/>
            <w:vAlign w:val="center"/>
          </w:tcPr>
          <w:p>
            <w:pPr>
              <w:jc w:val="center"/>
              <w:rPr>
                <w:rFonts w:ascii="宋体" w:hAnsi="宋体" w:eastAsia="宋体" w:cs="宋体"/>
                <w:kern w:val="0"/>
                <w:sz w:val="22"/>
                <w:szCs w:val="22"/>
                <w:lang w:bidi="ar"/>
              </w:rPr>
            </w:pPr>
            <w:r>
              <w:rPr>
                <w:rFonts w:hint="eastAsia" w:ascii="宋体" w:hAnsi="宋体" w:eastAsia="宋体" w:cs="宋体"/>
                <w:kern w:val="0"/>
                <w:sz w:val="22"/>
                <w:szCs w:val="22"/>
                <w:lang w:bidi="ar"/>
              </w:rPr>
              <w:t>2025年</w:t>
            </w:r>
          </w:p>
        </w:tc>
        <w:tc>
          <w:tcPr>
            <w:tcW w:w="1136" w:type="dxa"/>
            <w:vAlign w:val="center"/>
          </w:tcPr>
          <w:p>
            <w:pPr>
              <w:tabs>
                <w:tab w:val="left" w:pos="328"/>
              </w:tabs>
              <w:jc w:val="center"/>
              <w:rPr>
                <w:rFonts w:ascii="宋体" w:hAnsi="宋体" w:eastAsia="宋体" w:cs="宋体"/>
                <w:kern w:val="0"/>
                <w:sz w:val="22"/>
                <w:szCs w:val="22"/>
                <w:lang w:bidi="ar"/>
              </w:rPr>
            </w:pPr>
            <w:r>
              <w:rPr>
                <w:rFonts w:hint="eastAsia" w:ascii="宋体" w:hAnsi="宋体" w:eastAsia="宋体" w:cs="宋体"/>
                <w:kern w:val="0"/>
                <w:sz w:val="22"/>
                <w:szCs w:val="22"/>
                <w:lang w:bidi="ar"/>
              </w:rPr>
              <w:t>妙峰山镇</w:t>
            </w:r>
          </w:p>
        </w:tc>
        <w:tc>
          <w:tcPr>
            <w:tcW w:w="2196" w:type="dxa"/>
            <w:vAlign w:val="center"/>
          </w:tcPr>
          <w:p>
            <w:pPr>
              <w:jc w:val="center"/>
              <w:rPr>
                <w:rFonts w:hint="eastAsia" w:eastAsiaTheme="minorEastAsia"/>
                <w:lang w:eastAsia="zh-CN"/>
              </w:rPr>
            </w:pPr>
            <w:r>
              <w:rPr>
                <w:rFonts w:hint="eastAsia"/>
              </w:rPr>
              <w:t>项目总用地面积39008平方米，规划总建筑面积18310平方米，可提供养老服务床位472张</w:t>
            </w:r>
            <w:r>
              <w:rPr>
                <w:rFonts w:hint="eastAsia"/>
                <w:lang w:eastAsia="zh-CN"/>
              </w:rPr>
              <w:t>。</w:t>
            </w:r>
          </w:p>
        </w:tc>
        <w:tc>
          <w:tcPr>
            <w:tcW w:w="1766" w:type="dxa"/>
            <w:vAlign w:val="center"/>
          </w:tcPr>
          <w:p>
            <w:pPr>
              <w:jc w:val="center"/>
              <w:rPr>
                <w:rFonts w:ascii="宋体" w:hAnsi="宋体" w:eastAsia="宋体" w:cs="宋体"/>
                <w:kern w:val="0"/>
                <w:sz w:val="22"/>
                <w:szCs w:val="22"/>
                <w:lang w:bidi="ar"/>
              </w:rPr>
            </w:pPr>
            <w:r>
              <w:rPr>
                <w:rFonts w:hint="eastAsia" w:ascii="宋体" w:hAnsi="宋体" w:eastAsia="宋体" w:cs="宋体"/>
                <w:kern w:val="0"/>
                <w:sz w:val="22"/>
                <w:szCs w:val="22"/>
                <w:lang w:bidi="ar"/>
              </w:rPr>
              <w:t>预计7052万</w:t>
            </w:r>
          </w:p>
        </w:tc>
        <w:tc>
          <w:tcPr>
            <w:tcW w:w="1442" w:type="dxa"/>
            <w:vAlign w:val="center"/>
          </w:tcPr>
          <w:p>
            <w:pPr>
              <w:jc w:val="center"/>
            </w:pPr>
            <w:r>
              <w:rPr>
                <w:rFonts w:hint="eastAsia"/>
              </w:rPr>
              <w:t>妙峰山镇政府</w:t>
            </w:r>
          </w:p>
        </w:tc>
        <w:tc>
          <w:tcPr>
            <w:tcW w:w="1482" w:type="dxa"/>
            <w:vAlign w:val="center"/>
          </w:tcPr>
          <w:p>
            <w:pPr>
              <w:jc w:val="center"/>
            </w:pPr>
            <w:r>
              <w:rPr>
                <w:rFonts w:hint="eastAsia" w:ascii="宋体" w:hAnsi="宋体" w:eastAsia="宋体" w:cs="宋体"/>
                <w:kern w:val="0"/>
                <w:sz w:val="22"/>
                <w:szCs w:val="22"/>
                <w:lang w:bidi="ar"/>
              </w:rPr>
              <w:t>社会力量自筹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9" w:type="dxa"/>
            <w:vAlign w:val="center"/>
          </w:tcPr>
          <w:p>
            <w:pPr>
              <w:jc w:val="center"/>
            </w:pPr>
            <w:r>
              <w:rPr>
                <w:rFonts w:hint="eastAsia"/>
              </w:rPr>
              <w:t>10</w:t>
            </w:r>
          </w:p>
        </w:tc>
        <w:tc>
          <w:tcPr>
            <w:tcW w:w="1664" w:type="dxa"/>
            <w:vAlign w:val="center"/>
          </w:tcPr>
          <w:p>
            <w:pPr>
              <w:jc w:val="center"/>
              <w:rPr>
                <w:rFonts w:ascii="宋体" w:hAnsi="宋体" w:eastAsia="宋体" w:cs="宋体"/>
                <w:kern w:val="0"/>
                <w:sz w:val="22"/>
                <w:szCs w:val="22"/>
                <w:lang w:bidi="ar"/>
              </w:rPr>
            </w:pPr>
            <w:r>
              <w:rPr>
                <w:rFonts w:hint="eastAsia" w:ascii="宋体" w:hAnsi="宋体" w:eastAsia="宋体" w:cs="宋体"/>
                <w:kern w:val="0"/>
                <w:sz w:val="22"/>
                <w:szCs w:val="22"/>
                <w:lang w:bidi="ar"/>
              </w:rPr>
              <w:t>老年友好型社区创建</w:t>
            </w:r>
          </w:p>
        </w:tc>
        <w:tc>
          <w:tcPr>
            <w:tcW w:w="1122" w:type="dxa"/>
            <w:vAlign w:val="center"/>
          </w:tcPr>
          <w:p>
            <w:pPr>
              <w:jc w:val="center"/>
            </w:pPr>
            <w:r>
              <w:rPr>
                <w:rFonts w:hint="eastAsia"/>
              </w:rPr>
              <w:t>养老</w:t>
            </w:r>
          </w:p>
        </w:tc>
        <w:tc>
          <w:tcPr>
            <w:tcW w:w="1088" w:type="dxa"/>
            <w:vAlign w:val="center"/>
          </w:tcPr>
          <w:p>
            <w:pPr>
              <w:jc w:val="center"/>
              <w:rPr>
                <w:rFonts w:ascii="宋体" w:hAnsi="宋体" w:eastAsia="宋体" w:cs="宋体"/>
                <w:kern w:val="0"/>
                <w:sz w:val="22"/>
                <w:szCs w:val="22"/>
                <w:lang w:bidi="ar"/>
              </w:rPr>
            </w:pPr>
            <w:r>
              <w:rPr>
                <w:rFonts w:hint="eastAsia" w:ascii="宋体" w:hAnsi="宋体" w:eastAsia="宋体" w:cs="宋体"/>
                <w:kern w:val="0"/>
                <w:sz w:val="22"/>
                <w:szCs w:val="22"/>
                <w:lang w:bidi="ar"/>
              </w:rPr>
              <w:t>完成</w:t>
            </w:r>
          </w:p>
        </w:tc>
        <w:tc>
          <w:tcPr>
            <w:tcW w:w="1136" w:type="dxa"/>
            <w:vAlign w:val="center"/>
          </w:tcPr>
          <w:p>
            <w:pPr>
              <w:jc w:val="center"/>
              <w:rPr>
                <w:rFonts w:ascii="宋体" w:hAnsi="宋体" w:eastAsia="宋体" w:cs="宋体"/>
                <w:kern w:val="0"/>
                <w:sz w:val="22"/>
                <w:szCs w:val="22"/>
                <w:lang w:bidi="ar"/>
              </w:rPr>
            </w:pPr>
            <w:r>
              <w:rPr>
                <w:rFonts w:hint="eastAsia" w:ascii="宋体" w:hAnsi="宋体" w:eastAsia="宋体" w:cs="宋体"/>
                <w:kern w:val="0"/>
                <w:sz w:val="22"/>
                <w:szCs w:val="22"/>
                <w:lang w:bidi="ar"/>
              </w:rPr>
              <w:t>2025年</w:t>
            </w:r>
          </w:p>
        </w:tc>
        <w:tc>
          <w:tcPr>
            <w:tcW w:w="1136" w:type="dxa"/>
            <w:vAlign w:val="center"/>
          </w:tcPr>
          <w:p>
            <w:pPr>
              <w:jc w:val="center"/>
              <w:rPr>
                <w:rFonts w:ascii="宋体" w:hAnsi="宋体" w:eastAsia="宋体" w:cs="宋体"/>
                <w:kern w:val="0"/>
                <w:sz w:val="22"/>
                <w:szCs w:val="22"/>
                <w:lang w:bidi="ar"/>
              </w:rPr>
            </w:pPr>
            <w:r>
              <w:rPr>
                <w:rFonts w:hint="eastAsia"/>
              </w:rPr>
              <w:t>各镇街</w:t>
            </w:r>
          </w:p>
        </w:tc>
        <w:tc>
          <w:tcPr>
            <w:tcW w:w="2196" w:type="dxa"/>
            <w:vAlign w:val="center"/>
          </w:tcPr>
          <w:p>
            <w:pPr>
              <w:jc w:val="center"/>
            </w:pPr>
            <w:r>
              <w:rPr>
                <w:rFonts w:hint="eastAsia"/>
              </w:rPr>
              <w:t>围绕改善老年人居住环境、方便老年人日常出行、提升为老年人服务质量、扩大老年人社会参与、丰富老年人精神文化生活、提高为老服务科技化水平等方面内容建设</w:t>
            </w:r>
            <w:r>
              <w:t>5</w:t>
            </w:r>
            <w:r>
              <w:rPr>
                <w:rFonts w:hint="eastAsia"/>
              </w:rPr>
              <w:t>个社区。</w:t>
            </w:r>
          </w:p>
        </w:tc>
        <w:tc>
          <w:tcPr>
            <w:tcW w:w="1766" w:type="dxa"/>
            <w:vAlign w:val="center"/>
          </w:tcPr>
          <w:p>
            <w:pPr>
              <w:jc w:val="center"/>
              <w:rPr>
                <w:rFonts w:ascii="宋体" w:hAnsi="宋体" w:eastAsia="宋体" w:cs="宋体"/>
                <w:kern w:val="0"/>
                <w:sz w:val="22"/>
                <w:szCs w:val="22"/>
                <w:lang w:bidi="ar"/>
              </w:rPr>
            </w:pPr>
            <w:r>
              <w:rPr>
                <w:rFonts w:hint="eastAsia" w:ascii="宋体" w:hAnsi="宋体" w:eastAsia="宋体" w:cs="宋体"/>
                <w:kern w:val="0"/>
                <w:sz w:val="22"/>
                <w:szCs w:val="22"/>
                <w:lang w:bidi="ar"/>
              </w:rPr>
              <w:t>50万</w:t>
            </w:r>
            <w:r>
              <w:rPr>
                <w:rStyle w:val="27"/>
                <w:rFonts w:hint="eastAsia" w:ascii="宋体" w:hAnsi="宋体" w:eastAsia="宋体" w:cs="宋体"/>
                <w:kern w:val="0"/>
                <w:sz w:val="22"/>
                <w:szCs w:val="22"/>
                <w:lang w:bidi="ar"/>
              </w:rPr>
              <w:footnoteReference w:id="54"/>
            </w:r>
          </w:p>
        </w:tc>
        <w:tc>
          <w:tcPr>
            <w:tcW w:w="1442" w:type="dxa"/>
            <w:vAlign w:val="center"/>
          </w:tcPr>
          <w:p>
            <w:pPr>
              <w:jc w:val="center"/>
            </w:pPr>
            <w:r>
              <w:t>区卫生健康委</w:t>
            </w:r>
            <w:r>
              <w:rPr>
                <w:rFonts w:hint="eastAsia"/>
                <w:color w:val="C00000"/>
              </w:rPr>
              <w:t>、</w:t>
            </w:r>
            <w:r>
              <w:rPr>
                <w:rFonts w:hint="eastAsia"/>
              </w:rPr>
              <w:t>区民政局、</w:t>
            </w:r>
            <w:r>
              <w:t>区发展改革委</w:t>
            </w:r>
          </w:p>
        </w:tc>
        <w:tc>
          <w:tcPr>
            <w:tcW w:w="1482" w:type="dxa"/>
            <w:vAlign w:val="center"/>
          </w:tcPr>
          <w:p>
            <w:pPr>
              <w:jc w:val="center"/>
            </w:pPr>
            <w:r>
              <w:rPr>
                <w:rFonts w:hint="eastAsia"/>
              </w:rPr>
              <w:t>社会力量引资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2" w:hRule="atLeast"/>
        </w:trPr>
        <w:tc>
          <w:tcPr>
            <w:tcW w:w="679" w:type="dxa"/>
            <w:vAlign w:val="center"/>
          </w:tcPr>
          <w:p>
            <w:pPr>
              <w:jc w:val="center"/>
            </w:pPr>
            <w:r>
              <w:rPr>
                <w:rFonts w:hint="eastAsia"/>
              </w:rPr>
              <w:t>11</w:t>
            </w:r>
          </w:p>
        </w:tc>
        <w:tc>
          <w:tcPr>
            <w:tcW w:w="1664" w:type="dxa"/>
            <w:vAlign w:val="center"/>
          </w:tcPr>
          <w:p>
            <w:pPr>
              <w:jc w:val="center"/>
              <w:rPr>
                <w:rFonts w:ascii="宋体" w:hAnsi="宋体" w:eastAsia="宋体" w:cs="宋体"/>
                <w:kern w:val="0"/>
                <w:sz w:val="22"/>
                <w:szCs w:val="22"/>
                <w:lang w:bidi="ar"/>
              </w:rPr>
            </w:pPr>
            <w:r>
              <w:rPr>
                <w:rFonts w:hint="eastAsia" w:ascii="宋体" w:hAnsi="宋体" w:eastAsia="宋体" w:cs="宋体"/>
                <w:kern w:val="0"/>
                <w:sz w:val="22"/>
                <w:szCs w:val="22"/>
                <w:lang w:bidi="ar"/>
              </w:rPr>
              <w:t>乡镇敬老院改造提升</w:t>
            </w:r>
          </w:p>
        </w:tc>
        <w:tc>
          <w:tcPr>
            <w:tcW w:w="1122" w:type="dxa"/>
            <w:vAlign w:val="center"/>
          </w:tcPr>
          <w:p>
            <w:pPr>
              <w:jc w:val="center"/>
            </w:pPr>
            <w:r>
              <w:rPr>
                <w:rFonts w:hint="eastAsia"/>
              </w:rPr>
              <w:t>养老</w:t>
            </w:r>
          </w:p>
        </w:tc>
        <w:tc>
          <w:tcPr>
            <w:tcW w:w="1088" w:type="dxa"/>
            <w:vAlign w:val="center"/>
          </w:tcPr>
          <w:p>
            <w:pPr>
              <w:jc w:val="center"/>
              <w:rPr>
                <w:rFonts w:ascii="宋体" w:hAnsi="宋体" w:eastAsia="宋体" w:cs="宋体"/>
                <w:kern w:val="0"/>
                <w:sz w:val="22"/>
                <w:szCs w:val="22"/>
                <w:lang w:bidi="ar"/>
              </w:rPr>
            </w:pPr>
            <w:r>
              <w:rPr>
                <w:rFonts w:hint="eastAsia" w:ascii="宋体" w:hAnsi="宋体" w:eastAsia="宋体" w:cs="宋体"/>
                <w:kern w:val="0"/>
                <w:sz w:val="22"/>
                <w:szCs w:val="22"/>
                <w:highlight w:val="none"/>
                <w:lang w:bidi="ar"/>
              </w:rPr>
              <w:t>前期</w:t>
            </w:r>
          </w:p>
        </w:tc>
        <w:tc>
          <w:tcPr>
            <w:tcW w:w="1136" w:type="dxa"/>
            <w:vAlign w:val="center"/>
          </w:tcPr>
          <w:p>
            <w:pPr>
              <w:jc w:val="center"/>
              <w:rPr>
                <w:rFonts w:ascii="宋体" w:hAnsi="宋体" w:eastAsia="宋体" w:cs="宋体"/>
                <w:kern w:val="0"/>
                <w:sz w:val="22"/>
                <w:szCs w:val="22"/>
                <w:lang w:bidi="ar"/>
              </w:rPr>
            </w:pPr>
            <w:r>
              <w:rPr>
                <w:rFonts w:hint="eastAsia" w:ascii="宋体" w:hAnsi="宋体" w:eastAsia="宋体" w:cs="宋体"/>
                <w:kern w:val="0"/>
                <w:sz w:val="22"/>
                <w:szCs w:val="22"/>
                <w:lang w:bidi="ar"/>
              </w:rPr>
              <w:t>2025年</w:t>
            </w:r>
          </w:p>
        </w:tc>
        <w:tc>
          <w:tcPr>
            <w:tcW w:w="1136" w:type="dxa"/>
            <w:vAlign w:val="center"/>
          </w:tcPr>
          <w:p>
            <w:pPr>
              <w:jc w:val="center"/>
              <w:rPr>
                <w:rFonts w:ascii="宋体" w:hAnsi="宋体" w:eastAsia="宋体" w:cs="宋体"/>
                <w:kern w:val="0"/>
                <w:sz w:val="22"/>
                <w:szCs w:val="22"/>
                <w:lang w:bidi="ar"/>
              </w:rPr>
            </w:pPr>
            <w:r>
              <w:rPr>
                <w:rFonts w:hint="eastAsia" w:ascii="宋体" w:hAnsi="宋体" w:eastAsia="宋体" w:cs="宋体"/>
                <w:kern w:val="0"/>
                <w:sz w:val="22"/>
                <w:szCs w:val="22"/>
                <w:lang w:bidi="ar"/>
              </w:rPr>
              <w:t>妙峰山镇、雁翅镇、清水镇、潭柘寺镇等区域敬老院</w:t>
            </w:r>
          </w:p>
        </w:tc>
        <w:tc>
          <w:tcPr>
            <w:tcW w:w="2196" w:type="dxa"/>
            <w:vAlign w:val="center"/>
          </w:tcPr>
          <w:p>
            <w:pPr>
              <w:jc w:val="center"/>
            </w:pPr>
            <w:r>
              <w:rPr>
                <w:rFonts w:hint="eastAsia"/>
              </w:rPr>
              <w:t>实施改造提升，除为区域老年人提供养老护理服务外，还打造成为融休闲、养生、养心、养老、旅居为一体的特色老年旅居基地。</w:t>
            </w:r>
          </w:p>
        </w:tc>
        <w:tc>
          <w:tcPr>
            <w:tcW w:w="1766" w:type="dxa"/>
            <w:vAlign w:val="center"/>
          </w:tcPr>
          <w:p>
            <w:pPr>
              <w:jc w:val="center"/>
              <w:rPr>
                <w:rFonts w:ascii="宋体" w:hAnsi="宋体" w:eastAsia="宋体" w:cs="宋体"/>
                <w:kern w:val="0"/>
                <w:sz w:val="22"/>
                <w:szCs w:val="22"/>
                <w:lang w:bidi="ar"/>
              </w:rPr>
            </w:pPr>
            <w:r>
              <w:rPr>
                <w:rFonts w:hint="eastAsia" w:ascii="宋体" w:hAnsi="宋体" w:eastAsia="宋体" w:cs="宋体"/>
                <w:kern w:val="0"/>
                <w:sz w:val="22"/>
                <w:szCs w:val="22"/>
                <w:lang w:bidi="ar"/>
              </w:rPr>
              <w:t>1200万</w:t>
            </w:r>
            <w:r>
              <w:rPr>
                <w:rStyle w:val="27"/>
                <w:rFonts w:hint="eastAsia" w:ascii="宋体" w:hAnsi="宋体" w:eastAsia="宋体" w:cs="宋体"/>
                <w:kern w:val="0"/>
                <w:sz w:val="22"/>
                <w:szCs w:val="22"/>
                <w:lang w:bidi="ar"/>
              </w:rPr>
              <w:footnoteReference w:id="55"/>
            </w:r>
          </w:p>
        </w:tc>
        <w:tc>
          <w:tcPr>
            <w:tcW w:w="1442" w:type="dxa"/>
            <w:vAlign w:val="center"/>
          </w:tcPr>
          <w:p>
            <w:pPr>
              <w:jc w:val="center"/>
            </w:pPr>
            <w:r>
              <w:rPr>
                <w:rFonts w:hint="eastAsia"/>
              </w:rPr>
              <w:t>区民政局、</w:t>
            </w:r>
            <w:r>
              <w:t>区发展改革委</w:t>
            </w:r>
          </w:p>
        </w:tc>
        <w:tc>
          <w:tcPr>
            <w:tcW w:w="1482" w:type="dxa"/>
            <w:vAlign w:val="center"/>
          </w:tcPr>
          <w:p>
            <w:pPr>
              <w:jc w:val="center"/>
            </w:pPr>
            <w:r>
              <w:rPr>
                <w:rFonts w:hint="eastAsia"/>
              </w:rPr>
              <w:t>区财政局、社会力量引资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9" w:type="dxa"/>
            <w:vAlign w:val="center"/>
          </w:tcPr>
          <w:p>
            <w:pPr>
              <w:jc w:val="center"/>
            </w:pPr>
            <w:r>
              <w:rPr>
                <w:rFonts w:hint="eastAsia"/>
              </w:rPr>
              <w:t>12</w:t>
            </w:r>
          </w:p>
        </w:tc>
        <w:tc>
          <w:tcPr>
            <w:tcW w:w="1664" w:type="dxa"/>
            <w:vAlign w:val="center"/>
          </w:tcPr>
          <w:p>
            <w:pPr>
              <w:jc w:val="center"/>
              <w:rPr>
                <w:rFonts w:ascii="宋体" w:hAnsi="宋体" w:eastAsia="宋体" w:cs="宋体"/>
                <w:kern w:val="0"/>
                <w:sz w:val="22"/>
                <w:szCs w:val="22"/>
                <w:lang w:bidi="ar"/>
              </w:rPr>
            </w:pPr>
            <w:r>
              <w:rPr>
                <w:rFonts w:hint="eastAsia" w:ascii="宋体" w:hAnsi="宋体" w:eastAsia="宋体" w:cs="宋体"/>
                <w:kern w:val="0"/>
                <w:sz w:val="22"/>
                <w:szCs w:val="22"/>
                <w:lang w:eastAsia="zh-Hans" w:bidi="ar"/>
              </w:rPr>
              <w:t>普惠性托育服务机构建设</w:t>
            </w:r>
          </w:p>
        </w:tc>
        <w:tc>
          <w:tcPr>
            <w:tcW w:w="1122" w:type="dxa"/>
            <w:vAlign w:val="center"/>
          </w:tcPr>
          <w:p>
            <w:pPr>
              <w:jc w:val="center"/>
            </w:pPr>
            <w:r>
              <w:rPr>
                <w:rFonts w:hint="eastAsia"/>
                <w:lang w:eastAsia="zh-Hans"/>
              </w:rPr>
              <w:t>托育</w:t>
            </w:r>
          </w:p>
        </w:tc>
        <w:tc>
          <w:tcPr>
            <w:tcW w:w="1088" w:type="dxa"/>
            <w:vAlign w:val="center"/>
          </w:tcPr>
          <w:p>
            <w:pPr>
              <w:jc w:val="center"/>
              <w:rPr>
                <w:rFonts w:ascii="宋体" w:hAnsi="宋体" w:eastAsia="宋体" w:cs="宋体"/>
                <w:kern w:val="0"/>
                <w:sz w:val="22"/>
                <w:szCs w:val="22"/>
                <w:lang w:bidi="ar"/>
              </w:rPr>
            </w:pPr>
            <w:r>
              <w:rPr>
                <w:rFonts w:hint="eastAsia" w:ascii="宋体" w:hAnsi="宋体" w:eastAsia="宋体" w:cs="宋体"/>
                <w:kern w:val="0"/>
                <w:sz w:val="22"/>
                <w:szCs w:val="22"/>
                <w:lang w:bidi="ar"/>
              </w:rPr>
              <w:t>前期</w:t>
            </w:r>
          </w:p>
        </w:tc>
        <w:tc>
          <w:tcPr>
            <w:tcW w:w="1136" w:type="dxa"/>
            <w:vAlign w:val="center"/>
          </w:tcPr>
          <w:p>
            <w:pPr>
              <w:jc w:val="center"/>
              <w:rPr>
                <w:rFonts w:ascii="宋体" w:hAnsi="宋体" w:eastAsia="宋体" w:cs="宋体"/>
                <w:kern w:val="0"/>
                <w:sz w:val="22"/>
                <w:szCs w:val="22"/>
                <w:lang w:bidi="ar"/>
              </w:rPr>
            </w:pPr>
            <w:r>
              <w:rPr>
                <w:rFonts w:hint="eastAsia" w:ascii="宋体" w:hAnsi="宋体" w:eastAsia="宋体" w:cs="宋体"/>
                <w:kern w:val="0"/>
                <w:sz w:val="22"/>
                <w:szCs w:val="22"/>
                <w:lang w:bidi="ar"/>
              </w:rPr>
              <w:t>2025年</w:t>
            </w:r>
          </w:p>
        </w:tc>
        <w:tc>
          <w:tcPr>
            <w:tcW w:w="1136" w:type="dxa"/>
            <w:vAlign w:val="center"/>
          </w:tcPr>
          <w:p>
            <w:pPr>
              <w:jc w:val="center"/>
              <w:rPr>
                <w:rFonts w:ascii="宋体" w:hAnsi="宋体" w:eastAsia="宋体" w:cs="宋体"/>
                <w:kern w:val="0"/>
                <w:sz w:val="22"/>
                <w:szCs w:val="22"/>
                <w:lang w:bidi="ar"/>
              </w:rPr>
            </w:pPr>
            <w:r>
              <w:rPr>
                <w:rFonts w:hint="eastAsia"/>
                <w:lang w:eastAsia="zh-Hans"/>
              </w:rPr>
              <w:t>全区</w:t>
            </w:r>
          </w:p>
        </w:tc>
        <w:tc>
          <w:tcPr>
            <w:tcW w:w="2196" w:type="dxa"/>
            <w:vAlign w:val="center"/>
          </w:tcPr>
          <w:p>
            <w:pPr>
              <w:pStyle w:val="20"/>
              <w:widowControl/>
              <w:spacing w:before="132" w:beforeAutospacing="0" w:after="378" w:afterAutospacing="0"/>
              <w:jc w:val="both"/>
            </w:pPr>
            <w:r>
              <w:rPr>
                <w:rFonts w:hint="eastAsia" w:cstheme="minorBidi"/>
                <w:kern w:val="2"/>
                <w:sz w:val="21"/>
              </w:rPr>
              <w:t>鼓励和支持有条件的幼儿园在满足3-6岁幼儿入园的基础上，利用空余学位开设托班招收2-3岁幼儿，提供托育服务。到2025年，在门城地区设立一个综合性婴幼儿照护服务指导中心，每个街道均建有不少于20个托位规模的托育服务机构，辖区每千人口托位数达到4.5个（总数1767个托位）。全市普惠托位数占比不低于60%（总数1061个普惠性托位）。</w:t>
            </w:r>
          </w:p>
        </w:tc>
        <w:tc>
          <w:tcPr>
            <w:tcW w:w="1766" w:type="dxa"/>
            <w:vAlign w:val="center"/>
          </w:tcPr>
          <w:p>
            <w:pPr>
              <w:jc w:val="center"/>
              <w:rPr>
                <w:lang w:eastAsia="zh-Hans"/>
              </w:rPr>
            </w:pPr>
            <w:r>
              <w:t>2630</w:t>
            </w:r>
            <w:r>
              <w:rPr>
                <w:rFonts w:hint="eastAsia"/>
                <w:lang w:eastAsia="zh-Hans"/>
              </w:rPr>
              <w:t>万</w:t>
            </w:r>
            <w:r>
              <w:rPr>
                <w:rStyle w:val="27"/>
                <w:rFonts w:hint="eastAsia"/>
                <w:lang w:eastAsia="zh-Hans"/>
              </w:rPr>
              <w:footnoteReference w:id="56"/>
            </w:r>
          </w:p>
        </w:tc>
        <w:tc>
          <w:tcPr>
            <w:tcW w:w="1442" w:type="dxa"/>
            <w:vAlign w:val="center"/>
          </w:tcPr>
          <w:p>
            <w:pPr>
              <w:jc w:val="center"/>
              <w:rPr>
                <w:color w:val="auto"/>
              </w:rPr>
            </w:pPr>
            <w:r>
              <w:rPr>
                <w:color w:val="auto"/>
              </w:rPr>
              <w:t>区发展改革委</w:t>
            </w:r>
            <w:r>
              <w:rPr>
                <w:rFonts w:hint="eastAsia"/>
                <w:color w:val="auto"/>
              </w:rPr>
              <w:t>、</w:t>
            </w:r>
            <w:r>
              <w:rPr>
                <w:color w:val="auto"/>
              </w:rPr>
              <w:t>区卫生健康委</w:t>
            </w:r>
            <w:r>
              <w:rPr>
                <w:rFonts w:hint="eastAsia"/>
                <w:color w:val="auto"/>
              </w:rPr>
              <w:t>、</w:t>
            </w:r>
            <w:r>
              <w:rPr>
                <w:rFonts w:hint="eastAsia" w:ascii="宋体" w:hAnsi="宋体" w:eastAsia="宋体" w:cs="宋体"/>
                <w:b w:val="0"/>
                <w:bCs w:val="0"/>
                <w:color w:val="auto"/>
                <w:sz w:val="21"/>
                <w:szCs w:val="21"/>
                <w:vertAlign w:val="baseline"/>
                <w:lang w:val="en-US" w:eastAsia="zh-CN"/>
              </w:rPr>
              <w:t>区教育委员会</w:t>
            </w:r>
          </w:p>
        </w:tc>
        <w:tc>
          <w:tcPr>
            <w:tcW w:w="1482" w:type="dxa"/>
            <w:vAlign w:val="center"/>
          </w:tcPr>
          <w:p>
            <w:pPr>
              <w:jc w:val="center"/>
            </w:pPr>
            <w:r>
              <w:t>区发展改革委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9" w:type="dxa"/>
            <w:vAlign w:val="center"/>
          </w:tcPr>
          <w:p>
            <w:pPr>
              <w:jc w:val="center"/>
            </w:pPr>
            <w:r>
              <w:rPr>
                <w:rFonts w:hint="eastAsia"/>
              </w:rPr>
              <w:t>13</w:t>
            </w:r>
          </w:p>
        </w:tc>
        <w:tc>
          <w:tcPr>
            <w:tcW w:w="1664" w:type="dxa"/>
            <w:vAlign w:val="center"/>
          </w:tcPr>
          <w:p>
            <w:pPr>
              <w:jc w:val="center"/>
              <w:rPr>
                <w:rFonts w:ascii="宋体" w:hAnsi="宋体" w:eastAsia="宋体" w:cs="宋体"/>
                <w:kern w:val="0"/>
                <w:sz w:val="22"/>
                <w:szCs w:val="22"/>
                <w:lang w:bidi="ar"/>
              </w:rPr>
            </w:pPr>
            <w:r>
              <w:rPr>
                <w:rFonts w:hint="eastAsia" w:ascii="宋体" w:hAnsi="宋体" w:eastAsia="宋体" w:cs="宋体"/>
                <w:kern w:val="0"/>
                <w:sz w:val="22"/>
                <w:szCs w:val="22"/>
                <w:lang w:bidi="ar"/>
              </w:rPr>
              <w:t>社区托育服务设施</w:t>
            </w:r>
            <w:r>
              <w:rPr>
                <w:rFonts w:hint="eastAsia" w:ascii="宋体" w:hAnsi="宋体" w:eastAsia="宋体" w:cs="宋体"/>
                <w:kern w:val="0"/>
                <w:sz w:val="22"/>
                <w:szCs w:val="22"/>
                <w:lang w:eastAsia="zh-Hans" w:bidi="ar"/>
              </w:rPr>
              <w:t>建设</w:t>
            </w:r>
          </w:p>
        </w:tc>
        <w:tc>
          <w:tcPr>
            <w:tcW w:w="1122" w:type="dxa"/>
            <w:vAlign w:val="center"/>
          </w:tcPr>
          <w:p>
            <w:pPr>
              <w:jc w:val="center"/>
            </w:pPr>
            <w:r>
              <w:rPr>
                <w:rFonts w:hint="eastAsia"/>
              </w:rPr>
              <w:t>托育</w:t>
            </w:r>
          </w:p>
        </w:tc>
        <w:tc>
          <w:tcPr>
            <w:tcW w:w="1088" w:type="dxa"/>
            <w:vAlign w:val="center"/>
          </w:tcPr>
          <w:p>
            <w:pPr>
              <w:jc w:val="center"/>
              <w:rPr>
                <w:rFonts w:ascii="宋体" w:hAnsi="宋体" w:eastAsia="宋体" w:cs="宋体"/>
                <w:kern w:val="0"/>
                <w:sz w:val="22"/>
                <w:szCs w:val="22"/>
                <w:lang w:bidi="ar"/>
              </w:rPr>
            </w:pPr>
            <w:r>
              <w:rPr>
                <w:rFonts w:hint="eastAsia" w:ascii="宋体" w:hAnsi="宋体" w:eastAsia="宋体" w:cs="宋体"/>
                <w:kern w:val="0"/>
                <w:sz w:val="22"/>
                <w:szCs w:val="22"/>
                <w:lang w:bidi="ar"/>
              </w:rPr>
              <w:t>前期</w:t>
            </w:r>
          </w:p>
        </w:tc>
        <w:tc>
          <w:tcPr>
            <w:tcW w:w="1136" w:type="dxa"/>
            <w:vAlign w:val="center"/>
          </w:tcPr>
          <w:p>
            <w:pPr>
              <w:jc w:val="center"/>
              <w:rPr>
                <w:rFonts w:ascii="宋体" w:hAnsi="宋体" w:eastAsia="宋体" w:cs="宋体"/>
                <w:kern w:val="0"/>
                <w:sz w:val="22"/>
                <w:szCs w:val="22"/>
                <w:lang w:bidi="ar"/>
              </w:rPr>
            </w:pPr>
            <w:r>
              <w:rPr>
                <w:rFonts w:hint="eastAsia" w:ascii="宋体" w:hAnsi="宋体" w:eastAsia="宋体" w:cs="宋体"/>
                <w:kern w:val="0"/>
                <w:sz w:val="22"/>
                <w:szCs w:val="22"/>
                <w:lang w:bidi="ar"/>
              </w:rPr>
              <w:t>2025年</w:t>
            </w:r>
          </w:p>
        </w:tc>
        <w:tc>
          <w:tcPr>
            <w:tcW w:w="1136" w:type="dxa"/>
            <w:vAlign w:val="center"/>
          </w:tcPr>
          <w:p>
            <w:pPr>
              <w:jc w:val="center"/>
              <w:rPr>
                <w:rFonts w:ascii="宋体" w:hAnsi="宋体" w:eastAsia="宋体" w:cs="宋体"/>
                <w:kern w:val="0"/>
                <w:sz w:val="22"/>
                <w:szCs w:val="22"/>
                <w:lang w:bidi="ar"/>
              </w:rPr>
            </w:pPr>
            <w:r>
              <w:rPr>
                <w:rFonts w:hint="eastAsia"/>
                <w:lang w:eastAsia="zh-Hans"/>
              </w:rPr>
              <w:t>全</w:t>
            </w:r>
            <w:r>
              <w:rPr>
                <w:rFonts w:hint="eastAsia"/>
              </w:rPr>
              <w:t>区</w:t>
            </w:r>
          </w:p>
        </w:tc>
        <w:tc>
          <w:tcPr>
            <w:tcW w:w="2196" w:type="dxa"/>
            <w:vAlign w:val="center"/>
          </w:tcPr>
          <w:p>
            <w:pPr>
              <w:jc w:val="center"/>
            </w:pPr>
            <w:r>
              <w:rPr>
                <w:rFonts w:hint="eastAsia"/>
              </w:rPr>
              <w:t>建设多功能、多协作的村（社区）婴幼儿照护服务驿站</w:t>
            </w:r>
            <w:r>
              <w:rPr>
                <w:rFonts w:hint="eastAsia"/>
                <w:lang w:eastAsia="zh-Hans"/>
              </w:rPr>
              <w:t>（可</w:t>
            </w:r>
            <w:r>
              <w:rPr>
                <w:rFonts w:hint="eastAsia"/>
              </w:rPr>
              <w:t>依托社区儿童中心、妇女之家、儿童之家、家长学校等基层工作阵地</w:t>
            </w:r>
            <w:r>
              <w:rPr>
                <w:rFonts w:hint="eastAsia"/>
                <w:lang w:eastAsia="zh-Hans"/>
              </w:rPr>
              <w:t>挂牌代理）打造“15分钟婴幼儿照护服务圈”。</w:t>
            </w:r>
            <w:r>
              <w:rPr>
                <w:rFonts w:hint="eastAsia"/>
              </w:rPr>
              <w:t>向婴幼儿家庭提供育儿技能指导、亲子游戏陪伴、儿童健康管理、临时托管等服务</w:t>
            </w:r>
            <w:r>
              <w:rPr>
                <w:rFonts w:hint="eastAsia"/>
                <w:lang w:eastAsia="zh-Hans"/>
              </w:rPr>
              <w:t>。与</w:t>
            </w:r>
            <w:r>
              <w:rPr>
                <w:rFonts w:hint="eastAsia"/>
              </w:rPr>
              <w:t>基层医疗机构</w:t>
            </w:r>
            <w:r>
              <w:rPr>
                <w:rFonts w:hint="eastAsia"/>
                <w:lang w:eastAsia="zh-Hans"/>
              </w:rPr>
              <w:t>联合</w:t>
            </w:r>
            <w:r>
              <w:rPr>
                <w:rFonts w:hint="eastAsia"/>
              </w:rPr>
              <w:t>，开展儿童发育</w:t>
            </w:r>
            <w:r>
              <w:rPr>
                <w:rFonts w:hint="eastAsia"/>
                <w:lang w:eastAsia="zh-Hans"/>
              </w:rPr>
              <w:t>、健康</w:t>
            </w:r>
            <w:r>
              <w:rPr>
                <w:rFonts w:hint="eastAsia"/>
              </w:rPr>
              <w:t>筛查、岗前职后提升保育保健人员专业技能、推广养育照护小组活动等</w:t>
            </w:r>
            <w:r>
              <w:rPr>
                <w:rFonts w:hint="eastAsia"/>
                <w:lang w:eastAsia="zh-Hans"/>
              </w:rPr>
              <w:t>。</w:t>
            </w:r>
          </w:p>
        </w:tc>
        <w:tc>
          <w:tcPr>
            <w:tcW w:w="1766" w:type="dxa"/>
            <w:vAlign w:val="center"/>
          </w:tcPr>
          <w:p>
            <w:pPr>
              <w:jc w:val="center"/>
              <w:rPr>
                <w:rFonts w:ascii="宋体" w:hAnsi="宋体" w:eastAsia="宋体" w:cs="宋体"/>
                <w:kern w:val="0"/>
                <w:sz w:val="22"/>
                <w:szCs w:val="22"/>
                <w:lang w:bidi="ar"/>
              </w:rPr>
            </w:pPr>
            <w:r>
              <w:rPr>
                <w:rFonts w:hint="eastAsia"/>
              </w:rPr>
              <w:t>500万</w:t>
            </w:r>
            <w:r>
              <w:rPr>
                <w:rStyle w:val="27"/>
                <w:rFonts w:hint="eastAsia"/>
              </w:rPr>
              <w:footnoteReference w:id="57"/>
            </w:r>
          </w:p>
        </w:tc>
        <w:tc>
          <w:tcPr>
            <w:tcW w:w="1442" w:type="dxa"/>
            <w:vAlign w:val="center"/>
          </w:tcPr>
          <w:p>
            <w:pPr>
              <w:jc w:val="center"/>
              <w:rPr>
                <w:color w:val="auto"/>
              </w:rPr>
            </w:pPr>
            <w:r>
              <w:rPr>
                <w:color w:val="auto"/>
              </w:rPr>
              <w:t>区发展改革委</w:t>
            </w:r>
            <w:r>
              <w:rPr>
                <w:rFonts w:hint="eastAsia"/>
                <w:color w:val="auto"/>
              </w:rPr>
              <w:t>、</w:t>
            </w:r>
            <w:r>
              <w:rPr>
                <w:color w:val="auto"/>
              </w:rPr>
              <w:t>区卫生健康委</w:t>
            </w:r>
            <w:r>
              <w:rPr>
                <w:rFonts w:hint="eastAsia"/>
                <w:color w:val="auto"/>
              </w:rPr>
              <w:t>、</w:t>
            </w:r>
            <w:r>
              <w:rPr>
                <w:rFonts w:hint="eastAsia" w:ascii="宋体" w:hAnsi="宋体" w:eastAsia="宋体" w:cs="宋体"/>
                <w:b w:val="0"/>
                <w:bCs w:val="0"/>
                <w:color w:val="auto"/>
                <w:sz w:val="21"/>
                <w:szCs w:val="21"/>
                <w:vertAlign w:val="baseline"/>
                <w:lang w:val="en-US" w:eastAsia="zh-CN"/>
              </w:rPr>
              <w:t>区教育委员会</w:t>
            </w:r>
          </w:p>
        </w:tc>
        <w:tc>
          <w:tcPr>
            <w:tcW w:w="1482" w:type="dxa"/>
            <w:vAlign w:val="center"/>
          </w:tcPr>
          <w:p>
            <w:pPr>
              <w:jc w:val="center"/>
            </w:pPr>
            <w:r>
              <w:t>区发展改革委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9" w:type="dxa"/>
            <w:vAlign w:val="center"/>
          </w:tcPr>
          <w:p>
            <w:pPr>
              <w:jc w:val="center"/>
            </w:pPr>
            <w:r>
              <w:rPr>
                <w:rFonts w:hint="eastAsia"/>
              </w:rPr>
              <w:t>14</w:t>
            </w:r>
          </w:p>
        </w:tc>
        <w:tc>
          <w:tcPr>
            <w:tcW w:w="1664" w:type="dxa"/>
            <w:vAlign w:val="center"/>
          </w:tcPr>
          <w:p>
            <w:pPr>
              <w:jc w:val="center"/>
              <w:rPr>
                <w:rFonts w:ascii="宋体" w:hAnsi="宋体" w:eastAsia="宋体" w:cs="宋体"/>
                <w:kern w:val="0"/>
                <w:sz w:val="22"/>
                <w:szCs w:val="22"/>
                <w:lang w:bidi="ar"/>
              </w:rPr>
            </w:pPr>
            <w:r>
              <w:rPr>
                <w:rFonts w:hint="eastAsia" w:ascii="宋体" w:hAnsi="宋体" w:eastAsia="宋体" w:cs="宋体"/>
                <w:kern w:val="0"/>
                <w:sz w:val="22"/>
                <w:szCs w:val="22"/>
                <w:lang w:bidi="ar"/>
              </w:rPr>
              <w:t>示范型婴幼儿照护服务机构</w:t>
            </w:r>
          </w:p>
        </w:tc>
        <w:tc>
          <w:tcPr>
            <w:tcW w:w="1122" w:type="dxa"/>
            <w:vAlign w:val="center"/>
          </w:tcPr>
          <w:p>
            <w:pPr>
              <w:jc w:val="center"/>
            </w:pPr>
            <w:r>
              <w:rPr>
                <w:rFonts w:hint="eastAsia"/>
              </w:rPr>
              <w:t>托育</w:t>
            </w:r>
          </w:p>
        </w:tc>
        <w:tc>
          <w:tcPr>
            <w:tcW w:w="1088" w:type="dxa"/>
            <w:vAlign w:val="center"/>
          </w:tcPr>
          <w:p>
            <w:pPr>
              <w:jc w:val="center"/>
              <w:rPr>
                <w:rFonts w:ascii="宋体" w:hAnsi="宋体" w:eastAsia="宋体" w:cs="宋体"/>
                <w:kern w:val="0"/>
                <w:sz w:val="22"/>
                <w:szCs w:val="22"/>
                <w:lang w:bidi="ar"/>
              </w:rPr>
            </w:pPr>
            <w:r>
              <w:rPr>
                <w:rFonts w:hint="eastAsia" w:ascii="宋体" w:hAnsi="宋体" w:eastAsia="宋体" w:cs="宋体"/>
                <w:kern w:val="0"/>
                <w:sz w:val="22"/>
                <w:szCs w:val="22"/>
                <w:lang w:bidi="ar"/>
              </w:rPr>
              <w:t>前期</w:t>
            </w:r>
          </w:p>
        </w:tc>
        <w:tc>
          <w:tcPr>
            <w:tcW w:w="1136" w:type="dxa"/>
            <w:vAlign w:val="center"/>
          </w:tcPr>
          <w:p>
            <w:pPr>
              <w:jc w:val="center"/>
              <w:rPr>
                <w:rFonts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202</w:t>
            </w:r>
            <w:r>
              <w:rPr>
                <w:rFonts w:hint="eastAsia" w:ascii="宋体" w:hAnsi="宋体" w:eastAsia="宋体" w:cs="宋体"/>
                <w:color w:val="auto"/>
                <w:kern w:val="0"/>
                <w:sz w:val="22"/>
                <w:szCs w:val="22"/>
                <w:highlight w:val="none"/>
                <w:lang w:val="en-US" w:eastAsia="zh-CN" w:bidi="ar"/>
              </w:rPr>
              <w:t>5</w:t>
            </w:r>
            <w:r>
              <w:rPr>
                <w:rFonts w:hint="eastAsia" w:ascii="宋体" w:hAnsi="宋体" w:eastAsia="宋体" w:cs="宋体"/>
                <w:color w:val="auto"/>
                <w:kern w:val="0"/>
                <w:sz w:val="22"/>
                <w:szCs w:val="22"/>
                <w:highlight w:val="none"/>
                <w:lang w:bidi="ar"/>
              </w:rPr>
              <w:t>年</w:t>
            </w:r>
          </w:p>
        </w:tc>
        <w:tc>
          <w:tcPr>
            <w:tcW w:w="1136" w:type="dxa"/>
            <w:vAlign w:val="center"/>
          </w:tcPr>
          <w:p>
            <w:pPr>
              <w:jc w:val="center"/>
              <w:rPr>
                <w:rFonts w:ascii="宋体" w:hAnsi="宋体" w:eastAsia="宋体" w:cs="宋体"/>
                <w:color w:val="auto"/>
                <w:kern w:val="0"/>
                <w:sz w:val="22"/>
                <w:szCs w:val="22"/>
                <w:highlight w:val="none"/>
                <w:lang w:bidi="ar"/>
              </w:rPr>
            </w:pPr>
            <w:r>
              <w:rPr>
                <w:rFonts w:hint="eastAsia"/>
                <w:color w:val="auto"/>
                <w:highlight w:val="none"/>
                <w:lang w:eastAsia="zh-Hans"/>
              </w:rPr>
              <w:t>全区</w:t>
            </w:r>
          </w:p>
        </w:tc>
        <w:tc>
          <w:tcPr>
            <w:tcW w:w="2196" w:type="dxa"/>
            <w:vAlign w:val="center"/>
          </w:tcPr>
          <w:p>
            <w:pPr>
              <w:rPr>
                <w:color w:val="auto"/>
                <w:highlight w:val="none"/>
              </w:rPr>
            </w:pPr>
            <w:r>
              <w:rPr>
                <w:rFonts w:hint="eastAsia"/>
                <w:color w:val="auto"/>
                <w:highlight w:val="none"/>
                <w:lang w:eastAsia="zh-Hans"/>
              </w:rPr>
              <w:t>预计到</w:t>
            </w:r>
            <w:r>
              <w:rPr>
                <w:color w:val="auto"/>
                <w:highlight w:val="none"/>
                <w:lang w:eastAsia="zh-Hans"/>
              </w:rPr>
              <w:t>202</w:t>
            </w:r>
            <w:r>
              <w:rPr>
                <w:rFonts w:hint="eastAsia"/>
                <w:color w:val="auto"/>
                <w:highlight w:val="none"/>
                <w:lang w:val="en-US" w:eastAsia="zh-CN"/>
              </w:rPr>
              <w:t>5</w:t>
            </w:r>
            <w:r>
              <w:rPr>
                <w:rFonts w:hint="eastAsia"/>
                <w:color w:val="auto"/>
                <w:highlight w:val="none"/>
                <w:lang w:eastAsia="zh-Hans"/>
              </w:rPr>
              <w:t>年，全地区</w:t>
            </w:r>
            <w:r>
              <w:rPr>
                <w:rFonts w:hint="eastAsia"/>
                <w:color w:val="auto"/>
                <w:highlight w:val="none"/>
              </w:rPr>
              <w:t>建成</w:t>
            </w:r>
            <w:r>
              <w:rPr>
                <w:rFonts w:hint="eastAsia"/>
                <w:color w:val="auto"/>
                <w:highlight w:val="none"/>
                <w:lang w:eastAsia="zh-Hans"/>
              </w:rPr>
              <w:t>不少于</w:t>
            </w:r>
            <w:r>
              <w:rPr>
                <w:color w:val="auto"/>
                <w:highlight w:val="none"/>
                <w:lang w:eastAsia="zh-Hans"/>
              </w:rPr>
              <w:t>5</w:t>
            </w:r>
            <w:r>
              <w:rPr>
                <w:rFonts w:hint="eastAsia"/>
                <w:color w:val="auto"/>
                <w:highlight w:val="none"/>
                <w:lang w:eastAsia="zh-Hans"/>
              </w:rPr>
              <w:t>家市级示范型婴幼儿照护服务机构</w:t>
            </w:r>
            <w:r>
              <w:rPr>
                <w:rFonts w:hint="eastAsia"/>
                <w:color w:val="auto"/>
                <w:highlight w:val="none"/>
              </w:rPr>
              <w:t>。</w:t>
            </w:r>
          </w:p>
        </w:tc>
        <w:tc>
          <w:tcPr>
            <w:tcW w:w="1766" w:type="dxa"/>
            <w:vAlign w:val="center"/>
          </w:tcPr>
          <w:p>
            <w:pPr>
              <w:jc w:val="center"/>
            </w:pPr>
          </w:p>
          <w:p>
            <w:pPr>
              <w:jc w:val="center"/>
            </w:pPr>
            <w:r>
              <w:rPr>
                <w:color w:val="auto"/>
              </w:rPr>
              <w:t>50</w:t>
            </w:r>
            <w:r>
              <w:rPr>
                <w:rFonts w:hint="eastAsia"/>
                <w:color w:val="auto"/>
                <w:lang w:eastAsia="zh-Hans"/>
              </w:rPr>
              <w:t>万</w:t>
            </w:r>
            <w:r>
              <w:rPr>
                <w:rStyle w:val="27"/>
                <w:rFonts w:hint="eastAsia"/>
                <w:lang w:eastAsia="zh-Hans"/>
              </w:rPr>
              <w:footnoteReference w:id="58"/>
            </w:r>
          </w:p>
          <w:p>
            <w:pPr>
              <w:jc w:val="center"/>
              <w:rPr>
                <w:rFonts w:ascii="宋体" w:hAnsi="宋体" w:eastAsia="宋体" w:cs="宋体"/>
                <w:kern w:val="0"/>
                <w:sz w:val="22"/>
                <w:szCs w:val="22"/>
                <w:lang w:bidi="ar"/>
              </w:rPr>
            </w:pPr>
          </w:p>
        </w:tc>
        <w:tc>
          <w:tcPr>
            <w:tcW w:w="1442" w:type="dxa"/>
            <w:vAlign w:val="center"/>
          </w:tcPr>
          <w:p>
            <w:pPr>
              <w:jc w:val="center"/>
            </w:pPr>
            <w:r>
              <w:t>区发展改革委</w:t>
            </w:r>
            <w:r>
              <w:rPr>
                <w:rFonts w:hint="eastAsia"/>
              </w:rPr>
              <w:t>、</w:t>
            </w:r>
            <w:r>
              <w:t>区卫生健康委</w:t>
            </w:r>
          </w:p>
        </w:tc>
        <w:tc>
          <w:tcPr>
            <w:tcW w:w="1482" w:type="dxa"/>
            <w:vAlign w:val="center"/>
          </w:tcPr>
          <w:p>
            <w:pPr>
              <w:jc w:val="center"/>
            </w:pPr>
            <w:r>
              <w:rPr>
                <w:rFonts w:hint="eastAsia"/>
              </w:rPr>
              <w:t>北京市</w:t>
            </w:r>
          </w:p>
        </w:tc>
      </w:tr>
    </w:tbl>
    <w:p/>
    <w:p/>
    <w:p>
      <w:pPr>
        <w:rPr>
          <w:b/>
          <w:bCs/>
          <w:sz w:val="24"/>
        </w:rPr>
      </w:pPr>
      <w:r>
        <w:rPr>
          <w:rFonts w:hint="eastAsia"/>
          <w:b/>
          <w:bCs/>
          <w:sz w:val="24"/>
        </w:rPr>
        <w:t>2.重大政策清单</w:t>
      </w:r>
    </w:p>
    <w:tbl>
      <w:tblPr>
        <w:tblStyle w:val="23"/>
        <w:tblW w:w="14115" w:type="dxa"/>
        <w:tblInd w:w="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4"/>
        <w:gridCol w:w="3786"/>
        <w:gridCol w:w="4035"/>
        <w:gridCol w:w="3330"/>
        <w:gridCol w:w="2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4" w:type="dxa"/>
          </w:tcPr>
          <w:p>
            <w:pPr>
              <w:jc w:val="center"/>
              <w:rPr>
                <w:b/>
                <w:bCs/>
              </w:rPr>
            </w:pPr>
            <w:r>
              <w:rPr>
                <w:rFonts w:hint="eastAsia"/>
                <w:b/>
                <w:bCs/>
              </w:rPr>
              <w:t>序号</w:t>
            </w:r>
          </w:p>
        </w:tc>
        <w:tc>
          <w:tcPr>
            <w:tcW w:w="3786" w:type="dxa"/>
          </w:tcPr>
          <w:p>
            <w:pPr>
              <w:jc w:val="center"/>
              <w:rPr>
                <w:b/>
                <w:bCs/>
              </w:rPr>
            </w:pPr>
            <w:r>
              <w:rPr>
                <w:rFonts w:hint="eastAsia"/>
                <w:b/>
                <w:bCs/>
              </w:rPr>
              <w:t>政策名称</w:t>
            </w:r>
          </w:p>
        </w:tc>
        <w:tc>
          <w:tcPr>
            <w:tcW w:w="4035" w:type="dxa"/>
          </w:tcPr>
          <w:p>
            <w:pPr>
              <w:jc w:val="center"/>
              <w:rPr>
                <w:b/>
                <w:bCs/>
              </w:rPr>
            </w:pPr>
            <w:r>
              <w:rPr>
                <w:rFonts w:hint="eastAsia"/>
                <w:b/>
                <w:bCs/>
              </w:rPr>
              <w:t>重点工作举措和内容</w:t>
            </w:r>
          </w:p>
        </w:tc>
        <w:tc>
          <w:tcPr>
            <w:tcW w:w="3330" w:type="dxa"/>
          </w:tcPr>
          <w:p>
            <w:pPr>
              <w:jc w:val="center"/>
              <w:rPr>
                <w:b/>
                <w:bCs/>
              </w:rPr>
            </w:pPr>
            <w:r>
              <w:rPr>
                <w:rFonts w:hint="eastAsia"/>
                <w:b/>
                <w:bCs/>
              </w:rPr>
              <w:t>预期目标</w:t>
            </w:r>
          </w:p>
        </w:tc>
        <w:tc>
          <w:tcPr>
            <w:tcW w:w="2280" w:type="dxa"/>
          </w:tcPr>
          <w:p>
            <w:pPr>
              <w:jc w:val="center"/>
              <w:rPr>
                <w:b/>
                <w:bCs/>
              </w:rPr>
            </w:pPr>
            <w:r>
              <w:rPr>
                <w:rFonts w:hint="eastAsia"/>
                <w:b/>
                <w:bCs/>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4" w:type="dxa"/>
            <w:vAlign w:val="center"/>
          </w:tcPr>
          <w:p>
            <w:pPr>
              <w:jc w:val="center"/>
            </w:pPr>
            <w:r>
              <w:rPr>
                <w:rFonts w:hint="eastAsia"/>
              </w:rPr>
              <w:t>1</w:t>
            </w:r>
          </w:p>
        </w:tc>
        <w:tc>
          <w:tcPr>
            <w:tcW w:w="3786" w:type="dxa"/>
            <w:vAlign w:val="center"/>
          </w:tcPr>
          <w:p>
            <w:pPr>
              <w:jc w:val="center"/>
            </w:pPr>
            <w:r>
              <w:rPr>
                <w:rFonts w:hint="eastAsia"/>
              </w:rPr>
              <w:t>北京市门头沟区</w:t>
            </w:r>
            <w:r>
              <w:t>基本养老服务清单</w:t>
            </w:r>
          </w:p>
        </w:tc>
        <w:tc>
          <w:tcPr>
            <w:tcW w:w="4035" w:type="dxa"/>
            <w:vAlign w:val="center"/>
          </w:tcPr>
          <w:p>
            <w:pPr>
              <w:jc w:val="center"/>
              <w:rPr>
                <w:rFonts w:hint="eastAsia" w:eastAsiaTheme="minorEastAsia"/>
                <w:lang w:eastAsia="zh-CN"/>
              </w:rPr>
            </w:pPr>
            <w:r>
              <w:rPr>
                <w:rFonts w:hint="eastAsia"/>
              </w:rPr>
              <w:t>发布针对城乡特困老年人，本市户籍低保、低收入家庭中失能、失智、高龄老年人，失能老年人，失智老年人，重度残疾老年人，计划生育特殊家庭老年人，全体老年人8类服务对象，对享受现行政策规定的基本养老服务项目</w:t>
            </w:r>
            <w:r>
              <w:rPr>
                <w:rFonts w:hint="eastAsia"/>
                <w:lang w:eastAsia="zh-CN"/>
              </w:rPr>
              <w:t>。</w:t>
            </w:r>
          </w:p>
        </w:tc>
        <w:tc>
          <w:tcPr>
            <w:tcW w:w="3330" w:type="dxa"/>
            <w:vAlign w:val="center"/>
          </w:tcPr>
          <w:p>
            <w:pPr>
              <w:jc w:val="center"/>
            </w:pPr>
            <w:r>
              <w:t>明确基本养老服务服务谁、怎么服务、谁提供服务等</w:t>
            </w:r>
            <w:r>
              <w:rPr>
                <w:rFonts w:hint="eastAsia"/>
              </w:rPr>
              <w:t>，进一步提升公共服务效能。</w:t>
            </w:r>
          </w:p>
        </w:tc>
        <w:tc>
          <w:tcPr>
            <w:tcW w:w="2280" w:type="dxa"/>
            <w:vAlign w:val="center"/>
          </w:tcPr>
          <w:p>
            <w:pPr>
              <w:jc w:val="center"/>
            </w:pPr>
            <w:r>
              <w:rPr>
                <w:rFonts w:hint="eastAsia"/>
              </w:rPr>
              <w:t>区民政局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4" w:type="dxa"/>
            <w:vAlign w:val="center"/>
          </w:tcPr>
          <w:p>
            <w:pPr>
              <w:jc w:val="center"/>
            </w:pPr>
            <w:r>
              <w:rPr>
                <w:rFonts w:hint="eastAsia"/>
              </w:rPr>
              <w:t>2</w:t>
            </w:r>
          </w:p>
        </w:tc>
        <w:tc>
          <w:tcPr>
            <w:tcW w:w="3786" w:type="dxa"/>
            <w:vAlign w:val="center"/>
          </w:tcPr>
          <w:p>
            <w:pPr>
              <w:pStyle w:val="37"/>
              <w:spacing w:line="400" w:lineRule="exact"/>
              <w:ind w:firstLine="0"/>
              <w:jc w:val="center"/>
              <w:rPr>
                <w:rFonts w:asciiTheme="minorHAnsi" w:hAnsiTheme="minorHAnsi" w:eastAsiaTheme="minorEastAsia" w:cstheme="minorBidi"/>
                <w:lang w:val="en-US" w:eastAsia="zh-CN" w:bidi="ar-SA"/>
              </w:rPr>
            </w:pPr>
            <w:r>
              <w:rPr>
                <w:rFonts w:hint="eastAsia" w:asciiTheme="minorHAnsi" w:hAnsiTheme="minorHAnsi" w:eastAsiaTheme="minorEastAsia" w:cstheme="minorBidi"/>
                <w:lang w:val="en-US" w:eastAsia="zh-CN" w:bidi="ar-SA"/>
              </w:rPr>
              <w:t>北京市</w:t>
            </w:r>
            <w:r>
              <w:rPr>
                <w:rFonts w:hint="eastAsia" w:asciiTheme="minorHAnsi" w:hAnsiTheme="minorHAnsi" w:eastAsiaTheme="minorEastAsia" w:cstheme="minorBidi"/>
                <w:lang w:eastAsia="zh-CN" w:bidi="ar-SA"/>
              </w:rPr>
              <w:t>门头沟区养老家庭照护床位建设管理实施细则</w:t>
            </w:r>
          </w:p>
        </w:tc>
        <w:tc>
          <w:tcPr>
            <w:tcW w:w="4035" w:type="dxa"/>
            <w:vAlign w:val="center"/>
          </w:tcPr>
          <w:p>
            <w:pPr>
              <w:jc w:val="center"/>
            </w:pPr>
            <w:r>
              <w:rPr>
                <w:rFonts w:hint="eastAsia"/>
              </w:rPr>
              <w:t>明确</w:t>
            </w:r>
            <w:r>
              <w:t>养老家庭照护床位的申请对象、申请流程、补贴支持</w:t>
            </w:r>
            <w:r>
              <w:rPr>
                <w:rFonts w:hint="eastAsia"/>
              </w:rPr>
              <w:t>、建立家庭养老照护床位服务队伍</w:t>
            </w:r>
            <w:r>
              <w:t>等</w:t>
            </w:r>
            <w:r>
              <w:rPr>
                <w:rFonts w:hint="eastAsia"/>
              </w:rPr>
              <w:t>。</w:t>
            </w:r>
          </w:p>
        </w:tc>
        <w:tc>
          <w:tcPr>
            <w:tcW w:w="3330" w:type="dxa"/>
            <w:vAlign w:val="center"/>
          </w:tcPr>
          <w:p>
            <w:pPr>
              <w:jc w:val="center"/>
            </w:pPr>
            <w:r>
              <w:t>通过家庭适老化改造、信息化管理、专业化服务等方式，提升居家生活的失能、重残老年人的专业照料服务水平和生活质量。</w:t>
            </w:r>
          </w:p>
        </w:tc>
        <w:tc>
          <w:tcPr>
            <w:tcW w:w="2280" w:type="dxa"/>
            <w:vAlign w:val="center"/>
          </w:tcPr>
          <w:p>
            <w:pPr>
              <w:jc w:val="center"/>
            </w:pPr>
            <w:r>
              <w:rPr>
                <w:rFonts w:hint="eastAsia"/>
              </w:rPr>
              <w:t>区民政局、</w:t>
            </w:r>
            <w:r>
              <w:t>区卫生健康委</w:t>
            </w:r>
            <w:r>
              <w:rPr>
                <w:rFonts w:hint="eastAsia"/>
              </w:rPr>
              <w:t>、区财政局、区医保局、区残疾人联合会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84" w:type="dxa"/>
            <w:vAlign w:val="center"/>
          </w:tcPr>
          <w:p>
            <w:pPr>
              <w:jc w:val="center"/>
            </w:pPr>
            <w:r>
              <w:rPr>
                <w:rFonts w:hint="eastAsia"/>
              </w:rPr>
              <w:t>3</w:t>
            </w:r>
          </w:p>
        </w:tc>
        <w:tc>
          <w:tcPr>
            <w:tcW w:w="3786" w:type="dxa"/>
            <w:vAlign w:val="center"/>
          </w:tcPr>
          <w:p>
            <w:pPr>
              <w:jc w:val="center"/>
            </w:pPr>
            <w:r>
              <w:rPr>
                <w:rFonts w:hint="eastAsia"/>
              </w:rPr>
              <w:t>门头沟区养老服务时间银行实施方案</w:t>
            </w:r>
          </w:p>
        </w:tc>
        <w:tc>
          <w:tcPr>
            <w:tcW w:w="4035" w:type="dxa"/>
            <w:vAlign w:val="center"/>
          </w:tcPr>
          <w:p>
            <w:pPr>
              <w:jc w:val="center"/>
            </w:pPr>
            <w:r>
              <w:rPr>
                <w:rFonts w:hint="eastAsia"/>
              </w:rPr>
              <w:t>制定门头沟区养老服务时间银行实施的总体安排、重点任务、保障措施等内容。</w:t>
            </w:r>
          </w:p>
        </w:tc>
        <w:tc>
          <w:tcPr>
            <w:tcW w:w="3330" w:type="dxa"/>
            <w:vAlign w:val="center"/>
          </w:tcPr>
          <w:p>
            <w:pPr>
              <w:jc w:val="center"/>
            </w:pPr>
            <w:r>
              <w:rPr>
                <w:rFonts w:hint="eastAsia"/>
              </w:rPr>
              <w:t>明确具体落地步骤及激励机制，统筹辖区内政府、社会和市场资源，规范开展养老服务时间银行工作。</w:t>
            </w:r>
          </w:p>
        </w:tc>
        <w:tc>
          <w:tcPr>
            <w:tcW w:w="2280" w:type="dxa"/>
            <w:vAlign w:val="center"/>
          </w:tcPr>
          <w:p>
            <w:pPr>
              <w:jc w:val="center"/>
              <w:rPr>
                <w:rFonts w:hint="eastAsia" w:eastAsiaTheme="minorEastAsia"/>
                <w:lang w:eastAsia="zh-CN"/>
              </w:rPr>
            </w:pPr>
            <w:r>
              <w:rPr>
                <w:rFonts w:hint="eastAsia"/>
              </w:rPr>
              <w:t>区民政局</w:t>
            </w:r>
            <w:r>
              <w:rPr>
                <w:rFonts w:hint="eastAsia"/>
                <w:lang w:eastAsia="zh-CN"/>
              </w:rPr>
              <w:t>、区财政局、团区委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4" w:type="dxa"/>
            <w:vAlign w:val="center"/>
          </w:tcPr>
          <w:p>
            <w:pPr>
              <w:jc w:val="center"/>
            </w:pPr>
            <w:r>
              <w:rPr>
                <w:rFonts w:hint="eastAsia"/>
              </w:rPr>
              <w:t>4</w:t>
            </w:r>
          </w:p>
        </w:tc>
        <w:tc>
          <w:tcPr>
            <w:tcW w:w="3786" w:type="dxa"/>
            <w:vAlign w:val="center"/>
          </w:tcPr>
          <w:p>
            <w:pPr>
              <w:jc w:val="center"/>
            </w:pPr>
            <w:r>
              <w:rPr>
                <w:rFonts w:hint="eastAsia"/>
              </w:rPr>
              <w:t>制定</w:t>
            </w:r>
            <w:r>
              <w:t>托育服务补贴政策</w:t>
            </w:r>
          </w:p>
        </w:tc>
        <w:tc>
          <w:tcPr>
            <w:tcW w:w="4035" w:type="dxa"/>
            <w:vAlign w:val="center"/>
          </w:tcPr>
          <w:p>
            <w:pPr>
              <w:jc w:val="center"/>
            </w:pPr>
            <w:r>
              <w:rPr>
                <w:rFonts w:hint="eastAsia"/>
                <w:highlight w:val="none"/>
                <w:lang w:eastAsia="zh-CN"/>
              </w:rPr>
              <w:t>探索</w:t>
            </w:r>
            <w:r>
              <w:rPr>
                <w:rFonts w:hint="eastAsia"/>
                <w:highlight w:val="none"/>
              </w:rPr>
              <w:t>对符合条件的普惠性托育机构给予生均定额补</w:t>
            </w:r>
            <w:r>
              <w:rPr>
                <w:rFonts w:hint="eastAsia"/>
              </w:rPr>
              <w:t>助；对通过租赁场地新举办普惠性托育的机构给予租金补助；非普惠性托育机构降低收费价格转为普惠性托育机构的，给予一次性奖励</w:t>
            </w:r>
            <w:r>
              <w:rPr>
                <w:rFonts w:hint="eastAsia"/>
                <w:lang w:eastAsia="zh-Hans"/>
              </w:rPr>
              <w:t>；</w:t>
            </w:r>
            <w:r>
              <w:rPr>
                <w:rFonts w:hint="eastAsia"/>
              </w:rPr>
              <w:t>新建托育机构每个托位</w:t>
            </w:r>
            <w:r>
              <w:rPr>
                <w:rFonts w:hint="eastAsia"/>
                <w:lang w:eastAsia="zh-Hans"/>
              </w:rPr>
              <w:t>给予</w:t>
            </w:r>
            <w:r>
              <w:rPr>
                <w:rFonts w:hint="eastAsia"/>
              </w:rPr>
              <w:t>一次性建设性补贴以外，对于不高于普惠指导定价招收3岁以下婴幼儿的给予运营补贴</w:t>
            </w:r>
            <w:r>
              <w:rPr>
                <w:rFonts w:hint="eastAsia"/>
                <w:lang w:eastAsia="zh-Hans"/>
              </w:rPr>
              <w:t>；</w:t>
            </w:r>
            <w:r>
              <w:rPr>
                <w:rFonts w:hint="eastAsia"/>
              </w:rPr>
              <w:t>对区级</w:t>
            </w:r>
            <w:r>
              <w:rPr>
                <w:rFonts w:hint="eastAsia"/>
                <w:lang w:eastAsia="zh-Hans"/>
              </w:rPr>
              <w:t>、市级</w:t>
            </w:r>
            <w:r>
              <w:rPr>
                <w:rFonts w:hint="eastAsia"/>
              </w:rPr>
              <w:t>示范托育机构给予一次性奖励</w:t>
            </w:r>
            <w:r>
              <w:rPr>
                <w:rFonts w:hint="eastAsia"/>
                <w:lang w:eastAsia="zh-Hans"/>
              </w:rPr>
              <w:t>。</w:t>
            </w:r>
          </w:p>
        </w:tc>
        <w:tc>
          <w:tcPr>
            <w:tcW w:w="3330" w:type="dxa"/>
            <w:vAlign w:val="center"/>
          </w:tcPr>
          <w:p>
            <w:pPr>
              <w:jc w:val="center"/>
            </w:pPr>
            <w:r>
              <w:t>完善托育服务奖补支持政策</w:t>
            </w:r>
            <w:r>
              <w:rPr>
                <w:rFonts w:hint="eastAsia"/>
              </w:rPr>
              <w:t>，吸引更多社会力量投资建设，丰富市场主体。</w:t>
            </w:r>
          </w:p>
        </w:tc>
        <w:tc>
          <w:tcPr>
            <w:tcW w:w="2280" w:type="dxa"/>
            <w:vAlign w:val="center"/>
          </w:tcPr>
          <w:p>
            <w:pPr>
              <w:jc w:val="center"/>
            </w:pPr>
            <w:r>
              <w:t>区卫生健康委</w:t>
            </w:r>
            <w:r>
              <w:rPr>
                <w:rFonts w:hint="eastAsia"/>
                <w:lang w:eastAsia="zh-Hans"/>
              </w:rPr>
              <w:t>、</w:t>
            </w:r>
            <w:r>
              <w:t>区发展改革委</w:t>
            </w:r>
            <w:r>
              <w:rPr>
                <w:rFonts w:hint="eastAsia"/>
                <w:lang w:eastAsia="zh-Hans"/>
              </w:rPr>
              <w:t>、区财政局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4" w:type="dxa"/>
            <w:vAlign w:val="center"/>
          </w:tcPr>
          <w:p>
            <w:pPr>
              <w:jc w:val="center"/>
            </w:pPr>
            <w:r>
              <w:rPr>
                <w:rFonts w:hint="eastAsia"/>
              </w:rPr>
              <w:t>5</w:t>
            </w:r>
          </w:p>
        </w:tc>
        <w:tc>
          <w:tcPr>
            <w:tcW w:w="3786" w:type="dxa"/>
            <w:vAlign w:val="center"/>
          </w:tcPr>
          <w:p>
            <w:pPr>
              <w:jc w:val="center"/>
            </w:pPr>
            <w:r>
              <w:rPr>
                <w:rFonts w:hint="eastAsia"/>
              </w:rPr>
              <w:t>托育机构综合等级评价标准、托育机构保育服务质量评价标准</w:t>
            </w:r>
          </w:p>
        </w:tc>
        <w:tc>
          <w:tcPr>
            <w:tcW w:w="4035" w:type="dxa"/>
            <w:vAlign w:val="center"/>
          </w:tcPr>
          <w:p>
            <w:pPr>
              <w:jc w:val="center"/>
              <w:rPr>
                <w:rFonts w:hint="eastAsia" w:eastAsiaTheme="minorEastAsia"/>
                <w:lang w:eastAsia="zh-CN"/>
              </w:rPr>
            </w:pPr>
            <w:r>
              <w:rPr>
                <w:rFonts w:hint="eastAsia"/>
              </w:rPr>
              <w:t>明确托育机构等级评价内容与规范</w:t>
            </w:r>
            <w:r>
              <w:rPr>
                <w:rFonts w:hint="eastAsia"/>
                <w:lang w:eastAsia="zh-Hans"/>
              </w:rPr>
              <w:t>，纳入托育机构考核范围</w:t>
            </w:r>
            <w:r>
              <w:rPr>
                <w:rFonts w:hint="eastAsia"/>
                <w:lang w:eastAsia="zh-CN"/>
              </w:rPr>
              <w:t>。</w:t>
            </w:r>
          </w:p>
        </w:tc>
        <w:tc>
          <w:tcPr>
            <w:tcW w:w="3330" w:type="dxa"/>
            <w:vAlign w:val="center"/>
          </w:tcPr>
          <w:p>
            <w:pPr>
              <w:jc w:val="center"/>
            </w:pPr>
            <w:r>
              <w:rPr>
                <w:rFonts w:hint="eastAsia"/>
              </w:rPr>
              <w:t>促进行业高质量发展</w:t>
            </w:r>
          </w:p>
        </w:tc>
        <w:tc>
          <w:tcPr>
            <w:tcW w:w="2280" w:type="dxa"/>
            <w:vAlign w:val="center"/>
          </w:tcPr>
          <w:p>
            <w:pPr>
              <w:jc w:val="center"/>
            </w:pPr>
            <w:r>
              <w:t>区卫生健康委</w:t>
            </w:r>
          </w:p>
        </w:tc>
      </w:tr>
    </w:tbl>
    <w:p>
      <w:pPr>
        <w:rPr>
          <w:b/>
          <w:bCs/>
          <w:sz w:val="24"/>
        </w:rPr>
      </w:pPr>
    </w:p>
    <w:p>
      <w:pPr>
        <w:rPr>
          <w:b/>
          <w:bCs/>
          <w:sz w:val="24"/>
        </w:rPr>
      </w:pPr>
    </w:p>
    <w:p>
      <w:pPr>
        <w:rPr>
          <w:b/>
          <w:bCs/>
          <w:sz w:val="24"/>
        </w:rPr>
      </w:pPr>
      <w:r>
        <w:rPr>
          <w:rFonts w:hint="eastAsia"/>
          <w:b/>
          <w:bCs/>
          <w:sz w:val="24"/>
        </w:rPr>
        <w:t>3.重大试点清单</w:t>
      </w:r>
    </w:p>
    <w:tbl>
      <w:tblPr>
        <w:tblStyle w:val="23"/>
        <w:tblW w:w="14080" w:type="dxa"/>
        <w:tblInd w:w="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4"/>
        <w:gridCol w:w="1374"/>
        <w:gridCol w:w="5062"/>
        <w:gridCol w:w="2850"/>
        <w:gridCol w:w="1515"/>
        <w:gridCol w:w="1446"/>
        <w:gridCol w:w="1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 w:type="dxa"/>
            <w:vAlign w:val="center"/>
          </w:tcPr>
          <w:p>
            <w:pPr>
              <w:jc w:val="center"/>
              <w:rPr>
                <w:b/>
                <w:bCs/>
              </w:rPr>
            </w:pPr>
            <w:r>
              <w:rPr>
                <w:rFonts w:hint="eastAsia"/>
                <w:b/>
                <w:bCs/>
              </w:rPr>
              <w:t>序号</w:t>
            </w:r>
          </w:p>
        </w:tc>
        <w:tc>
          <w:tcPr>
            <w:tcW w:w="1374" w:type="dxa"/>
            <w:vAlign w:val="center"/>
          </w:tcPr>
          <w:p>
            <w:pPr>
              <w:jc w:val="center"/>
              <w:rPr>
                <w:b/>
                <w:bCs/>
              </w:rPr>
            </w:pPr>
            <w:r>
              <w:rPr>
                <w:rFonts w:hint="eastAsia"/>
                <w:b/>
                <w:bCs/>
              </w:rPr>
              <w:t>试点名称</w:t>
            </w:r>
          </w:p>
        </w:tc>
        <w:tc>
          <w:tcPr>
            <w:tcW w:w="5062" w:type="dxa"/>
            <w:vAlign w:val="center"/>
          </w:tcPr>
          <w:p>
            <w:pPr>
              <w:jc w:val="center"/>
              <w:rPr>
                <w:b/>
                <w:bCs/>
              </w:rPr>
            </w:pPr>
            <w:r>
              <w:rPr>
                <w:rFonts w:hint="eastAsia"/>
                <w:b/>
                <w:bCs/>
              </w:rPr>
              <w:t>主要试点举措</w:t>
            </w:r>
          </w:p>
        </w:tc>
        <w:tc>
          <w:tcPr>
            <w:tcW w:w="2850" w:type="dxa"/>
            <w:vAlign w:val="center"/>
          </w:tcPr>
          <w:p>
            <w:pPr>
              <w:jc w:val="center"/>
              <w:rPr>
                <w:b/>
                <w:bCs/>
              </w:rPr>
            </w:pPr>
            <w:r>
              <w:rPr>
                <w:rFonts w:hint="eastAsia"/>
                <w:b/>
                <w:bCs/>
              </w:rPr>
              <w:t>预期目标</w:t>
            </w:r>
          </w:p>
        </w:tc>
        <w:tc>
          <w:tcPr>
            <w:tcW w:w="1515" w:type="dxa"/>
            <w:vAlign w:val="center"/>
          </w:tcPr>
          <w:p>
            <w:pPr>
              <w:jc w:val="center"/>
              <w:rPr>
                <w:b/>
                <w:bCs/>
              </w:rPr>
            </w:pPr>
            <w:r>
              <w:rPr>
                <w:rFonts w:hint="eastAsia"/>
                <w:b/>
                <w:bCs/>
              </w:rPr>
              <w:t>资金测算（万）</w:t>
            </w:r>
          </w:p>
        </w:tc>
        <w:tc>
          <w:tcPr>
            <w:tcW w:w="1446" w:type="dxa"/>
            <w:vAlign w:val="center"/>
          </w:tcPr>
          <w:p>
            <w:pPr>
              <w:jc w:val="center"/>
              <w:rPr>
                <w:b/>
                <w:bCs/>
              </w:rPr>
            </w:pPr>
            <w:r>
              <w:rPr>
                <w:rFonts w:hint="eastAsia"/>
                <w:b/>
                <w:bCs/>
              </w:rPr>
              <w:t>资金来源</w:t>
            </w:r>
          </w:p>
        </w:tc>
        <w:tc>
          <w:tcPr>
            <w:tcW w:w="1319" w:type="dxa"/>
            <w:vAlign w:val="center"/>
          </w:tcPr>
          <w:p>
            <w:pPr>
              <w:jc w:val="center"/>
              <w:rPr>
                <w:b/>
                <w:bCs/>
              </w:rPr>
            </w:pPr>
            <w:r>
              <w:rPr>
                <w:rFonts w:hint="eastAsia"/>
                <w:b/>
                <w:bCs/>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 w:type="dxa"/>
            <w:vAlign w:val="center"/>
          </w:tcPr>
          <w:p>
            <w:pPr>
              <w:jc w:val="center"/>
            </w:pPr>
            <w:r>
              <w:rPr>
                <w:rFonts w:hint="eastAsia"/>
              </w:rPr>
              <w:t>1</w:t>
            </w:r>
          </w:p>
        </w:tc>
        <w:tc>
          <w:tcPr>
            <w:tcW w:w="1374" w:type="dxa"/>
            <w:vAlign w:val="center"/>
          </w:tcPr>
          <w:p>
            <w:pPr>
              <w:jc w:val="center"/>
            </w:pPr>
            <w:r>
              <w:t>“家庭养老床位”试点</w:t>
            </w:r>
          </w:p>
        </w:tc>
        <w:tc>
          <w:tcPr>
            <w:tcW w:w="5062" w:type="dxa"/>
            <w:vAlign w:val="center"/>
          </w:tcPr>
          <w:p>
            <w:pPr>
              <w:jc w:val="left"/>
            </w:pPr>
            <w:r>
              <w:rPr>
                <w:rFonts w:hint="eastAsia"/>
              </w:rPr>
              <w:t>1.制定家庭养老照护床位建设管理实施细则，先期</w:t>
            </w:r>
            <w:r>
              <w:t>在门城地区大峪街道、东辛房街道试点</w:t>
            </w:r>
            <w:r>
              <w:rPr>
                <w:rFonts w:hint="eastAsia"/>
              </w:rPr>
              <w:t>；</w:t>
            </w:r>
          </w:p>
          <w:p>
            <w:pPr>
              <w:jc w:val="left"/>
            </w:pPr>
            <w:r>
              <w:rPr>
                <w:rFonts w:hint="eastAsia"/>
              </w:rPr>
              <w:t>2.服务对象初步为具有门头沟区户籍、居家生活，并</w:t>
            </w:r>
          </w:p>
          <w:p>
            <w:pPr>
              <w:pStyle w:val="8"/>
              <w:ind w:firstLine="0"/>
            </w:pPr>
            <w:r>
              <w:rPr>
                <w:rFonts w:hint="eastAsia"/>
                <w:lang w:val="zh-TW"/>
              </w:rPr>
              <w:t>经老年人能力综合评估确定为重度失能的老年人和重度残疾老年人。城乡特困供养人员可扩展到中度失能老年人。</w:t>
            </w:r>
          </w:p>
          <w:p>
            <w:pPr>
              <w:pStyle w:val="8"/>
              <w:ind w:firstLine="0"/>
            </w:pPr>
            <w:r>
              <w:rPr>
                <w:rFonts w:hint="eastAsia"/>
              </w:rPr>
              <w:t>3.选定养老服务机构为服务对象提供生活照料、康复护理、健康管理、辅具支持、心理服务、居家安全协助、医疗服务等服务，并为家庭照护者提供护理技能提升培训；</w:t>
            </w:r>
          </w:p>
          <w:p>
            <w:pPr>
              <w:pStyle w:val="8"/>
              <w:ind w:firstLine="0"/>
            </w:pPr>
            <w:r>
              <w:rPr>
                <w:rFonts w:hint="eastAsia"/>
              </w:rPr>
              <w:t>4.根据需要对老年人的居住环境进行居家适老化改造，使居家环境能基本满足重度失能老年人和重度残疾老年人的居家养老服务条件，并安装必要的紧急呼叫、智能穿戴、智能感应、远程监控、信息传输等设备。</w:t>
            </w:r>
          </w:p>
        </w:tc>
        <w:tc>
          <w:tcPr>
            <w:tcW w:w="2850" w:type="dxa"/>
            <w:vAlign w:val="center"/>
          </w:tcPr>
          <w:p>
            <w:pPr>
              <w:jc w:val="left"/>
            </w:pPr>
            <w:r>
              <w:t>到2025年，</w:t>
            </w:r>
            <w:r>
              <w:rPr>
                <w:rFonts w:hint="eastAsia"/>
              </w:rPr>
              <w:t>建立家庭养老照护床位工作机制，形成专业化、规范化的服务队伍，</w:t>
            </w:r>
            <w:r>
              <w:t>全区</w:t>
            </w:r>
            <w:r>
              <w:rPr>
                <w:rFonts w:hint="eastAsia"/>
              </w:rPr>
              <w:t>养</w:t>
            </w:r>
            <w:r>
              <w:t>老家庭照护床位达到</w:t>
            </w:r>
            <w:r>
              <w:rPr>
                <w:rFonts w:hint="eastAsia"/>
                <w:lang w:val="en-US" w:eastAsia="zh-CN"/>
              </w:rPr>
              <w:t>4</w:t>
            </w:r>
            <w:r>
              <w:rPr>
                <w:rFonts w:hint="eastAsia"/>
              </w:rPr>
              <w:t>00</w:t>
            </w:r>
            <w:r>
              <w:t>张，完成</w:t>
            </w:r>
            <w:r>
              <w:rPr>
                <w:rFonts w:hint="eastAsia"/>
                <w:lang w:val="en-US" w:eastAsia="zh-CN"/>
              </w:rPr>
              <w:t>400</w:t>
            </w:r>
            <w:r>
              <w:t>户居家适老化改造。</w:t>
            </w:r>
          </w:p>
        </w:tc>
        <w:tc>
          <w:tcPr>
            <w:tcW w:w="1515" w:type="dxa"/>
            <w:vAlign w:val="center"/>
          </w:tcPr>
          <w:p>
            <w:pPr>
              <w:jc w:val="left"/>
            </w:pPr>
            <w:r>
              <w:rPr>
                <w:rFonts w:hint="eastAsia"/>
              </w:rPr>
              <w:t>养</w:t>
            </w:r>
            <w:r>
              <w:t>老家庭照护床位</w:t>
            </w:r>
            <w:r>
              <w:rPr>
                <w:rFonts w:hint="eastAsia"/>
              </w:rPr>
              <w:t>补贴约</w:t>
            </w:r>
            <w:r>
              <w:rPr>
                <w:rFonts w:hint="eastAsia"/>
                <w:lang w:val="en-US" w:eastAsia="zh-CN"/>
              </w:rPr>
              <w:t>24</w:t>
            </w:r>
            <w:r>
              <w:rPr>
                <w:rFonts w:hint="eastAsia"/>
              </w:rPr>
              <w:t>0万/年；</w:t>
            </w:r>
          </w:p>
          <w:p>
            <w:pPr>
              <w:pStyle w:val="8"/>
              <w:ind w:firstLine="0"/>
              <w:jc w:val="left"/>
            </w:pPr>
            <w:r>
              <w:rPr>
                <w:rFonts w:hint="eastAsia"/>
              </w:rPr>
              <w:t>居家适老化改造约</w:t>
            </w:r>
            <w:r>
              <w:rPr>
                <w:rFonts w:hint="eastAsia"/>
                <w:lang w:val="en-US" w:eastAsia="zh-CN"/>
              </w:rPr>
              <w:t>200</w:t>
            </w:r>
            <w:r>
              <w:rPr>
                <w:rFonts w:hint="eastAsia"/>
              </w:rPr>
              <w:t>万</w:t>
            </w:r>
            <w:r>
              <w:rPr>
                <w:rStyle w:val="27"/>
                <w:rFonts w:hint="eastAsia"/>
              </w:rPr>
              <w:footnoteReference w:id="59"/>
            </w:r>
          </w:p>
        </w:tc>
        <w:tc>
          <w:tcPr>
            <w:tcW w:w="1446" w:type="dxa"/>
            <w:vAlign w:val="center"/>
          </w:tcPr>
          <w:p>
            <w:pPr>
              <w:jc w:val="center"/>
            </w:pPr>
            <w:r>
              <w:rPr>
                <w:rFonts w:hint="eastAsia"/>
              </w:rPr>
              <w:t>市财政、区财政</w:t>
            </w:r>
          </w:p>
        </w:tc>
        <w:tc>
          <w:tcPr>
            <w:tcW w:w="1319" w:type="dxa"/>
            <w:vAlign w:val="center"/>
          </w:tcPr>
          <w:p>
            <w:pPr>
              <w:jc w:val="center"/>
            </w:pPr>
            <w:r>
              <w:t>区民政局、区卫生健康委</w:t>
            </w:r>
            <w:r>
              <w:rPr>
                <w:rFonts w:hint="eastAsia"/>
              </w:rPr>
              <w:t>、区医疗保障局、区残疾人联合会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 w:type="dxa"/>
            <w:vAlign w:val="center"/>
          </w:tcPr>
          <w:p>
            <w:pPr>
              <w:jc w:val="center"/>
              <w:rPr>
                <w:color w:val="auto"/>
              </w:rPr>
            </w:pPr>
            <w:r>
              <w:rPr>
                <w:rFonts w:hint="eastAsia"/>
                <w:color w:val="auto"/>
              </w:rPr>
              <w:t>2</w:t>
            </w:r>
          </w:p>
        </w:tc>
        <w:tc>
          <w:tcPr>
            <w:tcW w:w="1374" w:type="dxa"/>
            <w:vAlign w:val="center"/>
          </w:tcPr>
          <w:p>
            <w:pPr>
              <w:jc w:val="center"/>
              <w:rPr>
                <w:color w:val="auto"/>
              </w:rPr>
            </w:pPr>
            <w:r>
              <w:rPr>
                <w:color w:val="auto"/>
              </w:rPr>
              <w:t>养老服务人才培训</w:t>
            </w:r>
            <w:r>
              <w:rPr>
                <w:rFonts w:hint="eastAsia"/>
                <w:color w:val="auto"/>
              </w:rPr>
              <w:t>提质行动</w:t>
            </w:r>
          </w:p>
        </w:tc>
        <w:tc>
          <w:tcPr>
            <w:tcW w:w="5062" w:type="dxa"/>
            <w:vAlign w:val="center"/>
          </w:tcPr>
          <w:p>
            <w:pPr>
              <w:jc w:val="left"/>
              <w:rPr>
                <w:color w:val="auto"/>
              </w:rPr>
            </w:pPr>
            <w:r>
              <w:rPr>
                <w:rFonts w:hint="eastAsia"/>
                <w:color w:val="auto"/>
              </w:rPr>
              <w:t>依托</w:t>
            </w:r>
            <w:r>
              <w:rPr>
                <w:rFonts w:hint="eastAsia"/>
                <w:color w:val="auto"/>
                <w:lang w:eastAsia="zh-CN"/>
              </w:rPr>
              <w:t>有资质的相关培训机构</w:t>
            </w:r>
            <w:r>
              <w:rPr>
                <w:rFonts w:hint="eastAsia"/>
                <w:color w:val="auto"/>
              </w:rPr>
              <w:t>，重点开展养老</w:t>
            </w:r>
            <w:r>
              <w:rPr>
                <w:rFonts w:hint="eastAsia"/>
                <w:color w:val="auto"/>
                <w:lang w:eastAsia="zh-CN"/>
              </w:rPr>
              <w:t>护理员职业技能</w:t>
            </w:r>
            <w:r>
              <w:rPr>
                <w:rFonts w:hint="eastAsia"/>
                <w:color w:val="auto"/>
              </w:rPr>
              <w:t>、</w:t>
            </w:r>
            <w:r>
              <w:rPr>
                <w:rFonts w:hint="eastAsia"/>
                <w:color w:val="auto"/>
                <w:lang w:eastAsia="zh-CN"/>
              </w:rPr>
              <w:t>老年社会工作者</w:t>
            </w:r>
            <w:r>
              <w:rPr>
                <w:rFonts w:hint="eastAsia"/>
                <w:color w:val="auto"/>
              </w:rPr>
              <w:t>等专项培训，分类提升养老服务人员专业化水平。</w:t>
            </w:r>
          </w:p>
        </w:tc>
        <w:tc>
          <w:tcPr>
            <w:tcW w:w="2850" w:type="dxa"/>
            <w:vAlign w:val="center"/>
          </w:tcPr>
          <w:p>
            <w:pPr>
              <w:jc w:val="left"/>
              <w:rPr>
                <w:color w:val="auto"/>
              </w:rPr>
            </w:pPr>
            <w:r>
              <w:rPr>
                <w:rFonts w:hint="eastAsia"/>
                <w:color w:val="auto"/>
              </w:rPr>
              <w:t>到2025年，万名老年人拥有护理员达到50名，建成1家养老服务实训基地，培训不少于</w:t>
            </w:r>
            <w:r>
              <w:rPr>
                <w:rFonts w:hint="eastAsia"/>
                <w:color w:val="auto"/>
                <w:lang w:val="en-US" w:eastAsia="zh-CN"/>
              </w:rPr>
              <w:t>785</w:t>
            </w:r>
            <w:r>
              <w:rPr>
                <w:rFonts w:hint="eastAsia"/>
                <w:color w:val="auto"/>
              </w:rPr>
              <w:t>人次养老护理员和管理人员培训。</w:t>
            </w:r>
          </w:p>
        </w:tc>
        <w:tc>
          <w:tcPr>
            <w:tcW w:w="1515" w:type="dxa"/>
            <w:vAlign w:val="center"/>
          </w:tcPr>
          <w:p>
            <w:pPr>
              <w:jc w:val="center"/>
              <w:rPr>
                <w:color w:val="auto"/>
              </w:rPr>
            </w:pPr>
            <w:r>
              <w:rPr>
                <w:rFonts w:hint="eastAsia"/>
                <w:color w:val="auto"/>
                <w:lang w:val="en-US" w:eastAsia="zh-CN"/>
              </w:rPr>
              <w:t>117.75</w:t>
            </w:r>
            <w:r>
              <w:rPr>
                <w:rFonts w:hint="eastAsia"/>
                <w:color w:val="auto"/>
              </w:rPr>
              <w:t>万</w:t>
            </w:r>
            <w:r>
              <w:rPr>
                <w:rStyle w:val="27"/>
                <w:rFonts w:hint="eastAsia"/>
                <w:color w:val="auto"/>
              </w:rPr>
              <w:footnoteReference w:id="60"/>
            </w:r>
          </w:p>
        </w:tc>
        <w:tc>
          <w:tcPr>
            <w:tcW w:w="1446" w:type="dxa"/>
            <w:vAlign w:val="center"/>
          </w:tcPr>
          <w:p>
            <w:pPr>
              <w:jc w:val="center"/>
              <w:rPr>
                <w:color w:val="auto"/>
              </w:rPr>
            </w:pPr>
            <w:r>
              <w:rPr>
                <w:rFonts w:hint="eastAsia"/>
                <w:color w:val="auto"/>
              </w:rPr>
              <w:t>市财政局、区人力资源社会保障局</w:t>
            </w:r>
          </w:p>
        </w:tc>
        <w:tc>
          <w:tcPr>
            <w:tcW w:w="1319" w:type="dxa"/>
            <w:vAlign w:val="center"/>
          </w:tcPr>
          <w:p>
            <w:pPr>
              <w:jc w:val="center"/>
              <w:rPr>
                <w:color w:val="auto"/>
              </w:rPr>
            </w:pPr>
            <w:r>
              <w:rPr>
                <w:color w:val="auto"/>
              </w:rPr>
              <w:t>区民政局</w:t>
            </w:r>
            <w:r>
              <w:rPr>
                <w:rFonts w:hint="eastAsia"/>
                <w:color w:val="auto"/>
                <w:lang w:eastAsia="zh-CN"/>
              </w:rPr>
              <w:t>、</w:t>
            </w:r>
            <w:r>
              <w:rPr>
                <w:rFonts w:hint="eastAsia" w:ascii="宋体" w:hAnsi="宋体" w:eastAsia="宋体" w:cs="宋体"/>
                <w:color w:val="auto"/>
                <w:szCs w:val="21"/>
              </w:rPr>
              <w:t>区教育委员会</w:t>
            </w:r>
            <w:r>
              <w:rPr>
                <w:color w:val="auto"/>
              </w:rPr>
              <w:t>、</w:t>
            </w:r>
            <w:r>
              <w:rPr>
                <w:rFonts w:hint="eastAsia" w:ascii="宋体" w:hAnsi="宋体" w:eastAsia="宋体" w:cs="宋体"/>
                <w:b w:val="0"/>
                <w:bCs w:val="0"/>
                <w:color w:val="auto"/>
                <w:sz w:val="21"/>
                <w:szCs w:val="21"/>
                <w:vertAlign w:val="baseline"/>
                <w:lang w:val="en-US" w:eastAsia="zh-CN"/>
              </w:rPr>
              <w:t>区人力资源和社会保障局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 w:type="dxa"/>
            <w:vAlign w:val="center"/>
          </w:tcPr>
          <w:p>
            <w:pPr>
              <w:jc w:val="center"/>
              <w:rPr>
                <w:color w:val="auto"/>
              </w:rPr>
            </w:pPr>
            <w:r>
              <w:rPr>
                <w:rFonts w:hint="eastAsia"/>
                <w:color w:val="auto"/>
              </w:rPr>
              <w:t>3</w:t>
            </w:r>
          </w:p>
        </w:tc>
        <w:tc>
          <w:tcPr>
            <w:tcW w:w="1374" w:type="dxa"/>
            <w:vAlign w:val="center"/>
          </w:tcPr>
          <w:p>
            <w:pPr>
              <w:jc w:val="left"/>
              <w:rPr>
                <w:color w:val="auto"/>
              </w:rPr>
            </w:pPr>
            <w:r>
              <w:rPr>
                <w:color w:val="auto"/>
              </w:rPr>
              <w:t>社会力量支持养老托育服务提升工程</w:t>
            </w:r>
          </w:p>
        </w:tc>
        <w:tc>
          <w:tcPr>
            <w:tcW w:w="5062" w:type="dxa"/>
            <w:vAlign w:val="center"/>
          </w:tcPr>
          <w:p>
            <w:pPr>
              <w:jc w:val="left"/>
              <w:rPr>
                <w:color w:val="auto"/>
              </w:rPr>
            </w:pPr>
            <w:r>
              <w:rPr>
                <w:color w:val="auto"/>
              </w:rPr>
              <w:t>引进品牌企业，支持其以独资、合资的方式承办各类民办服务机构，开发智慧信息服务平台，鼓励以输出管理团队、开展服务指导等方式参与提供养老托育服务；引进各类社会服务机构及志愿组织，为老年人提供生活照料、家政服务、精神慰藉、医疗康复、法律维权、信息咨询等多方面服务。</w:t>
            </w:r>
          </w:p>
        </w:tc>
        <w:tc>
          <w:tcPr>
            <w:tcW w:w="2850" w:type="dxa"/>
            <w:vAlign w:val="center"/>
          </w:tcPr>
          <w:p>
            <w:pPr>
              <w:jc w:val="center"/>
              <w:rPr>
                <w:color w:val="auto"/>
              </w:rPr>
            </w:pPr>
            <w:r>
              <w:rPr>
                <w:rFonts w:hint="eastAsia"/>
                <w:color w:val="auto"/>
                <w:lang w:eastAsia="zh-CN"/>
              </w:rPr>
              <w:t>力争有</w:t>
            </w:r>
            <w:r>
              <w:rPr>
                <w:rFonts w:hint="eastAsia"/>
                <w:color w:val="auto"/>
              </w:rPr>
              <w:t>品牌企业、社会服务机构在门头沟区落地，充分发挥社会力量技能优势，有效弥补养老托育服务行业短板，开创养老托育服务多元供给新局面。</w:t>
            </w:r>
          </w:p>
        </w:tc>
        <w:tc>
          <w:tcPr>
            <w:tcW w:w="1515" w:type="dxa"/>
            <w:vAlign w:val="center"/>
          </w:tcPr>
          <w:p>
            <w:pPr>
              <w:jc w:val="center"/>
              <w:rPr>
                <w:color w:val="auto"/>
              </w:rPr>
            </w:pPr>
            <w:r>
              <w:rPr>
                <w:rFonts w:hint="eastAsia"/>
                <w:color w:val="auto"/>
              </w:rPr>
              <w:t>社会力量自筹</w:t>
            </w:r>
          </w:p>
        </w:tc>
        <w:tc>
          <w:tcPr>
            <w:tcW w:w="1446" w:type="dxa"/>
            <w:vAlign w:val="center"/>
          </w:tcPr>
          <w:p>
            <w:pPr>
              <w:jc w:val="center"/>
              <w:rPr>
                <w:color w:val="auto"/>
              </w:rPr>
            </w:pPr>
          </w:p>
        </w:tc>
        <w:tc>
          <w:tcPr>
            <w:tcW w:w="1319" w:type="dxa"/>
            <w:vAlign w:val="center"/>
          </w:tcPr>
          <w:p>
            <w:pPr>
              <w:jc w:val="center"/>
              <w:rPr>
                <w:color w:val="auto"/>
              </w:rPr>
            </w:pPr>
            <w:r>
              <w:rPr>
                <w:color w:val="auto"/>
              </w:rPr>
              <w:t>区卫生健康委</w:t>
            </w:r>
          </w:p>
        </w:tc>
      </w:tr>
    </w:tbl>
    <w:p>
      <w:pPr>
        <w:pStyle w:val="21"/>
        <w:ind w:left="0" w:leftChars="0" w:firstLine="0" w:firstLineChars="0"/>
        <w:rPr>
          <w:color w:val="auto"/>
        </w:rPr>
      </w:pPr>
    </w:p>
    <w:p>
      <w:pPr>
        <w:jc w:val="left"/>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4.重大要素清单</w:t>
      </w:r>
    </w:p>
    <w:tbl>
      <w:tblPr>
        <w:tblStyle w:val="23"/>
        <w:tblW w:w="13958" w:type="dxa"/>
        <w:tblInd w:w="1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1784"/>
        <w:gridCol w:w="1891"/>
        <w:gridCol w:w="3935"/>
        <w:gridCol w:w="3482"/>
        <w:gridCol w:w="2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 w:type="dxa"/>
          </w:tcPr>
          <w:p>
            <w:pPr>
              <w:jc w:val="center"/>
              <w:rPr>
                <w:rFonts w:hint="eastAsia" w:ascii="宋体" w:hAnsi="宋体" w:eastAsia="宋体" w:cs="宋体"/>
                <w:b/>
                <w:bCs/>
                <w:color w:val="auto"/>
                <w:sz w:val="21"/>
                <w:szCs w:val="21"/>
                <w:vertAlign w:val="baseline"/>
                <w:lang w:val="en-US" w:eastAsia="zh-CN"/>
              </w:rPr>
            </w:pPr>
            <w:r>
              <w:rPr>
                <w:rFonts w:hint="eastAsia" w:ascii="宋体" w:hAnsi="宋体" w:eastAsia="宋体" w:cs="宋体"/>
                <w:b/>
                <w:bCs/>
                <w:color w:val="auto"/>
                <w:sz w:val="21"/>
                <w:szCs w:val="21"/>
                <w:vertAlign w:val="baseline"/>
                <w:lang w:val="en-US" w:eastAsia="zh-CN"/>
              </w:rPr>
              <w:t>序号</w:t>
            </w:r>
          </w:p>
        </w:tc>
        <w:tc>
          <w:tcPr>
            <w:tcW w:w="1784" w:type="dxa"/>
          </w:tcPr>
          <w:p>
            <w:pPr>
              <w:jc w:val="center"/>
              <w:rPr>
                <w:rFonts w:hint="eastAsia" w:ascii="宋体" w:hAnsi="宋体" w:eastAsia="宋体" w:cs="宋体"/>
                <w:b/>
                <w:bCs/>
                <w:color w:val="auto"/>
                <w:sz w:val="21"/>
                <w:szCs w:val="21"/>
                <w:vertAlign w:val="baseline"/>
                <w:lang w:val="en-US" w:eastAsia="zh-CN"/>
              </w:rPr>
            </w:pPr>
            <w:r>
              <w:rPr>
                <w:rFonts w:hint="eastAsia" w:ascii="宋体" w:hAnsi="宋体" w:eastAsia="宋体" w:cs="宋体"/>
                <w:b/>
                <w:bCs/>
                <w:color w:val="auto"/>
                <w:sz w:val="21"/>
                <w:szCs w:val="21"/>
                <w:vertAlign w:val="baseline"/>
                <w:lang w:val="en-US" w:eastAsia="zh-CN"/>
              </w:rPr>
              <w:t>类别</w:t>
            </w:r>
          </w:p>
        </w:tc>
        <w:tc>
          <w:tcPr>
            <w:tcW w:w="1891" w:type="dxa"/>
          </w:tcPr>
          <w:p>
            <w:pPr>
              <w:jc w:val="center"/>
              <w:rPr>
                <w:rFonts w:hint="eastAsia" w:ascii="宋体" w:hAnsi="宋体" w:eastAsia="宋体" w:cs="宋体"/>
                <w:b/>
                <w:bCs/>
                <w:color w:val="auto"/>
                <w:sz w:val="21"/>
                <w:szCs w:val="21"/>
                <w:vertAlign w:val="baseline"/>
                <w:lang w:val="en-US" w:eastAsia="zh-CN"/>
              </w:rPr>
            </w:pPr>
            <w:r>
              <w:rPr>
                <w:rFonts w:hint="eastAsia" w:ascii="宋体" w:hAnsi="宋体" w:eastAsia="宋体" w:cs="宋体"/>
                <w:b/>
                <w:bCs/>
                <w:color w:val="auto"/>
                <w:sz w:val="21"/>
                <w:szCs w:val="21"/>
                <w:vertAlign w:val="baseline"/>
                <w:lang w:val="en-US" w:eastAsia="zh-CN"/>
              </w:rPr>
              <w:t>要素名称</w:t>
            </w:r>
          </w:p>
        </w:tc>
        <w:tc>
          <w:tcPr>
            <w:tcW w:w="3935" w:type="dxa"/>
          </w:tcPr>
          <w:p>
            <w:pPr>
              <w:jc w:val="center"/>
              <w:rPr>
                <w:rFonts w:hint="eastAsia" w:ascii="宋体" w:hAnsi="宋体" w:eastAsia="宋体" w:cs="宋体"/>
                <w:b/>
                <w:bCs/>
                <w:color w:val="auto"/>
                <w:sz w:val="21"/>
                <w:szCs w:val="21"/>
                <w:vertAlign w:val="baseline"/>
                <w:lang w:val="en-US" w:eastAsia="zh-CN"/>
              </w:rPr>
            </w:pPr>
            <w:r>
              <w:rPr>
                <w:rFonts w:hint="eastAsia" w:ascii="宋体" w:hAnsi="宋体" w:eastAsia="宋体" w:cs="宋体"/>
                <w:b/>
                <w:bCs/>
                <w:color w:val="auto"/>
                <w:sz w:val="21"/>
                <w:szCs w:val="21"/>
                <w:vertAlign w:val="baseline"/>
                <w:lang w:val="en-US" w:eastAsia="zh-CN"/>
              </w:rPr>
              <w:t xml:space="preserve">“十四五”保障举措                 </w:t>
            </w:r>
          </w:p>
        </w:tc>
        <w:tc>
          <w:tcPr>
            <w:tcW w:w="3482" w:type="dxa"/>
          </w:tcPr>
          <w:p>
            <w:pPr>
              <w:jc w:val="center"/>
              <w:rPr>
                <w:rFonts w:hint="eastAsia" w:ascii="宋体" w:hAnsi="宋体" w:eastAsia="宋体" w:cs="宋体"/>
                <w:b/>
                <w:bCs/>
                <w:color w:val="auto"/>
                <w:sz w:val="21"/>
                <w:szCs w:val="21"/>
                <w:vertAlign w:val="baseline"/>
                <w:lang w:val="en-US" w:eastAsia="zh-CN"/>
              </w:rPr>
            </w:pPr>
            <w:r>
              <w:rPr>
                <w:rFonts w:hint="eastAsia" w:ascii="宋体" w:hAnsi="宋体" w:eastAsia="宋体" w:cs="宋体"/>
                <w:b/>
                <w:bCs/>
                <w:color w:val="auto"/>
                <w:sz w:val="21"/>
                <w:szCs w:val="21"/>
                <w:vertAlign w:val="baseline"/>
                <w:lang w:val="en-US" w:eastAsia="zh-CN"/>
              </w:rPr>
              <w:t>预期目标</w:t>
            </w:r>
          </w:p>
        </w:tc>
        <w:tc>
          <w:tcPr>
            <w:tcW w:w="2133" w:type="dxa"/>
          </w:tcPr>
          <w:p>
            <w:pPr>
              <w:jc w:val="center"/>
              <w:rPr>
                <w:rFonts w:hint="eastAsia" w:ascii="宋体" w:hAnsi="宋体" w:eastAsia="宋体" w:cs="宋体"/>
                <w:b/>
                <w:bCs/>
                <w:color w:val="auto"/>
                <w:sz w:val="21"/>
                <w:szCs w:val="21"/>
                <w:vertAlign w:val="baseline"/>
                <w:lang w:val="en-US" w:eastAsia="zh-CN"/>
              </w:rPr>
            </w:pPr>
            <w:r>
              <w:rPr>
                <w:rFonts w:hint="eastAsia" w:ascii="宋体" w:hAnsi="宋体" w:eastAsia="宋体" w:cs="宋体"/>
                <w:b/>
                <w:bCs/>
                <w:color w:val="auto"/>
                <w:sz w:val="21"/>
                <w:szCs w:val="21"/>
                <w:vertAlign w:val="baseline"/>
                <w:lang w:val="en-US" w:eastAsia="zh-CN"/>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 w:type="dxa"/>
            <w:vAlign w:val="center"/>
          </w:tcPr>
          <w:p>
            <w:pPr>
              <w:jc w:val="center"/>
              <w:rPr>
                <w:rFonts w:hint="default"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1</w:t>
            </w:r>
          </w:p>
        </w:tc>
        <w:tc>
          <w:tcPr>
            <w:tcW w:w="1784" w:type="dxa"/>
            <w:vAlign w:val="center"/>
          </w:tcPr>
          <w:p>
            <w:pPr>
              <w:jc w:val="center"/>
              <w:rPr>
                <w:rFonts w:hint="default"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工作机制</w:t>
            </w:r>
          </w:p>
        </w:tc>
        <w:tc>
          <w:tcPr>
            <w:tcW w:w="1891" w:type="dxa"/>
            <w:vAlign w:val="center"/>
          </w:tcPr>
          <w:p>
            <w:pPr>
              <w:jc w:val="center"/>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“一老一小”工作领导小组</w:t>
            </w:r>
          </w:p>
        </w:tc>
        <w:tc>
          <w:tcPr>
            <w:tcW w:w="3935" w:type="dxa"/>
            <w:vAlign w:val="center"/>
          </w:tcPr>
          <w:p>
            <w:pPr>
              <w:jc w:val="left"/>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成立以区委书记、区长为组长的“一老一小”工作领导小组，负责统筹协调、指导、管理推进养老托育服务发展工作，定期听取工作进展报告。建立领导小组统一指挥下的“一老一小”专项工作小组，推进方案编制与落地实施。建立“一老一小”重大事项协调机制，重要的政策、投资、项目、平台等事项，要及时报请领导小组研究决策。</w:t>
            </w:r>
          </w:p>
        </w:tc>
        <w:tc>
          <w:tcPr>
            <w:tcW w:w="3482" w:type="dxa"/>
            <w:vAlign w:val="center"/>
          </w:tcPr>
          <w:p>
            <w:pPr>
              <w:jc w:val="center"/>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确保各项任务落地落实。</w:t>
            </w:r>
          </w:p>
        </w:tc>
        <w:tc>
          <w:tcPr>
            <w:tcW w:w="2133" w:type="dxa"/>
            <w:vAlign w:val="center"/>
          </w:tcPr>
          <w:p>
            <w:pPr>
              <w:jc w:val="center"/>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区民政局、区卫生健康委、区发展改革委、区教育委员会、区人力资源和社会保障局、区财政局、市规划和自然资源委员会门头沟分局、区住房和城乡建设委员会、区重大项目办、区商务局、团区委、</w:t>
            </w:r>
            <w:r>
              <w:rPr>
                <w:rFonts w:hint="eastAsia" w:ascii="宋体" w:hAnsi="宋体" w:eastAsia="宋体" w:cs="宋体"/>
                <w:color w:val="auto"/>
                <w:sz w:val="21"/>
                <w:szCs w:val="21"/>
                <w:lang w:val="en-US" w:eastAsia="zh-CN"/>
              </w:rPr>
              <w:t>区税务局、</w:t>
            </w:r>
            <w:r>
              <w:rPr>
                <w:rFonts w:hint="eastAsia" w:ascii="宋体" w:hAnsi="宋体" w:eastAsia="宋体" w:cs="宋体"/>
                <w:b w:val="0"/>
                <w:bCs w:val="0"/>
                <w:color w:val="auto"/>
                <w:sz w:val="21"/>
                <w:szCs w:val="21"/>
                <w:vertAlign w:val="baseline"/>
                <w:lang w:val="en-US" w:eastAsia="zh-CN"/>
              </w:rPr>
              <w:t>各街镇等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 w:type="dxa"/>
            <w:vMerge w:val="restart"/>
            <w:vAlign w:val="center"/>
          </w:tcPr>
          <w:p>
            <w:pPr>
              <w:jc w:val="center"/>
              <w:rPr>
                <w:rFonts w:hint="default" w:ascii="宋体" w:hAnsi="宋体" w:eastAsia="宋体" w:cs="宋体"/>
                <w:b/>
                <w:bCs/>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2</w:t>
            </w:r>
          </w:p>
        </w:tc>
        <w:tc>
          <w:tcPr>
            <w:tcW w:w="1784" w:type="dxa"/>
            <w:vMerge w:val="restart"/>
            <w:vAlign w:val="center"/>
          </w:tcPr>
          <w:p>
            <w:pPr>
              <w:jc w:val="center"/>
              <w:rPr>
                <w:rFonts w:hint="default"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用地用房保障</w:t>
            </w:r>
          </w:p>
        </w:tc>
        <w:tc>
          <w:tcPr>
            <w:tcW w:w="1891" w:type="dxa"/>
            <w:vAlign w:val="center"/>
          </w:tcPr>
          <w:p>
            <w:pPr>
              <w:jc w:val="center"/>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保障用地需求</w:t>
            </w:r>
          </w:p>
        </w:tc>
        <w:tc>
          <w:tcPr>
            <w:tcW w:w="3935" w:type="dxa"/>
          </w:tcPr>
          <w:p>
            <w:pPr>
              <w:jc w:val="both"/>
              <w:rPr>
                <w:rFonts w:hint="eastAsia" w:ascii="宋体" w:hAnsi="宋体" w:eastAsia="宋体" w:cs="宋体"/>
                <w:b w:val="0"/>
                <w:bCs w:val="0"/>
                <w:color w:val="auto"/>
                <w:kern w:val="0"/>
                <w:sz w:val="21"/>
                <w:szCs w:val="21"/>
                <w:lang w:eastAsia="zh-CN"/>
              </w:rPr>
            </w:pPr>
            <w:r>
              <w:rPr>
                <w:rFonts w:hint="eastAsia" w:ascii="宋体" w:hAnsi="宋体" w:eastAsia="宋体" w:cs="宋体"/>
                <w:b w:val="0"/>
                <w:bCs w:val="0"/>
                <w:color w:val="auto"/>
                <w:kern w:val="0"/>
                <w:sz w:val="21"/>
                <w:szCs w:val="21"/>
                <w:lang w:eastAsia="zh-CN"/>
              </w:rPr>
              <w:t>在年度建设用地供应中保障养老托育用地需求。将养老托育机构建设所需用地以优先优惠或划拨方式为普惠性养老托育机构予以用地保障。</w:t>
            </w:r>
          </w:p>
        </w:tc>
        <w:tc>
          <w:tcPr>
            <w:tcW w:w="3482" w:type="dxa"/>
          </w:tcPr>
          <w:p>
            <w:pPr>
              <w:jc w:val="both"/>
              <w:rPr>
                <w:rFonts w:hint="eastAsia" w:ascii="宋体" w:hAnsi="宋体" w:eastAsia="宋体" w:cs="宋体"/>
                <w:b w:val="0"/>
                <w:bCs w:val="0"/>
                <w:color w:val="auto"/>
                <w:kern w:val="0"/>
                <w:sz w:val="21"/>
                <w:szCs w:val="21"/>
                <w:lang w:eastAsia="zh-CN"/>
              </w:rPr>
            </w:pPr>
            <w:r>
              <w:rPr>
                <w:rFonts w:hint="eastAsia" w:ascii="宋体" w:hAnsi="宋体" w:eastAsia="宋体" w:cs="宋体"/>
                <w:b w:val="0"/>
                <w:bCs w:val="0"/>
                <w:color w:val="auto"/>
                <w:kern w:val="0"/>
                <w:sz w:val="21"/>
                <w:szCs w:val="21"/>
                <w:lang w:eastAsia="zh-CN"/>
              </w:rPr>
              <w:t>在年度建设用地供应中保障养老托育用地需求，服务能力提质扩容和服务设施均衡布局。</w:t>
            </w:r>
          </w:p>
        </w:tc>
        <w:tc>
          <w:tcPr>
            <w:tcW w:w="2133" w:type="dxa"/>
            <w:vAlign w:val="center"/>
          </w:tcPr>
          <w:p>
            <w:pPr>
              <w:jc w:val="center"/>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color w:val="auto"/>
                <w:sz w:val="21"/>
                <w:szCs w:val="21"/>
              </w:rPr>
              <w:t>区发展改革委</w:t>
            </w:r>
            <w:r>
              <w:rPr>
                <w:rFonts w:hint="eastAsia" w:ascii="宋体" w:hAnsi="宋体" w:eastAsia="宋体" w:cs="宋体"/>
                <w:color w:val="auto"/>
                <w:sz w:val="21"/>
                <w:szCs w:val="21"/>
                <w:lang w:eastAsia="zh-CN"/>
              </w:rPr>
              <w:t>、</w:t>
            </w:r>
            <w:r>
              <w:rPr>
                <w:rFonts w:hint="eastAsia" w:ascii="宋体" w:hAnsi="宋体" w:eastAsia="宋体" w:cs="宋体"/>
                <w:b w:val="0"/>
                <w:bCs w:val="0"/>
                <w:color w:val="auto"/>
                <w:sz w:val="21"/>
                <w:szCs w:val="21"/>
                <w:vertAlign w:val="baseline"/>
                <w:lang w:val="en-US" w:eastAsia="zh-CN"/>
              </w:rPr>
              <w:t>市规划和自然资源委员会门头沟分局</w:t>
            </w:r>
            <w:r>
              <w:rPr>
                <w:rFonts w:hint="eastAsia" w:ascii="宋体" w:hAnsi="宋体" w:eastAsia="宋体" w:cs="宋体"/>
                <w:color w:val="auto"/>
                <w:sz w:val="21"/>
                <w:szCs w:val="21"/>
                <w:lang w:val="en-US" w:eastAsia="zh-CN"/>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 w:type="dxa"/>
            <w:vMerge w:val="continue"/>
            <w:vAlign w:val="center"/>
          </w:tcPr>
          <w:p>
            <w:pPr>
              <w:jc w:val="center"/>
              <w:rPr>
                <w:rFonts w:hint="eastAsia" w:ascii="宋体" w:hAnsi="宋体" w:eastAsia="宋体" w:cs="宋体"/>
                <w:b/>
                <w:bCs/>
                <w:color w:val="auto"/>
                <w:sz w:val="21"/>
                <w:szCs w:val="21"/>
                <w:vertAlign w:val="baseline"/>
                <w:lang w:val="en-US" w:eastAsia="zh-CN"/>
              </w:rPr>
            </w:pPr>
          </w:p>
        </w:tc>
        <w:tc>
          <w:tcPr>
            <w:tcW w:w="1784" w:type="dxa"/>
            <w:vMerge w:val="continue"/>
            <w:vAlign w:val="center"/>
          </w:tcPr>
          <w:p>
            <w:pPr>
              <w:jc w:val="center"/>
              <w:rPr>
                <w:rFonts w:hint="eastAsia" w:ascii="宋体" w:hAnsi="宋体" w:eastAsia="宋体" w:cs="宋体"/>
                <w:b w:val="0"/>
                <w:bCs w:val="0"/>
                <w:color w:val="auto"/>
                <w:sz w:val="21"/>
                <w:szCs w:val="21"/>
                <w:vertAlign w:val="baseline"/>
                <w:lang w:val="en-US" w:eastAsia="zh-CN"/>
              </w:rPr>
            </w:pPr>
          </w:p>
        </w:tc>
        <w:tc>
          <w:tcPr>
            <w:tcW w:w="1891" w:type="dxa"/>
            <w:vAlign w:val="center"/>
          </w:tcPr>
          <w:p>
            <w:pPr>
              <w:jc w:val="center"/>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推进设施建设</w:t>
            </w:r>
          </w:p>
        </w:tc>
        <w:tc>
          <w:tcPr>
            <w:tcW w:w="3935" w:type="dxa"/>
          </w:tcPr>
          <w:p>
            <w:pPr>
              <w:jc w:val="both"/>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在门城地区，新建住宅小区按每百户不低于20平方米的标准配套建设社区婴幼儿照护服务场地；在已建成居住区改造工程中，盘活各类闲置资源，通过购置、置换、租赁等方式，按每百户不低于15平方米的标准配置托育服务设施</w:t>
            </w:r>
            <w:r>
              <w:rPr>
                <w:rFonts w:hint="eastAsia" w:ascii="宋体" w:hAnsi="宋体" w:eastAsia="宋体" w:cs="宋体"/>
                <w:b w:val="0"/>
                <w:bCs w:val="0"/>
                <w:color w:val="auto"/>
                <w:kern w:val="0"/>
                <w:sz w:val="21"/>
                <w:szCs w:val="21"/>
                <w:lang w:eastAsia="zh-CN"/>
              </w:rPr>
              <w:t>。在城市居住社区建设补短板和城镇老旧小区改造中统筹推进养老托育服务设施建设，鼓励地方探索将老旧小区中的国企房屋和设施以适当方式转交政府集中改造利用。非独立场所按照相关安全标准改造建设托育点并通过验收的，不需变更土地和房屋性质。</w:t>
            </w:r>
          </w:p>
        </w:tc>
        <w:tc>
          <w:tcPr>
            <w:tcW w:w="3482" w:type="dxa"/>
          </w:tcPr>
          <w:p>
            <w:pPr>
              <w:jc w:val="both"/>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lang w:eastAsia="zh-CN"/>
              </w:rPr>
              <w:t>到2023年底，对已建成社区的养老托育设施情况摸底调查，形成清单。到2025年底，新建住宅小区配套养老托育服务设施“四同步”（同步规划、同步建设、同步验收、同步交付）制度全面落实，新建住宅小区配建社区养老托育服务设施达标率100%，已建成的居住区完成托育服务设施配置。</w:t>
            </w:r>
          </w:p>
        </w:tc>
        <w:tc>
          <w:tcPr>
            <w:tcW w:w="2133" w:type="dxa"/>
            <w:vAlign w:val="center"/>
          </w:tcPr>
          <w:p>
            <w:pPr>
              <w:jc w:val="center"/>
              <w:rPr>
                <w:rFonts w:hint="default" w:ascii="宋体" w:hAnsi="宋体" w:eastAsia="宋体" w:cs="宋体"/>
                <w:b w:val="0"/>
                <w:bCs w:val="0"/>
                <w:color w:val="auto"/>
                <w:sz w:val="21"/>
                <w:szCs w:val="21"/>
                <w:vertAlign w:val="baseline"/>
                <w:lang w:val="en-US" w:eastAsia="zh-CN"/>
              </w:rPr>
            </w:pPr>
            <w:r>
              <w:rPr>
                <w:rFonts w:hint="eastAsia" w:ascii="宋体" w:hAnsi="宋体" w:eastAsia="宋体" w:cs="宋体"/>
                <w:color w:val="auto"/>
                <w:sz w:val="21"/>
                <w:szCs w:val="21"/>
              </w:rPr>
              <w:t>区发展改革委</w:t>
            </w:r>
            <w:r>
              <w:rPr>
                <w:rFonts w:hint="eastAsia" w:ascii="宋体" w:hAnsi="宋体" w:eastAsia="宋体" w:cs="宋体"/>
                <w:color w:val="auto"/>
                <w:sz w:val="21"/>
                <w:szCs w:val="21"/>
                <w:lang w:eastAsia="zh-CN"/>
              </w:rPr>
              <w:t>、</w:t>
            </w:r>
            <w:r>
              <w:rPr>
                <w:rFonts w:hint="eastAsia" w:ascii="宋体" w:hAnsi="宋体" w:eastAsia="宋体" w:cs="宋体"/>
                <w:b w:val="0"/>
                <w:bCs w:val="0"/>
                <w:color w:val="auto"/>
                <w:sz w:val="21"/>
                <w:szCs w:val="21"/>
                <w:vertAlign w:val="baseline"/>
                <w:lang w:val="en-US" w:eastAsia="zh-CN"/>
              </w:rPr>
              <w:t>区住房和城乡建设委员会、区重大项目办、区民政局、</w:t>
            </w:r>
            <w:r>
              <w:rPr>
                <w:rFonts w:hint="eastAsia" w:ascii="宋体" w:hAnsi="宋体" w:eastAsia="宋体" w:cs="宋体"/>
                <w:color w:val="auto"/>
                <w:sz w:val="21"/>
                <w:szCs w:val="21"/>
              </w:rPr>
              <w:t>区卫生健康委</w:t>
            </w:r>
            <w:r>
              <w:rPr>
                <w:rFonts w:hint="eastAsia" w:ascii="宋体" w:hAnsi="宋体" w:eastAsia="宋体" w:cs="宋体"/>
                <w:b w:val="0"/>
                <w:bCs w:val="0"/>
                <w:color w:val="auto"/>
                <w:sz w:val="21"/>
                <w:szCs w:val="21"/>
                <w:vertAlign w:val="baseline"/>
                <w:lang w:val="en-US" w:eastAsia="zh-CN"/>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 w:type="dxa"/>
            <w:vMerge w:val="restart"/>
            <w:vAlign w:val="center"/>
          </w:tcPr>
          <w:p>
            <w:pPr>
              <w:jc w:val="center"/>
              <w:rPr>
                <w:rFonts w:hint="default" w:ascii="宋体" w:hAnsi="宋体" w:eastAsia="宋体" w:cs="宋体"/>
                <w:b/>
                <w:bCs/>
                <w:color w:val="auto"/>
                <w:sz w:val="21"/>
                <w:szCs w:val="21"/>
                <w:vertAlign w:val="baseline"/>
                <w:lang w:val="en-US" w:eastAsia="zh-CN"/>
              </w:rPr>
            </w:pPr>
            <w:r>
              <w:rPr>
                <w:rFonts w:hint="eastAsia" w:ascii="宋体" w:hAnsi="宋体" w:eastAsia="宋体" w:cs="宋体"/>
                <w:b/>
                <w:bCs/>
                <w:color w:val="auto"/>
                <w:sz w:val="21"/>
                <w:szCs w:val="21"/>
                <w:vertAlign w:val="baseline"/>
                <w:lang w:val="en-US" w:eastAsia="zh-CN"/>
              </w:rPr>
              <w:t>3</w:t>
            </w:r>
          </w:p>
        </w:tc>
        <w:tc>
          <w:tcPr>
            <w:tcW w:w="1784" w:type="dxa"/>
            <w:vMerge w:val="restart"/>
            <w:vAlign w:val="center"/>
          </w:tcPr>
          <w:p>
            <w:pPr>
              <w:jc w:val="center"/>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培育市场主体</w:t>
            </w:r>
          </w:p>
        </w:tc>
        <w:tc>
          <w:tcPr>
            <w:tcW w:w="1891" w:type="dxa"/>
            <w:vAlign w:val="center"/>
          </w:tcPr>
          <w:p>
            <w:pPr>
              <w:jc w:val="center"/>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发展普惠性养老托育服务发展</w:t>
            </w:r>
          </w:p>
        </w:tc>
        <w:tc>
          <w:tcPr>
            <w:tcW w:w="3935" w:type="dxa"/>
          </w:tcPr>
          <w:p>
            <w:pPr>
              <w:jc w:val="both"/>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kern w:val="0"/>
                <w:sz w:val="21"/>
                <w:szCs w:val="21"/>
              </w:rPr>
              <w:t>实施城企联动普惠养老专项行动，进一步扩大参与主体，综合运用规划、土地、住房、财政、投资、融资、人才等政策，支持社会力量建设高品质养老托育设施</w:t>
            </w:r>
            <w:r>
              <w:rPr>
                <w:rFonts w:hint="eastAsia" w:ascii="宋体" w:hAnsi="宋体" w:eastAsia="宋体" w:cs="宋体"/>
                <w:b w:val="0"/>
                <w:bCs w:val="0"/>
                <w:color w:val="auto"/>
                <w:kern w:val="0"/>
                <w:sz w:val="21"/>
                <w:szCs w:val="21"/>
                <w:lang w:eastAsia="zh-CN"/>
              </w:rPr>
              <w:t>。</w:t>
            </w:r>
          </w:p>
        </w:tc>
        <w:tc>
          <w:tcPr>
            <w:tcW w:w="3482" w:type="dxa"/>
          </w:tcPr>
          <w:p>
            <w:pPr>
              <w:jc w:val="both"/>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kern w:val="0"/>
                <w:sz w:val="21"/>
                <w:szCs w:val="21"/>
              </w:rPr>
              <w:t>解决养老一床难求和普惠性托育服务供给不足问题，为社会提供质量有保障、价格可承受、方便可及的养老托育服务</w:t>
            </w:r>
            <w:r>
              <w:rPr>
                <w:rFonts w:hint="eastAsia" w:ascii="宋体" w:hAnsi="宋体" w:eastAsia="宋体" w:cs="宋体"/>
                <w:b w:val="0"/>
                <w:bCs w:val="0"/>
                <w:color w:val="auto"/>
                <w:kern w:val="0"/>
                <w:sz w:val="21"/>
                <w:szCs w:val="21"/>
                <w:lang w:eastAsia="zh-CN"/>
              </w:rPr>
              <w:t>。</w:t>
            </w:r>
          </w:p>
        </w:tc>
        <w:tc>
          <w:tcPr>
            <w:tcW w:w="2133" w:type="dxa"/>
            <w:vAlign w:val="center"/>
          </w:tcPr>
          <w:p>
            <w:pPr>
              <w:jc w:val="center"/>
              <w:rPr>
                <w:rFonts w:hint="eastAsia" w:ascii="宋体" w:hAnsi="宋体" w:eastAsia="宋体" w:cs="宋体"/>
                <w:b/>
                <w:bCs/>
                <w:color w:val="auto"/>
                <w:sz w:val="21"/>
                <w:szCs w:val="21"/>
                <w:vertAlign w:val="baseline"/>
                <w:lang w:val="en-US" w:eastAsia="zh-CN"/>
              </w:rPr>
            </w:pPr>
            <w:r>
              <w:rPr>
                <w:rFonts w:hint="eastAsia" w:ascii="宋体" w:hAnsi="宋体" w:eastAsia="宋体" w:cs="宋体"/>
                <w:color w:val="auto"/>
                <w:sz w:val="21"/>
                <w:szCs w:val="21"/>
              </w:rPr>
              <w:t>区发展改革委</w:t>
            </w:r>
            <w:r>
              <w:rPr>
                <w:rFonts w:hint="eastAsia" w:ascii="宋体" w:hAnsi="宋体" w:eastAsia="宋体" w:cs="宋体"/>
                <w:color w:val="auto"/>
                <w:sz w:val="21"/>
                <w:szCs w:val="21"/>
                <w:lang w:eastAsia="zh-CN"/>
              </w:rPr>
              <w:t>、</w:t>
            </w:r>
            <w:r>
              <w:rPr>
                <w:rFonts w:hint="eastAsia" w:ascii="宋体" w:hAnsi="宋体" w:eastAsia="宋体" w:cs="宋体"/>
                <w:b w:val="0"/>
                <w:bCs w:val="0"/>
                <w:color w:val="auto"/>
                <w:sz w:val="21"/>
                <w:szCs w:val="21"/>
                <w:vertAlign w:val="baseline"/>
                <w:lang w:val="en-US" w:eastAsia="zh-CN"/>
              </w:rPr>
              <w:t>市规划和自然资源委员会门头沟分局、区住房和城乡建设委员会、区财政局、区民政局、</w:t>
            </w:r>
            <w:r>
              <w:rPr>
                <w:rFonts w:hint="eastAsia" w:ascii="宋体" w:hAnsi="宋体" w:eastAsia="宋体" w:cs="宋体"/>
                <w:color w:val="auto"/>
                <w:sz w:val="21"/>
                <w:szCs w:val="21"/>
              </w:rPr>
              <w:t>区卫生健康委</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区人才工作领导小组</w:t>
            </w:r>
            <w:r>
              <w:rPr>
                <w:rFonts w:hint="eastAsia" w:ascii="宋体" w:hAnsi="宋体" w:eastAsia="宋体" w:cs="宋体"/>
                <w:color w:val="auto"/>
                <w:sz w:val="21"/>
                <w:szCs w:val="21"/>
                <w:lang w:eastAsia="zh-CN"/>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 w:type="dxa"/>
            <w:vMerge w:val="continue"/>
            <w:vAlign w:val="center"/>
          </w:tcPr>
          <w:p>
            <w:pPr>
              <w:jc w:val="center"/>
              <w:rPr>
                <w:rFonts w:hint="eastAsia" w:ascii="宋体" w:hAnsi="宋体" w:eastAsia="宋体" w:cs="宋体"/>
                <w:b/>
                <w:bCs/>
                <w:color w:val="auto"/>
                <w:sz w:val="21"/>
                <w:szCs w:val="21"/>
                <w:vertAlign w:val="baseline"/>
                <w:lang w:val="en-US" w:eastAsia="zh-CN"/>
              </w:rPr>
            </w:pPr>
          </w:p>
        </w:tc>
        <w:tc>
          <w:tcPr>
            <w:tcW w:w="1784" w:type="dxa"/>
            <w:vMerge w:val="continue"/>
            <w:vAlign w:val="center"/>
          </w:tcPr>
          <w:p>
            <w:pPr>
              <w:jc w:val="center"/>
              <w:rPr>
                <w:rFonts w:hint="eastAsia" w:ascii="宋体" w:hAnsi="宋体" w:eastAsia="宋体" w:cs="宋体"/>
                <w:b/>
                <w:bCs/>
                <w:color w:val="auto"/>
                <w:sz w:val="21"/>
                <w:szCs w:val="21"/>
                <w:vertAlign w:val="baseline"/>
                <w:lang w:val="en-US" w:eastAsia="zh-CN"/>
              </w:rPr>
            </w:pPr>
          </w:p>
        </w:tc>
        <w:tc>
          <w:tcPr>
            <w:tcW w:w="1891" w:type="dxa"/>
            <w:vAlign w:val="center"/>
          </w:tcPr>
          <w:p>
            <w:pPr>
              <w:jc w:val="center"/>
              <w:rPr>
                <w:rFonts w:hint="default" w:ascii="宋体" w:hAnsi="宋体" w:eastAsia="宋体" w:cs="宋体"/>
                <w:b/>
                <w:bCs/>
                <w:color w:val="auto"/>
                <w:sz w:val="21"/>
                <w:szCs w:val="21"/>
                <w:vertAlign w:val="baseline"/>
                <w:lang w:val="en-US" w:eastAsia="zh-CN"/>
              </w:rPr>
            </w:pPr>
            <w:r>
              <w:rPr>
                <w:rFonts w:hint="eastAsia" w:ascii="宋体" w:hAnsi="宋体" w:eastAsia="宋体" w:cs="宋体"/>
                <w:b w:val="0"/>
                <w:bCs w:val="0"/>
                <w:color w:val="auto"/>
                <w:kern w:val="2"/>
                <w:sz w:val="21"/>
                <w:szCs w:val="21"/>
                <w:vertAlign w:val="baseline"/>
                <w:lang w:val="en-US" w:eastAsia="zh-CN" w:bidi="ar-SA"/>
              </w:rPr>
              <w:t>社会力量开展养老托育服务</w:t>
            </w:r>
          </w:p>
        </w:tc>
        <w:tc>
          <w:tcPr>
            <w:tcW w:w="3935" w:type="dxa"/>
          </w:tcPr>
          <w:p>
            <w:pPr>
              <w:jc w:val="both"/>
              <w:rPr>
                <w:rFonts w:hint="eastAsia" w:ascii="宋体" w:hAnsi="宋体" w:eastAsia="宋体" w:cs="宋体"/>
                <w:b/>
                <w:bCs/>
                <w:color w:val="auto"/>
                <w:sz w:val="21"/>
                <w:szCs w:val="21"/>
                <w:vertAlign w:val="baseline"/>
                <w:lang w:val="en-US" w:eastAsia="zh-CN"/>
              </w:rPr>
            </w:pPr>
            <w:r>
              <w:rPr>
                <w:rFonts w:hint="eastAsia" w:ascii="宋体" w:hAnsi="宋体" w:eastAsia="宋体" w:cs="宋体"/>
                <w:b w:val="0"/>
                <w:bCs w:val="0"/>
                <w:color w:val="auto"/>
                <w:kern w:val="0"/>
                <w:sz w:val="21"/>
                <w:szCs w:val="21"/>
                <w:lang w:val="en-US" w:eastAsia="zh-Hans"/>
              </w:rPr>
              <w:t>推广区域养老服务设施连锁运营模式，加强老年餐供给，拓宽社会资本投资参与建设渠道，推进“物业服务+社区养老服务”模式，支持物业服务企业开展老年供餐、探视走访等形式多样的养老服务。</w:t>
            </w:r>
            <w:r>
              <w:rPr>
                <w:rFonts w:hint="eastAsia" w:ascii="宋体" w:hAnsi="宋体" w:eastAsia="宋体" w:cs="宋体"/>
                <w:b w:val="0"/>
                <w:bCs w:val="0"/>
                <w:color w:val="auto"/>
                <w:kern w:val="0"/>
                <w:sz w:val="21"/>
                <w:szCs w:val="21"/>
              </w:rPr>
              <w:t>支持</w:t>
            </w:r>
            <w:r>
              <w:rPr>
                <w:rFonts w:hint="eastAsia" w:ascii="宋体" w:hAnsi="宋体" w:eastAsia="宋体" w:cs="宋体"/>
                <w:b w:val="0"/>
                <w:bCs w:val="0"/>
                <w:color w:val="auto"/>
                <w:kern w:val="0"/>
                <w:sz w:val="21"/>
                <w:szCs w:val="21"/>
                <w:lang w:eastAsia="zh-CN"/>
              </w:rPr>
              <w:t>京能集团等企事业单位、</w:t>
            </w:r>
            <w:r>
              <w:rPr>
                <w:rFonts w:hint="eastAsia" w:ascii="宋体" w:hAnsi="宋体" w:eastAsia="宋体" w:cs="宋体"/>
                <w:b w:val="0"/>
                <w:bCs w:val="0"/>
                <w:color w:val="auto"/>
                <w:kern w:val="0"/>
                <w:sz w:val="21"/>
                <w:szCs w:val="21"/>
              </w:rPr>
              <w:t>产业园区等用人单位，在工作场所为职工提供托育服务，</w:t>
            </w:r>
            <w:r>
              <w:rPr>
                <w:rFonts w:hint="eastAsia" w:ascii="宋体" w:hAnsi="宋体" w:eastAsia="宋体" w:cs="宋体"/>
                <w:b w:val="0"/>
                <w:bCs w:val="0"/>
                <w:color w:val="auto"/>
                <w:kern w:val="0"/>
                <w:sz w:val="21"/>
                <w:szCs w:val="21"/>
                <w:lang w:eastAsia="zh-CN"/>
              </w:rPr>
              <w:t>为职工建设福利性托育机构。</w:t>
            </w:r>
          </w:p>
        </w:tc>
        <w:tc>
          <w:tcPr>
            <w:tcW w:w="3482" w:type="dxa"/>
          </w:tcPr>
          <w:p>
            <w:pPr>
              <w:jc w:val="both"/>
              <w:rPr>
                <w:rFonts w:hint="eastAsia" w:ascii="宋体" w:hAnsi="宋体" w:eastAsia="宋体" w:cs="宋体"/>
                <w:b w:val="0"/>
                <w:bCs w:val="0"/>
                <w:color w:val="auto"/>
                <w:kern w:val="0"/>
                <w:sz w:val="21"/>
                <w:szCs w:val="21"/>
                <w:lang w:val="en-US" w:eastAsia="zh-CN"/>
              </w:rPr>
            </w:pPr>
            <w:r>
              <w:rPr>
                <w:rFonts w:hint="eastAsia" w:ascii="宋体" w:hAnsi="宋体" w:eastAsia="宋体" w:cs="宋体"/>
                <w:b w:val="0"/>
                <w:bCs w:val="0"/>
                <w:color w:val="auto"/>
                <w:kern w:val="0"/>
                <w:sz w:val="21"/>
                <w:szCs w:val="21"/>
                <w:lang w:eastAsia="zh-CN"/>
              </w:rPr>
              <w:t>拓宽社会资本投资参与建设渠道。</w:t>
            </w:r>
          </w:p>
          <w:p>
            <w:pPr>
              <w:jc w:val="both"/>
              <w:rPr>
                <w:rFonts w:hint="eastAsia" w:ascii="宋体" w:hAnsi="宋体" w:eastAsia="宋体" w:cs="宋体"/>
                <w:b/>
                <w:bCs/>
                <w:color w:val="auto"/>
                <w:sz w:val="21"/>
                <w:szCs w:val="21"/>
                <w:vertAlign w:val="baseline"/>
                <w:lang w:val="en-US" w:eastAsia="zh-CN"/>
              </w:rPr>
            </w:pPr>
          </w:p>
        </w:tc>
        <w:tc>
          <w:tcPr>
            <w:tcW w:w="2133" w:type="dxa"/>
            <w:vAlign w:val="center"/>
          </w:tcPr>
          <w:p>
            <w:pPr>
              <w:jc w:val="center"/>
              <w:rPr>
                <w:rFonts w:hint="eastAsia" w:ascii="宋体" w:hAnsi="宋体" w:eastAsia="宋体" w:cs="宋体"/>
                <w:b/>
                <w:bCs/>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区民政局、</w:t>
            </w:r>
            <w:bookmarkStart w:id="183" w:name="OLE_LINK2"/>
            <w:r>
              <w:rPr>
                <w:rFonts w:hint="eastAsia" w:ascii="宋体" w:hAnsi="宋体" w:eastAsia="宋体" w:cs="宋体"/>
                <w:color w:val="auto"/>
                <w:sz w:val="21"/>
                <w:szCs w:val="21"/>
              </w:rPr>
              <w:t>区卫生健康委</w:t>
            </w:r>
            <w:bookmarkEnd w:id="183"/>
            <w:r>
              <w:rPr>
                <w:rFonts w:hint="eastAsia" w:ascii="宋体" w:hAnsi="宋体" w:eastAsia="宋体" w:cs="宋体"/>
                <w:b w:val="0"/>
                <w:bCs w:val="0"/>
                <w:color w:val="auto"/>
                <w:sz w:val="21"/>
                <w:szCs w:val="21"/>
                <w:vertAlign w:val="baseline"/>
                <w:lang w:val="en-US" w:eastAsia="zh-CN"/>
              </w:rPr>
              <w:t>、区住房和城乡建设委员会、区商务局、区市场监管局、</w:t>
            </w:r>
            <w:r>
              <w:rPr>
                <w:rFonts w:hint="eastAsia" w:ascii="宋体" w:hAnsi="宋体" w:eastAsia="宋体" w:cs="宋体"/>
                <w:color w:val="auto"/>
                <w:sz w:val="21"/>
                <w:szCs w:val="21"/>
              </w:rPr>
              <w:t>区发展改革委</w:t>
            </w:r>
            <w:r>
              <w:rPr>
                <w:rFonts w:hint="eastAsia" w:ascii="宋体" w:hAnsi="宋体" w:eastAsia="宋体" w:cs="宋体"/>
                <w:color w:val="auto"/>
                <w:sz w:val="21"/>
                <w:szCs w:val="21"/>
                <w:lang w:eastAsia="zh-CN"/>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 w:type="dxa"/>
            <w:vMerge w:val="continue"/>
            <w:vAlign w:val="center"/>
          </w:tcPr>
          <w:p>
            <w:pPr>
              <w:jc w:val="center"/>
              <w:rPr>
                <w:rFonts w:hint="eastAsia" w:ascii="宋体" w:hAnsi="宋体" w:eastAsia="宋体" w:cs="宋体"/>
                <w:b/>
                <w:bCs/>
                <w:color w:val="auto"/>
                <w:sz w:val="21"/>
                <w:szCs w:val="21"/>
                <w:vertAlign w:val="baseline"/>
                <w:lang w:val="en-US" w:eastAsia="zh-CN"/>
              </w:rPr>
            </w:pPr>
          </w:p>
        </w:tc>
        <w:tc>
          <w:tcPr>
            <w:tcW w:w="1784" w:type="dxa"/>
            <w:vMerge w:val="continue"/>
            <w:vAlign w:val="center"/>
          </w:tcPr>
          <w:p>
            <w:pPr>
              <w:jc w:val="center"/>
              <w:rPr>
                <w:rFonts w:hint="eastAsia" w:ascii="宋体" w:hAnsi="宋体" w:eastAsia="宋体" w:cs="宋体"/>
                <w:b/>
                <w:bCs/>
                <w:color w:val="auto"/>
                <w:sz w:val="21"/>
                <w:szCs w:val="21"/>
                <w:vertAlign w:val="baseline"/>
                <w:lang w:val="en-US" w:eastAsia="zh-CN"/>
              </w:rPr>
            </w:pPr>
          </w:p>
        </w:tc>
        <w:tc>
          <w:tcPr>
            <w:tcW w:w="1891" w:type="dxa"/>
            <w:vAlign w:val="center"/>
          </w:tcPr>
          <w:p>
            <w:pPr>
              <w:jc w:val="center"/>
              <w:rPr>
                <w:rFonts w:hint="default" w:ascii="宋体" w:hAnsi="宋体" w:eastAsia="宋体" w:cs="宋体"/>
                <w:b w:val="0"/>
                <w:bCs w:val="0"/>
                <w:color w:val="auto"/>
                <w:kern w:val="2"/>
                <w:sz w:val="21"/>
                <w:szCs w:val="21"/>
                <w:vertAlign w:val="baseline"/>
                <w:lang w:val="en-US" w:eastAsia="zh-CN" w:bidi="ar-SA"/>
              </w:rPr>
            </w:pPr>
            <w:r>
              <w:rPr>
                <w:rFonts w:hint="eastAsia" w:ascii="宋体" w:hAnsi="宋体" w:eastAsia="宋体" w:cs="宋体"/>
                <w:b w:val="0"/>
                <w:bCs w:val="0"/>
                <w:color w:val="auto"/>
                <w:kern w:val="2"/>
                <w:sz w:val="21"/>
                <w:szCs w:val="21"/>
                <w:vertAlign w:val="baseline"/>
                <w:lang w:val="en-US" w:eastAsia="zh-CN" w:bidi="ar-SA"/>
              </w:rPr>
              <w:t>引入公益慈善组织</w:t>
            </w:r>
          </w:p>
        </w:tc>
        <w:tc>
          <w:tcPr>
            <w:tcW w:w="3935" w:type="dxa"/>
          </w:tcPr>
          <w:p>
            <w:pPr>
              <w:jc w:val="both"/>
              <w:rPr>
                <w:rFonts w:hint="eastAsia" w:ascii="宋体" w:hAnsi="宋体" w:cs="宋体" w:eastAsiaTheme="minorEastAsia"/>
                <w:b w:val="0"/>
                <w:bCs w:val="0"/>
                <w:color w:val="auto"/>
                <w:kern w:val="0"/>
                <w:sz w:val="21"/>
                <w:szCs w:val="21"/>
                <w:lang w:val="en-US" w:eastAsia="zh-CN"/>
              </w:rPr>
            </w:pPr>
            <w:r>
              <w:rPr>
                <w:rFonts w:hint="eastAsia" w:ascii="宋体" w:hAnsi="宋体" w:eastAsia="宋体" w:cs="宋体"/>
                <w:b w:val="0"/>
                <w:bCs w:val="0"/>
                <w:color w:val="auto"/>
                <w:kern w:val="0"/>
                <w:sz w:val="21"/>
                <w:szCs w:val="21"/>
                <w:lang w:val="en-US" w:eastAsia="zh-CN"/>
              </w:rPr>
              <w:t>积极引进公益慈善类社会组织社会团体、社会服务机构、企事业单位等社会力量，探索公慈善与社会治理、社区服务发展新途径，建立健全“一老一小”志愿服务项目库。（详见社会力量支持养老托育服务提升工程）</w:t>
            </w:r>
          </w:p>
        </w:tc>
        <w:tc>
          <w:tcPr>
            <w:tcW w:w="3482" w:type="dxa"/>
          </w:tcPr>
          <w:p>
            <w:pPr>
              <w:jc w:val="both"/>
              <w:rPr>
                <w:rFonts w:hint="eastAsia" w:ascii="宋体" w:hAnsi="宋体" w:eastAsia="宋体" w:cs="宋体"/>
                <w:b/>
                <w:bCs/>
                <w:color w:val="auto"/>
                <w:sz w:val="21"/>
                <w:szCs w:val="21"/>
                <w:vertAlign w:val="baseline"/>
                <w:lang w:val="en-US" w:eastAsia="zh-CN"/>
              </w:rPr>
            </w:pPr>
            <w:r>
              <w:rPr>
                <w:rFonts w:hint="eastAsia" w:ascii="宋体" w:hAnsi="宋体" w:eastAsia="宋体" w:cs="宋体"/>
                <w:b w:val="0"/>
                <w:bCs w:val="0"/>
                <w:color w:val="auto"/>
                <w:kern w:val="0"/>
                <w:sz w:val="21"/>
                <w:szCs w:val="21"/>
                <w:lang w:val="en-US" w:eastAsia="zh-Hans"/>
              </w:rPr>
              <w:t>推动</w:t>
            </w:r>
            <w:r>
              <w:rPr>
                <w:rFonts w:hint="eastAsia" w:ascii="宋体" w:hAnsi="宋体" w:eastAsia="宋体" w:cs="宋体"/>
                <w:b w:val="0"/>
                <w:bCs w:val="0"/>
                <w:color w:val="auto"/>
                <w:kern w:val="0"/>
                <w:sz w:val="21"/>
                <w:szCs w:val="21"/>
                <w:lang w:val="en-US" w:eastAsia="zh-CN"/>
              </w:rPr>
              <w:t>公益力量</w:t>
            </w:r>
            <w:r>
              <w:rPr>
                <w:rFonts w:hint="eastAsia" w:ascii="宋体" w:hAnsi="宋体" w:eastAsia="宋体" w:cs="宋体"/>
                <w:b w:val="0"/>
                <w:bCs w:val="0"/>
                <w:color w:val="auto"/>
                <w:kern w:val="0"/>
                <w:sz w:val="21"/>
                <w:szCs w:val="21"/>
                <w:lang w:val="en-US" w:eastAsia="zh-Hans"/>
              </w:rPr>
              <w:t>在社区养老服务联合体、时间银行</w:t>
            </w:r>
            <w:r>
              <w:rPr>
                <w:rFonts w:hint="eastAsia" w:ascii="宋体" w:hAnsi="宋体" w:eastAsia="宋体" w:cs="宋体"/>
                <w:b w:val="0"/>
                <w:bCs w:val="0"/>
                <w:color w:val="auto"/>
                <w:kern w:val="0"/>
                <w:sz w:val="21"/>
                <w:szCs w:val="21"/>
                <w:lang w:val="en-US" w:eastAsia="zh-CN"/>
              </w:rPr>
              <w:t>、志愿服务</w:t>
            </w:r>
            <w:r>
              <w:rPr>
                <w:rFonts w:hint="eastAsia" w:ascii="宋体" w:hAnsi="宋体" w:eastAsia="宋体" w:cs="宋体"/>
                <w:b w:val="0"/>
                <w:bCs w:val="0"/>
                <w:color w:val="auto"/>
                <w:kern w:val="0"/>
                <w:sz w:val="21"/>
                <w:szCs w:val="21"/>
                <w:lang w:val="en-US" w:eastAsia="zh-Hans"/>
              </w:rPr>
              <w:t>等方面发挥</w:t>
            </w:r>
            <w:r>
              <w:rPr>
                <w:rFonts w:hint="eastAsia" w:ascii="宋体" w:hAnsi="宋体" w:eastAsia="宋体" w:cs="宋体"/>
                <w:b w:val="0"/>
                <w:bCs w:val="0"/>
                <w:color w:val="auto"/>
                <w:kern w:val="0"/>
                <w:sz w:val="21"/>
                <w:szCs w:val="21"/>
                <w:lang w:val="en-US" w:eastAsia="zh-CN"/>
              </w:rPr>
              <w:t>积极支持</w:t>
            </w:r>
            <w:r>
              <w:rPr>
                <w:rFonts w:hint="eastAsia" w:ascii="宋体" w:hAnsi="宋体" w:eastAsia="宋体" w:cs="宋体"/>
                <w:b w:val="0"/>
                <w:bCs w:val="0"/>
                <w:color w:val="auto"/>
                <w:kern w:val="0"/>
                <w:sz w:val="21"/>
                <w:szCs w:val="21"/>
                <w:lang w:val="en-US" w:eastAsia="zh-Hans"/>
              </w:rPr>
              <w:t>作用</w:t>
            </w:r>
            <w:r>
              <w:rPr>
                <w:rFonts w:hint="eastAsia" w:ascii="宋体" w:hAnsi="宋体" w:eastAsia="宋体" w:cs="宋体"/>
                <w:b w:val="0"/>
                <w:bCs w:val="0"/>
                <w:color w:val="auto"/>
                <w:kern w:val="0"/>
                <w:sz w:val="21"/>
                <w:szCs w:val="21"/>
                <w:lang w:val="en-US" w:eastAsia="zh-CN"/>
              </w:rPr>
              <w:t>。</w:t>
            </w:r>
          </w:p>
        </w:tc>
        <w:tc>
          <w:tcPr>
            <w:tcW w:w="2133" w:type="dxa"/>
            <w:vAlign w:val="center"/>
          </w:tcPr>
          <w:p>
            <w:pPr>
              <w:jc w:val="center"/>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各街镇、区民政局、区卫生健康委、团区委等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 w:type="dxa"/>
            <w:vAlign w:val="center"/>
          </w:tcPr>
          <w:p>
            <w:pPr>
              <w:jc w:val="center"/>
              <w:rPr>
                <w:rFonts w:hint="default" w:ascii="宋体" w:hAnsi="宋体" w:eastAsia="宋体" w:cs="宋体"/>
                <w:b/>
                <w:bCs/>
                <w:color w:val="auto"/>
                <w:sz w:val="21"/>
                <w:szCs w:val="21"/>
                <w:vertAlign w:val="baseline"/>
                <w:lang w:val="en-US" w:eastAsia="zh-CN"/>
              </w:rPr>
            </w:pPr>
            <w:r>
              <w:rPr>
                <w:rFonts w:hint="eastAsia" w:ascii="宋体" w:hAnsi="宋体" w:eastAsia="宋体" w:cs="宋体"/>
                <w:b/>
                <w:bCs/>
                <w:color w:val="auto"/>
                <w:sz w:val="21"/>
                <w:szCs w:val="21"/>
                <w:vertAlign w:val="baseline"/>
                <w:lang w:val="en-US" w:eastAsia="zh-CN"/>
              </w:rPr>
              <w:t>4</w:t>
            </w:r>
          </w:p>
        </w:tc>
        <w:tc>
          <w:tcPr>
            <w:tcW w:w="1784" w:type="dxa"/>
            <w:vAlign w:val="center"/>
          </w:tcPr>
          <w:p>
            <w:pPr>
              <w:jc w:val="center"/>
              <w:rPr>
                <w:rFonts w:hint="default"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人才建设</w:t>
            </w:r>
          </w:p>
        </w:tc>
        <w:tc>
          <w:tcPr>
            <w:tcW w:w="1891" w:type="dxa"/>
            <w:vAlign w:val="center"/>
          </w:tcPr>
          <w:p>
            <w:pPr>
              <w:jc w:val="center"/>
              <w:rPr>
                <w:rFonts w:hint="default" w:ascii="宋体" w:hAnsi="宋体" w:eastAsia="宋体" w:cs="宋体"/>
                <w:b w:val="0"/>
                <w:bCs w:val="0"/>
                <w:color w:val="auto"/>
                <w:kern w:val="2"/>
                <w:sz w:val="21"/>
                <w:szCs w:val="21"/>
                <w:vertAlign w:val="baseline"/>
                <w:lang w:val="en-US" w:eastAsia="zh-CN" w:bidi="ar-SA"/>
              </w:rPr>
            </w:pPr>
            <w:r>
              <w:rPr>
                <w:rFonts w:hint="eastAsia" w:ascii="宋体" w:hAnsi="宋体" w:eastAsia="宋体" w:cs="宋体"/>
                <w:b w:val="0"/>
                <w:bCs w:val="0"/>
                <w:color w:val="auto"/>
                <w:kern w:val="2"/>
                <w:sz w:val="21"/>
                <w:szCs w:val="21"/>
                <w:vertAlign w:val="baseline"/>
                <w:lang w:val="en-US" w:eastAsia="zh-CN" w:bidi="ar-SA"/>
              </w:rPr>
              <w:t>养老托育服务人才培养和激励</w:t>
            </w:r>
          </w:p>
        </w:tc>
        <w:tc>
          <w:tcPr>
            <w:tcW w:w="3935" w:type="dxa"/>
          </w:tcPr>
          <w:p>
            <w:pPr>
              <w:jc w:val="both"/>
              <w:rPr>
                <w:rFonts w:hint="eastAsia" w:ascii="宋体" w:hAnsi="宋体" w:eastAsia="宋体" w:cs="宋体"/>
                <w:b w:val="0"/>
                <w:bCs w:val="0"/>
                <w:color w:val="auto"/>
                <w:kern w:val="0"/>
                <w:sz w:val="21"/>
                <w:szCs w:val="21"/>
                <w:lang w:eastAsia="zh-CN"/>
              </w:rPr>
            </w:pPr>
            <w:r>
              <w:rPr>
                <w:rFonts w:hint="eastAsia" w:ascii="宋体" w:hAnsi="宋体" w:eastAsia="宋体" w:cs="宋体"/>
                <w:b w:val="0"/>
                <w:bCs w:val="0"/>
                <w:color w:val="auto"/>
                <w:kern w:val="0"/>
                <w:sz w:val="21"/>
                <w:szCs w:val="21"/>
                <w:lang w:eastAsia="zh-Hans"/>
              </w:rPr>
              <w:t>对连续从事养老服务工作达到规定年限的高等院校、职业学校的毕业生，给予入职奖励；对符合政策的养老护理人员，按照规定给予个人技能提升补贴</w:t>
            </w:r>
            <w:r>
              <w:rPr>
                <w:rFonts w:hint="eastAsia" w:ascii="宋体" w:hAnsi="宋体" w:eastAsia="宋体" w:cs="宋体"/>
                <w:b w:val="0"/>
                <w:bCs w:val="0"/>
                <w:color w:val="auto"/>
                <w:kern w:val="0"/>
                <w:sz w:val="21"/>
                <w:szCs w:val="21"/>
                <w:lang w:eastAsia="zh-CN"/>
              </w:rPr>
              <w:t>。</w:t>
            </w:r>
            <w:r>
              <w:rPr>
                <w:rFonts w:hint="eastAsia" w:ascii="宋体" w:hAnsi="宋体" w:eastAsia="宋体" w:cs="宋体"/>
                <w:b w:val="0"/>
                <w:bCs w:val="0"/>
                <w:color w:val="auto"/>
                <w:kern w:val="0"/>
                <w:sz w:val="21"/>
                <w:szCs w:val="21"/>
                <w:lang w:eastAsia="zh-Hans"/>
              </w:rPr>
              <w:t>开设婴幼儿托育服务与管理等专业或课程，加强托育学科研究与提升。支持职业院校在托育领域，开展学历教育、非学历培训和社区教育</w:t>
            </w:r>
            <w:r>
              <w:rPr>
                <w:rFonts w:hint="eastAsia" w:ascii="宋体" w:hAnsi="宋体" w:eastAsia="宋体" w:cs="宋体"/>
                <w:b w:val="0"/>
                <w:bCs w:val="0"/>
                <w:color w:val="auto"/>
                <w:kern w:val="0"/>
                <w:sz w:val="21"/>
                <w:szCs w:val="21"/>
                <w:lang w:eastAsia="zh-CN"/>
              </w:rPr>
              <w:t>。</w:t>
            </w:r>
          </w:p>
        </w:tc>
        <w:tc>
          <w:tcPr>
            <w:tcW w:w="3482" w:type="dxa"/>
          </w:tcPr>
          <w:p>
            <w:pPr>
              <w:jc w:val="both"/>
              <w:rPr>
                <w:rFonts w:hint="eastAsia" w:ascii="宋体" w:hAnsi="宋体" w:eastAsia="宋体" w:cs="宋体"/>
                <w:b w:val="0"/>
                <w:bCs w:val="0"/>
                <w:color w:val="auto"/>
                <w:kern w:val="0"/>
                <w:sz w:val="21"/>
                <w:szCs w:val="21"/>
                <w:lang w:val="en-US" w:eastAsia="zh-Hans"/>
              </w:rPr>
            </w:pPr>
            <w:r>
              <w:rPr>
                <w:rFonts w:hint="eastAsia" w:ascii="宋体" w:hAnsi="宋体" w:eastAsia="宋体" w:cs="宋体"/>
                <w:b w:val="0"/>
                <w:bCs w:val="0"/>
                <w:color w:val="auto"/>
                <w:kern w:val="0"/>
                <w:sz w:val="21"/>
                <w:szCs w:val="21"/>
                <w:lang w:val="en-US" w:eastAsia="zh-Hans"/>
              </w:rPr>
              <w:t>人才队伍更加专业，</w:t>
            </w:r>
            <w:r>
              <w:rPr>
                <w:rFonts w:hint="eastAsia" w:ascii="宋体" w:hAnsi="宋体" w:eastAsia="宋体" w:cs="宋体"/>
                <w:b w:val="0"/>
                <w:bCs w:val="0"/>
                <w:color w:val="auto"/>
                <w:kern w:val="0"/>
                <w:sz w:val="21"/>
                <w:szCs w:val="21"/>
                <w:lang w:val="en-US" w:eastAsia="zh-CN"/>
              </w:rPr>
              <w:t>形成养老托育服务人才发展良好的环境。</w:t>
            </w:r>
            <w:r>
              <w:rPr>
                <w:rFonts w:hint="eastAsia" w:ascii="宋体" w:hAnsi="宋体" w:eastAsia="宋体" w:cs="宋体"/>
                <w:b w:val="0"/>
                <w:bCs w:val="0"/>
                <w:color w:val="auto"/>
                <w:kern w:val="0"/>
                <w:sz w:val="21"/>
                <w:szCs w:val="21"/>
                <w:lang w:val="en-US" w:eastAsia="zh-Hans"/>
              </w:rPr>
              <w:t>到2025年，</w:t>
            </w:r>
            <w:r>
              <w:rPr>
                <w:rFonts w:hint="eastAsia" w:ascii="宋体" w:hAnsi="宋体" w:eastAsia="宋体" w:cs="宋体"/>
                <w:b w:val="0"/>
                <w:bCs w:val="0"/>
                <w:color w:val="auto"/>
                <w:kern w:val="0"/>
                <w:sz w:val="21"/>
                <w:szCs w:val="21"/>
                <w:lang w:val="en-US" w:eastAsia="zh-CN"/>
              </w:rPr>
              <w:t>建成1家养老服务实训基地，培训不少于785人次养老服务人才；</w:t>
            </w:r>
            <w:r>
              <w:rPr>
                <w:rFonts w:hint="eastAsia" w:ascii="宋体" w:hAnsi="宋体" w:eastAsia="宋体" w:cs="宋体"/>
                <w:b w:val="0"/>
                <w:bCs w:val="0"/>
                <w:color w:val="auto"/>
                <w:kern w:val="0"/>
                <w:sz w:val="21"/>
                <w:szCs w:val="21"/>
                <w:lang w:val="en-US" w:eastAsia="zh-Hans"/>
              </w:rPr>
              <w:t>培育托育机构院长不少于100人次，培养专业管理人员、婴幼儿照护专业人才不少于500人次</w:t>
            </w:r>
            <w:r>
              <w:rPr>
                <w:rFonts w:hint="eastAsia" w:ascii="宋体" w:hAnsi="宋体" w:eastAsia="宋体" w:cs="宋体"/>
                <w:b w:val="0"/>
                <w:bCs w:val="0"/>
                <w:color w:val="auto"/>
                <w:kern w:val="0"/>
                <w:sz w:val="21"/>
                <w:szCs w:val="21"/>
                <w:lang w:val="en-US" w:eastAsia="zh-CN"/>
              </w:rPr>
              <w:t>。</w:t>
            </w:r>
          </w:p>
        </w:tc>
        <w:tc>
          <w:tcPr>
            <w:tcW w:w="2133" w:type="dxa"/>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区民政局、</w:t>
            </w:r>
            <w:r>
              <w:rPr>
                <w:rFonts w:hint="eastAsia" w:ascii="宋体" w:hAnsi="宋体" w:eastAsia="宋体" w:cs="宋体"/>
                <w:color w:val="auto"/>
                <w:sz w:val="21"/>
                <w:szCs w:val="21"/>
              </w:rPr>
              <w:t>区卫生健康委</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区人力资源社会保障局、</w:t>
            </w:r>
            <w:r>
              <w:rPr>
                <w:rFonts w:hint="eastAsia" w:ascii="宋体" w:hAnsi="宋体" w:eastAsia="宋体" w:cs="宋体"/>
                <w:b w:val="0"/>
                <w:bCs w:val="0"/>
                <w:color w:val="auto"/>
                <w:sz w:val="21"/>
                <w:szCs w:val="21"/>
                <w:vertAlign w:val="baseline"/>
                <w:lang w:val="en-US" w:eastAsia="zh-CN"/>
              </w:rPr>
              <w:t>区教育委员会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 w:type="dxa"/>
            <w:vAlign w:val="center"/>
          </w:tcPr>
          <w:p>
            <w:pPr>
              <w:jc w:val="center"/>
              <w:rPr>
                <w:rFonts w:hint="eastAsia" w:ascii="宋体" w:hAnsi="宋体" w:eastAsia="宋体" w:cs="宋体"/>
                <w:b/>
                <w:bCs/>
                <w:color w:val="auto"/>
                <w:sz w:val="21"/>
                <w:szCs w:val="21"/>
                <w:vertAlign w:val="baseline"/>
                <w:lang w:val="en-US" w:eastAsia="zh-CN"/>
              </w:rPr>
            </w:pPr>
            <w:r>
              <w:rPr>
                <w:rFonts w:hint="eastAsia" w:ascii="宋体" w:hAnsi="宋体" w:eastAsia="宋体" w:cs="宋体"/>
                <w:b/>
                <w:bCs/>
                <w:color w:val="auto"/>
                <w:sz w:val="21"/>
                <w:szCs w:val="21"/>
                <w:vertAlign w:val="baseline"/>
                <w:lang w:val="en-US" w:eastAsia="zh-CN"/>
              </w:rPr>
              <w:t>5</w:t>
            </w:r>
          </w:p>
        </w:tc>
        <w:tc>
          <w:tcPr>
            <w:tcW w:w="1784" w:type="dxa"/>
            <w:vAlign w:val="center"/>
          </w:tcPr>
          <w:p>
            <w:pPr>
              <w:jc w:val="center"/>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color w:val="auto"/>
                <w:szCs w:val="21"/>
              </w:rPr>
              <w:t>资金保障</w:t>
            </w:r>
          </w:p>
        </w:tc>
        <w:tc>
          <w:tcPr>
            <w:tcW w:w="1891" w:type="dxa"/>
            <w:vAlign w:val="center"/>
          </w:tcPr>
          <w:p>
            <w:pPr>
              <w:jc w:val="center"/>
              <w:rPr>
                <w:rFonts w:hint="default" w:ascii="宋体" w:hAnsi="宋体" w:eastAsia="宋体" w:cs="宋体"/>
                <w:b w:val="0"/>
                <w:bCs w:val="0"/>
                <w:color w:val="auto"/>
                <w:kern w:val="2"/>
                <w:sz w:val="21"/>
                <w:szCs w:val="21"/>
                <w:vertAlign w:val="baseline"/>
                <w:lang w:val="en-US" w:eastAsia="zh-CN" w:bidi="ar-SA"/>
              </w:rPr>
            </w:pPr>
            <w:r>
              <w:rPr>
                <w:rFonts w:hint="eastAsia" w:ascii="宋体" w:hAnsi="宋体" w:eastAsia="宋体" w:cs="宋体"/>
                <w:b w:val="0"/>
                <w:bCs w:val="0"/>
                <w:color w:val="auto"/>
                <w:kern w:val="2"/>
                <w:sz w:val="21"/>
                <w:szCs w:val="21"/>
                <w:vertAlign w:val="baseline"/>
                <w:lang w:val="en-US" w:eastAsia="zh-CN" w:bidi="ar-SA"/>
              </w:rPr>
              <w:t>落实税费优惠</w:t>
            </w:r>
          </w:p>
        </w:tc>
        <w:tc>
          <w:tcPr>
            <w:tcW w:w="3935" w:type="dxa"/>
          </w:tcPr>
          <w:p>
            <w:pPr>
              <w:jc w:val="both"/>
              <w:rPr>
                <w:rFonts w:hint="default" w:ascii="宋体" w:hAnsi="宋体" w:eastAsia="宋体" w:cs="宋体"/>
                <w:b w:val="0"/>
                <w:bCs w:val="0"/>
                <w:color w:val="auto"/>
                <w:kern w:val="0"/>
                <w:sz w:val="21"/>
                <w:szCs w:val="21"/>
                <w:lang w:val="en-US" w:eastAsia="zh-CN"/>
              </w:rPr>
            </w:pPr>
            <w:r>
              <w:rPr>
                <w:rFonts w:hint="eastAsia" w:ascii="宋体" w:hAnsi="宋体" w:eastAsia="宋体" w:cs="宋体"/>
                <w:b w:val="0"/>
                <w:bCs w:val="0"/>
                <w:color w:val="auto"/>
                <w:kern w:val="0"/>
                <w:sz w:val="21"/>
                <w:szCs w:val="21"/>
                <w:lang w:val="en-US" w:eastAsia="zh-CN"/>
              </w:rPr>
              <w:t>全面落实养老托育服务机构的各项税收优惠、行政事业性收费减免和运营补助等优惠政策。养老托育机构用水、电、气、热按居民生活类价格政策执行。</w:t>
            </w:r>
          </w:p>
        </w:tc>
        <w:tc>
          <w:tcPr>
            <w:tcW w:w="3482" w:type="dxa"/>
          </w:tcPr>
          <w:p>
            <w:pPr>
              <w:jc w:val="both"/>
              <w:rPr>
                <w:rFonts w:hint="default" w:ascii="宋体" w:hAnsi="宋体" w:eastAsia="宋体" w:cs="宋体"/>
                <w:b w:val="0"/>
                <w:bCs w:val="0"/>
                <w:color w:val="auto"/>
                <w:kern w:val="0"/>
                <w:sz w:val="21"/>
                <w:szCs w:val="21"/>
                <w:lang w:val="en-US" w:eastAsia="zh-CN"/>
              </w:rPr>
            </w:pPr>
            <w:r>
              <w:rPr>
                <w:rFonts w:hint="eastAsia" w:ascii="宋体" w:hAnsi="宋体" w:eastAsia="宋体" w:cs="宋体"/>
                <w:b w:val="0"/>
                <w:bCs w:val="0"/>
                <w:color w:val="auto"/>
                <w:kern w:val="0"/>
                <w:sz w:val="21"/>
                <w:szCs w:val="21"/>
                <w:lang w:val="en-US" w:eastAsia="zh-CN"/>
              </w:rPr>
              <w:t>减轻养老托育机构负担，保障养老托育服务税费优惠全面及时惠及市场主体。</w:t>
            </w:r>
          </w:p>
        </w:tc>
        <w:tc>
          <w:tcPr>
            <w:tcW w:w="2133" w:type="dxa"/>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区财政局、区税务局、区民政局、区卫生健康委等</w:t>
            </w:r>
          </w:p>
        </w:tc>
      </w:tr>
    </w:tbl>
    <w:p>
      <w:pPr>
        <w:pStyle w:val="2"/>
        <w:jc w:val="both"/>
        <w:rPr>
          <w:rFonts w:hint="eastAsia" w:ascii="仿宋_GB2312" w:hAnsi="仿宋_GB2312" w:eastAsia="仿宋_GB2312" w:cs="仿宋_GB2312"/>
          <w:sz w:val="32"/>
          <w:szCs w:val="32"/>
          <w:lang w:eastAsia="zh-CN"/>
        </w:rPr>
        <w:sectPr>
          <w:pgSz w:w="16838" w:h="11906" w:orient="landscape"/>
          <w:pgMar w:top="1587" w:right="2098" w:bottom="1474" w:left="1984" w:header="851" w:footer="992" w:gutter="0"/>
          <w:cols w:space="720" w:num="1"/>
          <w:docGrid w:type="lines" w:linePitch="312" w:charSpace="0"/>
        </w:sectPr>
      </w:pPr>
    </w:p>
    <w:p>
      <w:pPr>
        <w:rPr>
          <w:rFonts w:hint="eastAsia"/>
        </w:rPr>
      </w:pPr>
      <w:bookmarkStart w:id="184" w:name="_GoBack"/>
      <w:bookmarkEnd w:id="18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楷体_GB2312">
    <w:altName w:val="宋体"/>
    <w:panose1 w:val="02000000000000000000"/>
    <w:charset w:val="86"/>
    <w:family w:val="auto"/>
    <w:pitch w:val="default"/>
    <w:sig w:usb0="00000000" w:usb1="00000000" w:usb2="00000000" w:usb3="00000000" w:csb0="00000000"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仿宋_GB2312">
    <w:altName w:val="仿宋"/>
    <w:panose1 w:val="02000000000000000000"/>
    <w:charset w:val="86"/>
    <w:family w:val="auto"/>
    <w:pitch w:val="default"/>
    <w:sig w:usb0="00000000" w:usb1="00000000" w:usb2="00000000" w:usb3="00000000" w:csb0="00000000" w:csb1="0000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汉仪雅酷黑简">
    <w:altName w:val="黑体"/>
    <w:panose1 w:val="00020600040101010101"/>
    <w:charset w:val="86"/>
    <w:family w:val="auto"/>
    <w:pitch w:val="default"/>
    <w:sig w:usb0="00000000" w:usb1="00000000" w:usb2="00000000" w:usb3="00000000" w:csb0="00000000" w:csb1="00000000"/>
  </w:font>
  <w:font w:name="方正楷体_GBK">
    <w:altName w:val="微软雅黑"/>
    <w:panose1 w:val="02000000000000000000"/>
    <w:charset w:val="86"/>
    <w:family w:val="auto"/>
    <w:pitch w:val="default"/>
    <w:sig w:usb0="00000000" w:usb1="00000000" w:usb2="00000000" w:usb3="00000000" w:csb0="00000000" w:csb1="00000000"/>
  </w:font>
  <w:font w:name="方正公文黑体">
    <w:altName w:val="黑体"/>
    <w:panose1 w:val="02000500000000000000"/>
    <w:charset w:val="86"/>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 w:name="楷体">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
    </w:sdtPr>
    <w:sdtContent>
      <w:p>
        <w:pPr>
          <w:pStyle w:val="15"/>
          <w:jc w:val="center"/>
        </w:pPr>
        <w:r>
          <w:fldChar w:fldCharType="begin"/>
        </w:r>
        <w:r>
          <w:instrText xml:space="preserve">PAGE   \* MERGEFORMAT</w:instrText>
        </w:r>
        <w:r>
          <w:fldChar w:fldCharType="separate"/>
        </w:r>
        <w:r>
          <w:rPr>
            <w:lang w:val="zh-CN"/>
          </w:rPr>
          <w:t>1</w:t>
        </w:r>
        <w:r>
          <w:fldChar w:fldCharType="end"/>
        </w:r>
      </w:p>
    </w:sdtContent>
  </w:sdt>
  <w:p>
    <w:pPr>
      <w:pStyle w:val="1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22">
    <w:p>
      <w:r>
        <w:separator/>
      </w:r>
    </w:p>
  </w:footnote>
  <w:footnote w:type="continuationSeparator" w:id="123">
    <w:p>
      <w:r>
        <w:continuationSeparator/>
      </w:r>
    </w:p>
  </w:footnote>
  <w:footnote w:id="0">
    <w:p>
      <w:pPr>
        <w:pStyle w:val="18"/>
      </w:pPr>
      <w:r>
        <w:rPr>
          <w:rStyle w:val="27"/>
        </w:rPr>
        <w:footnoteRef/>
      </w:r>
      <w:r>
        <w:t xml:space="preserve"> </w:t>
      </w:r>
      <w:r>
        <w:rPr>
          <w:rFonts w:hint="eastAsia"/>
        </w:rPr>
        <w:t>《门头沟区2020年国民经济和社会发展统计公报》</w:t>
      </w:r>
    </w:p>
  </w:footnote>
  <w:footnote w:id="1">
    <w:p>
      <w:pPr>
        <w:pStyle w:val="18"/>
      </w:pPr>
      <w:r>
        <w:rPr>
          <w:rStyle w:val="27"/>
        </w:rPr>
        <w:footnoteRef/>
      </w:r>
      <w:r>
        <w:t xml:space="preserve"> </w:t>
      </w:r>
      <w:r>
        <w:rPr>
          <w:rFonts w:hint="eastAsia"/>
        </w:rPr>
        <w:t>少子化指生育率下降，造成幼年人口逐渐减少的现象.</w:t>
      </w:r>
    </w:p>
  </w:footnote>
  <w:footnote w:id="2">
    <w:p>
      <w:pPr>
        <w:pStyle w:val="18"/>
      </w:pPr>
      <w:r>
        <w:rPr>
          <w:rStyle w:val="27"/>
        </w:rPr>
        <w:footnoteRef/>
      </w:r>
      <w:r>
        <w:t xml:space="preserve"> </w:t>
      </w:r>
      <w:r>
        <w:rPr>
          <w:rFonts w:hint="eastAsia"/>
        </w:rPr>
        <w:t>引自《门头沟区养老服务设施与殡葬设施转向规划（2017-2035）》报告测算数据</w:t>
      </w:r>
    </w:p>
  </w:footnote>
  <w:footnote w:id="3">
    <w:p>
      <w:pPr>
        <w:pStyle w:val="18"/>
        <w:rPr>
          <w:rFonts w:hint="eastAsia"/>
        </w:rPr>
      </w:pPr>
      <w:r>
        <w:rPr>
          <w:rStyle w:val="27"/>
          <w:vertAlign w:val="baseline"/>
        </w:rPr>
        <w:footnoteRef/>
      </w:r>
      <w:r>
        <w:rPr>
          <w:rStyle w:val="27"/>
          <w:vertAlign w:val="baseline"/>
        </w:rPr>
        <w:t xml:space="preserve"> </w:t>
      </w:r>
      <w:r>
        <w:rPr>
          <w:rStyle w:val="27"/>
          <w:rFonts w:hint="eastAsia"/>
          <w:vertAlign w:val="baseline"/>
        </w:rPr>
        <w:t>育龄妇女：</w:t>
      </w:r>
      <w:r>
        <w:rPr>
          <w:rStyle w:val="27"/>
          <w:vertAlign w:val="baseline"/>
        </w:rPr>
        <w:t>育龄妇女广义上理解为有生育能力的女性，一般将育龄妇女的年龄界定为15-49周岁</w:t>
      </w:r>
    </w:p>
  </w:footnote>
  <w:footnote w:id="4">
    <w:p>
      <w:pPr>
        <w:pStyle w:val="18"/>
        <w:rPr>
          <w:rFonts w:hint="eastAsia"/>
        </w:rPr>
      </w:pPr>
      <w:r>
        <w:rPr>
          <w:rStyle w:val="27"/>
        </w:rPr>
        <w:footnoteRef/>
      </w:r>
      <w:r>
        <w:t xml:space="preserve"> </w:t>
      </w:r>
      <w:r>
        <w:rPr>
          <w:rFonts w:hint="eastAsia"/>
        </w:rPr>
        <w:t>引自：门头沟人口数据</w:t>
      </w:r>
      <w:r>
        <w:t>https://www.hongheiku.com/xianjirank/2811.html</w:t>
      </w:r>
    </w:p>
  </w:footnote>
  <w:footnote w:id="5">
    <w:p>
      <w:pPr>
        <w:pStyle w:val="18"/>
        <w:rPr>
          <w:rFonts w:hint="eastAsia"/>
        </w:rPr>
      </w:pPr>
      <w:r>
        <w:rPr>
          <w:rStyle w:val="24"/>
        </w:rPr>
        <w:footnoteRef/>
      </w:r>
      <w:r>
        <w:t xml:space="preserve"> </w:t>
      </w:r>
      <w:r>
        <w:rPr>
          <w:rFonts w:hint="eastAsia"/>
        </w:rPr>
        <w:t>按照</w:t>
      </w:r>
      <w:r>
        <w:rPr>
          <w:rFonts w:hint="eastAsia" w:asciiTheme="minorHAnsi" w:hAnsiTheme="minorHAnsi" w:eastAsiaTheme="minorEastAsia" w:cstheme="minorBidi"/>
          <w:kern w:val="2"/>
          <w:sz w:val="18"/>
          <w:szCs w:val="24"/>
          <w:lang w:bidi="ar-SA"/>
        </w:rPr>
        <w:t>育龄妇女人口数约为</w:t>
      </w:r>
      <w:r>
        <w:rPr>
          <w:rFonts w:asciiTheme="minorHAnsi" w:hAnsiTheme="minorHAnsi" w:eastAsiaTheme="minorEastAsia" w:cstheme="minorBidi"/>
          <w:kern w:val="2"/>
          <w:sz w:val="18"/>
          <w:szCs w:val="24"/>
          <w:lang w:bidi="ar-SA"/>
        </w:rPr>
        <w:t>9.01</w:t>
      </w:r>
      <w:r>
        <w:rPr>
          <w:rFonts w:hint="eastAsia" w:asciiTheme="minorHAnsi" w:hAnsiTheme="minorHAnsi" w:eastAsiaTheme="minorEastAsia" w:cstheme="minorBidi"/>
          <w:kern w:val="2"/>
          <w:sz w:val="18"/>
          <w:szCs w:val="24"/>
          <w:lang w:bidi="ar-SA"/>
        </w:rPr>
        <w:t>万人，测算出总和生育率为0</w:t>
      </w:r>
      <w:r>
        <w:rPr>
          <w:rFonts w:asciiTheme="minorHAnsi" w:hAnsiTheme="minorHAnsi" w:eastAsiaTheme="minorEastAsia" w:cstheme="minorBidi"/>
          <w:kern w:val="2"/>
          <w:sz w:val="18"/>
          <w:szCs w:val="24"/>
          <w:lang w:bidi="ar-SA"/>
        </w:rPr>
        <w:t>.045</w:t>
      </w:r>
    </w:p>
  </w:footnote>
  <w:footnote w:id="6">
    <w:p>
      <w:pPr>
        <w:pStyle w:val="18"/>
      </w:pPr>
      <w:r>
        <w:rPr>
          <w:rStyle w:val="27"/>
        </w:rPr>
        <w:footnoteRef/>
      </w:r>
      <w:r>
        <w:t xml:space="preserve"> </w:t>
      </w:r>
      <w:r>
        <w:rPr>
          <w:rFonts w:hint="eastAsia"/>
        </w:rPr>
        <w:t>《门头沟区养老服务设施与殡葬设施专项规划（2017-2035）总报告》中老龄人口调研问卷分析报告数据</w:t>
      </w:r>
    </w:p>
  </w:footnote>
  <w:footnote w:id="7">
    <w:p>
      <w:pPr>
        <w:pStyle w:val="18"/>
        <w:rPr>
          <w:rFonts w:hint="eastAsia"/>
        </w:rPr>
      </w:pPr>
      <w:r>
        <w:rPr>
          <w:rStyle w:val="27"/>
        </w:rPr>
        <w:footnoteRef/>
      </w:r>
      <w:r>
        <w:t xml:space="preserve"> </w:t>
      </w:r>
      <w:r>
        <w:rPr>
          <w:rFonts w:hint="eastAsia"/>
        </w:rPr>
        <w:t>数据来源：门头沟卫健委</w:t>
      </w:r>
    </w:p>
  </w:footnote>
  <w:footnote w:id="8">
    <w:p>
      <w:pPr>
        <w:pStyle w:val="18"/>
      </w:pPr>
      <w:r>
        <w:rPr>
          <w:rStyle w:val="27"/>
        </w:rPr>
        <w:footnoteRef/>
      </w:r>
      <w:r>
        <w:t xml:space="preserve"> </w:t>
      </w:r>
      <w:r>
        <w:rPr>
          <w:rFonts w:hint="eastAsia"/>
        </w:rPr>
        <w:t>2021</w:t>
      </w:r>
      <w:r>
        <w:rPr>
          <w:rFonts w:hint="eastAsia"/>
          <w:lang w:eastAsia="zh-Hans"/>
        </w:rPr>
        <w:t>年，</w:t>
      </w:r>
      <w:r>
        <w:rPr>
          <w:rFonts w:hint="eastAsia"/>
        </w:rPr>
        <w:t>门头沟</w:t>
      </w:r>
      <w:r>
        <w:rPr>
          <w:rFonts w:hint="eastAsia"/>
          <w:lang w:eastAsia="zh-Hans"/>
        </w:rPr>
        <w:t>全区城乡居民人均可支配收入为59336元，托育机构</w:t>
      </w:r>
      <w:r>
        <w:rPr>
          <w:rFonts w:hint="eastAsia"/>
        </w:rPr>
        <w:t>全日制托育服务机构收费</w:t>
      </w:r>
      <w:r>
        <w:rPr>
          <w:rFonts w:hint="eastAsia"/>
          <w:lang w:eastAsia="zh-Hans"/>
        </w:rPr>
        <w:t>按</w:t>
      </w:r>
      <w:r>
        <w:rPr>
          <w:lang w:eastAsia="zh-Hans"/>
        </w:rPr>
        <w:t>4</w:t>
      </w:r>
      <w:r>
        <w:rPr>
          <w:rFonts w:hint="eastAsia"/>
        </w:rPr>
        <w:t>000元/月</w:t>
      </w:r>
      <w:r>
        <w:rPr>
          <w:rFonts w:hint="eastAsia"/>
          <w:lang w:eastAsia="zh-Hans"/>
        </w:rPr>
        <w:t>计算，</w:t>
      </w:r>
      <w:r>
        <w:rPr>
          <w:rFonts w:hint="eastAsia"/>
        </w:rPr>
        <w:t>一年需要48000元，</w:t>
      </w:r>
      <w:r>
        <w:rPr>
          <w:rFonts w:hint="eastAsia"/>
          <w:lang w:eastAsia="zh-Hans"/>
        </w:rPr>
        <w:t>占</w:t>
      </w:r>
      <w:r>
        <w:rPr>
          <w:rFonts w:hint="eastAsia"/>
        </w:rPr>
        <w:t>年</w:t>
      </w:r>
      <w:r>
        <w:rPr>
          <w:rFonts w:hint="eastAsia"/>
          <w:lang w:eastAsia="zh-Hans"/>
        </w:rPr>
        <w:t>收入的</w:t>
      </w:r>
      <w:r>
        <w:rPr>
          <w:rFonts w:hint="eastAsia"/>
        </w:rPr>
        <w:t>80.89</w:t>
      </w:r>
      <w:r>
        <w:rPr>
          <w:lang w:eastAsia="zh-Hans"/>
        </w:rPr>
        <w:t>%</w:t>
      </w:r>
      <w:r>
        <w:rPr>
          <w:rFonts w:hint="eastAsia"/>
          <w:lang w:eastAsia="zh-Hans"/>
        </w:rPr>
        <w:t>。</w:t>
      </w:r>
    </w:p>
  </w:footnote>
  <w:footnote w:id="9">
    <w:p>
      <w:pPr>
        <w:pStyle w:val="18"/>
      </w:pPr>
      <w:r>
        <w:rPr>
          <w:rStyle w:val="27"/>
        </w:rPr>
        <w:footnoteRef/>
      </w:r>
      <w:r>
        <w:t xml:space="preserve"> </w:t>
      </w:r>
      <w:r>
        <w:rPr>
          <w:rFonts w:hint="eastAsia" w:ascii="宋体" w:hAnsi="宋体"/>
        </w:rPr>
        <w:t>《</w:t>
      </w:r>
      <w:r>
        <w:rPr>
          <w:rFonts w:hint="eastAsia"/>
        </w:rPr>
        <w:t>北京市“十四五”时期老龄事业发展规划</w:t>
      </w:r>
      <w:r>
        <w:rPr>
          <w:rFonts w:hint="eastAsia" w:ascii="宋体" w:hAnsi="宋体"/>
        </w:rPr>
        <w:t>》</w:t>
      </w:r>
      <w:r>
        <w:rPr>
          <w:rFonts w:hint="eastAsia"/>
        </w:rPr>
        <w:t>指标</w:t>
      </w:r>
    </w:p>
  </w:footnote>
  <w:footnote w:id="10">
    <w:p>
      <w:pPr>
        <w:pStyle w:val="18"/>
      </w:pPr>
      <w:r>
        <w:rPr>
          <w:rStyle w:val="27"/>
        </w:rPr>
        <w:footnoteRef/>
      </w:r>
      <w:r>
        <w:t xml:space="preserve"> </w:t>
      </w:r>
      <w:r>
        <w:rPr>
          <w:rFonts w:hint="eastAsia" w:ascii="宋体" w:hAnsi="宋体"/>
        </w:rPr>
        <w:t>《</w:t>
      </w:r>
      <w:r>
        <w:rPr>
          <w:rFonts w:hint="eastAsia"/>
        </w:rPr>
        <w:t>北京市“十四五”时期老龄事业发展规划</w:t>
      </w:r>
      <w:r>
        <w:rPr>
          <w:rFonts w:hint="eastAsia" w:ascii="宋体" w:hAnsi="宋体"/>
        </w:rPr>
        <w:t>》</w:t>
      </w:r>
      <w:r>
        <w:rPr>
          <w:rFonts w:hint="eastAsia"/>
        </w:rPr>
        <w:t>指标</w:t>
      </w:r>
    </w:p>
  </w:footnote>
  <w:footnote w:id="11">
    <w:p>
      <w:pPr>
        <w:pStyle w:val="18"/>
      </w:pPr>
      <w:r>
        <w:rPr>
          <w:rStyle w:val="27"/>
        </w:rPr>
        <w:footnoteRef/>
      </w:r>
      <w:r>
        <w:t xml:space="preserve"> </w:t>
      </w:r>
      <w:r>
        <w:rPr>
          <w:rFonts w:hint="eastAsia" w:ascii="宋体" w:hAnsi="宋体"/>
        </w:rPr>
        <w:t>《</w:t>
      </w:r>
      <w:r>
        <w:rPr>
          <w:rFonts w:hint="eastAsia"/>
        </w:rPr>
        <w:t>北京市“十四五”时期民政事业发展规划</w:t>
      </w:r>
      <w:r>
        <w:rPr>
          <w:rFonts w:hint="eastAsia" w:ascii="宋体" w:hAnsi="宋体"/>
        </w:rPr>
        <w:t>》</w:t>
      </w:r>
      <w:r>
        <w:rPr>
          <w:rFonts w:hint="eastAsia"/>
        </w:rPr>
        <w:t>指标</w:t>
      </w:r>
    </w:p>
  </w:footnote>
  <w:footnote w:id="12">
    <w:p>
      <w:pPr>
        <w:pStyle w:val="18"/>
      </w:pPr>
      <w:r>
        <w:rPr>
          <w:rStyle w:val="27"/>
        </w:rPr>
        <w:footnoteRef/>
      </w:r>
      <w:r>
        <w:t xml:space="preserve"> </w:t>
      </w:r>
      <w:r>
        <w:rPr>
          <w:rFonts w:hint="eastAsia" w:ascii="宋体" w:hAnsi="宋体"/>
        </w:rPr>
        <w:t>《国家积极应对人口老龄化中长期规划》，到2</w:t>
      </w:r>
      <w:r>
        <w:rPr>
          <w:rFonts w:ascii="宋体" w:hAnsi="宋体"/>
        </w:rPr>
        <w:t>035</w:t>
      </w:r>
      <w:r>
        <w:rPr>
          <w:rFonts w:hint="eastAsia" w:ascii="宋体" w:hAnsi="宋体"/>
        </w:rPr>
        <w:t>年，居家社区养老服务网络实现全覆盖</w:t>
      </w:r>
    </w:p>
  </w:footnote>
  <w:footnote w:id="13">
    <w:p>
      <w:pPr>
        <w:pStyle w:val="18"/>
      </w:pPr>
      <w:r>
        <w:rPr>
          <w:rStyle w:val="27"/>
        </w:rPr>
        <w:footnoteRef/>
      </w:r>
      <w:r>
        <w:t xml:space="preserve"> </w:t>
      </w:r>
      <w:r>
        <w:rPr>
          <w:rFonts w:hint="eastAsia"/>
        </w:rPr>
        <w:t>北京市“七有”“五性”监测评价指标</w:t>
      </w:r>
    </w:p>
  </w:footnote>
  <w:footnote w:id="14">
    <w:p>
      <w:pPr>
        <w:pStyle w:val="18"/>
      </w:pPr>
      <w:r>
        <w:rPr>
          <w:rStyle w:val="27"/>
        </w:rPr>
        <w:footnoteRef/>
      </w:r>
      <w:r>
        <w:t xml:space="preserve"> </w:t>
      </w:r>
      <w:r>
        <w:rPr>
          <w:rFonts w:hint="eastAsia" w:ascii="宋体" w:hAnsi="宋体"/>
        </w:rPr>
        <w:t>《国家积极应对人口老龄化中长期规划》指标</w:t>
      </w:r>
    </w:p>
  </w:footnote>
  <w:footnote w:id="15">
    <w:p>
      <w:pPr>
        <w:pStyle w:val="18"/>
      </w:pPr>
      <w:r>
        <w:rPr>
          <w:rStyle w:val="27"/>
        </w:rPr>
        <w:footnoteRef/>
      </w:r>
      <w:r>
        <w:t xml:space="preserve"> </w:t>
      </w:r>
      <w:r>
        <w:rPr>
          <w:rFonts w:hint="eastAsia" w:ascii="宋体" w:hAnsi="宋体"/>
        </w:rPr>
        <w:t>《</w:t>
      </w:r>
      <w:r>
        <w:rPr>
          <w:rFonts w:hint="eastAsia"/>
        </w:rPr>
        <w:t>北京市“十四五”时期民政事业发展规划</w:t>
      </w:r>
      <w:r>
        <w:rPr>
          <w:rFonts w:hint="eastAsia" w:ascii="宋体" w:hAnsi="宋体"/>
        </w:rPr>
        <w:t>》</w:t>
      </w:r>
      <w:r>
        <w:rPr>
          <w:rFonts w:hint="eastAsia"/>
        </w:rPr>
        <w:t>指标</w:t>
      </w:r>
    </w:p>
  </w:footnote>
  <w:footnote w:id="16">
    <w:p>
      <w:pPr>
        <w:pStyle w:val="18"/>
      </w:pPr>
      <w:r>
        <w:rPr>
          <w:rStyle w:val="27"/>
        </w:rPr>
        <w:footnoteRef/>
      </w:r>
      <w:r>
        <w:t xml:space="preserve"> </w:t>
      </w:r>
      <w:r>
        <w:rPr>
          <w:rFonts w:hint="eastAsia" w:ascii="宋体" w:hAnsi="宋体"/>
        </w:rPr>
        <w:t>《</w:t>
      </w:r>
      <w:r>
        <w:rPr>
          <w:rFonts w:hint="eastAsia"/>
        </w:rPr>
        <w:t>北京市“十四五”时期老龄事业发展规划</w:t>
      </w:r>
      <w:r>
        <w:rPr>
          <w:rFonts w:hint="eastAsia" w:ascii="宋体" w:hAnsi="宋体"/>
        </w:rPr>
        <w:t>》</w:t>
      </w:r>
      <w:r>
        <w:rPr>
          <w:rFonts w:hint="eastAsia"/>
        </w:rPr>
        <w:t>指标</w:t>
      </w:r>
    </w:p>
  </w:footnote>
  <w:footnote w:id="17">
    <w:p>
      <w:pPr>
        <w:pStyle w:val="18"/>
      </w:pPr>
      <w:r>
        <w:rPr>
          <w:rStyle w:val="27"/>
        </w:rPr>
        <w:footnoteRef/>
      </w:r>
      <w:r>
        <w:t xml:space="preserve"> </w:t>
      </w:r>
      <w:r>
        <w:rPr>
          <w:rFonts w:hint="eastAsia" w:ascii="宋体" w:hAnsi="宋体"/>
        </w:rPr>
        <w:t>《北京市社区养老服务驿站运营扶持办法》（京民养老发〔2021〕154号）社区养老服务驿站养老服务清单需每周入户探访1次(每次入户探访原则不少于20分钟)</w:t>
      </w:r>
    </w:p>
  </w:footnote>
  <w:footnote w:id="18">
    <w:p>
      <w:pPr>
        <w:pStyle w:val="18"/>
      </w:pPr>
      <w:r>
        <w:rPr>
          <w:rStyle w:val="27"/>
        </w:rPr>
        <w:footnoteRef/>
      </w:r>
      <w:r>
        <w:t xml:space="preserve"> </w:t>
      </w:r>
      <w:r>
        <w:rPr>
          <w:rFonts w:hint="eastAsia"/>
        </w:rPr>
        <w:t>门头沟区“十四五”时期妇女儿童发展规划（2021-2025年）</w:t>
      </w:r>
    </w:p>
  </w:footnote>
  <w:footnote w:id="19">
    <w:p>
      <w:pPr>
        <w:pStyle w:val="18"/>
      </w:pPr>
      <w:r>
        <w:rPr>
          <w:rStyle w:val="27"/>
        </w:rPr>
        <w:footnoteRef/>
      </w:r>
      <w:r>
        <w:t xml:space="preserve"> </w:t>
      </w:r>
      <w:r>
        <w:rPr>
          <w:rFonts w:hint="eastAsia"/>
        </w:rPr>
        <w:t>《关于优化生育政策促进人口长期均衡发展的实施方案》，北京市拟提出城六区托育服务社区全覆盖，其他区8</w:t>
      </w:r>
      <w:r>
        <w:t>5%</w:t>
      </w:r>
      <w:r>
        <w:rPr>
          <w:rFonts w:hint="eastAsia"/>
        </w:rPr>
        <w:t>的目标</w:t>
      </w:r>
    </w:p>
  </w:footnote>
  <w:footnote w:id="20">
    <w:p>
      <w:pPr>
        <w:pStyle w:val="18"/>
      </w:pPr>
      <w:r>
        <w:rPr>
          <w:rStyle w:val="27"/>
        </w:rPr>
        <w:footnoteRef/>
      </w:r>
      <w:r>
        <w:t xml:space="preserve"> </w:t>
      </w:r>
      <w:r>
        <w:rPr>
          <w:rFonts w:hint="eastAsia"/>
        </w:rPr>
        <w:t>《关于优化生育政策促进人口长期均衡发展的实施方案》</w:t>
      </w:r>
    </w:p>
  </w:footnote>
  <w:footnote w:id="21">
    <w:p>
      <w:pPr>
        <w:pStyle w:val="18"/>
      </w:pPr>
      <w:r>
        <w:rPr>
          <w:rStyle w:val="27"/>
        </w:rPr>
        <w:footnoteRef/>
      </w:r>
      <w:r>
        <w:t xml:space="preserve">  </w:t>
      </w:r>
      <w:r>
        <w:rPr>
          <w:rFonts w:hint="eastAsia"/>
        </w:rPr>
        <w:t>参考《云南省“十四五”托育发展规划（征求意见稿）》</w:t>
      </w:r>
    </w:p>
  </w:footnote>
  <w:footnote w:id="22">
    <w:p>
      <w:pPr>
        <w:pStyle w:val="18"/>
      </w:pPr>
      <w:r>
        <w:rPr>
          <w:rStyle w:val="27"/>
        </w:rPr>
        <w:footnoteRef/>
      </w:r>
      <w:r>
        <w:t xml:space="preserve">  </w:t>
      </w:r>
      <w:r>
        <w:rPr>
          <w:rFonts w:hint="eastAsia"/>
        </w:rPr>
        <w:t>参考《广西医疗卫生服务体系“十四五”规划》</w:t>
      </w:r>
    </w:p>
  </w:footnote>
  <w:footnote w:id="23">
    <w:p>
      <w:pPr>
        <w:pStyle w:val="18"/>
        <w:rPr>
          <w:rFonts w:hint="eastAsia"/>
        </w:rPr>
      </w:pPr>
      <w:r>
        <w:rPr>
          <w:rStyle w:val="27"/>
          <w:rFonts w:ascii="Times New Roman" w:hAnsi="Times New Roman" w:eastAsia="宋体" w:cs="Times New Roman"/>
        </w:rPr>
        <w:footnoteRef/>
      </w:r>
      <w:r>
        <w:rPr>
          <w:rStyle w:val="27"/>
          <w:rFonts w:ascii="Times New Roman" w:hAnsi="Times New Roman" w:eastAsia="宋体" w:cs="Times New Roman"/>
        </w:rPr>
        <w:t xml:space="preserve">  </w:t>
      </w:r>
      <w:r>
        <w:rPr>
          <w:rFonts w:hint="eastAsia"/>
        </w:rPr>
        <w:t>参考中共</w:t>
      </w:r>
      <w:r>
        <w:rPr>
          <w:rStyle w:val="27"/>
          <w:rFonts w:hint="eastAsia" w:ascii="宋体" w:hAnsi="宋体" w:eastAsia="宋体" w:cs="宋体"/>
          <w:color w:val="333333"/>
          <w:sz w:val="18"/>
          <w:szCs w:val="18"/>
          <w:shd w:val="clear" w:color="auto" w:fill="FFFFFF"/>
          <w:vertAlign w:val="baseline"/>
        </w:rPr>
        <w:t>北京市委</w:t>
      </w:r>
      <w:r>
        <w:rPr>
          <w:rFonts w:hint="eastAsia" w:ascii="宋体" w:hAnsi="宋体" w:eastAsia="宋体" w:cs="宋体"/>
          <w:szCs w:val="18"/>
        </w:rPr>
        <w:t xml:space="preserve"> </w:t>
      </w:r>
      <w:r>
        <w:rPr>
          <w:rStyle w:val="27"/>
          <w:rFonts w:hint="eastAsia" w:ascii="宋体" w:hAnsi="宋体" w:eastAsia="宋体" w:cs="宋体"/>
          <w:color w:val="333333"/>
          <w:sz w:val="18"/>
          <w:szCs w:val="18"/>
          <w:shd w:val="clear" w:color="auto" w:fill="FFFFFF"/>
          <w:vertAlign w:val="baseline"/>
        </w:rPr>
        <w:t>北京市人民政府印发《关于优化生育政策促进人口长期均衡发展的实施方案》的通知</w:t>
      </w:r>
    </w:p>
  </w:footnote>
  <w:footnote w:id="24">
    <w:p>
      <w:pPr>
        <w:pStyle w:val="18"/>
      </w:pPr>
      <w:r>
        <w:rPr>
          <w:rStyle w:val="27"/>
        </w:rPr>
        <w:footnoteRef/>
      </w:r>
      <w:r>
        <w:t xml:space="preserve"> </w:t>
      </w:r>
      <w:r>
        <w:rPr>
          <w:rFonts w:hint="eastAsia" w:ascii="宋体" w:hAnsi="宋体"/>
        </w:rPr>
        <w:t>《</w:t>
      </w:r>
      <w:r>
        <w:rPr>
          <w:rFonts w:hint="eastAsia"/>
        </w:rPr>
        <w:t>北京市“十四五”时期老龄事业发展规划</w:t>
      </w:r>
      <w:r>
        <w:rPr>
          <w:rFonts w:hint="eastAsia" w:ascii="宋体" w:hAnsi="宋体"/>
        </w:rPr>
        <w:t>》</w:t>
      </w:r>
      <w:r>
        <w:rPr>
          <w:rFonts w:hint="eastAsia"/>
        </w:rPr>
        <w:t>指标</w:t>
      </w:r>
    </w:p>
  </w:footnote>
  <w:footnote w:id="25">
    <w:p>
      <w:pPr>
        <w:pStyle w:val="18"/>
      </w:pPr>
      <w:r>
        <w:rPr>
          <w:rStyle w:val="27"/>
        </w:rPr>
        <w:footnoteRef/>
      </w:r>
      <w:r>
        <w:t xml:space="preserve"> </w:t>
      </w:r>
      <w:r>
        <w:rPr>
          <w:rFonts w:hint="eastAsia" w:ascii="宋体" w:hAnsi="宋体"/>
        </w:rPr>
        <w:t>《</w:t>
      </w:r>
      <w:r>
        <w:rPr>
          <w:rFonts w:hint="eastAsia"/>
        </w:rPr>
        <w:t>北京市“十四五”时期老龄事业发展规划</w:t>
      </w:r>
      <w:r>
        <w:rPr>
          <w:rFonts w:hint="eastAsia" w:ascii="宋体" w:hAnsi="宋体"/>
        </w:rPr>
        <w:t>》</w:t>
      </w:r>
      <w:r>
        <w:rPr>
          <w:rFonts w:hint="eastAsia"/>
        </w:rPr>
        <w:t>指标</w:t>
      </w:r>
    </w:p>
  </w:footnote>
  <w:footnote w:id="26">
    <w:p>
      <w:pPr>
        <w:pStyle w:val="18"/>
      </w:pPr>
      <w:r>
        <w:rPr>
          <w:rStyle w:val="27"/>
        </w:rPr>
        <w:footnoteRef/>
      </w:r>
      <w:r>
        <w:t xml:space="preserve"> </w:t>
      </w:r>
      <w:r>
        <w:rPr>
          <w:rFonts w:hint="eastAsia" w:ascii="宋体" w:hAnsi="宋体"/>
        </w:rPr>
        <w:t>《</w:t>
      </w:r>
      <w:r>
        <w:rPr>
          <w:rFonts w:hint="eastAsia"/>
        </w:rPr>
        <w:t>北京市“十四五”时期老龄事业发展规划</w:t>
      </w:r>
      <w:r>
        <w:rPr>
          <w:rFonts w:hint="eastAsia" w:ascii="宋体" w:hAnsi="宋体"/>
        </w:rPr>
        <w:t>》</w:t>
      </w:r>
      <w:r>
        <w:rPr>
          <w:rFonts w:hint="eastAsia"/>
        </w:rPr>
        <w:t>指标</w:t>
      </w:r>
    </w:p>
  </w:footnote>
  <w:footnote w:id="27">
    <w:p>
      <w:pPr>
        <w:pStyle w:val="18"/>
      </w:pPr>
      <w:r>
        <w:rPr>
          <w:rStyle w:val="27"/>
        </w:rPr>
        <w:footnoteRef/>
      </w:r>
      <w:r>
        <w:t xml:space="preserve"> </w:t>
      </w:r>
      <w:r>
        <w:rPr>
          <w:rFonts w:hint="eastAsia" w:ascii="宋体" w:hAnsi="宋体"/>
        </w:rPr>
        <w:t>《</w:t>
      </w:r>
      <w:r>
        <w:rPr>
          <w:rFonts w:hint="eastAsia"/>
        </w:rPr>
        <w:t>北京市“十四五”时期老龄事业发展规划</w:t>
      </w:r>
      <w:r>
        <w:rPr>
          <w:rFonts w:hint="eastAsia" w:ascii="宋体" w:hAnsi="宋体"/>
        </w:rPr>
        <w:t>》</w:t>
      </w:r>
      <w:r>
        <w:rPr>
          <w:rFonts w:hint="eastAsia"/>
        </w:rPr>
        <w:t>指标</w:t>
      </w:r>
    </w:p>
  </w:footnote>
  <w:footnote w:id="28">
    <w:p>
      <w:pPr>
        <w:pStyle w:val="18"/>
        <w:rPr>
          <w:rFonts w:ascii="宋体" w:hAnsi="宋体"/>
        </w:rPr>
      </w:pPr>
      <w:r>
        <w:rPr>
          <w:rStyle w:val="27"/>
          <w:rFonts w:hint="eastAsia"/>
        </w:rPr>
        <w:footnoteRef/>
      </w:r>
      <w:r>
        <w:rPr>
          <w:rStyle w:val="27"/>
          <w:rFonts w:hint="eastAsia"/>
        </w:rPr>
        <w:t xml:space="preserve"> </w:t>
      </w:r>
      <w:r>
        <w:t xml:space="preserve"> </w:t>
      </w:r>
      <w:r>
        <w:rPr>
          <w:rFonts w:hint="eastAsia"/>
        </w:rPr>
        <w:t>门头沟区“十四五”时期妇女儿童发展规划（2021-2025年）</w:t>
      </w:r>
    </w:p>
  </w:footnote>
  <w:footnote w:id="29">
    <w:p>
      <w:pPr>
        <w:pStyle w:val="18"/>
      </w:pPr>
      <w:r>
        <w:rPr>
          <w:rStyle w:val="27"/>
        </w:rPr>
        <w:footnoteRef/>
      </w:r>
      <w:r>
        <w:t xml:space="preserve">  </w:t>
      </w:r>
      <w:r>
        <w:rPr>
          <w:rFonts w:hint="eastAsia"/>
        </w:rPr>
        <w:t>门头沟区“十四五”时期妇女儿童发展规划（2021-2025年）</w:t>
      </w:r>
    </w:p>
  </w:footnote>
  <w:footnote w:id="30">
    <w:p>
      <w:pPr>
        <w:pStyle w:val="18"/>
      </w:pPr>
      <w:r>
        <w:rPr>
          <w:rStyle w:val="27"/>
        </w:rPr>
        <w:footnoteRef/>
      </w:r>
      <w:r>
        <w:t xml:space="preserve"> </w:t>
      </w:r>
      <w:r>
        <w:rPr>
          <w:rFonts w:hint="eastAsia"/>
        </w:rPr>
        <w:t xml:space="preserve"> 门头沟区“十四五”时期妇女儿童发展规划（2021-2025年）</w:t>
      </w:r>
      <w:r>
        <w:t>”</w:t>
      </w:r>
      <w:r>
        <w:rPr>
          <w:rFonts w:hint="eastAsia"/>
        </w:rPr>
        <w:t>适龄儿童免疫规划疫苗接种率以镇、街为单位保持在95%以上</w:t>
      </w:r>
      <w:r>
        <w:t>”</w:t>
      </w:r>
    </w:p>
  </w:footnote>
  <w:footnote w:id="31">
    <w:p>
      <w:pPr>
        <w:pStyle w:val="18"/>
      </w:pPr>
      <w:r>
        <w:rPr>
          <w:rStyle w:val="27"/>
        </w:rPr>
        <w:footnoteRef/>
      </w:r>
      <w:r>
        <w:t xml:space="preserve"> </w:t>
      </w:r>
      <w:r>
        <w:rPr>
          <w:rFonts w:hint="eastAsia"/>
        </w:rPr>
        <w:t>门头沟区“十四五”时期妇女儿童发展规划（2021-2025年）</w:t>
      </w:r>
    </w:p>
  </w:footnote>
  <w:footnote w:id="32">
    <w:p>
      <w:pPr>
        <w:pStyle w:val="18"/>
      </w:pPr>
      <w:r>
        <w:rPr>
          <w:rStyle w:val="27"/>
        </w:rPr>
        <w:footnoteRef/>
      </w:r>
      <w:r>
        <w:t xml:space="preserve"> </w:t>
      </w:r>
      <w:r>
        <w:rPr>
          <w:rFonts w:hint="eastAsia"/>
        </w:rPr>
        <w:t>门头沟区“十四五”时期妇女儿童发展规划（2021-2025年）</w:t>
      </w:r>
    </w:p>
  </w:footnote>
  <w:footnote w:id="33">
    <w:p>
      <w:pPr>
        <w:pStyle w:val="18"/>
      </w:pPr>
      <w:r>
        <w:rPr>
          <w:rStyle w:val="27"/>
        </w:rPr>
        <w:footnoteRef/>
      </w:r>
      <w:r>
        <w:t xml:space="preserve"> </w:t>
      </w:r>
      <w:r>
        <w:rPr>
          <w:lang w:eastAsia="zh-Hans"/>
        </w:rPr>
        <w:t>《北京市养老服务专项规划(2021年—2035年)》</w:t>
      </w:r>
      <w:r>
        <w:rPr>
          <w:rFonts w:hint="eastAsia"/>
        </w:rPr>
        <w:t>指标</w:t>
      </w:r>
    </w:p>
  </w:footnote>
  <w:footnote w:id="34">
    <w:p>
      <w:pPr>
        <w:pStyle w:val="18"/>
      </w:pPr>
      <w:r>
        <w:rPr>
          <w:rStyle w:val="27"/>
        </w:rPr>
        <w:footnoteRef/>
      </w:r>
      <w:r>
        <w:t xml:space="preserve"> </w:t>
      </w:r>
      <w:r>
        <w:rPr>
          <w:rFonts w:hint="eastAsia" w:ascii="宋体" w:hAnsi="宋体"/>
        </w:rPr>
        <w:t>《国家积极应对人口老龄化中长期规划》指标</w:t>
      </w:r>
    </w:p>
  </w:footnote>
  <w:footnote w:id="35">
    <w:p>
      <w:pPr>
        <w:pStyle w:val="18"/>
      </w:pPr>
      <w:r>
        <w:rPr>
          <w:rStyle w:val="27"/>
        </w:rPr>
        <w:footnoteRef/>
      </w:r>
      <w:r>
        <w:t xml:space="preserve"> </w:t>
      </w:r>
      <w:r>
        <w:rPr>
          <w:rFonts w:hint="eastAsia"/>
        </w:rPr>
        <w:t>具有幼儿园教师资格证、保育员证、育婴员证的托育行业在职人员</w:t>
      </w:r>
    </w:p>
  </w:footnote>
  <w:footnote w:id="36">
    <w:p>
      <w:pPr>
        <w:pStyle w:val="18"/>
      </w:pPr>
      <w:r>
        <w:rPr>
          <w:rStyle w:val="27"/>
        </w:rPr>
        <w:footnoteRef/>
      </w:r>
      <w:r>
        <w:t xml:space="preserve"> </w:t>
      </w:r>
      <w:r>
        <w:rPr>
          <w:rFonts w:hint="eastAsia"/>
        </w:rPr>
        <w:t>2022年，门头沟托育服务人才数量为36人，每千人口拥有3岁以下婴幼儿托位数为0.63个，按照2025年建成每千人口拥有3岁以下婴幼儿托位数4.5个推算，到2025年预期托育服务人才应有257人。</w:t>
      </w:r>
    </w:p>
  </w:footnote>
  <w:footnote w:id="37">
    <w:p>
      <w:pPr>
        <w:pStyle w:val="18"/>
        <w:rPr>
          <w:rFonts w:hint="eastAsia" w:eastAsiaTheme="minorEastAsia"/>
          <w:lang w:eastAsia="zh-CN"/>
        </w:rPr>
      </w:pPr>
      <w:r>
        <w:rPr>
          <w:rStyle w:val="27"/>
        </w:rPr>
        <w:footnoteRef/>
      </w:r>
      <w:r>
        <w:t xml:space="preserve"> </w:t>
      </w:r>
      <w:r>
        <w:rPr>
          <w:rFonts w:hint="eastAsia"/>
        </w:rPr>
        <w:t>2020年，门头沟区60岁及以上人口为8.88万人，门头沟区人均消费支出31889元，按老年人人均消费的7成用于养老支出测算养老产业规模约为28亿元；按照老龄化率预测法推算数据，2025年老年人口13万，按3万元养老消费支出测算，2025年养老产业规模值大约39亿，增加值约为11亿元</w:t>
      </w:r>
      <w:r>
        <w:rPr>
          <w:rFonts w:hint="eastAsia"/>
          <w:lang w:eastAsia="zh-CN"/>
        </w:rPr>
        <w:t>。</w:t>
      </w:r>
    </w:p>
  </w:footnote>
  <w:footnote w:id="38">
    <w:p>
      <w:pPr>
        <w:pStyle w:val="18"/>
        <w:rPr>
          <w:rFonts w:hint="eastAsia" w:eastAsiaTheme="minorEastAsia"/>
          <w:lang w:eastAsia="zh-CN"/>
        </w:rPr>
      </w:pPr>
      <w:r>
        <w:rPr>
          <w:rStyle w:val="27"/>
        </w:rPr>
        <w:footnoteRef/>
      </w:r>
      <w:r>
        <w:t xml:space="preserve"> </w:t>
      </w:r>
      <w:r>
        <w:rPr>
          <w:rFonts w:hint="eastAsia"/>
        </w:rPr>
        <w:t>门头沟区现有养老企业爱暮家养老服务管理有限公司、首钢医疗投资有限公司、河南舞钢敬老院3家，还有4家公建敬老院要实现公建民营布局，“十四五”末期，预期达到7家</w:t>
      </w:r>
      <w:r>
        <w:rPr>
          <w:rFonts w:hint="eastAsia"/>
          <w:lang w:eastAsia="zh-CN"/>
        </w:rPr>
        <w:t>。</w:t>
      </w:r>
    </w:p>
  </w:footnote>
  <w:footnote w:id="39">
    <w:p>
      <w:pPr>
        <w:pStyle w:val="18"/>
        <w:rPr>
          <w:rFonts w:hint="eastAsia" w:eastAsiaTheme="minorEastAsia"/>
          <w:lang w:val="en-US" w:eastAsia="zh-CN"/>
        </w:rPr>
      </w:pPr>
      <w:r>
        <w:rPr>
          <w:rStyle w:val="27"/>
        </w:rPr>
        <w:footnoteRef/>
      </w:r>
      <w:r>
        <w:t xml:space="preserve"> </w:t>
      </w:r>
      <w:r>
        <w:rPr>
          <w:rFonts w:hint="eastAsia" w:ascii="宋体" w:hAnsi="宋体"/>
        </w:rPr>
        <w:t>《</w:t>
      </w:r>
      <w:r>
        <w:rPr>
          <w:rFonts w:hint="eastAsia"/>
        </w:rPr>
        <w:t>北京市“十四五”时期老龄事业发展规划</w:t>
      </w:r>
      <w:r>
        <w:rPr>
          <w:rFonts w:hint="eastAsia" w:ascii="宋体" w:hAnsi="宋体"/>
        </w:rPr>
        <w:t>》指标老年大学办学点覆盖50%以上街乡镇，门头沟区共有13个街乡镇，按此比例约为6个</w:t>
      </w:r>
      <w:r>
        <w:rPr>
          <w:rFonts w:hint="eastAsia" w:ascii="宋体" w:hAnsi="宋体"/>
          <w:lang w:eastAsia="zh-CN"/>
        </w:rPr>
        <w:t>。</w:t>
      </w:r>
    </w:p>
  </w:footnote>
  <w:footnote w:id="40">
    <w:p>
      <w:pPr>
        <w:pStyle w:val="18"/>
      </w:pPr>
      <w:r>
        <w:rPr>
          <w:rStyle w:val="27"/>
        </w:rPr>
        <w:footnoteRef/>
      </w:r>
      <w:r>
        <w:t xml:space="preserve"> </w:t>
      </w:r>
      <w:r>
        <w:rPr>
          <w:rFonts w:hint="eastAsia" w:ascii="宋体" w:hAnsi="宋体"/>
        </w:rPr>
        <w:t>《</w:t>
      </w:r>
      <w:r>
        <w:rPr>
          <w:rFonts w:hint="eastAsia"/>
        </w:rPr>
        <w:t>北京市“十四五”时期老龄事业发展规划</w:t>
      </w:r>
      <w:r>
        <w:rPr>
          <w:rFonts w:hint="eastAsia" w:ascii="宋体" w:hAnsi="宋体"/>
        </w:rPr>
        <w:t>》指标</w:t>
      </w:r>
    </w:p>
  </w:footnote>
  <w:footnote w:id="41">
    <w:p>
      <w:pPr>
        <w:pStyle w:val="18"/>
      </w:pPr>
      <w:r>
        <w:rPr>
          <w:rStyle w:val="27"/>
        </w:rPr>
        <w:footnoteRef/>
      </w:r>
      <w:r>
        <w:t xml:space="preserve"> </w:t>
      </w:r>
      <w:r>
        <w:rPr>
          <w:rFonts w:hint="eastAsia" w:ascii="宋体" w:hAnsi="宋体"/>
        </w:rPr>
        <w:t>《</w:t>
      </w:r>
      <w:r>
        <w:rPr>
          <w:rFonts w:hint="eastAsia"/>
        </w:rPr>
        <w:t>北京市“十四五”时期民政事业发展规划</w:t>
      </w:r>
      <w:r>
        <w:rPr>
          <w:rFonts w:hint="eastAsia" w:ascii="宋体" w:hAnsi="宋体"/>
        </w:rPr>
        <w:t>》</w:t>
      </w:r>
      <w:r>
        <w:rPr>
          <w:rFonts w:hint="eastAsia"/>
        </w:rPr>
        <w:t>指标</w:t>
      </w:r>
    </w:p>
  </w:footnote>
  <w:footnote w:id="42">
    <w:p>
      <w:pPr>
        <w:pStyle w:val="18"/>
        <w:rPr>
          <w:rFonts w:hint="eastAsia" w:eastAsiaTheme="minorEastAsia"/>
          <w:lang w:eastAsia="zh-CN"/>
        </w:rPr>
      </w:pPr>
      <w:r>
        <w:rPr>
          <w:rStyle w:val="27"/>
        </w:rPr>
        <w:footnoteRef/>
      </w:r>
      <w:r>
        <w:t xml:space="preserve"> </w:t>
      </w:r>
      <w:r>
        <w:rPr>
          <w:rFonts w:hint="eastAsia"/>
        </w:rPr>
        <w:t>门头沟区现有妙峰山镇炭厂村为“北京市老年友好型社区”，按照每年1-2个社区发展速度，设置为不低于5个</w:t>
      </w:r>
      <w:r>
        <w:rPr>
          <w:rFonts w:hint="eastAsia"/>
          <w:lang w:eastAsia="zh-CN"/>
        </w:rPr>
        <w:t>。</w:t>
      </w:r>
    </w:p>
  </w:footnote>
  <w:footnote w:id="43">
    <w:p>
      <w:pPr>
        <w:pStyle w:val="18"/>
        <w:snapToGrid w:val="0"/>
      </w:pPr>
      <w:r>
        <w:rPr>
          <w:rStyle w:val="27"/>
        </w:rPr>
        <w:footnoteRef/>
      </w:r>
      <w:r>
        <w:t xml:space="preserve"> </w:t>
      </w:r>
      <w:r>
        <w:rPr>
          <w:rFonts w:hint="eastAsia"/>
          <w:lang w:val="en-US" w:eastAsia="zh-CN"/>
        </w:rPr>
        <w:t>《“十四五”国家老龄事业发展和养老服务体系规划》</w:t>
      </w:r>
    </w:p>
  </w:footnote>
  <w:footnote w:id="44">
    <w:p>
      <w:pPr>
        <w:pStyle w:val="18"/>
      </w:pPr>
      <w:r>
        <w:rPr>
          <w:rStyle w:val="27"/>
        </w:rPr>
        <w:footnoteRef/>
      </w:r>
      <w:r>
        <w:t xml:space="preserve"> </w:t>
      </w:r>
      <w:r>
        <w:rPr>
          <w:rFonts w:hint="eastAsia"/>
        </w:rPr>
        <w:t>喘息服务：为老龄失能人群的照顾者提供一系列临时的支持性替代服务，使他们的照顾者获得暂时的放松和休息。</w:t>
      </w:r>
    </w:p>
  </w:footnote>
  <w:footnote w:id="45">
    <w:p>
      <w:pPr>
        <w:pStyle w:val="18"/>
      </w:pPr>
      <w:r>
        <w:rPr>
          <w:rStyle w:val="27"/>
        </w:rPr>
        <w:footnoteRef/>
      </w:r>
      <w:r>
        <w:t xml:space="preserve"> </w:t>
      </w:r>
      <w:r>
        <w:rPr>
          <w:rFonts w:hint="eastAsia"/>
        </w:rPr>
        <w:t>参考：中共北京市委 北京市人民政府印发《关于优化生育政策促进人口长期均衡发展的实施方案》的通知</w:t>
      </w:r>
    </w:p>
  </w:footnote>
  <w:footnote w:id="46">
    <w:p>
      <w:pPr>
        <w:pStyle w:val="18"/>
      </w:pPr>
      <w:r>
        <w:rPr>
          <w:rStyle w:val="27"/>
        </w:rPr>
        <w:footnoteRef/>
      </w:r>
      <w:r>
        <w:t xml:space="preserve"> </w:t>
      </w:r>
      <w:r>
        <w:rPr>
          <w:rFonts w:hint="eastAsia"/>
        </w:rPr>
        <w:t>参考《广西促进养老托育服务健康发展三年行动方案（2021—2023年）》《南宁市促进养老托育健康服务发展实施方案》《杭州关于促进3岁以下婴幼儿照护服务健康发展的通知》相关做法。</w:t>
      </w:r>
    </w:p>
  </w:footnote>
  <w:footnote w:id="47">
    <w:p>
      <w:pPr>
        <w:pStyle w:val="18"/>
      </w:pPr>
      <w:r>
        <w:rPr>
          <w:rStyle w:val="27"/>
        </w:rPr>
        <w:footnoteRef/>
      </w:r>
      <w:r>
        <w:t xml:space="preserve"> </w:t>
      </w:r>
      <w:r>
        <w:rPr>
          <w:rFonts w:hint="eastAsia"/>
        </w:rPr>
        <w:t>参考中共北京市委 北京市人民政府印发《关于优化生育政策促进人口长期均衡发展的实施方案》的通知</w:t>
      </w:r>
    </w:p>
  </w:footnote>
  <w:footnote w:id="48">
    <w:p>
      <w:pPr>
        <w:pStyle w:val="18"/>
      </w:pPr>
      <w:r>
        <w:rPr>
          <w:rStyle w:val="27"/>
        </w:rPr>
        <w:footnoteRef/>
      </w:r>
      <w:r>
        <w:t xml:space="preserve"> </w:t>
      </w:r>
      <w:r>
        <w:rPr>
          <w:rFonts w:hint="eastAsia"/>
        </w:rPr>
        <w:t>根据门头沟区0-3岁儿童数量测算平均值而定</w:t>
      </w:r>
    </w:p>
  </w:footnote>
  <w:footnote w:id="49">
    <w:p>
      <w:pPr>
        <w:pStyle w:val="18"/>
      </w:pPr>
      <w:r>
        <w:rPr>
          <w:rStyle w:val="27"/>
        </w:rPr>
        <w:footnoteRef/>
      </w:r>
      <w:r>
        <w:rPr>
          <w:rFonts w:hint="eastAsia"/>
        </w:rPr>
        <w:t>床位数计算如下：</w:t>
      </w:r>
      <w:r>
        <w:t xml:space="preserve"> </w:t>
      </w:r>
      <w:r>
        <w:rPr>
          <w:rFonts w:hint="eastAsia"/>
        </w:rPr>
        <w:t>MC00-0015-0086地块福利用地400张，MC00-0013-0063地块福利用地100张，MC00-0605-0009地块福利用地60张，MC16-0058地块福利用地300张，门头沟区新城20街区地块A61机构养老设施建设项目230张，共计1090张；加上社会力量筹建的桃园村养老综合服务中心600张，水峪嘴村老年服务中心472张，共计新增2162张。</w:t>
      </w:r>
    </w:p>
  </w:footnote>
  <w:footnote w:id="50">
    <w:p>
      <w:pPr>
        <w:pStyle w:val="18"/>
      </w:pPr>
      <w:r>
        <w:rPr>
          <w:rStyle w:val="27"/>
        </w:rPr>
        <w:footnoteRef/>
      </w:r>
      <w:r>
        <w:t xml:space="preserve"> </w:t>
      </w:r>
      <w:r>
        <w:rPr>
          <w:rFonts w:hint="eastAsia"/>
        </w:rPr>
        <w:t>护理型床位：根据2020年民政部办公厅《关于加快推进护理型养老床位发展与监测工作的通知》（民办函〔2020〕38号），护理型养老床位是保障失能老年人基本生活照料和护理服务的床位设施。同时符合以下条件，可界定为护理型床位：（一）配备护理床，具备移动、防滑、辅助起坐等基础护理功能；或配置普通床并按完全失能人员1：3、部门失能人员1：6的比例配备养老护理人员。（二）老年人居室、卫生间、浴室、餐厅、公共活动空间实现无障碍。（三）配备协助失能老年人移动、就餐、洗浴、如厕等基本生活和服务所需辅助器具。按照《老年养护院建设标准》建设的养老机构，其床位均纳入护理型养老床位范围。</w:t>
      </w:r>
    </w:p>
  </w:footnote>
  <w:footnote w:id="51">
    <w:p>
      <w:pPr>
        <w:pStyle w:val="18"/>
      </w:pPr>
      <w:r>
        <w:rPr>
          <w:rStyle w:val="27"/>
        </w:rPr>
        <w:footnoteRef/>
      </w:r>
      <w:r>
        <w:t xml:space="preserve"> </w:t>
      </w:r>
      <w:r>
        <w:rPr>
          <w:rFonts w:hint="eastAsia"/>
        </w:rPr>
        <w:t>养老协作区域划分依据《北京市门头沟区人民政府办公室关于印发门头沟区镇级公办养老机构管理体制改革工作方案的通知》（门政办发〔2020〕2号）</w:t>
      </w:r>
    </w:p>
  </w:footnote>
  <w:footnote w:id="52">
    <w:p>
      <w:pPr>
        <w:pStyle w:val="18"/>
        <w:rPr>
          <w:rFonts w:hint="eastAsia" w:eastAsiaTheme="minorEastAsia"/>
          <w:lang w:eastAsia="zh-CN"/>
        </w:rPr>
      </w:pPr>
      <w:r>
        <w:rPr>
          <w:rStyle w:val="27"/>
        </w:rPr>
        <w:footnoteRef/>
      </w:r>
      <w:r>
        <w:t xml:space="preserve"> </w:t>
      </w:r>
      <w:r>
        <w:rPr>
          <w:rFonts w:hint="eastAsia"/>
        </w:rPr>
        <w:t>参考：中共北京市委 北京市人民政府印发《关于优化生育政策促进人口长期均衡发展》《关于进一步完善和落实积极生育支持措施的指导意见》《促进3岁以下婴幼儿照护服务发展实施方案》</w:t>
      </w:r>
      <w:r>
        <w:rPr>
          <w:rFonts w:hint="eastAsia"/>
          <w:lang w:eastAsia="zh-CN"/>
        </w:rPr>
        <w:t>。</w:t>
      </w:r>
    </w:p>
  </w:footnote>
  <w:footnote w:id="53">
    <w:p>
      <w:pPr>
        <w:pStyle w:val="18"/>
        <w:rPr>
          <w:highlight w:val="none"/>
        </w:rPr>
      </w:pPr>
      <w:r>
        <w:rPr>
          <w:rStyle w:val="27"/>
        </w:rPr>
        <w:footnoteRef/>
      </w:r>
      <w:r>
        <w:rPr>
          <w:highlight w:val="none"/>
        </w:rPr>
        <w:t xml:space="preserve"> </w:t>
      </w:r>
      <w:r>
        <w:rPr>
          <w:rFonts w:hint="eastAsia"/>
          <w:highlight w:val="none"/>
        </w:rPr>
        <w:t>门头沟区202</w:t>
      </w:r>
      <w:r>
        <w:rPr>
          <w:rFonts w:hint="eastAsia"/>
          <w:highlight w:val="none"/>
          <w:lang w:val="en-US" w:eastAsia="zh-CN"/>
        </w:rPr>
        <w:t>2</w:t>
      </w:r>
      <w:r>
        <w:rPr>
          <w:rFonts w:hint="eastAsia"/>
          <w:highlight w:val="none"/>
        </w:rPr>
        <w:t>年培训养老护理员指标为150人。依据总结材料，培训人次，2021年</w:t>
      </w:r>
      <w:r>
        <w:rPr>
          <w:rFonts w:hint="eastAsia"/>
          <w:highlight w:val="none"/>
          <w:lang w:val="en-US" w:eastAsia="zh-CN"/>
        </w:rPr>
        <w:t>185</w:t>
      </w:r>
      <w:r>
        <w:rPr>
          <w:rFonts w:hint="eastAsia"/>
          <w:highlight w:val="none"/>
        </w:rPr>
        <w:t>人，预估2023年</w:t>
      </w:r>
      <w:r>
        <w:rPr>
          <w:rFonts w:hint="eastAsia"/>
          <w:highlight w:val="none"/>
          <w:lang w:val="en-US" w:eastAsia="zh-CN"/>
        </w:rPr>
        <w:t>150</w:t>
      </w:r>
      <w:r>
        <w:rPr>
          <w:rFonts w:hint="eastAsia"/>
          <w:highlight w:val="none"/>
        </w:rPr>
        <w:t>人，2024年</w:t>
      </w:r>
      <w:r>
        <w:rPr>
          <w:rFonts w:hint="eastAsia"/>
          <w:highlight w:val="none"/>
          <w:lang w:val="en-US" w:eastAsia="zh-CN"/>
        </w:rPr>
        <w:t>150</w:t>
      </w:r>
      <w:r>
        <w:rPr>
          <w:rFonts w:hint="eastAsia"/>
          <w:highlight w:val="none"/>
        </w:rPr>
        <w:t>人，2025年</w:t>
      </w:r>
      <w:r>
        <w:rPr>
          <w:rFonts w:hint="eastAsia"/>
          <w:highlight w:val="none"/>
          <w:lang w:val="en-US" w:eastAsia="zh-CN"/>
        </w:rPr>
        <w:t>150</w:t>
      </w:r>
      <w:r>
        <w:rPr>
          <w:rFonts w:hint="eastAsia"/>
          <w:highlight w:val="none"/>
        </w:rPr>
        <w:t>人，五年累计培训</w:t>
      </w:r>
      <w:r>
        <w:rPr>
          <w:rFonts w:hint="eastAsia"/>
          <w:highlight w:val="none"/>
          <w:lang w:val="en-US" w:eastAsia="zh-CN"/>
        </w:rPr>
        <w:t>785</w:t>
      </w:r>
      <w:r>
        <w:rPr>
          <w:rFonts w:hint="eastAsia"/>
          <w:highlight w:val="none"/>
        </w:rPr>
        <w:t>人。</w:t>
      </w:r>
    </w:p>
  </w:footnote>
  <w:footnote w:id="54">
    <w:p>
      <w:pPr>
        <w:pStyle w:val="18"/>
      </w:pPr>
      <w:r>
        <w:rPr>
          <w:rStyle w:val="27"/>
        </w:rPr>
        <w:footnoteRef/>
      </w:r>
      <w:r>
        <w:t xml:space="preserve">  </w:t>
      </w:r>
      <w:r>
        <w:rPr>
          <w:rFonts w:hint="eastAsia"/>
        </w:rPr>
        <w:t>老年友好型社区创建资金投入需具体根据社区基础条件和服务基础来确定，参考</w:t>
      </w:r>
      <w:r>
        <w:t>临沂市兰山区银雀山街道银河湾社区</w:t>
      </w:r>
      <w:r>
        <w:rPr>
          <w:rFonts w:hint="eastAsia"/>
        </w:rPr>
        <w:t>，在老年友好型社区创建工作中，社区累计投入资金200余万元，5个社区点预计投入40-50万。</w:t>
      </w:r>
    </w:p>
    <w:p>
      <w:pPr>
        <w:pStyle w:val="18"/>
      </w:pPr>
    </w:p>
  </w:footnote>
  <w:footnote w:id="55">
    <w:p>
      <w:pPr>
        <w:pStyle w:val="18"/>
      </w:pPr>
      <w:r>
        <w:rPr>
          <w:rStyle w:val="27"/>
        </w:rPr>
        <w:footnoteRef/>
      </w:r>
      <w:r>
        <w:t xml:space="preserve"> </w:t>
      </w:r>
      <w:r>
        <w:rPr>
          <w:rFonts w:hint="eastAsia"/>
        </w:rPr>
        <w:t>参考北京某养老机构改造项目装修1500元/平方米，按4个敬老院每家2000平方米装修设计，预计投入1200万元。</w:t>
      </w:r>
    </w:p>
  </w:footnote>
  <w:footnote w:id="56">
    <w:p>
      <w:pPr>
        <w:pStyle w:val="18"/>
      </w:pPr>
      <w:r>
        <w:rPr>
          <w:rStyle w:val="27"/>
        </w:rPr>
        <w:footnoteRef/>
      </w:r>
      <w:r>
        <w:t>七普数据：全区常住人口为392606人，按计划每千人口4.5个托位</w:t>
      </w:r>
      <w:r>
        <w:rPr>
          <w:rFonts w:hint="eastAsia"/>
        </w:rPr>
        <w:t>计算，到2025年需建成托位1767个，普惠托位占比不低于60%，至少建成普惠性托位1060个。按普惠性托位建设补贴计算，预计总投入2630万元。</w:t>
      </w:r>
    </w:p>
  </w:footnote>
  <w:footnote w:id="57">
    <w:p>
      <w:pPr>
        <w:pStyle w:val="18"/>
      </w:pPr>
      <w:r>
        <w:rPr>
          <w:rStyle w:val="27"/>
        </w:rPr>
        <w:footnoteRef/>
      </w:r>
      <w:r>
        <w:t xml:space="preserve"> </w:t>
      </w:r>
      <w:r>
        <w:rPr>
          <w:rFonts w:hint="eastAsia"/>
        </w:rPr>
        <w:t>每个驿站按照建筑面积和补助标准给予一次性建设补贴（600元/m²），按20元/人/次给予运营补助，不超过2万/年。</w:t>
      </w:r>
    </w:p>
    <w:p>
      <w:pPr>
        <w:pStyle w:val="18"/>
      </w:pPr>
    </w:p>
  </w:footnote>
  <w:footnote w:id="58">
    <w:p>
      <w:pPr>
        <w:pStyle w:val="18"/>
      </w:pPr>
      <w:r>
        <w:rPr>
          <w:rStyle w:val="27"/>
        </w:rPr>
        <w:footnoteRef/>
      </w:r>
      <w:r>
        <w:t xml:space="preserve"> </w:t>
      </w:r>
      <w:r>
        <w:rPr>
          <w:rFonts w:hint="eastAsia"/>
        </w:rPr>
        <w:t>评选为</w:t>
      </w:r>
      <w:r>
        <w:rPr>
          <w:rFonts w:hint="eastAsia"/>
          <w:lang w:eastAsia="zh-Hans"/>
        </w:rPr>
        <w:t>市级示范托育机构奖励</w:t>
      </w:r>
      <w:r>
        <w:rPr>
          <w:lang w:eastAsia="zh-Hans"/>
        </w:rPr>
        <w:t>10</w:t>
      </w:r>
      <w:r>
        <w:rPr>
          <w:rFonts w:hint="eastAsia"/>
          <w:lang w:eastAsia="zh-Hans"/>
        </w:rPr>
        <w:t>万元，</w:t>
      </w:r>
      <w:r>
        <w:rPr>
          <w:rFonts w:hint="eastAsia"/>
        </w:rPr>
        <w:t>预计总投入</w:t>
      </w:r>
      <w:r>
        <w:t>5</w:t>
      </w:r>
      <w:r>
        <w:rPr>
          <w:rFonts w:hint="eastAsia"/>
        </w:rPr>
        <w:t>0万元。</w:t>
      </w:r>
    </w:p>
  </w:footnote>
  <w:footnote w:id="59">
    <w:p>
      <w:pPr>
        <w:pStyle w:val="18"/>
      </w:pPr>
      <w:r>
        <w:rPr>
          <w:rStyle w:val="27"/>
        </w:rPr>
        <w:footnoteRef/>
      </w:r>
      <w:r>
        <w:t xml:space="preserve"> </w:t>
      </w:r>
      <w:r>
        <w:rPr>
          <w:rFonts w:hint="eastAsia"/>
        </w:rPr>
        <w:t>测算依据：《北京市养老家庭照护床位建设管理办法（试行）》规定，市财政按照每床每月500元标准给予养老家庭照护床位补贴，</w:t>
      </w:r>
      <w:r>
        <w:rPr>
          <w:rFonts w:hint="eastAsia"/>
          <w:lang w:val="en-US" w:eastAsia="zh-CN"/>
        </w:rPr>
        <w:t>4</w:t>
      </w:r>
      <w:r>
        <w:rPr>
          <w:rFonts w:hint="eastAsia"/>
        </w:rPr>
        <w:t>00张*500元/月*12月=</w:t>
      </w:r>
      <w:r>
        <w:rPr>
          <w:rFonts w:hint="eastAsia"/>
          <w:lang w:val="en-US" w:eastAsia="zh-CN"/>
        </w:rPr>
        <w:t>24</w:t>
      </w:r>
      <w:r>
        <w:rPr>
          <w:rFonts w:hint="eastAsia"/>
        </w:rPr>
        <w:t>0万/年。</w:t>
      </w:r>
    </w:p>
    <w:p>
      <w:pPr>
        <w:pStyle w:val="18"/>
      </w:pPr>
      <w:r>
        <w:rPr>
          <w:rFonts w:hint="eastAsia"/>
        </w:rPr>
        <w:t>《北京市民政局 北京市老龄工作委员会办公室关于开展2016年老年人家庭适老化改造工作的通知》及《2020年老旧小区综合整治工作方案》规定，经济困难老年人家庭适老化改造改造标准每户不超过5000元，</w:t>
      </w:r>
      <w:r>
        <w:rPr>
          <w:rFonts w:hint="eastAsia"/>
          <w:lang w:val="en-US" w:eastAsia="zh-CN"/>
        </w:rPr>
        <w:t>400</w:t>
      </w:r>
      <w:r>
        <w:rPr>
          <w:rFonts w:hint="eastAsia"/>
        </w:rPr>
        <w:t>户*0.5万=</w:t>
      </w:r>
      <w:r>
        <w:rPr>
          <w:rFonts w:hint="eastAsia"/>
          <w:lang w:val="en-US" w:eastAsia="zh-CN"/>
        </w:rPr>
        <w:t>200</w:t>
      </w:r>
      <w:r>
        <w:rPr>
          <w:rFonts w:hint="eastAsia"/>
        </w:rPr>
        <w:t>万</w:t>
      </w:r>
    </w:p>
  </w:footnote>
  <w:footnote w:id="60">
    <w:p>
      <w:pPr>
        <w:pStyle w:val="18"/>
        <w:rPr>
          <w:rFonts w:hint="eastAsia"/>
        </w:rPr>
      </w:pPr>
      <w:r>
        <w:rPr>
          <w:rStyle w:val="27"/>
        </w:rPr>
        <w:footnoteRef/>
      </w:r>
      <w:r>
        <w:t xml:space="preserve"> </w:t>
      </w:r>
      <w:r>
        <w:rPr>
          <w:rFonts w:hint="eastAsia"/>
        </w:rPr>
        <w:t>根据《北京市养老护理员职业技能培训实施方案》（京民养老发（2020）112号）规定，养老护理员职业技能培训后考核合格取得培训结业证书的，按照每人1500元标准给予培训机构培训补贴，该项补贴每人只可享受一次，2021年12月31日前，政策所需资金从本市职业技能提升行动专项资金列支，门头沟区2020年培训养老护理员指标为150人，培训人次，依据总结材料，培训人次，2021年</w:t>
      </w:r>
      <w:r>
        <w:rPr>
          <w:rFonts w:hint="eastAsia"/>
          <w:lang w:val="en-US" w:eastAsia="zh-CN"/>
        </w:rPr>
        <w:t>185</w:t>
      </w:r>
      <w:r>
        <w:rPr>
          <w:rFonts w:hint="eastAsia"/>
        </w:rPr>
        <w:t>人，预估2023年</w:t>
      </w:r>
      <w:r>
        <w:rPr>
          <w:rFonts w:hint="eastAsia"/>
          <w:lang w:val="en-US" w:eastAsia="zh-CN"/>
        </w:rPr>
        <w:t>150</w:t>
      </w:r>
      <w:r>
        <w:rPr>
          <w:rFonts w:hint="eastAsia"/>
        </w:rPr>
        <w:t>人，2024年</w:t>
      </w:r>
      <w:r>
        <w:rPr>
          <w:rFonts w:hint="eastAsia"/>
          <w:lang w:val="en-US" w:eastAsia="zh-CN"/>
        </w:rPr>
        <w:t>150</w:t>
      </w:r>
      <w:r>
        <w:rPr>
          <w:rFonts w:hint="eastAsia"/>
        </w:rPr>
        <w:t>人，2025年</w:t>
      </w:r>
      <w:r>
        <w:rPr>
          <w:rFonts w:hint="eastAsia"/>
          <w:lang w:val="en-US" w:eastAsia="zh-CN"/>
        </w:rPr>
        <w:t>150</w:t>
      </w:r>
      <w:r>
        <w:rPr>
          <w:rFonts w:hint="eastAsia"/>
        </w:rPr>
        <w:t>人，五年累计培训</w:t>
      </w:r>
      <w:r>
        <w:rPr>
          <w:rFonts w:hint="eastAsia"/>
          <w:lang w:val="en-US" w:eastAsia="zh-CN"/>
        </w:rPr>
        <w:t>785，</w:t>
      </w:r>
      <w:r>
        <w:rPr>
          <w:rFonts w:hint="eastAsia"/>
        </w:rPr>
        <w:t>按人均1500元的培训费预计，</w:t>
      </w:r>
      <w:r>
        <w:rPr>
          <w:rFonts w:hint="eastAsia"/>
          <w:lang w:val="en-US" w:eastAsia="zh-CN"/>
        </w:rPr>
        <w:t>785</w:t>
      </w:r>
      <w:r>
        <w:rPr>
          <w:rFonts w:hint="eastAsia"/>
        </w:rPr>
        <w:t>人*1500元=</w:t>
      </w:r>
      <w:r>
        <w:rPr>
          <w:rFonts w:hint="eastAsia"/>
          <w:lang w:val="en-US" w:eastAsia="zh-CN"/>
        </w:rPr>
        <w:t>117.75</w:t>
      </w:r>
      <w:r>
        <w:rPr>
          <w:rFonts w:hint="eastAsia"/>
        </w:rPr>
        <w:t>万。</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122"/>
    <w:footnote w:id="123"/>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zMWZkNjI5YmRmYTMwZWVlYTRkNjJkN2Y3ZjliZmQifQ=="/>
  </w:docVars>
  <w:rsids>
    <w:rsidRoot w:val="00B52C7C"/>
    <w:rsid w:val="00006040"/>
    <w:rsid w:val="0006458C"/>
    <w:rsid w:val="000650EA"/>
    <w:rsid w:val="0007372C"/>
    <w:rsid w:val="00083864"/>
    <w:rsid w:val="000909D5"/>
    <w:rsid w:val="0009701A"/>
    <w:rsid w:val="000A4215"/>
    <w:rsid w:val="000D33A6"/>
    <w:rsid w:val="000D474B"/>
    <w:rsid w:val="000E2E3D"/>
    <w:rsid w:val="000E45A2"/>
    <w:rsid w:val="00127577"/>
    <w:rsid w:val="00133803"/>
    <w:rsid w:val="00142ADB"/>
    <w:rsid w:val="001469A9"/>
    <w:rsid w:val="00163DF6"/>
    <w:rsid w:val="00187285"/>
    <w:rsid w:val="001B36FA"/>
    <w:rsid w:val="001E5F7B"/>
    <w:rsid w:val="001F1CE5"/>
    <w:rsid w:val="002103A0"/>
    <w:rsid w:val="00231374"/>
    <w:rsid w:val="00257642"/>
    <w:rsid w:val="00265877"/>
    <w:rsid w:val="002778C6"/>
    <w:rsid w:val="00284D5D"/>
    <w:rsid w:val="00285F85"/>
    <w:rsid w:val="00297DDD"/>
    <w:rsid w:val="002B682E"/>
    <w:rsid w:val="002C5B17"/>
    <w:rsid w:val="00304447"/>
    <w:rsid w:val="00326E9C"/>
    <w:rsid w:val="0033750F"/>
    <w:rsid w:val="003417DD"/>
    <w:rsid w:val="00355389"/>
    <w:rsid w:val="00376B8B"/>
    <w:rsid w:val="00382A7C"/>
    <w:rsid w:val="00392C72"/>
    <w:rsid w:val="003B18B2"/>
    <w:rsid w:val="003B2106"/>
    <w:rsid w:val="003B3743"/>
    <w:rsid w:val="003D0A63"/>
    <w:rsid w:val="004051FE"/>
    <w:rsid w:val="00427596"/>
    <w:rsid w:val="00441180"/>
    <w:rsid w:val="00447F91"/>
    <w:rsid w:val="0048395E"/>
    <w:rsid w:val="00486B91"/>
    <w:rsid w:val="004C543A"/>
    <w:rsid w:val="00502779"/>
    <w:rsid w:val="00510DFB"/>
    <w:rsid w:val="00517312"/>
    <w:rsid w:val="00521154"/>
    <w:rsid w:val="0053157B"/>
    <w:rsid w:val="00536723"/>
    <w:rsid w:val="00541553"/>
    <w:rsid w:val="0055410F"/>
    <w:rsid w:val="00555988"/>
    <w:rsid w:val="00565608"/>
    <w:rsid w:val="00580F47"/>
    <w:rsid w:val="00590E77"/>
    <w:rsid w:val="005E44F2"/>
    <w:rsid w:val="006077FC"/>
    <w:rsid w:val="00616965"/>
    <w:rsid w:val="0063100B"/>
    <w:rsid w:val="006907BE"/>
    <w:rsid w:val="00695A8A"/>
    <w:rsid w:val="006C40C4"/>
    <w:rsid w:val="006C7209"/>
    <w:rsid w:val="006E2561"/>
    <w:rsid w:val="006E6C01"/>
    <w:rsid w:val="00710389"/>
    <w:rsid w:val="00737ECD"/>
    <w:rsid w:val="0074759A"/>
    <w:rsid w:val="007601D3"/>
    <w:rsid w:val="00770E11"/>
    <w:rsid w:val="00773009"/>
    <w:rsid w:val="00774767"/>
    <w:rsid w:val="007867CD"/>
    <w:rsid w:val="007904B5"/>
    <w:rsid w:val="007A1EBB"/>
    <w:rsid w:val="007A33BC"/>
    <w:rsid w:val="007A4BFB"/>
    <w:rsid w:val="007A7917"/>
    <w:rsid w:val="007B795D"/>
    <w:rsid w:val="007F144E"/>
    <w:rsid w:val="008327D3"/>
    <w:rsid w:val="008641F8"/>
    <w:rsid w:val="0087047C"/>
    <w:rsid w:val="00870CC3"/>
    <w:rsid w:val="00895BFF"/>
    <w:rsid w:val="00897F94"/>
    <w:rsid w:val="008C05AD"/>
    <w:rsid w:val="008C1956"/>
    <w:rsid w:val="008C414D"/>
    <w:rsid w:val="008D1432"/>
    <w:rsid w:val="008E2850"/>
    <w:rsid w:val="008E3276"/>
    <w:rsid w:val="008F261B"/>
    <w:rsid w:val="009130FB"/>
    <w:rsid w:val="00930C36"/>
    <w:rsid w:val="00941E8C"/>
    <w:rsid w:val="009463C7"/>
    <w:rsid w:val="00947397"/>
    <w:rsid w:val="00972152"/>
    <w:rsid w:val="00995D6D"/>
    <w:rsid w:val="009A0937"/>
    <w:rsid w:val="009C07E4"/>
    <w:rsid w:val="009E3C09"/>
    <w:rsid w:val="00A67101"/>
    <w:rsid w:val="00A76363"/>
    <w:rsid w:val="00A8226C"/>
    <w:rsid w:val="00A8654B"/>
    <w:rsid w:val="00AE5567"/>
    <w:rsid w:val="00B158F6"/>
    <w:rsid w:val="00B52C7C"/>
    <w:rsid w:val="00B64369"/>
    <w:rsid w:val="00B721CB"/>
    <w:rsid w:val="00B92E89"/>
    <w:rsid w:val="00BA0AAE"/>
    <w:rsid w:val="00BA3507"/>
    <w:rsid w:val="00BC27F9"/>
    <w:rsid w:val="00BE4A91"/>
    <w:rsid w:val="00C03434"/>
    <w:rsid w:val="00C66DCC"/>
    <w:rsid w:val="00C91843"/>
    <w:rsid w:val="00CB204C"/>
    <w:rsid w:val="00CB2EBC"/>
    <w:rsid w:val="00CC767C"/>
    <w:rsid w:val="00CE3E7C"/>
    <w:rsid w:val="00D169F4"/>
    <w:rsid w:val="00D26B16"/>
    <w:rsid w:val="00D337EC"/>
    <w:rsid w:val="00D65F8E"/>
    <w:rsid w:val="00DD1103"/>
    <w:rsid w:val="00DD5BD6"/>
    <w:rsid w:val="00DE0226"/>
    <w:rsid w:val="00DF24F2"/>
    <w:rsid w:val="00DF7054"/>
    <w:rsid w:val="00E04AE8"/>
    <w:rsid w:val="00E17747"/>
    <w:rsid w:val="00E45223"/>
    <w:rsid w:val="00E53691"/>
    <w:rsid w:val="00E5452D"/>
    <w:rsid w:val="00E6046D"/>
    <w:rsid w:val="00E72E7A"/>
    <w:rsid w:val="00EB3A8C"/>
    <w:rsid w:val="00EF30F9"/>
    <w:rsid w:val="00F05CDF"/>
    <w:rsid w:val="00F36B72"/>
    <w:rsid w:val="00F43B44"/>
    <w:rsid w:val="00F91C7E"/>
    <w:rsid w:val="00FB33CB"/>
    <w:rsid w:val="00FD4BEC"/>
    <w:rsid w:val="00FF12FA"/>
    <w:rsid w:val="016B2A4C"/>
    <w:rsid w:val="018971BB"/>
    <w:rsid w:val="052D77BA"/>
    <w:rsid w:val="05484045"/>
    <w:rsid w:val="0850758C"/>
    <w:rsid w:val="0975326F"/>
    <w:rsid w:val="0C865A4D"/>
    <w:rsid w:val="0D8A66F3"/>
    <w:rsid w:val="10E94E45"/>
    <w:rsid w:val="1220009E"/>
    <w:rsid w:val="177C77D6"/>
    <w:rsid w:val="190344DA"/>
    <w:rsid w:val="1D635CF2"/>
    <w:rsid w:val="1EA8331C"/>
    <w:rsid w:val="1FAD6BB4"/>
    <w:rsid w:val="22046430"/>
    <w:rsid w:val="228C7728"/>
    <w:rsid w:val="23467AF2"/>
    <w:rsid w:val="24B161A7"/>
    <w:rsid w:val="27E50231"/>
    <w:rsid w:val="29316D86"/>
    <w:rsid w:val="294837AA"/>
    <w:rsid w:val="2AC27350"/>
    <w:rsid w:val="2B947B36"/>
    <w:rsid w:val="2C8E511B"/>
    <w:rsid w:val="2D1075CD"/>
    <w:rsid w:val="32907016"/>
    <w:rsid w:val="32CB01BE"/>
    <w:rsid w:val="3458724C"/>
    <w:rsid w:val="35462C9E"/>
    <w:rsid w:val="378879CC"/>
    <w:rsid w:val="3C6F210D"/>
    <w:rsid w:val="3F632A36"/>
    <w:rsid w:val="40E801A2"/>
    <w:rsid w:val="48170A07"/>
    <w:rsid w:val="48DB6F3C"/>
    <w:rsid w:val="4AD42B9B"/>
    <w:rsid w:val="4CCA0501"/>
    <w:rsid w:val="50D363FC"/>
    <w:rsid w:val="523A5839"/>
    <w:rsid w:val="562478C0"/>
    <w:rsid w:val="5795611F"/>
    <w:rsid w:val="57E60A7F"/>
    <w:rsid w:val="580D35E9"/>
    <w:rsid w:val="58CB77C6"/>
    <w:rsid w:val="59660E50"/>
    <w:rsid w:val="59BC4E0F"/>
    <w:rsid w:val="63052A22"/>
    <w:rsid w:val="639C2BEF"/>
    <w:rsid w:val="63AF63D3"/>
    <w:rsid w:val="675D2FC4"/>
    <w:rsid w:val="68A441EA"/>
    <w:rsid w:val="68C73A49"/>
    <w:rsid w:val="696F6135"/>
    <w:rsid w:val="6C754E65"/>
    <w:rsid w:val="73553A28"/>
    <w:rsid w:val="78B73069"/>
    <w:rsid w:val="792D0B88"/>
    <w:rsid w:val="7D271F92"/>
    <w:rsid w:val="7D6224D7"/>
    <w:rsid w:val="7E372890"/>
    <w:rsid w:val="7EF05F50"/>
    <w:rsid w:val="7F433D02"/>
    <w:rsid w:val="7F770C9F"/>
    <w:rsid w:val="7FD366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nhideWhenUsed="0" w:uiPriority="0"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qFormat="1" w:unhideWhenUsed="0" w:uiPriority="0" w:semiHidden="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5"/>
    <w:next w:val="1"/>
    <w:unhideWhenUsed/>
    <w:qFormat/>
    <w:uiPriority w:val="0"/>
    <w:pPr>
      <w:keepNext/>
      <w:keepLines/>
      <w:spacing w:line="416" w:lineRule="auto"/>
    </w:pPr>
    <w:rPr>
      <w:rFonts w:ascii="Cambria" w:hAnsi="Cambria"/>
      <w:sz w:val="32"/>
      <w:szCs w:val="32"/>
    </w:rPr>
  </w:style>
  <w:style w:type="paragraph" w:styleId="7">
    <w:name w:val="heading 3"/>
    <w:basedOn w:val="4"/>
    <w:next w:val="1"/>
    <w:qFormat/>
    <w:uiPriority w:val="0"/>
    <w:pPr>
      <w:spacing w:line="240" w:lineRule="auto"/>
      <w:ind w:firstLine="707" w:firstLineChars="220"/>
      <w:outlineLvl w:val="2"/>
    </w:pPr>
    <w:rPr>
      <w:rFonts w:ascii="方正楷体_GB2312" w:eastAsia="方正楷体_GB2312"/>
    </w:rPr>
  </w:style>
  <w:style w:type="character" w:default="1" w:styleId="24">
    <w:name w:val="Default Paragraph Font"/>
    <w:unhideWhenUsed/>
    <w:qFormat/>
    <w:uiPriority w:val="1"/>
  </w:style>
  <w:style w:type="table" w:default="1" w:styleId="22">
    <w:name w:val="Normal Table"/>
    <w:unhideWhenUsed/>
    <w:qFormat/>
    <w:uiPriority w:val="99"/>
    <w:tblPr>
      <w:tblCellMar>
        <w:top w:w="0" w:type="dxa"/>
        <w:left w:w="108" w:type="dxa"/>
        <w:bottom w:w="0" w:type="dxa"/>
        <w:right w:w="108" w:type="dxa"/>
      </w:tblCellMar>
    </w:tblPr>
  </w:style>
  <w:style w:type="paragraph" w:styleId="2">
    <w:name w:val="Title"/>
    <w:basedOn w:val="1"/>
    <w:next w:val="1"/>
    <w:link w:val="34"/>
    <w:qFormat/>
    <w:uiPriority w:val="10"/>
    <w:pPr>
      <w:spacing w:line="660" w:lineRule="exact"/>
      <w:jc w:val="center"/>
      <w:outlineLvl w:val="0"/>
    </w:pPr>
    <w:rPr>
      <w:rFonts w:ascii="华文中宋" w:eastAsia="华文中宋" w:hAnsiTheme="majorHAnsi" w:cstheme="majorBidi"/>
      <w:bCs/>
      <w:sz w:val="44"/>
      <w:szCs w:val="32"/>
    </w:rPr>
  </w:style>
  <w:style w:type="paragraph" w:customStyle="1" w:styleId="5">
    <w:name w:val="石墨文档标题 2"/>
    <w:next w:val="6"/>
    <w:qFormat/>
    <w:uiPriority w:val="0"/>
    <w:pPr>
      <w:spacing w:before="260" w:after="260"/>
      <w:outlineLvl w:val="1"/>
    </w:pPr>
    <w:rPr>
      <w:rFonts w:ascii="Times New Roman" w:hAnsi="Times New Roman" w:eastAsia="宋体" w:cs="Times New Roman"/>
      <w:b/>
      <w:bCs/>
      <w:sz w:val="28"/>
      <w:szCs w:val="28"/>
      <w:lang w:val="en-US" w:eastAsia="zh-CN" w:bidi="ar-SA"/>
    </w:rPr>
  </w:style>
  <w:style w:type="paragraph" w:customStyle="1" w:styleId="6">
    <w:name w:val="石墨文档正文"/>
    <w:qFormat/>
    <w:uiPriority w:val="0"/>
    <w:rPr>
      <w:rFonts w:ascii="Times New Roman" w:hAnsi="Times New Roman" w:eastAsia="宋体" w:cs="Times New Roman"/>
      <w:sz w:val="21"/>
      <w:szCs w:val="22"/>
      <w:lang w:val="en-US" w:eastAsia="zh-CN" w:bidi="ar-SA"/>
    </w:rPr>
  </w:style>
  <w:style w:type="paragraph" w:styleId="8">
    <w:name w:val="Normal Indent"/>
    <w:basedOn w:val="1"/>
    <w:qFormat/>
    <w:uiPriority w:val="0"/>
    <w:pPr>
      <w:ind w:firstLine="420"/>
    </w:pPr>
    <w:rPr>
      <w:rFonts w:ascii="Times New Roman" w:hAnsi="Times New Roman" w:eastAsia="宋体" w:cs="Times New Roman"/>
      <w:szCs w:val="20"/>
    </w:rPr>
  </w:style>
  <w:style w:type="paragraph" w:styleId="9">
    <w:name w:val="Body Text"/>
    <w:basedOn w:val="1"/>
    <w:link w:val="30"/>
    <w:qFormat/>
    <w:uiPriority w:val="0"/>
    <w:rPr>
      <w:rFonts w:ascii="仿宋_GB2312" w:hAnsi="Times New Roman" w:eastAsia="仿宋_GB2312" w:cs="Times New Roman"/>
      <w:sz w:val="32"/>
      <w:szCs w:val="24"/>
    </w:rPr>
  </w:style>
  <w:style w:type="paragraph" w:styleId="10">
    <w:name w:val="Body Text Indent"/>
    <w:basedOn w:val="1"/>
    <w:next w:val="11"/>
    <w:qFormat/>
    <w:uiPriority w:val="0"/>
    <w:pPr>
      <w:spacing w:after="120"/>
      <w:ind w:left="420" w:leftChars="200"/>
    </w:pPr>
    <w:rPr>
      <w:rFonts w:ascii="Times New Roman" w:hAnsi="Times New Roman" w:eastAsia="宋体" w:cs="Times New Roman"/>
      <w:sz w:val="30"/>
    </w:rPr>
  </w:style>
  <w:style w:type="paragraph" w:styleId="11">
    <w:name w:val="envelope return"/>
    <w:basedOn w:val="1"/>
    <w:qFormat/>
    <w:uiPriority w:val="0"/>
    <w:pPr>
      <w:snapToGrid w:val="0"/>
    </w:pPr>
    <w:rPr>
      <w:rFonts w:asciiTheme="majorHAnsi" w:hAnsiTheme="majorHAnsi" w:eastAsiaTheme="majorEastAsia" w:cstheme="majorBidi"/>
    </w:rPr>
  </w:style>
  <w:style w:type="paragraph" w:styleId="12">
    <w:name w:val="toc 3"/>
    <w:basedOn w:val="1"/>
    <w:next w:val="1"/>
    <w:qFormat/>
    <w:uiPriority w:val="39"/>
    <w:pPr>
      <w:ind w:left="840" w:leftChars="400"/>
    </w:pPr>
  </w:style>
  <w:style w:type="paragraph" w:styleId="13">
    <w:name w:val="Plain Text"/>
    <w:basedOn w:val="1"/>
    <w:next w:val="1"/>
    <w:qFormat/>
    <w:uiPriority w:val="0"/>
    <w:rPr>
      <w:rFonts w:ascii="宋体" w:hAnsi="Courier New" w:eastAsia="宋体" w:cs="Courier New"/>
      <w:szCs w:val="21"/>
    </w:rPr>
  </w:style>
  <w:style w:type="paragraph" w:styleId="14">
    <w:name w:val="Balloon Text"/>
    <w:basedOn w:val="1"/>
    <w:link w:val="33"/>
    <w:unhideWhenUsed/>
    <w:qFormat/>
    <w:uiPriority w:val="99"/>
    <w:rPr>
      <w:sz w:val="18"/>
      <w:szCs w:val="18"/>
    </w:rPr>
  </w:style>
  <w:style w:type="paragraph" w:styleId="15">
    <w:name w:val="footer"/>
    <w:basedOn w:val="1"/>
    <w:next w:val="1"/>
    <w:link w:val="29"/>
    <w:unhideWhenUsed/>
    <w:qFormat/>
    <w:uiPriority w:val="99"/>
    <w:pPr>
      <w:tabs>
        <w:tab w:val="center" w:pos="4153"/>
        <w:tab w:val="right" w:pos="8306"/>
      </w:tabs>
      <w:snapToGrid w:val="0"/>
      <w:jc w:val="left"/>
    </w:pPr>
    <w:rPr>
      <w:sz w:val="18"/>
      <w:szCs w:val="18"/>
    </w:rPr>
  </w:style>
  <w:style w:type="paragraph" w:styleId="16">
    <w:name w:val="header"/>
    <w:basedOn w:val="1"/>
    <w:link w:val="28"/>
    <w:unhideWhenUsed/>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39"/>
  </w:style>
  <w:style w:type="paragraph" w:styleId="18">
    <w:name w:val="footnote text"/>
    <w:basedOn w:val="1"/>
    <w:qFormat/>
    <w:uiPriority w:val="0"/>
    <w:pPr>
      <w:snapToGrid w:val="0"/>
      <w:jc w:val="left"/>
    </w:pPr>
    <w:rPr>
      <w:sz w:val="18"/>
    </w:rPr>
  </w:style>
  <w:style w:type="paragraph" w:styleId="19">
    <w:name w:val="toc 2"/>
    <w:basedOn w:val="1"/>
    <w:next w:val="1"/>
    <w:qFormat/>
    <w:uiPriority w:val="39"/>
    <w:pPr>
      <w:ind w:left="420" w:leftChars="200"/>
    </w:pPr>
  </w:style>
  <w:style w:type="paragraph" w:styleId="20">
    <w:name w:val="Normal (Web)"/>
    <w:basedOn w:val="1"/>
    <w:qFormat/>
    <w:uiPriority w:val="0"/>
    <w:pPr>
      <w:spacing w:beforeAutospacing="1" w:afterAutospacing="1"/>
      <w:jc w:val="left"/>
    </w:pPr>
    <w:rPr>
      <w:rFonts w:cs="Times New Roman"/>
      <w:kern w:val="0"/>
      <w:sz w:val="24"/>
    </w:rPr>
  </w:style>
  <w:style w:type="paragraph" w:styleId="21">
    <w:name w:val="Body Text First Indent 2"/>
    <w:basedOn w:val="10"/>
    <w:qFormat/>
    <w:uiPriority w:val="0"/>
    <w:pPr>
      <w:ind w:firstLine="420" w:firstLineChars="200"/>
    </w:pPr>
    <w:rPr>
      <w:rFonts w:asciiTheme="minorHAnsi" w:hAnsiTheme="minorHAnsi" w:eastAsiaTheme="minorEastAsia" w:cstheme="minorBidi"/>
      <w:sz w:val="21"/>
    </w:rPr>
  </w:style>
  <w:style w:type="table" w:styleId="23">
    <w:name w:val="Table Grid"/>
    <w:basedOn w:val="2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page number"/>
    <w:basedOn w:val="24"/>
    <w:qFormat/>
    <w:uiPriority w:val="0"/>
  </w:style>
  <w:style w:type="character" w:styleId="26">
    <w:name w:val="Hyperlink"/>
    <w:basedOn w:val="24"/>
    <w:qFormat/>
    <w:uiPriority w:val="0"/>
    <w:rPr>
      <w:color w:val="0000FF"/>
      <w:u w:val="single"/>
    </w:rPr>
  </w:style>
  <w:style w:type="character" w:styleId="27">
    <w:name w:val="footnote reference"/>
    <w:basedOn w:val="24"/>
    <w:qFormat/>
    <w:uiPriority w:val="0"/>
    <w:rPr>
      <w:vertAlign w:val="superscript"/>
    </w:rPr>
  </w:style>
  <w:style w:type="character" w:customStyle="1" w:styleId="28">
    <w:name w:val="页眉 Char"/>
    <w:basedOn w:val="24"/>
    <w:link w:val="16"/>
    <w:semiHidden/>
    <w:qFormat/>
    <w:uiPriority w:val="99"/>
    <w:rPr>
      <w:sz w:val="18"/>
      <w:szCs w:val="18"/>
    </w:rPr>
  </w:style>
  <w:style w:type="character" w:customStyle="1" w:styleId="29">
    <w:name w:val="页脚 Char"/>
    <w:basedOn w:val="24"/>
    <w:link w:val="15"/>
    <w:semiHidden/>
    <w:qFormat/>
    <w:uiPriority w:val="99"/>
    <w:rPr>
      <w:sz w:val="18"/>
      <w:szCs w:val="18"/>
    </w:rPr>
  </w:style>
  <w:style w:type="character" w:customStyle="1" w:styleId="30">
    <w:name w:val="正文文本 Char"/>
    <w:basedOn w:val="24"/>
    <w:link w:val="9"/>
    <w:qFormat/>
    <w:uiPriority w:val="0"/>
    <w:rPr>
      <w:rFonts w:ascii="仿宋_GB2312" w:hAnsi="Times New Roman" w:eastAsia="仿宋_GB2312" w:cs="Times New Roman"/>
      <w:sz w:val="32"/>
      <w:szCs w:val="24"/>
    </w:rPr>
  </w:style>
  <w:style w:type="paragraph" w:customStyle="1" w:styleId="31">
    <w:name w:val="_Style 1"/>
    <w:basedOn w:val="1"/>
    <w:qFormat/>
    <w:uiPriority w:val="0"/>
    <w:rPr>
      <w:rFonts w:ascii="Tahoma" w:hAnsi="Tahoma" w:eastAsia="宋体" w:cs="Times New Roman"/>
      <w:sz w:val="24"/>
      <w:szCs w:val="20"/>
    </w:rPr>
  </w:style>
  <w:style w:type="paragraph" w:customStyle="1" w:styleId="32">
    <w:name w:val="List Paragraph"/>
    <w:basedOn w:val="1"/>
    <w:unhideWhenUsed/>
    <w:qFormat/>
    <w:uiPriority w:val="99"/>
    <w:pPr>
      <w:ind w:firstLine="420" w:firstLineChars="200"/>
    </w:pPr>
  </w:style>
  <w:style w:type="character" w:customStyle="1" w:styleId="33">
    <w:name w:val="批注框文本 Char"/>
    <w:basedOn w:val="24"/>
    <w:link w:val="14"/>
    <w:semiHidden/>
    <w:qFormat/>
    <w:uiPriority w:val="99"/>
    <w:rPr>
      <w:sz w:val="18"/>
      <w:szCs w:val="18"/>
    </w:rPr>
  </w:style>
  <w:style w:type="character" w:customStyle="1" w:styleId="34">
    <w:name w:val="标题 Char"/>
    <w:basedOn w:val="24"/>
    <w:link w:val="2"/>
    <w:qFormat/>
    <w:uiPriority w:val="10"/>
    <w:rPr>
      <w:rFonts w:ascii="华文中宋" w:eastAsia="华文中宋" w:hAnsiTheme="majorHAnsi" w:cstheme="majorBidi"/>
      <w:bCs/>
      <w:sz w:val="44"/>
      <w:szCs w:val="32"/>
    </w:rPr>
  </w:style>
  <w:style w:type="paragraph" w:customStyle="1" w:styleId="35">
    <w:name w:val="Default"/>
    <w:qFormat/>
    <w:uiPriority w:val="99"/>
    <w:pPr>
      <w:widowControl w:val="0"/>
      <w:autoSpaceDE w:val="0"/>
      <w:autoSpaceDN w:val="0"/>
      <w:adjustRightInd w:val="0"/>
    </w:pPr>
    <w:rPr>
      <w:rFonts w:ascii="方正仿宋_GB2312" w:hAnsi="Calibri" w:eastAsia="Times New Roman" w:cs="方正仿宋_GB2312"/>
      <w:color w:val="000000"/>
      <w:sz w:val="24"/>
      <w:szCs w:val="24"/>
      <w:lang w:val="en-US" w:eastAsia="zh-CN" w:bidi="ar-SA"/>
    </w:rPr>
  </w:style>
  <w:style w:type="paragraph" w:customStyle="1" w:styleId="36">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paragraph" w:customStyle="1" w:styleId="37">
    <w:name w:val="Body text|1"/>
    <w:basedOn w:val="1"/>
    <w:qFormat/>
    <w:uiPriority w:val="0"/>
    <w:pPr>
      <w:spacing w:line="432" w:lineRule="auto"/>
      <w:ind w:firstLine="400"/>
    </w:pPr>
    <w:rPr>
      <w:rFonts w:ascii="宋体" w:hAnsi="宋体" w:eastAsia="宋体" w:cs="宋体"/>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59</Pages>
  <Words>27995</Words>
  <Characters>29176</Characters>
  <Lines>2</Lines>
  <Paragraphs>1</Paragraphs>
  <TotalTime>1</TotalTime>
  <ScaleCrop>false</ScaleCrop>
  <LinksUpToDate>false</LinksUpToDate>
  <CharactersWithSpaces>29436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2019-03-22T01:51:00Z</dcterms:created>
  <dc:creator>t</dc:creator>
  <cp:lastModifiedBy>雯</cp:lastModifiedBy>
  <cp:lastPrinted>2023-05-05T06:24:00Z</cp:lastPrinted>
  <dcterms:modified xsi:type="dcterms:W3CDTF">2023-05-05T07:46:52Z</dcterms:modified>
  <cp:revision>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A209797012F44B7B94A19874335D8B05_12</vt:lpwstr>
  </property>
</Properties>
</file>