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shd w:val="clear" w:color="auto" w:fill="FFFFFF"/>
        <w:spacing w:beforeAutospacing="0" w:afterAutospacing="0" w:line="600" w:lineRule="exact"/>
        <w:jc w:val="center"/>
        <w:rPr>
          <w:rFonts w:hint="eastAsia" w:ascii="黑体" w:hAnsi="黑体" w:eastAsia="黑体" w:cs="黑体"/>
          <w:color w:val="000000" w:themeColor="text1"/>
          <w:sz w:val="44"/>
          <w:szCs w:val="44"/>
          <w:shd w:val="clear" w:color="auto" w:fill="FFFFFF"/>
          <w:lang w:eastAsia="zh-CN"/>
          <w14:textFill>
            <w14:solidFill>
              <w14:schemeClr w14:val="tx1"/>
            </w14:solidFill>
          </w14:textFill>
        </w:rPr>
      </w:pPr>
      <w:bookmarkStart w:id="0" w:name="bookmark7"/>
      <w:bookmarkStart w:id="1" w:name="bookmark6"/>
      <w:r>
        <w:rPr>
          <w:rFonts w:hint="eastAsia" w:ascii="黑体" w:hAnsi="黑体" w:eastAsia="黑体" w:cs="黑体"/>
          <w:color w:val="000000" w:themeColor="text1"/>
          <w:sz w:val="44"/>
          <w:szCs w:val="44"/>
          <w:shd w:val="clear" w:color="auto" w:fill="FFFFFF"/>
          <w14:textFill>
            <w14:solidFill>
              <w14:schemeClr w14:val="tx1"/>
            </w14:solidFill>
          </w14:textFill>
        </w:rPr>
        <w:t>门头沟区国有企业违规经营投资责任追究实施办法（试行）</w:t>
      </w:r>
      <w:bookmarkEnd w:id="0"/>
      <w:bookmarkEnd w:id="1"/>
      <w:r>
        <w:rPr>
          <w:rFonts w:hint="eastAsia" w:ascii="黑体" w:hAnsi="黑体" w:eastAsia="黑体" w:cs="黑体"/>
          <w:color w:val="000000" w:themeColor="text1"/>
          <w:sz w:val="44"/>
          <w:szCs w:val="44"/>
          <w:shd w:val="clear" w:color="auto" w:fill="FFFFFF"/>
          <w:lang w:eastAsia="zh-CN"/>
          <w14:textFill>
            <w14:solidFill>
              <w14:schemeClr w14:val="tx1"/>
            </w14:solidFill>
          </w14:textFill>
        </w:rPr>
        <w:t>（征求意见稿）</w:t>
      </w:r>
    </w:p>
    <w:p>
      <w:pPr>
        <w:pStyle w:val="3"/>
        <w:widowControl/>
        <w:shd w:val="clear" w:color="auto" w:fill="FFFFFF"/>
        <w:spacing w:beforeAutospacing="0" w:afterAutospacing="0" w:line="600" w:lineRule="exact"/>
        <w:ind w:firstLine="880" w:firstLineChars="200"/>
        <w:jc w:val="both"/>
        <w:rPr>
          <w:rFonts w:ascii="黑体" w:hAnsi="黑体" w:eastAsia="黑体" w:cs="黑体"/>
          <w:color w:val="000000" w:themeColor="text1"/>
          <w:sz w:val="44"/>
          <w:szCs w:val="44"/>
          <w:shd w:val="clear" w:color="auto" w:fill="FFFFFF"/>
          <w14:textFill>
            <w14:solidFill>
              <w14:schemeClr w14:val="tx1"/>
            </w14:solidFill>
          </w14:textFill>
        </w:rPr>
      </w:pPr>
    </w:p>
    <w:p>
      <w:pPr>
        <w:widowControl/>
        <w:shd w:val="clear" w:color="auto" w:fill="FFFFFF"/>
        <w:spacing w:line="600" w:lineRule="exact"/>
        <w:jc w:val="center"/>
        <w:rPr>
          <w:rFonts w:ascii="黑体" w:hAnsi="黑体" w:eastAsia="黑体" w:cs="黑体"/>
          <w:color w:val="000000" w:themeColor="text1"/>
          <w:sz w:val="32"/>
          <w:szCs w:val="32"/>
          <w:shd w:val="clear" w:color="auto" w:fill="FFFFFF"/>
          <w:lang w:eastAsia="zh-CN"/>
          <w14:textFill>
            <w14:solidFill>
              <w14:schemeClr w14:val="tx1"/>
            </w14:solidFill>
          </w14:textFill>
        </w:rPr>
      </w:pPr>
      <w:r>
        <w:rPr>
          <w:rFonts w:hint="eastAsia" w:ascii="黑体" w:hAnsi="黑体" w:eastAsia="黑体" w:cs="黑体"/>
          <w:color w:val="000000" w:themeColor="text1"/>
          <w:sz w:val="32"/>
          <w:szCs w:val="32"/>
          <w:shd w:val="clear" w:color="auto" w:fill="FFFFFF"/>
          <w:lang w:eastAsia="zh-CN"/>
          <w14:textFill>
            <w14:solidFill>
              <w14:schemeClr w14:val="tx1"/>
            </w14:solidFill>
          </w14:textFill>
        </w:rPr>
        <w:t>第一章   总   则</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ascii="仿宋_GB2312" w:hAnsi="仿宋_GB2312" w:eastAsia="仿宋_GB2312" w:cs="仿宋_GB2312"/>
          <w:color w:val="000000" w:themeColor="text1"/>
          <w:sz w:val="32"/>
          <w:szCs w:val="32"/>
          <w:shd w:val="clear" w:color="auto" w:fill="FFFFFF"/>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shd w:val="clear" w:color="auto" w:fill="FFFFFF"/>
          <w:lang w:eastAsia="zh-CN"/>
          <w14:textFill>
            <w14:solidFill>
              <w14:schemeClr w14:val="tx1"/>
            </w14:solidFill>
          </w14:textFill>
        </w:rPr>
        <w:t xml:space="preserve">第一条  </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为健全完善门头沟区区属企业违规经营投资责任追究制度，规范国有企业经营投资行为，防止国有资产流失，实现国有资本保值增值，根据《中华人民共和国公司法》、《中华人民共和国企业国有资产法》、《企业国有资产监督管理暂行条例》、《国务院办公厅关于建立国有企业违规经营投资责任追究制度的意见》等，参照《中央企业违规经营投资责任追究实施办法（试行）》、《北京市国有企业违规经营投资责任追究实施办法（试行）》,结合本区实际，制定本办法。</w:t>
      </w:r>
    </w:p>
    <w:p>
      <w:pPr>
        <w:pStyle w:val="3"/>
        <w:widowControl/>
        <w:shd w:val="clear" w:color="auto" w:fill="FFFFFF"/>
        <w:spacing w:beforeAutospacing="0" w:afterAutospacing="0" w:line="600" w:lineRule="exact"/>
        <w:ind w:firstLine="643"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b/>
          <w:color w:val="000000" w:themeColor="text1"/>
          <w:sz w:val="32"/>
          <w:szCs w:val="32"/>
          <w:shd w:val="clear" w:color="auto" w:fill="FFFFFF"/>
          <w14:textFill>
            <w14:solidFill>
              <w14:schemeClr w14:val="tx1"/>
            </w14:solidFill>
          </w14:textFill>
        </w:rPr>
        <w:t>第二条</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 xml:space="preserve">  本办法适用于北京市门头沟区人民政府出资并授权履行出资人职责的机构监管的一级企业（以下简称企业）及其下属各级全资</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企</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业、控股企业、实际管理（含托管）或分支机构（以下简称子企业）的违规经营投资责任追究工作。</w:t>
      </w:r>
    </w:p>
    <w:p>
      <w:pPr>
        <w:pStyle w:val="8"/>
        <w:shd w:val="clear" w:color="auto" w:fill="auto"/>
        <w:spacing w:line="600" w:lineRule="exact"/>
        <w:ind w:firstLine="643" w:firstLineChars="200"/>
        <w:jc w:val="both"/>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pPr>
      <w:r>
        <w:rPr>
          <w:rFonts w:hint="eastAsia" w:ascii="仿宋_GB2312" w:hAnsi="仿宋_GB2312" w:eastAsia="仿宋_GB2312" w:cs="仿宋_GB2312"/>
          <w:b/>
          <w:color w:val="000000" w:themeColor="text1"/>
          <w:sz w:val="32"/>
          <w:szCs w:val="32"/>
          <w:shd w:val="clear" w:color="auto" w:fill="FFFFFF"/>
          <w:lang w:val="en-US"/>
          <w14:textFill>
            <w14:solidFill>
              <w14:schemeClr w14:val="tx1"/>
            </w14:solidFill>
          </w14:textFill>
        </w:rPr>
        <w:t>第三条</w:t>
      </w: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 xml:space="preserve">  本办法所称违规经营投资责任追究（以下简称“责任追究”）是指企业相关人员违反国家法律法规、国有资产监管规章制度和企业内部管理规定，未履行或未正确履行职责，或者企业内部控制存在重大缺陷，造成企业经营投资损失或其他不良后果，经调查核实和责任认定，对相关责任人进行处理的工作</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w:t>
      </w:r>
    </w:p>
    <w:p>
      <w:pPr>
        <w:pStyle w:val="8"/>
        <w:shd w:val="clear" w:color="auto" w:fill="auto"/>
        <w:spacing w:line="600" w:lineRule="exact"/>
        <w:ind w:firstLine="643" w:firstLineChars="200"/>
        <w:jc w:val="both"/>
        <w:rPr>
          <w:rFonts w:ascii="仿宋_GB2312" w:hAnsi="仿宋_GB2312" w:eastAsia="仿宋_GB2312" w:cs="仿宋_GB2312"/>
          <w:color w:val="000000" w:themeColor="text1"/>
          <w:sz w:val="32"/>
          <w:szCs w:val="32"/>
          <w:shd w:val="clear" w:color="auto" w:fill="FFFFFF"/>
          <w:lang w:val="en-US"/>
          <w14:textFill>
            <w14:solidFill>
              <w14:schemeClr w14:val="tx1"/>
            </w14:solidFill>
          </w14:textFill>
        </w:rPr>
      </w:pPr>
      <w:r>
        <w:rPr>
          <w:rFonts w:hint="eastAsia" w:ascii="仿宋_GB2312" w:hAnsi="仿宋_GB2312" w:eastAsia="仿宋_GB2312" w:cs="仿宋_GB2312"/>
          <w:b/>
          <w:color w:val="000000" w:themeColor="text1"/>
          <w:sz w:val="32"/>
          <w:szCs w:val="32"/>
          <w:shd w:val="clear" w:color="auto" w:fill="FFFFFF"/>
          <w:lang w:val="en-US"/>
          <w14:textFill>
            <w14:solidFill>
              <w14:schemeClr w14:val="tx1"/>
            </w14:solidFill>
          </w14:textFill>
        </w:rPr>
        <w:t>第四条</w:t>
      </w: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 xml:space="preserve">  本办法所称经营投资损失（以下简称“损失”）是指企业经营投资活动中发生的，或在可预见未来将发生的资产实质性灭失或经济利益不等价流出。</w:t>
      </w:r>
    </w:p>
    <w:p>
      <w:pPr>
        <w:pStyle w:val="8"/>
        <w:shd w:val="clear" w:color="auto" w:fill="auto"/>
        <w:spacing w:line="600" w:lineRule="exact"/>
        <w:ind w:firstLine="643" w:firstLineChars="200"/>
        <w:jc w:val="both"/>
        <w:rPr>
          <w:rFonts w:ascii="仿宋_GB2312" w:hAnsi="仿宋_GB2312" w:eastAsia="仿宋_GB2312" w:cs="仿宋_GB2312"/>
          <w:color w:val="000000" w:themeColor="text1"/>
          <w:sz w:val="32"/>
          <w:szCs w:val="32"/>
          <w:shd w:val="clear" w:color="auto" w:fill="FFFFFF"/>
          <w:lang w:val="en-US"/>
          <w14:textFill>
            <w14:solidFill>
              <w14:schemeClr w14:val="tx1"/>
            </w14:solidFill>
          </w14:textFill>
        </w:rPr>
      </w:pPr>
      <w:r>
        <w:rPr>
          <w:rFonts w:hint="eastAsia" w:ascii="仿宋_GB2312" w:hAnsi="仿宋_GB2312" w:eastAsia="仿宋_GB2312" w:cs="仿宋_GB2312"/>
          <w:b/>
          <w:bCs/>
          <w:color w:val="000000" w:themeColor="text1"/>
          <w:sz w:val="32"/>
          <w:szCs w:val="32"/>
          <w:shd w:val="clear" w:color="auto" w:fill="FFFFFF"/>
          <w:lang w:val="en-US"/>
          <w14:textFill>
            <w14:solidFill>
              <w14:schemeClr w14:val="tx1"/>
            </w14:solidFill>
          </w14:textFill>
        </w:rPr>
        <w:t xml:space="preserve">第五条  </w:t>
      </w: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责任追究工作应当遵循依法合规、违规必究，分级组织、分类处理，客观公正、责罚适当，惩教结合、纠建并举的原则。</w:t>
      </w:r>
    </w:p>
    <w:p>
      <w:pPr>
        <w:pStyle w:val="8"/>
        <w:shd w:val="clear" w:color="auto" w:fill="auto"/>
        <w:spacing w:after="540" w:line="600" w:lineRule="exact"/>
        <w:ind w:firstLine="643" w:firstLineChars="200"/>
        <w:jc w:val="both"/>
        <w:rPr>
          <w:rFonts w:ascii="仿宋_GB2312" w:hAnsi="仿宋_GB2312" w:eastAsia="仿宋_GB2312" w:cs="仿宋_GB2312"/>
          <w:color w:val="000000" w:themeColor="text1"/>
          <w:sz w:val="32"/>
          <w:szCs w:val="32"/>
          <w:shd w:val="clear" w:color="auto" w:fill="FFFFFF"/>
          <w:lang w:val="en-US"/>
          <w14:textFill>
            <w14:solidFill>
              <w14:schemeClr w14:val="tx1"/>
            </w14:solidFill>
          </w14:textFill>
        </w:rPr>
      </w:pPr>
      <w:r>
        <w:rPr>
          <w:rFonts w:hint="eastAsia" w:ascii="仿宋_GB2312" w:hAnsi="仿宋_GB2312" w:eastAsia="仿宋_GB2312" w:cs="仿宋_GB2312"/>
          <w:b/>
          <w:bCs/>
          <w:color w:val="000000" w:themeColor="text1"/>
          <w:sz w:val="32"/>
          <w:szCs w:val="32"/>
          <w:shd w:val="clear" w:color="auto" w:fill="FFFFFF"/>
          <w:lang w:val="en-US"/>
          <w14:textFill>
            <w14:solidFill>
              <w14:schemeClr w14:val="tx1"/>
            </w14:solidFill>
          </w14:textFill>
        </w:rPr>
        <w:t xml:space="preserve">第六条  </w:t>
      </w: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在责任追究工作过程中，发现涉嫌违反党纪</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职务违法</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或</w:t>
      </w: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涉嫌犯罪的问题和线索，应当移送</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相关部门</w:t>
      </w: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查处。</w:t>
      </w:r>
    </w:p>
    <w:p>
      <w:pPr>
        <w:widowControl/>
        <w:shd w:val="clear" w:color="auto" w:fill="FFFFFF"/>
        <w:spacing w:line="600" w:lineRule="exact"/>
        <w:jc w:val="center"/>
        <w:rPr>
          <w:rFonts w:ascii="黑体" w:hAnsi="黑体" w:eastAsia="黑体" w:cs="黑体"/>
          <w:color w:val="000000" w:themeColor="text1"/>
          <w:sz w:val="32"/>
          <w:szCs w:val="32"/>
          <w:shd w:val="clear" w:color="auto" w:fill="FFFFFF"/>
          <w:lang w:eastAsia="zh-CN"/>
          <w14:textFill>
            <w14:solidFill>
              <w14:schemeClr w14:val="tx1"/>
            </w14:solidFill>
          </w14:textFill>
        </w:rPr>
      </w:pPr>
      <w:bookmarkStart w:id="2" w:name="bookmark10"/>
      <w:bookmarkStart w:id="3" w:name="bookmark11"/>
      <w:r>
        <w:rPr>
          <w:rFonts w:hint="eastAsia" w:ascii="黑体" w:hAnsi="黑体" w:eastAsia="黑体" w:cs="黑体"/>
          <w:color w:val="000000" w:themeColor="text1"/>
          <w:sz w:val="32"/>
          <w:szCs w:val="32"/>
          <w:shd w:val="clear" w:color="auto" w:fill="FFFFFF"/>
          <w:lang w:eastAsia="zh-CN"/>
          <w14:textFill>
            <w14:solidFill>
              <w14:schemeClr w14:val="tx1"/>
            </w14:solidFill>
          </w14:textFill>
        </w:rPr>
        <w:t>第二章  责任追究范围</w:t>
      </w:r>
      <w:bookmarkEnd w:id="2"/>
      <w:bookmarkEnd w:id="3"/>
    </w:p>
    <w:p>
      <w:pPr>
        <w:pStyle w:val="8"/>
        <w:shd w:val="clear" w:color="auto" w:fill="auto"/>
        <w:spacing w:line="600" w:lineRule="exact"/>
        <w:ind w:firstLine="643" w:firstLineChars="200"/>
        <w:jc w:val="both"/>
        <w:rPr>
          <w:rFonts w:ascii="仿宋_GB2312" w:hAnsi="仿宋_GB2312" w:eastAsia="仿宋_GB2312" w:cs="仿宋_GB2312"/>
          <w:color w:val="000000" w:themeColor="text1"/>
          <w:sz w:val="32"/>
          <w:szCs w:val="32"/>
          <w:shd w:val="clear" w:color="auto" w:fill="FFFFFF"/>
          <w:lang w:val="en-US"/>
          <w14:textFill>
            <w14:solidFill>
              <w14:schemeClr w14:val="tx1"/>
            </w14:solidFill>
          </w14:textFill>
        </w:rPr>
      </w:pPr>
      <w:r>
        <w:rPr>
          <w:rFonts w:hint="eastAsia" w:ascii="仿宋_GB2312" w:hAnsi="仿宋_GB2312" w:eastAsia="仿宋_GB2312" w:cs="仿宋_GB2312"/>
          <w:b/>
          <w:color w:val="000000" w:themeColor="text1"/>
          <w:sz w:val="32"/>
          <w:szCs w:val="32"/>
          <w:shd w:val="clear" w:color="auto" w:fill="FFFFFF"/>
          <w:lang w:val="en-US"/>
          <w14:textFill>
            <w14:solidFill>
              <w14:schemeClr w14:val="tx1"/>
            </w14:solidFill>
          </w14:textFill>
        </w:rPr>
        <w:t>第七条</w:t>
      </w: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 xml:space="preserve">  企业相关人员违反规定，未履行或未正确履行职责致使发生本办法第八条至第二十条所列情形，造成损失或其他不良后果的，应当追究相应责任。</w:t>
      </w:r>
    </w:p>
    <w:p>
      <w:pPr>
        <w:pStyle w:val="8"/>
        <w:shd w:val="clear" w:color="auto" w:fill="auto"/>
        <w:spacing w:line="600" w:lineRule="exact"/>
        <w:ind w:firstLine="643" w:firstLineChars="200"/>
        <w:jc w:val="both"/>
        <w:rPr>
          <w:rFonts w:ascii="仿宋_GB2312" w:hAnsi="仿宋_GB2312" w:eastAsia="仿宋_GB2312" w:cs="仿宋_GB2312"/>
          <w:color w:val="000000" w:themeColor="text1"/>
          <w:sz w:val="32"/>
          <w:szCs w:val="32"/>
          <w:shd w:val="clear" w:color="auto" w:fill="FFFFFF"/>
          <w:lang w:val="en-US"/>
          <w14:textFill>
            <w14:solidFill>
              <w14:schemeClr w14:val="tx1"/>
            </w14:solidFill>
          </w14:textFill>
        </w:rPr>
      </w:pPr>
      <w:r>
        <w:rPr>
          <w:rFonts w:hint="eastAsia" w:ascii="仿宋_GB2312" w:hAnsi="仿宋_GB2312" w:eastAsia="仿宋_GB2312" w:cs="仿宋_GB2312"/>
          <w:b/>
          <w:color w:val="000000" w:themeColor="text1"/>
          <w:sz w:val="32"/>
          <w:szCs w:val="32"/>
          <w:shd w:val="clear" w:color="auto" w:fill="FFFFFF"/>
          <w:lang w:val="en-US"/>
          <w14:textFill>
            <w14:solidFill>
              <w14:schemeClr w14:val="tx1"/>
            </w14:solidFill>
          </w14:textFill>
        </w:rPr>
        <w:t>第八条</w:t>
      </w: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 xml:space="preserve">  集团管控方面的责任追究情形包括：</w:t>
      </w:r>
    </w:p>
    <w:p>
      <w:pPr>
        <w:pStyle w:val="8"/>
        <w:shd w:val="clear" w:color="auto" w:fill="auto"/>
        <w:tabs>
          <w:tab w:val="left" w:pos="1616"/>
        </w:tabs>
        <w:spacing w:line="600" w:lineRule="exact"/>
        <w:ind w:firstLine="640" w:firstLineChars="200"/>
        <w:jc w:val="both"/>
        <w:rPr>
          <w:rFonts w:ascii="仿宋_GB2312" w:hAnsi="仿宋_GB2312" w:eastAsia="仿宋_GB2312" w:cs="仿宋_GB2312"/>
          <w:color w:val="000000" w:themeColor="text1"/>
          <w:sz w:val="32"/>
          <w:szCs w:val="32"/>
          <w:shd w:val="clear" w:color="auto" w:fill="FFFFFF"/>
          <w:lang w:val="en-US"/>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（一）</w:t>
      </w: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ab/>
      </w: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违反规定程序或超越权限，决定、批准和组织实施重大经营投资事项，或决定、批准和组织实施的重大经营投资事项违反党和国家方针政策、决策部署以及国家有关规定的；</w:t>
      </w:r>
    </w:p>
    <w:p>
      <w:pPr>
        <w:pStyle w:val="8"/>
        <w:shd w:val="clear" w:color="auto" w:fill="auto"/>
        <w:tabs>
          <w:tab w:val="left" w:pos="1611"/>
        </w:tabs>
        <w:spacing w:line="600" w:lineRule="exact"/>
        <w:ind w:firstLine="640" w:firstLineChars="200"/>
        <w:jc w:val="both"/>
        <w:rPr>
          <w:rFonts w:ascii="仿宋_GB2312" w:hAnsi="仿宋_GB2312" w:eastAsia="仿宋_GB2312" w:cs="仿宋_GB2312"/>
          <w:color w:val="000000" w:themeColor="text1"/>
          <w:sz w:val="32"/>
          <w:szCs w:val="32"/>
          <w:shd w:val="clear" w:color="auto" w:fill="FFFFFF"/>
          <w:lang w:val="en-US"/>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（二）</w:t>
      </w: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ab/>
      </w: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对有关集团管控规定未执行或执行不力，致使发生重大损失，对生产经营、财务状况产生重大影响的；</w:t>
      </w:r>
    </w:p>
    <w:p>
      <w:pPr>
        <w:pStyle w:val="8"/>
        <w:shd w:val="clear" w:color="auto" w:fill="auto"/>
        <w:tabs>
          <w:tab w:val="left" w:pos="1616"/>
        </w:tabs>
        <w:snapToGrid w:val="0"/>
        <w:spacing w:line="600" w:lineRule="exact"/>
        <w:ind w:firstLine="640" w:firstLineChars="200"/>
        <w:jc w:val="both"/>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（三）</w:t>
      </w: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ab/>
      </w: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对集团重大风险隐患、内控缺陷等问题失察，或虽发现但没有及时报告、处理，造成重大损失或其他严重不良后果的;</w:t>
      </w:r>
    </w:p>
    <w:p>
      <w:pPr>
        <w:pStyle w:val="8"/>
        <w:shd w:val="clear" w:color="auto" w:fill="auto"/>
        <w:tabs>
          <w:tab w:val="left" w:pos="1616"/>
        </w:tabs>
        <w:snapToGrid w:val="0"/>
        <w:spacing w:line="600" w:lineRule="exact"/>
        <w:ind w:firstLine="640" w:firstLineChars="200"/>
        <w:jc w:val="both"/>
        <w:rPr>
          <w:rFonts w:ascii="仿宋_GB2312" w:hAnsi="仿宋_GB2312" w:eastAsia="仿宋_GB2312" w:cs="仿宋_GB2312"/>
          <w:color w:val="000000" w:themeColor="text1"/>
          <w:sz w:val="32"/>
          <w:szCs w:val="32"/>
          <w:shd w:val="clear" w:color="auto" w:fill="FFFFFF"/>
          <w:lang w:val="en-US"/>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（四）所属子企业发生重大违纪违法问题，造成重大损失,影响其持续经营能力或造成严重不良后果的。</w:t>
      </w:r>
    </w:p>
    <w:p>
      <w:pPr>
        <w:pStyle w:val="8"/>
        <w:shd w:val="clear" w:color="auto" w:fill="auto"/>
        <w:spacing w:line="600" w:lineRule="exact"/>
        <w:ind w:firstLine="643" w:firstLineChars="200"/>
        <w:jc w:val="both"/>
        <w:rPr>
          <w:rFonts w:ascii="仿宋_GB2312" w:hAnsi="仿宋_GB2312" w:eastAsia="仿宋_GB2312" w:cs="仿宋_GB2312"/>
          <w:color w:val="000000" w:themeColor="text1"/>
          <w:sz w:val="32"/>
          <w:szCs w:val="32"/>
          <w:shd w:val="clear" w:color="auto" w:fill="FFFFFF"/>
          <w:lang w:val="en-US"/>
          <w14:textFill>
            <w14:solidFill>
              <w14:schemeClr w14:val="tx1"/>
            </w14:solidFill>
          </w14:textFill>
        </w:rPr>
      </w:pPr>
      <w:r>
        <w:rPr>
          <w:rFonts w:hint="eastAsia" w:ascii="仿宋_GB2312" w:hAnsi="仿宋_GB2312" w:eastAsia="仿宋_GB2312" w:cs="仿宋_GB2312"/>
          <w:b/>
          <w:color w:val="000000" w:themeColor="text1"/>
          <w:sz w:val="32"/>
          <w:szCs w:val="32"/>
          <w:shd w:val="clear" w:color="auto" w:fill="FFFFFF"/>
          <w:lang w:val="en-US"/>
          <w14:textFill>
            <w14:solidFill>
              <w14:schemeClr w14:val="tx1"/>
            </w14:solidFill>
          </w14:textFill>
        </w:rPr>
        <w:t>第九条</w:t>
      </w: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 xml:space="preserve">  采购管理方面的责任追究情形包括：</w:t>
      </w:r>
    </w:p>
    <w:p>
      <w:pPr>
        <w:pStyle w:val="8"/>
        <w:shd w:val="clear" w:color="auto" w:fill="auto"/>
        <w:spacing w:line="600" w:lineRule="exact"/>
        <w:ind w:firstLine="640" w:firstLineChars="200"/>
        <w:jc w:val="both"/>
        <w:rPr>
          <w:rFonts w:ascii="仿宋_GB2312" w:hAnsi="仿宋_GB2312" w:eastAsia="仿宋_GB2312" w:cs="仿宋_GB2312"/>
          <w:color w:val="000000" w:themeColor="text1"/>
          <w:sz w:val="32"/>
          <w:szCs w:val="32"/>
          <w:shd w:val="clear" w:color="auto" w:fill="FFFFFF"/>
          <w:lang w:val="en-US"/>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（一）未按照规定订立书面合同的；</w:t>
      </w:r>
    </w:p>
    <w:p>
      <w:pPr>
        <w:pStyle w:val="8"/>
        <w:shd w:val="clear" w:color="auto" w:fill="auto"/>
        <w:spacing w:line="600" w:lineRule="exact"/>
        <w:ind w:firstLine="640" w:firstLineChars="200"/>
        <w:jc w:val="both"/>
        <w:rPr>
          <w:rFonts w:ascii="仿宋_GB2312" w:hAnsi="仿宋_GB2312" w:eastAsia="仿宋_GB2312" w:cs="仿宋_GB2312"/>
          <w:color w:val="000000" w:themeColor="text1"/>
          <w:sz w:val="32"/>
          <w:szCs w:val="32"/>
          <w:shd w:val="clear" w:color="auto" w:fill="FFFFFF"/>
          <w:lang w:val="en-US"/>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（二）未按照规定进行招标或未执行招标结果的；</w:t>
      </w:r>
    </w:p>
    <w:p>
      <w:pPr>
        <w:pStyle w:val="8"/>
        <w:shd w:val="clear" w:color="auto" w:fill="auto"/>
        <w:spacing w:line="600" w:lineRule="exact"/>
        <w:ind w:firstLine="640" w:firstLineChars="200"/>
        <w:jc w:val="both"/>
        <w:rPr>
          <w:rFonts w:ascii="仿宋_GB2312" w:hAnsi="仿宋_GB2312" w:eastAsia="仿宋_GB2312" w:cs="仿宋_GB2312"/>
          <w:color w:val="000000" w:themeColor="text1"/>
          <w:sz w:val="32"/>
          <w:szCs w:val="32"/>
          <w:shd w:val="clear" w:color="auto" w:fill="FFFFFF"/>
          <w:lang w:val="en-US"/>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（三）授意、指使、串通或未经过充分询价、比价进行违规采购的；</w:t>
      </w:r>
    </w:p>
    <w:p>
      <w:pPr>
        <w:pStyle w:val="8"/>
        <w:shd w:val="clear" w:color="auto" w:fill="auto"/>
        <w:tabs>
          <w:tab w:val="left" w:pos="1602"/>
        </w:tabs>
        <w:spacing w:line="600" w:lineRule="exact"/>
        <w:ind w:firstLine="640" w:firstLineChars="200"/>
        <w:jc w:val="both"/>
        <w:rPr>
          <w:rFonts w:ascii="仿宋_GB2312" w:hAnsi="仿宋_GB2312" w:eastAsia="仿宋_GB2312" w:cs="仿宋_GB2312"/>
          <w:color w:val="000000" w:themeColor="text1"/>
          <w:sz w:val="32"/>
          <w:szCs w:val="32"/>
          <w:shd w:val="clear" w:color="auto" w:fill="FFFFFF"/>
          <w:lang w:val="en-US"/>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（四）</w:t>
      </w: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ab/>
      </w: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未按照约定履行合同或无正当理由放弃应得合同权益的；</w:t>
      </w:r>
    </w:p>
    <w:p>
      <w:pPr>
        <w:pStyle w:val="8"/>
        <w:shd w:val="clear" w:color="auto" w:fill="auto"/>
        <w:tabs>
          <w:tab w:val="left" w:pos="1621"/>
        </w:tabs>
        <w:spacing w:line="600" w:lineRule="exact"/>
        <w:ind w:firstLine="640" w:firstLineChars="200"/>
        <w:jc w:val="both"/>
        <w:rPr>
          <w:rFonts w:ascii="仿宋_GB2312" w:hAnsi="仿宋_GB2312" w:eastAsia="仿宋_GB2312" w:cs="仿宋_GB2312"/>
          <w:color w:val="000000" w:themeColor="text1"/>
          <w:sz w:val="32"/>
          <w:szCs w:val="32"/>
          <w:shd w:val="clear" w:color="auto" w:fill="FFFFFF"/>
          <w:lang w:val="en-US"/>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（五）</w:t>
      </w: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ab/>
      </w: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违反规定开展融资性贸易业务或开展“空转”“走单”等虚假贸易业务的；</w:t>
      </w:r>
    </w:p>
    <w:p>
      <w:pPr>
        <w:pStyle w:val="8"/>
        <w:shd w:val="clear" w:color="auto" w:fill="auto"/>
        <w:spacing w:line="600" w:lineRule="exact"/>
        <w:ind w:firstLine="640" w:firstLineChars="200"/>
        <w:jc w:val="both"/>
        <w:rPr>
          <w:rFonts w:ascii="仿宋_GB2312" w:hAnsi="仿宋_GB2312" w:eastAsia="仿宋_GB2312" w:cs="仿宋_GB2312"/>
          <w:color w:val="000000" w:themeColor="text1"/>
          <w:sz w:val="32"/>
          <w:szCs w:val="32"/>
          <w:shd w:val="clear" w:color="auto" w:fill="FFFFFF"/>
          <w:lang w:val="en-US"/>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（六）未按照规定进行资信调查支付预付款项的；</w:t>
      </w:r>
    </w:p>
    <w:p>
      <w:pPr>
        <w:pStyle w:val="8"/>
        <w:shd w:val="clear" w:color="auto" w:fill="auto"/>
        <w:tabs>
          <w:tab w:val="left" w:pos="1606"/>
        </w:tabs>
        <w:spacing w:line="600" w:lineRule="exact"/>
        <w:ind w:firstLine="640" w:firstLineChars="200"/>
        <w:jc w:val="both"/>
        <w:rPr>
          <w:rFonts w:ascii="仿宋_GB2312" w:hAnsi="仿宋_GB2312" w:eastAsia="仿宋_GB2312" w:cs="仿宋_GB2312"/>
          <w:color w:val="000000" w:themeColor="text1"/>
          <w:sz w:val="32"/>
          <w:szCs w:val="32"/>
          <w:shd w:val="clear" w:color="auto" w:fill="FFFFFF"/>
          <w:lang w:val="en-US"/>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（七）</w:t>
      </w: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ab/>
      </w: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未履行或未正确履行职责致使合同标的价格明显偏高的；</w:t>
      </w:r>
    </w:p>
    <w:p>
      <w:pPr>
        <w:pStyle w:val="8"/>
        <w:shd w:val="clear" w:color="auto" w:fill="auto"/>
        <w:spacing w:line="600" w:lineRule="exact"/>
        <w:ind w:firstLine="640" w:firstLineChars="200"/>
        <w:jc w:val="both"/>
        <w:rPr>
          <w:rFonts w:ascii="仿宋_GB2312" w:hAnsi="仿宋_GB2312" w:eastAsia="仿宋_GB2312" w:cs="仿宋_GB2312"/>
          <w:color w:val="000000" w:themeColor="text1"/>
          <w:sz w:val="32"/>
          <w:szCs w:val="32"/>
          <w:shd w:val="clear" w:color="auto" w:fill="FFFFFF"/>
          <w:lang w:val="en-US"/>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（八）利用关联交易违规输送利益的；</w:t>
      </w:r>
    </w:p>
    <w:p>
      <w:pPr>
        <w:pStyle w:val="8"/>
        <w:shd w:val="clear" w:color="auto" w:fill="auto"/>
        <w:tabs>
          <w:tab w:val="left" w:pos="848"/>
        </w:tabs>
        <w:spacing w:line="600" w:lineRule="exact"/>
        <w:ind w:firstLine="640" w:firstLineChars="200"/>
        <w:jc w:val="both"/>
        <w:rPr>
          <w:rFonts w:ascii="仿宋_GB2312" w:hAnsi="仿宋_GB2312" w:eastAsia="仿宋_GB2312" w:cs="仿宋_GB2312"/>
          <w:color w:val="000000" w:themeColor="text1"/>
          <w:sz w:val="32"/>
          <w:szCs w:val="32"/>
          <w:shd w:val="clear" w:color="auto" w:fill="FFFFFF"/>
          <w:lang w:val="en-US"/>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（九）采购标的与合同约定不符而未采取有效措施的；</w:t>
      </w:r>
    </w:p>
    <w:p>
      <w:pPr>
        <w:pStyle w:val="8"/>
        <w:shd w:val="clear" w:color="auto" w:fill="auto"/>
        <w:spacing w:line="600" w:lineRule="exact"/>
        <w:ind w:firstLine="640" w:firstLineChars="200"/>
        <w:jc w:val="both"/>
        <w:rPr>
          <w:rFonts w:ascii="仿宋_GB2312" w:hAnsi="仿宋_GB2312" w:eastAsia="仿宋_GB2312" w:cs="仿宋_GB2312"/>
          <w:color w:val="000000" w:themeColor="text1"/>
          <w:sz w:val="32"/>
          <w:szCs w:val="32"/>
          <w:shd w:val="clear" w:color="auto" w:fill="FFFFFF"/>
          <w:lang w:val="en-US"/>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（十）采购与实际需要脱节造成积压、闲置的；</w:t>
      </w:r>
    </w:p>
    <w:p>
      <w:pPr>
        <w:pStyle w:val="8"/>
        <w:shd w:val="clear" w:color="auto" w:fill="auto"/>
        <w:spacing w:line="600" w:lineRule="exact"/>
        <w:ind w:firstLine="640" w:firstLineChars="200"/>
        <w:jc w:val="both"/>
        <w:rPr>
          <w:rFonts w:ascii="仿宋_GB2312" w:hAnsi="仿宋_GB2312" w:eastAsia="仿宋_GB2312" w:cs="仿宋_GB2312"/>
          <w:color w:val="000000" w:themeColor="text1"/>
          <w:sz w:val="32"/>
          <w:szCs w:val="32"/>
          <w:shd w:val="clear" w:color="auto" w:fill="FFFFFF"/>
          <w:lang w:val="en-US"/>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（十一）前期合同不能完全执行或存在损失风险仍续订类似合同的；</w:t>
      </w:r>
    </w:p>
    <w:p>
      <w:pPr>
        <w:pStyle w:val="8"/>
        <w:shd w:val="clear" w:color="auto" w:fill="auto"/>
        <w:spacing w:line="600" w:lineRule="exact"/>
        <w:ind w:firstLine="640" w:firstLineChars="200"/>
        <w:jc w:val="both"/>
        <w:rPr>
          <w:rFonts w:ascii="仿宋_GB2312" w:hAnsi="仿宋_GB2312" w:eastAsia="仿宋_GB2312" w:cs="仿宋_GB2312"/>
          <w:color w:val="000000" w:themeColor="text1"/>
          <w:sz w:val="32"/>
          <w:szCs w:val="32"/>
          <w:shd w:val="clear" w:color="auto" w:fill="FFFFFF"/>
          <w:lang w:val="en-US"/>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（十二）违反规定提供资质、担保（含抵押、质押等）或预付款项，利用业务预付或物资交易等方式变相融资或投资的；</w:t>
      </w:r>
    </w:p>
    <w:p>
      <w:pPr>
        <w:pStyle w:val="8"/>
        <w:shd w:val="clear" w:color="auto" w:fill="auto"/>
        <w:spacing w:line="600" w:lineRule="exact"/>
        <w:ind w:firstLine="640" w:firstLineChars="200"/>
        <w:jc w:val="both"/>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（十三）违反规定开展商品期货、期权等衍生业务的。</w:t>
      </w:r>
    </w:p>
    <w:p>
      <w:pPr>
        <w:pStyle w:val="8"/>
        <w:shd w:val="clear" w:color="auto" w:fill="auto"/>
        <w:spacing w:line="600" w:lineRule="exact"/>
        <w:ind w:firstLine="643" w:firstLineChars="200"/>
        <w:jc w:val="both"/>
        <w:rPr>
          <w:rFonts w:ascii="仿宋_GB2312" w:hAnsi="仿宋_GB2312" w:eastAsia="仿宋_GB2312" w:cs="仿宋_GB2312"/>
          <w:color w:val="000000" w:themeColor="text1"/>
          <w:sz w:val="32"/>
          <w:szCs w:val="32"/>
          <w:shd w:val="clear" w:color="auto" w:fill="FFFFFF"/>
          <w:lang w:val="en-US"/>
          <w14:textFill>
            <w14:solidFill>
              <w14:schemeClr w14:val="tx1"/>
            </w14:solidFill>
          </w14:textFill>
        </w:rPr>
      </w:pPr>
      <w:r>
        <w:rPr>
          <w:rFonts w:hint="eastAsia" w:ascii="仿宋_GB2312" w:hAnsi="仿宋_GB2312" w:eastAsia="仿宋_GB2312" w:cs="仿宋_GB2312"/>
          <w:b/>
          <w:color w:val="000000" w:themeColor="text1"/>
          <w:sz w:val="32"/>
          <w:szCs w:val="32"/>
          <w:shd w:val="clear" w:color="auto" w:fill="FFFFFF"/>
          <w:lang w:val="en-US"/>
          <w14:textFill>
            <w14:solidFill>
              <w14:schemeClr w14:val="tx1"/>
            </w14:solidFill>
          </w14:textFill>
        </w:rPr>
        <w:t>第十条</w:t>
      </w: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 xml:space="preserve">  销售管理方面的责任追究情形包括：</w:t>
      </w:r>
    </w:p>
    <w:p>
      <w:pPr>
        <w:pStyle w:val="8"/>
        <w:shd w:val="clear" w:color="auto" w:fill="auto"/>
        <w:spacing w:line="600" w:lineRule="exact"/>
        <w:ind w:firstLine="640" w:firstLineChars="200"/>
        <w:jc w:val="both"/>
        <w:rPr>
          <w:rFonts w:ascii="仿宋_GB2312" w:hAnsi="仿宋_GB2312" w:eastAsia="仿宋_GB2312" w:cs="仿宋_GB2312"/>
          <w:color w:val="000000" w:themeColor="text1"/>
          <w:sz w:val="32"/>
          <w:szCs w:val="32"/>
          <w:shd w:val="clear" w:color="auto" w:fill="FFFFFF"/>
          <w:lang w:val="en-US"/>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（一）未按照规定订立书面合同或所订合同明显有损企业利益的；</w:t>
      </w:r>
    </w:p>
    <w:p>
      <w:pPr>
        <w:pStyle w:val="8"/>
        <w:shd w:val="clear" w:color="auto" w:fill="auto"/>
        <w:tabs>
          <w:tab w:val="left" w:pos="1587"/>
        </w:tabs>
        <w:spacing w:line="600" w:lineRule="exact"/>
        <w:ind w:firstLine="640" w:firstLineChars="200"/>
        <w:jc w:val="both"/>
        <w:rPr>
          <w:rFonts w:ascii="仿宋_GB2312" w:hAnsi="仿宋_GB2312" w:eastAsia="仿宋_GB2312" w:cs="仿宋_GB2312"/>
          <w:color w:val="000000" w:themeColor="text1"/>
          <w:sz w:val="32"/>
          <w:szCs w:val="32"/>
          <w:shd w:val="clear" w:color="auto" w:fill="FFFFFF"/>
          <w:lang w:val="en-US"/>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（二）未履行或未正确履行职责致使合同标的价格明显偏低的；</w:t>
      </w:r>
    </w:p>
    <w:p>
      <w:pPr>
        <w:pStyle w:val="8"/>
        <w:shd w:val="clear" w:color="auto" w:fill="auto"/>
        <w:tabs>
          <w:tab w:val="left" w:pos="1587"/>
        </w:tabs>
        <w:spacing w:line="600" w:lineRule="exact"/>
        <w:ind w:firstLine="640" w:firstLineChars="200"/>
        <w:jc w:val="both"/>
        <w:rPr>
          <w:rFonts w:ascii="仿宋_GB2312" w:hAnsi="仿宋_GB2312" w:eastAsia="仿宋_GB2312" w:cs="仿宋_GB2312"/>
          <w:color w:val="000000" w:themeColor="text1"/>
          <w:sz w:val="32"/>
          <w:szCs w:val="32"/>
          <w:shd w:val="clear" w:color="auto" w:fill="FFFFFF"/>
          <w:lang w:val="en-US"/>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（三）未按照规定履行合同或无正当理由放弃应得合同权益的；</w:t>
      </w:r>
    </w:p>
    <w:p>
      <w:pPr>
        <w:pStyle w:val="8"/>
        <w:shd w:val="clear" w:color="auto" w:fill="auto"/>
        <w:spacing w:line="600" w:lineRule="exact"/>
        <w:ind w:firstLine="640" w:firstLineChars="200"/>
        <w:jc w:val="both"/>
        <w:rPr>
          <w:rFonts w:ascii="仿宋_GB2312" w:hAnsi="仿宋_GB2312" w:eastAsia="仿宋_GB2312" w:cs="仿宋_GB2312"/>
          <w:color w:val="000000" w:themeColor="text1"/>
          <w:sz w:val="32"/>
          <w:szCs w:val="32"/>
          <w:shd w:val="clear" w:color="auto" w:fill="FFFFFF"/>
          <w:lang w:val="en-US"/>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（四）利用关联交易违规输送利益的；</w:t>
      </w:r>
    </w:p>
    <w:p>
      <w:pPr>
        <w:pStyle w:val="8"/>
        <w:shd w:val="clear" w:color="auto" w:fill="auto"/>
        <w:spacing w:line="600" w:lineRule="exact"/>
        <w:ind w:firstLine="640" w:firstLineChars="200"/>
        <w:jc w:val="both"/>
        <w:rPr>
          <w:rFonts w:ascii="仿宋_GB2312" w:hAnsi="仿宋_GB2312" w:eastAsia="仿宋_GB2312" w:cs="仿宋_GB2312"/>
          <w:color w:val="000000" w:themeColor="text1"/>
          <w:sz w:val="32"/>
          <w:szCs w:val="32"/>
          <w:shd w:val="clear" w:color="auto" w:fill="FFFFFF"/>
          <w:lang w:val="en-US"/>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（五）违反规定提供赊销信用或超出信用额度、期限提供赊销信用的；</w:t>
      </w:r>
    </w:p>
    <w:p>
      <w:pPr>
        <w:pStyle w:val="8"/>
        <w:shd w:val="clear" w:color="auto" w:fill="auto"/>
        <w:spacing w:line="600" w:lineRule="exact"/>
        <w:ind w:firstLine="640" w:firstLineChars="200"/>
        <w:jc w:val="both"/>
        <w:rPr>
          <w:rFonts w:ascii="仿宋_GB2312" w:hAnsi="仿宋_GB2312" w:eastAsia="仿宋_GB2312" w:cs="仿宋_GB2312"/>
          <w:color w:val="000000" w:themeColor="text1"/>
          <w:sz w:val="32"/>
          <w:szCs w:val="32"/>
          <w:shd w:val="clear" w:color="auto" w:fill="FFFFFF"/>
          <w:lang w:val="en-US"/>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（六）应收账款未及时催收、对账，以及对异常应收款项未及时追索，或未采取有效保全措施的；</w:t>
      </w:r>
    </w:p>
    <w:p>
      <w:pPr>
        <w:pStyle w:val="8"/>
        <w:shd w:val="clear" w:color="auto" w:fill="auto"/>
        <w:tabs>
          <w:tab w:val="left" w:pos="1592"/>
        </w:tabs>
        <w:spacing w:line="600" w:lineRule="exact"/>
        <w:ind w:firstLine="640" w:firstLineChars="200"/>
        <w:jc w:val="both"/>
        <w:rPr>
          <w:rFonts w:ascii="仿宋_GB2312" w:hAnsi="仿宋_GB2312" w:eastAsia="仿宋_GB2312" w:cs="仿宋_GB2312"/>
          <w:color w:val="000000" w:themeColor="text1"/>
          <w:sz w:val="32"/>
          <w:szCs w:val="32"/>
          <w:shd w:val="clear" w:color="auto" w:fill="FFFFFF"/>
          <w:lang w:val="en-US"/>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（七）前期合同不能完全执行或存在损失风险仍续订类似合同的。</w:t>
      </w:r>
    </w:p>
    <w:p>
      <w:pPr>
        <w:pStyle w:val="8"/>
        <w:shd w:val="clear" w:color="auto" w:fill="auto"/>
        <w:spacing w:line="600" w:lineRule="exact"/>
        <w:ind w:firstLine="643" w:firstLineChars="200"/>
        <w:jc w:val="both"/>
        <w:rPr>
          <w:rFonts w:ascii="仿宋_GB2312" w:hAnsi="仿宋_GB2312" w:eastAsia="仿宋_GB2312" w:cs="仿宋_GB2312"/>
          <w:color w:val="000000" w:themeColor="text1"/>
          <w:sz w:val="32"/>
          <w:szCs w:val="32"/>
          <w:shd w:val="clear" w:color="auto" w:fill="FFFFFF"/>
          <w:lang w:val="en-US"/>
          <w14:textFill>
            <w14:solidFill>
              <w14:schemeClr w14:val="tx1"/>
            </w14:solidFill>
          </w14:textFill>
        </w:rPr>
      </w:pPr>
      <w:r>
        <w:rPr>
          <w:rFonts w:hint="eastAsia" w:ascii="仿宋_GB2312" w:hAnsi="仿宋_GB2312" w:eastAsia="仿宋_GB2312" w:cs="仿宋_GB2312"/>
          <w:b/>
          <w:color w:val="000000" w:themeColor="text1"/>
          <w:sz w:val="32"/>
          <w:szCs w:val="32"/>
          <w:shd w:val="clear" w:color="auto" w:fill="FFFFFF"/>
          <w:lang w:val="en-US"/>
          <w14:textFill>
            <w14:solidFill>
              <w14:schemeClr w14:val="tx1"/>
            </w14:solidFill>
          </w14:textFill>
        </w:rPr>
        <w:t>第十一条</w:t>
      </w: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 xml:space="preserve">  投资决策和管理方面的责任追究情形包括：</w:t>
      </w:r>
    </w:p>
    <w:p>
      <w:pPr>
        <w:pStyle w:val="8"/>
        <w:shd w:val="clear" w:color="auto" w:fill="auto"/>
        <w:spacing w:line="600" w:lineRule="exact"/>
        <w:ind w:firstLine="640" w:firstLineChars="200"/>
        <w:jc w:val="both"/>
        <w:rPr>
          <w:rFonts w:ascii="仿宋_GB2312" w:hAnsi="仿宋_GB2312" w:eastAsia="仿宋_GB2312" w:cs="仿宋_GB2312"/>
          <w:color w:val="000000" w:themeColor="text1"/>
          <w:sz w:val="32"/>
          <w:szCs w:val="32"/>
          <w:shd w:val="clear" w:color="auto" w:fill="FFFFFF"/>
          <w:lang w:val="en-US"/>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（一）未按照规定进行可行性研究、尽职调查或风险分析的;</w:t>
      </w:r>
    </w:p>
    <w:p>
      <w:pPr>
        <w:pStyle w:val="8"/>
        <w:shd w:val="clear" w:color="auto" w:fill="auto"/>
        <w:spacing w:line="600" w:lineRule="exact"/>
        <w:ind w:firstLine="640" w:firstLineChars="200"/>
        <w:jc w:val="both"/>
        <w:rPr>
          <w:rFonts w:ascii="仿宋_GB2312" w:hAnsi="仿宋_GB2312" w:eastAsia="仿宋_GB2312" w:cs="仿宋_GB2312"/>
          <w:color w:val="000000" w:themeColor="text1"/>
          <w:sz w:val="32"/>
          <w:szCs w:val="32"/>
          <w:shd w:val="clear" w:color="auto" w:fill="FFFFFF"/>
          <w:lang w:val="en-US"/>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（二）论证分析未考虑行业发展趋势，对技术、环境、政策等重要因素的判断明显违背事实，对关键性参数设定不科学，或未充分考虑重大风险因素，未制定风险防范预案的；</w:t>
      </w:r>
    </w:p>
    <w:p>
      <w:pPr>
        <w:pStyle w:val="8"/>
        <w:shd w:val="clear" w:color="auto" w:fill="auto"/>
        <w:spacing w:line="600" w:lineRule="exact"/>
        <w:ind w:firstLine="640" w:firstLineChars="200"/>
        <w:jc w:val="both"/>
        <w:rPr>
          <w:rFonts w:ascii="仿宋_GB2312" w:hAnsi="仿宋_GB2312" w:eastAsia="仿宋_GB2312" w:cs="仿宋_GB2312"/>
          <w:color w:val="000000" w:themeColor="text1"/>
          <w:sz w:val="32"/>
          <w:szCs w:val="32"/>
          <w:shd w:val="clear" w:color="auto" w:fill="FFFFFF"/>
          <w:lang w:val="en-US"/>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（三）未按照规定履行决策和审批程序，或投资决策与可行性研究、尽职调查结果严重背离的；</w:t>
      </w:r>
    </w:p>
    <w:p>
      <w:pPr>
        <w:pStyle w:val="8"/>
        <w:shd w:val="clear" w:color="auto" w:fill="auto"/>
        <w:spacing w:line="600" w:lineRule="exact"/>
        <w:ind w:firstLine="640" w:firstLineChars="200"/>
        <w:jc w:val="both"/>
        <w:rPr>
          <w:rFonts w:ascii="仿宋_GB2312" w:hAnsi="仿宋_GB2312" w:eastAsia="仿宋_GB2312" w:cs="仿宋_GB2312"/>
          <w:color w:val="000000" w:themeColor="text1"/>
          <w:sz w:val="32"/>
          <w:szCs w:val="32"/>
          <w:shd w:val="clear" w:color="auto" w:fill="FFFFFF"/>
          <w:lang w:val="en-US"/>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（四）未按照规定进行财务审计、资产评估或估值的；</w:t>
      </w:r>
    </w:p>
    <w:p>
      <w:pPr>
        <w:pStyle w:val="8"/>
        <w:shd w:val="clear" w:color="auto" w:fill="auto"/>
        <w:spacing w:line="600" w:lineRule="exact"/>
        <w:ind w:firstLine="640" w:firstLineChars="200"/>
        <w:jc w:val="both"/>
        <w:rPr>
          <w:rFonts w:ascii="仿宋_GB2312" w:hAnsi="仿宋_GB2312" w:eastAsia="仿宋_GB2312" w:cs="仿宋_GB2312"/>
          <w:color w:val="000000" w:themeColor="text1"/>
          <w:sz w:val="32"/>
          <w:szCs w:val="32"/>
          <w:shd w:val="clear" w:color="auto" w:fill="FFFFFF"/>
          <w:lang w:val="en-US"/>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（五）投资并购过程中授意、指使中介机构或有关单位出具虚假报告，或干预、操纵财务审计、资产评估造成投资价格不实的；</w:t>
      </w:r>
    </w:p>
    <w:p>
      <w:pPr>
        <w:pStyle w:val="8"/>
        <w:shd w:val="clear" w:color="auto" w:fill="auto"/>
        <w:spacing w:line="600" w:lineRule="exact"/>
        <w:ind w:firstLine="640" w:firstLineChars="200"/>
        <w:jc w:val="both"/>
        <w:rPr>
          <w:rFonts w:ascii="仿宋_GB2312" w:hAnsi="仿宋_GB2312" w:eastAsia="仿宋_GB2312" w:cs="仿宋_GB2312"/>
          <w:color w:val="000000" w:themeColor="text1"/>
          <w:sz w:val="32"/>
          <w:szCs w:val="32"/>
          <w:shd w:val="clear" w:color="auto" w:fill="FFFFFF"/>
          <w:lang w:val="en-US"/>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（六）违反合同约定，提前支付并购价款的；</w:t>
      </w:r>
    </w:p>
    <w:p>
      <w:pPr>
        <w:pStyle w:val="8"/>
        <w:shd w:val="clear" w:color="auto" w:fill="auto"/>
        <w:tabs>
          <w:tab w:val="left" w:pos="1621"/>
        </w:tabs>
        <w:spacing w:line="600" w:lineRule="exact"/>
        <w:ind w:firstLine="640" w:firstLineChars="200"/>
        <w:jc w:val="both"/>
        <w:rPr>
          <w:rFonts w:ascii="仿宋_GB2312" w:hAnsi="仿宋_GB2312" w:eastAsia="仿宋_GB2312" w:cs="仿宋_GB2312"/>
          <w:color w:val="000000" w:themeColor="text1"/>
          <w:sz w:val="32"/>
          <w:szCs w:val="32"/>
          <w:shd w:val="clear" w:color="auto" w:fill="FFFFFF"/>
          <w:lang w:val="en-US"/>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（七）</w:t>
      </w: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ab/>
      </w: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违反规定以各种形式为其他合资合作方提供垫资，或通过高溢价并购等手段向关联方输送利益的；</w:t>
      </w:r>
    </w:p>
    <w:p>
      <w:pPr>
        <w:pStyle w:val="8"/>
        <w:shd w:val="clear" w:color="auto" w:fill="auto"/>
        <w:tabs>
          <w:tab w:val="left" w:pos="1611"/>
        </w:tabs>
        <w:spacing w:line="600" w:lineRule="exact"/>
        <w:ind w:firstLine="640" w:firstLineChars="200"/>
        <w:jc w:val="both"/>
        <w:rPr>
          <w:rFonts w:ascii="仿宋_GB2312" w:hAnsi="仿宋_GB2312" w:eastAsia="仿宋_GB2312" w:cs="仿宋_GB2312"/>
          <w:color w:val="000000" w:themeColor="text1"/>
          <w:sz w:val="32"/>
          <w:szCs w:val="32"/>
          <w:shd w:val="clear" w:color="auto" w:fill="FFFFFF"/>
          <w:lang w:val="en-US"/>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（八）</w:t>
      </w: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ab/>
      </w: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违反规定向企业高级管理人员及其近亲属、其他特定关系人所有或控制的企业投资，或与其共同出资设立企业的；</w:t>
      </w:r>
    </w:p>
    <w:p>
      <w:pPr>
        <w:pStyle w:val="8"/>
        <w:shd w:val="clear" w:color="auto" w:fill="auto"/>
        <w:tabs>
          <w:tab w:val="left" w:pos="1621"/>
        </w:tabs>
        <w:spacing w:line="600" w:lineRule="exact"/>
        <w:ind w:firstLine="640" w:firstLineChars="200"/>
        <w:jc w:val="both"/>
        <w:rPr>
          <w:rFonts w:ascii="仿宋_GB2312" w:hAnsi="仿宋_GB2312" w:eastAsia="仿宋_GB2312" w:cs="仿宋_GB2312"/>
          <w:color w:val="000000" w:themeColor="text1"/>
          <w:sz w:val="32"/>
          <w:szCs w:val="32"/>
          <w:shd w:val="clear" w:color="auto" w:fill="FFFFFF"/>
          <w:lang w:val="en-US"/>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（九）</w:t>
      </w: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ab/>
      </w: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投资合同、协议及标的企业公司章程等法律文件中存在有损国有权益的条款，或投资并购后未按照有关工作方案原则开展整合，致使对标的企业管理失控的；</w:t>
      </w:r>
    </w:p>
    <w:p>
      <w:pPr>
        <w:pStyle w:val="8"/>
        <w:shd w:val="clear" w:color="auto" w:fill="auto"/>
        <w:spacing w:line="600" w:lineRule="exact"/>
        <w:ind w:firstLine="640" w:firstLineChars="200"/>
        <w:jc w:val="both"/>
        <w:rPr>
          <w:rFonts w:ascii="仿宋_GB2312" w:hAnsi="仿宋_GB2312" w:eastAsia="仿宋_GB2312" w:cs="仿宋_GB2312"/>
          <w:color w:val="000000" w:themeColor="text1"/>
          <w:sz w:val="32"/>
          <w:szCs w:val="32"/>
          <w:shd w:val="clear" w:color="auto" w:fill="FFFFFF"/>
          <w:lang w:val="en-US"/>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（十）未按照规定派出国有产权代表，或国有产权代表未按照规定履行或消极履行职责的；</w:t>
      </w:r>
    </w:p>
    <w:p>
      <w:pPr>
        <w:pStyle w:val="8"/>
        <w:shd w:val="clear" w:color="auto" w:fill="auto"/>
        <w:spacing w:line="600" w:lineRule="exact"/>
        <w:ind w:firstLine="640" w:firstLineChars="200"/>
        <w:jc w:val="both"/>
        <w:rPr>
          <w:rFonts w:ascii="仿宋_GB2312" w:hAnsi="仿宋_GB2312" w:eastAsia="仿宋_GB2312" w:cs="仿宋_GB2312"/>
          <w:color w:val="000000" w:themeColor="text1"/>
          <w:sz w:val="32"/>
          <w:szCs w:val="32"/>
          <w:shd w:val="clear" w:color="auto" w:fill="FFFFFF"/>
          <w:lang w:val="en-US"/>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（十一）对投资项目未进行全面有效的跟踪管理，出现风险或发生损失未及时采取有效措施止损的；</w:t>
      </w:r>
    </w:p>
    <w:p>
      <w:pPr>
        <w:pStyle w:val="8"/>
        <w:shd w:val="clear" w:color="auto" w:fill="auto"/>
        <w:spacing w:line="600" w:lineRule="exact"/>
        <w:ind w:firstLine="640" w:firstLineChars="200"/>
        <w:jc w:val="both"/>
        <w:rPr>
          <w:rFonts w:ascii="仿宋_GB2312" w:hAnsi="仿宋_GB2312" w:eastAsia="仿宋_GB2312" w:cs="仿宋_GB2312"/>
          <w:color w:val="000000" w:themeColor="text1"/>
          <w:sz w:val="32"/>
          <w:szCs w:val="32"/>
          <w:shd w:val="clear" w:color="auto" w:fill="FFFFFF"/>
          <w:lang w:val="en-US"/>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（十二）项目概算未经严格审查，严重偏离实际的；</w:t>
      </w:r>
    </w:p>
    <w:p>
      <w:pPr>
        <w:pStyle w:val="8"/>
        <w:shd w:val="clear" w:color="auto" w:fill="auto"/>
        <w:spacing w:line="600" w:lineRule="exact"/>
        <w:ind w:firstLine="640" w:firstLineChars="200"/>
        <w:jc w:val="both"/>
        <w:rPr>
          <w:rFonts w:ascii="仿宋_GB2312" w:hAnsi="仿宋_GB2312" w:eastAsia="仿宋_GB2312" w:cs="仿宋_GB2312"/>
          <w:color w:val="000000" w:themeColor="text1"/>
          <w:sz w:val="32"/>
          <w:szCs w:val="32"/>
          <w:shd w:val="clear" w:color="auto" w:fill="FFFFFF"/>
          <w:lang w:val="en-US"/>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（十三）购建项目未按照规定招标，干预、规避或操纵招标的；</w:t>
      </w:r>
    </w:p>
    <w:p>
      <w:pPr>
        <w:pStyle w:val="8"/>
        <w:shd w:val="clear" w:color="auto" w:fill="auto"/>
        <w:spacing w:line="600" w:lineRule="exact"/>
        <w:ind w:firstLine="640" w:firstLineChars="200"/>
        <w:jc w:val="both"/>
        <w:rPr>
          <w:rFonts w:ascii="仿宋_GB2312" w:hAnsi="仿宋_GB2312" w:eastAsia="仿宋_GB2312" w:cs="仿宋_GB2312"/>
          <w:color w:val="000000" w:themeColor="text1"/>
          <w:sz w:val="32"/>
          <w:szCs w:val="32"/>
          <w:shd w:val="clear" w:color="auto" w:fill="FFFFFF"/>
          <w:lang w:val="en-US"/>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（十四）擅自变更工程设计、建设内容或追加投资等；</w:t>
      </w:r>
    </w:p>
    <w:p>
      <w:pPr>
        <w:pStyle w:val="8"/>
        <w:shd w:val="clear" w:color="auto" w:fill="auto"/>
        <w:spacing w:line="600" w:lineRule="exact"/>
        <w:ind w:firstLine="640" w:firstLineChars="200"/>
        <w:jc w:val="both"/>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（十五）项目管理混乱，致使建设严重拖期、成本明显高于同类项目的；</w:t>
      </w:r>
    </w:p>
    <w:p>
      <w:pPr>
        <w:pStyle w:val="8"/>
        <w:shd w:val="clear" w:color="auto" w:fill="auto"/>
        <w:spacing w:line="600" w:lineRule="exact"/>
        <w:ind w:firstLine="640" w:firstLineChars="200"/>
        <w:jc w:val="both"/>
        <w:rPr>
          <w:rFonts w:ascii="仿宋_GB2312" w:hAnsi="仿宋_GB2312" w:eastAsia="仿宋_GB2312" w:cs="仿宋_GB2312"/>
          <w:color w:val="000000" w:themeColor="text1"/>
          <w:sz w:val="32"/>
          <w:szCs w:val="32"/>
          <w:shd w:val="clear" w:color="auto" w:fill="FFFFFF"/>
          <w:lang w:val="en-US"/>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（十六）违反规定开展列入负面清单的投资项目，或违反规定开展非主业或境外投资项目的；</w:t>
      </w:r>
    </w:p>
    <w:p>
      <w:pPr>
        <w:pStyle w:val="8"/>
        <w:shd w:val="clear" w:color="auto" w:fill="auto"/>
        <w:spacing w:line="600" w:lineRule="exact"/>
        <w:ind w:firstLine="640" w:firstLineChars="200"/>
        <w:jc w:val="both"/>
        <w:rPr>
          <w:rFonts w:ascii="仿宋_GB2312" w:hAnsi="仿宋_GB2312" w:eastAsia="仿宋_GB2312" w:cs="仿宋_GB2312"/>
          <w:color w:val="000000" w:themeColor="text1"/>
          <w:sz w:val="32"/>
          <w:szCs w:val="32"/>
          <w:shd w:val="clear" w:color="auto" w:fill="FFFFFF"/>
          <w:lang w:val="en-US"/>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（十七）违反规定或风险控制存在重大缺陷开展股票、基金、期货、外汇、委托理财等高风险投资业务的；</w:t>
      </w:r>
    </w:p>
    <w:p>
      <w:pPr>
        <w:pStyle w:val="8"/>
        <w:shd w:val="clear" w:color="auto" w:fill="auto"/>
        <w:spacing w:line="600" w:lineRule="exact"/>
        <w:ind w:firstLine="640" w:firstLineChars="200"/>
        <w:jc w:val="both"/>
        <w:rPr>
          <w:rFonts w:ascii="仿宋_GB2312" w:hAnsi="仿宋_GB2312" w:eastAsia="仿宋_GB2312" w:cs="仿宋_GB2312"/>
          <w:color w:val="000000" w:themeColor="text1"/>
          <w:sz w:val="32"/>
          <w:szCs w:val="32"/>
          <w:shd w:val="clear" w:color="auto" w:fill="FFFFFF"/>
          <w:lang w:val="en-US"/>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（十八）外部环境和项目本身情况发生重大变化，未按照规定及时调整投资方案并采取止损措施的；</w:t>
      </w:r>
    </w:p>
    <w:p>
      <w:pPr>
        <w:pStyle w:val="8"/>
        <w:shd w:val="clear" w:color="auto" w:fill="auto"/>
        <w:spacing w:line="600" w:lineRule="exact"/>
        <w:ind w:firstLine="640" w:firstLineChars="200"/>
        <w:jc w:val="both"/>
        <w:rPr>
          <w:rFonts w:ascii="仿宋_GB2312" w:hAnsi="仿宋_GB2312" w:eastAsia="仿宋_GB2312" w:cs="仿宋_GB2312"/>
          <w:color w:val="000000" w:themeColor="text1"/>
          <w:sz w:val="32"/>
          <w:szCs w:val="32"/>
          <w:shd w:val="clear" w:color="auto" w:fill="FFFFFF"/>
          <w:lang w:val="en-US"/>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（十九）投资参股后未行使相应股东权利或无正当理由承担额外股东义务，或发生重大变化未及时采取止损措施的。</w:t>
      </w:r>
    </w:p>
    <w:p>
      <w:pPr>
        <w:pStyle w:val="8"/>
        <w:shd w:val="clear" w:color="auto" w:fill="auto"/>
        <w:spacing w:line="600" w:lineRule="exact"/>
        <w:ind w:firstLine="643" w:firstLineChars="200"/>
        <w:jc w:val="both"/>
        <w:rPr>
          <w:rFonts w:ascii="仿宋_GB2312" w:hAnsi="仿宋_GB2312" w:eastAsia="仿宋_GB2312" w:cs="仿宋_GB2312"/>
          <w:color w:val="000000" w:themeColor="text1"/>
          <w:sz w:val="32"/>
          <w:szCs w:val="32"/>
          <w:shd w:val="clear" w:color="auto" w:fill="FFFFFF"/>
          <w:lang w:val="en-US"/>
          <w14:textFill>
            <w14:solidFill>
              <w14:schemeClr w14:val="tx1"/>
            </w14:solidFill>
          </w14:textFill>
        </w:rPr>
      </w:pPr>
      <w:r>
        <w:rPr>
          <w:rFonts w:hint="eastAsia" w:ascii="仿宋_GB2312" w:hAnsi="仿宋_GB2312" w:eastAsia="仿宋_GB2312" w:cs="仿宋_GB2312"/>
          <w:b/>
          <w:color w:val="000000" w:themeColor="text1"/>
          <w:sz w:val="32"/>
          <w:szCs w:val="32"/>
          <w:shd w:val="clear" w:color="auto" w:fill="FFFFFF"/>
          <w:lang w:val="en-US"/>
          <w14:textFill>
            <w14:solidFill>
              <w14:schemeClr w14:val="tx1"/>
            </w14:solidFill>
          </w14:textFill>
        </w:rPr>
        <w:t>第十二条</w:t>
      </w: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 xml:space="preserve">  资金管理方面的责任追究情形包括：</w:t>
      </w:r>
    </w:p>
    <w:p>
      <w:pPr>
        <w:pStyle w:val="8"/>
        <w:shd w:val="clear" w:color="auto" w:fill="auto"/>
        <w:spacing w:line="600" w:lineRule="exact"/>
        <w:ind w:firstLine="640" w:firstLineChars="200"/>
        <w:jc w:val="both"/>
        <w:rPr>
          <w:rFonts w:ascii="仿宋_GB2312" w:hAnsi="仿宋_GB2312" w:eastAsia="仿宋_GB2312" w:cs="仿宋_GB2312"/>
          <w:color w:val="000000" w:themeColor="text1"/>
          <w:sz w:val="32"/>
          <w:szCs w:val="32"/>
          <w:shd w:val="clear" w:color="auto" w:fill="FFFFFF"/>
          <w:lang w:val="en-US"/>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（一）违反决策和审批程序或超越权限筹集和使用资金的；</w:t>
      </w:r>
    </w:p>
    <w:p>
      <w:pPr>
        <w:pStyle w:val="8"/>
        <w:shd w:val="clear" w:color="auto" w:fill="auto"/>
        <w:spacing w:line="600" w:lineRule="exact"/>
        <w:ind w:firstLine="640" w:firstLineChars="200"/>
        <w:jc w:val="both"/>
        <w:rPr>
          <w:rFonts w:ascii="仿宋_GB2312" w:hAnsi="仿宋_GB2312" w:eastAsia="仿宋_GB2312" w:cs="仿宋_GB2312"/>
          <w:color w:val="000000" w:themeColor="text1"/>
          <w:sz w:val="32"/>
          <w:szCs w:val="32"/>
          <w:shd w:val="clear" w:color="auto" w:fill="FFFFFF"/>
          <w:lang w:val="en-US"/>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（二）虚列支出套取资金的；</w:t>
      </w:r>
    </w:p>
    <w:p>
      <w:pPr>
        <w:pStyle w:val="8"/>
        <w:shd w:val="clear" w:color="auto" w:fill="auto"/>
        <w:spacing w:line="600" w:lineRule="exact"/>
        <w:ind w:firstLine="640" w:firstLineChars="200"/>
        <w:jc w:val="both"/>
        <w:rPr>
          <w:rFonts w:ascii="仿宋_GB2312" w:hAnsi="仿宋_GB2312" w:eastAsia="仿宋_GB2312" w:cs="仿宋_GB2312"/>
          <w:color w:val="000000" w:themeColor="text1"/>
          <w:sz w:val="32"/>
          <w:szCs w:val="32"/>
          <w:shd w:val="clear" w:color="auto" w:fill="FFFFFF"/>
          <w:lang w:val="en-US"/>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（三）违反规定以个人名义留存资金、收支结算、开立银行账户的；</w:t>
      </w:r>
    </w:p>
    <w:p>
      <w:pPr>
        <w:pStyle w:val="8"/>
        <w:shd w:val="clear" w:color="auto" w:fill="auto"/>
        <w:spacing w:line="600" w:lineRule="exact"/>
        <w:ind w:firstLine="640" w:firstLineChars="200"/>
        <w:jc w:val="both"/>
        <w:rPr>
          <w:rFonts w:ascii="仿宋_GB2312" w:hAnsi="仿宋_GB2312" w:eastAsia="仿宋_GB2312" w:cs="仿宋_GB2312"/>
          <w:color w:val="000000" w:themeColor="text1"/>
          <w:sz w:val="32"/>
          <w:szCs w:val="32"/>
          <w:shd w:val="clear" w:color="auto" w:fill="FFFFFF"/>
          <w:lang w:val="en-US"/>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（四）设立“小金库”的；</w:t>
      </w:r>
    </w:p>
    <w:p>
      <w:pPr>
        <w:pStyle w:val="8"/>
        <w:shd w:val="clear" w:color="auto" w:fill="auto"/>
        <w:spacing w:line="600" w:lineRule="exact"/>
        <w:ind w:firstLine="640" w:firstLineChars="200"/>
        <w:jc w:val="both"/>
        <w:rPr>
          <w:rFonts w:ascii="仿宋_GB2312" w:hAnsi="仿宋_GB2312" w:eastAsia="仿宋_GB2312" w:cs="仿宋_GB2312"/>
          <w:color w:val="000000" w:themeColor="text1"/>
          <w:sz w:val="32"/>
          <w:szCs w:val="32"/>
          <w:shd w:val="clear" w:color="auto" w:fill="FFFFFF"/>
          <w:lang w:val="en-US"/>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（五）违反规定集资、发行股票或债券、捐赠、担保、委托理财、拆借资金或开立信用证、办理银行票据的；</w:t>
      </w:r>
    </w:p>
    <w:p>
      <w:pPr>
        <w:pStyle w:val="8"/>
        <w:shd w:val="clear" w:color="auto" w:fill="auto"/>
        <w:spacing w:line="600" w:lineRule="exact"/>
        <w:ind w:firstLine="640" w:firstLineChars="200"/>
        <w:jc w:val="both"/>
        <w:rPr>
          <w:rFonts w:ascii="仿宋_GB2312" w:hAnsi="仿宋_GB2312" w:eastAsia="仿宋_GB2312" w:cs="仿宋_GB2312"/>
          <w:color w:val="000000" w:themeColor="text1"/>
          <w:sz w:val="32"/>
          <w:szCs w:val="32"/>
          <w:shd w:val="clear" w:color="auto" w:fill="FFFFFF"/>
          <w:lang w:val="en-US"/>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（六）因财务内控缺失，发生挪用、侵占、盗取、欺诈的；</w:t>
      </w:r>
    </w:p>
    <w:p>
      <w:pPr>
        <w:pStyle w:val="8"/>
        <w:shd w:val="clear" w:color="auto" w:fill="auto"/>
        <w:spacing w:line="600" w:lineRule="exact"/>
        <w:ind w:firstLine="640" w:firstLineChars="200"/>
        <w:jc w:val="both"/>
        <w:rPr>
          <w:rFonts w:ascii="仿宋_GB2312" w:hAnsi="仿宋_GB2312" w:eastAsia="仿宋_GB2312" w:cs="仿宋_GB2312"/>
          <w:color w:val="000000" w:themeColor="text1"/>
          <w:sz w:val="32"/>
          <w:szCs w:val="32"/>
          <w:shd w:val="clear" w:color="auto" w:fill="FFFFFF"/>
          <w:lang w:val="en-US"/>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（七）擅自出借公司账户、私刻印章、擅自使用印章的；</w:t>
      </w:r>
    </w:p>
    <w:p>
      <w:pPr>
        <w:pStyle w:val="8"/>
        <w:shd w:val="clear" w:color="auto" w:fill="auto"/>
        <w:spacing w:line="600" w:lineRule="exact"/>
        <w:ind w:firstLine="640" w:firstLineChars="200"/>
        <w:jc w:val="both"/>
        <w:rPr>
          <w:rFonts w:ascii="仿宋_GB2312" w:hAnsi="仿宋_GB2312" w:eastAsia="仿宋_GB2312" w:cs="仿宋_GB2312"/>
          <w:color w:val="000000" w:themeColor="text1"/>
          <w:sz w:val="32"/>
          <w:szCs w:val="32"/>
          <w:shd w:val="clear" w:color="auto" w:fill="FFFFFF"/>
          <w:lang w:val="en-US"/>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（八）违反规定开展金融衍生品业务的；</w:t>
      </w:r>
    </w:p>
    <w:p>
      <w:pPr>
        <w:pStyle w:val="8"/>
        <w:shd w:val="clear" w:color="auto" w:fill="auto"/>
        <w:spacing w:line="600" w:lineRule="exact"/>
        <w:ind w:firstLine="640" w:firstLineChars="200"/>
        <w:jc w:val="both"/>
        <w:rPr>
          <w:rFonts w:ascii="仿宋_GB2312" w:hAnsi="仿宋_GB2312" w:eastAsia="仿宋_GB2312" w:cs="仿宋_GB2312"/>
          <w:color w:val="000000" w:themeColor="text1"/>
          <w:sz w:val="32"/>
          <w:szCs w:val="32"/>
          <w:shd w:val="clear" w:color="auto" w:fill="FFFFFF"/>
          <w:lang w:val="en-US"/>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（九）违规向无产权关系的企业拆借资金，或以出借资金方式向关联方输送利益的；</w:t>
      </w:r>
    </w:p>
    <w:p>
      <w:pPr>
        <w:pStyle w:val="8"/>
        <w:shd w:val="clear" w:color="auto" w:fill="auto"/>
        <w:spacing w:line="600" w:lineRule="exact"/>
        <w:ind w:firstLine="640" w:firstLineChars="200"/>
        <w:jc w:val="both"/>
        <w:rPr>
          <w:rFonts w:ascii="仿宋_GB2312" w:hAnsi="仿宋_GB2312" w:eastAsia="仿宋_GB2312" w:cs="仿宋_GB2312"/>
          <w:color w:val="000000" w:themeColor="text1"/>
          <w:sz w:val="32"/>
          <w:szCs w:val="32"/>
          <w:shd w:val="clear" w:color="auto" w:fill="FFFFFF"/>
          <w:lang w:val="en-US"/>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十）违反规定向参股企业和子企业超持股比例提供借款、担保的，或向子企业超持股比例提供借款、担保，但未要求对方股东或第三方提供足额且有变现价值的反担保的，或提供超股比担保且无法取得反担保，但未收取合理担保费用的；</w:t>
      </w:r>
    </w:p>
    <w:p>
      <w:pPr>
        <w:pStyle w:val="8"/>
        <w:shd w:val="clear" w:color="auto" w:fill="auto"/>
        <w:spacing w:line="600" w:lineRule="exact"/>
        <w:ind w:firstLine="640" w:firstLineChars="200"/>
        <w:jc w:val="both"/>
        <w:rPr>
          <w:rFonts w:ascii="仿宋_GB2312" w:hAnsi="仿宋_GB2312" w:eastAsia="仿宋_GB2312" w:cs="仿宋_GB2312"/>
          <w:color w:val="000000" w:themeColor="text1"/>
          <w:sz w:val="32"/>
          <w:szCs w:val="32"/>
          <w:shd w:val="clear" w:color="auto" w:fill="FFFFFF"/>
          <w:lang w:val="en-US"/>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（十一）违反规定导致基金投资损失或损害国有资本权益等情况的。</w:t>
      </w:r>
    </w:p>
    <w:p>
      <w:pPr>
        <w:pStyle w:val="8"/>
        <w:shd w:val="clear" w:color="auto" w:fill="auto"/>
        <w:spacing w:line="600" w:lineRule="exact"/>
        <w:ind w:firstLine="643" w:firstLineChars="200"/>
        <w:jc w:val="both"/>
        <w:rPr>
          <w:rFonts w:ascii="仿宋_GB2312" w:hAnsi="仿宋_GB2312" w:eastAsia="仿宋_GB2312" w:cs="仿宋_GB2312"/>
          <w:color w:val="000000" w:themeColor="text1"/>
          <w:sz w:val="32"/>
          <w:szCs w:val="32"/>
          <w:shd w:val="clear" w:color="auto" w:fill="FFFFFF"/>
          <w:lang w:val="en-US"/>
          <w14:textFill>
            <w14:solidFill>
              <w14:schemeClr w14:val="tx1"/>
            </w14:solidFill>
          </w14:textFill>
        </w:rPr>
      </w:pPr>
      <w:r>
        <w:rPr>
          <w:rFonts w:hint="eastAsia" w:ascii="仿宋_GB2312" w:hAnsi="仿宋_GB2312" w:eastAsia="仿宋_GB2312" w:cs="仿宋_GB2312"/>
          <w:b/>
          <w:color w:val="000000" w:themeColor="text1"/>
          <w:sz w:val="32"/>
          <w:szCs w:val="32"/>
          <w:shd w:val="clear" w:color="auto" w:fill="FFFFFF"/>
          <w:lang w:val="en-US"/>
          <w14:textFill>
            <w14:solidFill>
              <w14:schemeClr w14:val="tx1"/>
            </w14:solidFill>
          </w14:textFill>
        </w:rPr>
        <w:t>第十三条</w:t>
      </w: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 xml:space="preserve">  工程承包与建设方面的责任追究情形包括：</w:t>
      </w:r>
    </w:p>
    <w:p>
      <w:pPr>
        <w:pStyle w:val="8"/>
        <w:shd w:val="clear" w:color="auto" w:fill="auto"/>
        <w:tabs>
          <w:tab w:val="left" w:pos="1611"/>
        </w:tabs>
        <w:spacing w:line="600" w:lineRule="exact"/>
        <w:ind w:firstLine="640" w:firstLineChars="200"/>
        <w:jc w:val="both"/>
        <w:rPr>
          <w:rFonts w:ascii="仿宋_GB2312" w:hAnsi="仿宋_GB2312" w:eastAsia="仿宋_GB2312" w:cs="仿宋_GB2312"/>
          <w:color w:val="000000" w:themeColor="text1"/>
          <w:sz w:val="32"/>
          <w:szCs w:val="32"/>
          <w:shd w:val="clear" w:color="auto" w:fill="FFFFFF"/>
          <w:lang w:val="en-US"/>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（一）</w:t>
      </w: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ab/>
      </w: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未按照规定对合同标的进行调查论证或风险分析，未经授权或超越授权投标，无合理商业理由以低于成本的报价中标的；</w:t>
      </w:r>
    </w:p>
    <w:p>
      <w:pPr>
        <w:pStyle w:val="8"/>
        <w:shd w:val="clear" w:color="auto" w:fill="auto"/>
        <w:tabs>
          <w:tab w:val="left" w:pos="1592"/>
        </w:tabs>
        <w:spacing w:line="600" w:lineRule="exact"/>
        <w:ind w:firstLine="640" w:firstLineChars="200"/>
        <w:jc w:val="both"/>
        <w:rPr>
          <w:rFonts w:ascii="仿宋_GB2312" w:hAnsi="仿宋_GB2312" w:eastAsia="仿宋_GB2312" w:cs="仿宋_GB2312"/>
          <w:color w:val="000000" w:themeColor="text1"/>
          <w:sz w:val="32"/>
          <w:szCs w:val="32"/>
          <w:shd w:val="clear" w:color="auto" w:fill="FFFFFF"/>
          <w:lang w:val="en-US"/>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（二）未按照规定履行决策和审批程序，擅自签订或变更合同，合同约定未经严格审查，存在重大疏漏的；</w:t>
      </w:r>
    </w:p>
    <w:p>
      <w:pPr>
        <w:pStyle w:val="8"/>
        <w:shd w:val="clear" w:color="auto" w:fill="auto"/>
        <w:spacing w:line="600" w:lineRule="exact"/>
        <w:ind w:firstLine="640" w:firstLineChars="200"/>
        <w:jc w:val="both"/>
        <w:rPr>
          <w:rFonts w:ascii="仿宋_GB2312" w:hAnsi="仿宋_GB2312" w:eastAsia="仿宋_GB2312" w:cs="仿宋_GB2312"/>
          <w:color w:val="000000" w:themeColor="text1"/>
          <w:sz w:val="32"/>
          <w:szCs w:val="32"/>
          <w:shd w:val="clear" w:color="auto" w:fill="FFFFFF"/>
          <w:lang w:val="en-US"/>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（三）工程以及与工程建设有关的货物、服务未按照规定招标或规避招标的；</w:t>
      </w:r>
    </w:p>
    <w:p>
      <w:pPr>
        <w:pStyle w:val="8"/>
        <w:shd w:val="clear" w:color="auto" w:fill="auto"/>
        <w:spacing w:line="600" w:lineRule="exact"/>
        <w:ind w:firstLine="640" w:firstLineChars="200"/>
        <w:jc w:val="both"/>
        <w:rPr>
          <w:rFonts w:ascii="仿宋_GB2312" w:hAnsi="仿宋_GB2312" w:eastAsia="仿宋_GB2312" w:cs="仿宋_GB2312"/>
          <w:color w:val="000000" w:themeColor="text1"/>
          <w:sz w:val="32"/>
          <w:szCs w:val="32"/>
          <w:shd w:val="clear" w:color="auto" w:fill="FFFFFF"/>
          <w:lang w:val="en-US"/>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（四）违反规定转包、分包或利用企业品牌资质挂靠经营的；</w:t>
      </w:r>
    </w:p>
    <w:p>
      <w:pPr>
        <w:pStyle w:val="8"/>
        <w:shd w:val="clear" w:color="auto" w:fill="auto"/>
        <w:tabs>
          <w:tab w:val="left" w:pos="1611"/>
        </w:tabs>
        <w:spacing w:line="600" w:lineRule="exact"/>
        <w:ind w:firstLine="640" w:firstLineChars="200"/>
        <w:jc w:val="both"/>
        <w:rPr>
          <w:rFonts w:ascii="仿宋_GB2312" w:hAnsi="仿宋_GB2312" w:eastAsia="仿宋_GB2312" w:cs="仿宋_GB2312"/>
          <w:color w:val="000000" w:themeColor="text1"/>
          <w:sz w:val="32"/>
          <w:szCs w:val="32"/>
          <w:shd w:val="clear" w:color="auto" w:fill="FFFFFF"/>
          <w:lang w:val="en-US"/>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（五）</w:t>
      </w: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ab/>
      </w: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工程组织管理混乱，致使工程质量不达标、不能按期交付、工程成本严重超支的；</w:t>
      </w:r>
    </w:p>
    <w:p>
      <w:pPr>
        <w:pStyle w:val="8"/>
        <w:shd w:val="clear" w:color="auto" w:fill="auto"/>
        <w:spacing w:line="600" w:lineRule="exact"/>
        <w:ind w:firstLine="640" w:firstLineChars="200"/>
        <w:jc w:val="both"/>
        <w:rPr>
          <w:rFonts w:ascii="仿宋_GB2312" w:hAnsi="仿宋_GB2312" w:eastAsia="仿宋_GB2312" w:cs="仿宋_GB2312"/>
          <w:color w:val="000000" w:themeColor="text1"/>
          <w:sz w:val="32"/>
          <w:szCs w:val="32"/>
          <w:shd w:val="clear" w:color="auto" w:fill="FFFFFF"/>
          <w:lang w:val="en-US"/>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（六）未按照合同约定，超计价、超进度付款的。</w:t>
      </w:r>
    </w:p>
    <w:p>
      <w:pPr>
        <w:pStyle w:val="8"/>
        <w:shd w:val="clear" w:color="auto" w:fill="auto"/>
        <w:spacing w:line="600" w:lineRule="exact"/>
        <w:ind w:firstLine="643" w:firstLineChars="200"/>
        <w:jc w:val="both"/>
        <w:rPr>
          <w:rFonts w:ascii="仿宋_GB2312" w:hAnsi="仿宋_GB2312" w:eastAsia="仿宋_GB2312" w:cs="仿宋_GB2312"/>
          <w:color w:val="000000" w:themeColor="text1"/>
          <w:sz w:val="32"/>
          <w:szCs w:val="32"/>
          <w:shd w:val="clear" w:color="auto" w:fill="FFFFFF"/>
          <w:lang w:val="en-US"/>
          <w14:textFill>
            <w14:solidFill>
              <w14:schemeClr w14:val="tx1"/>
            </w14:solidFill>
          </w14:textFill>
        </w:rPr>
      </w:pPr>
      <w:r>
        <w:rPr>
          <w:rFonts w:hint="eastAsia" w:ascii="仿宋_GB2312" w:hAnsi="仿宋_GB2312" w:eastAsia="仿宋_GB2312" w:cs="仿宋_GB2312"/>
          <w:b/>
          <w:color w:val="000000" w:themeColor="text1"/>
          <w:sz w:val="32"/>
          <w:szCs w:val="32"/>
          <w:shd w:val="clear" w:color="auto" w:fill="FFFFFF"/>
          <w:lang w:val="en-US"/>
          <w14:textFill>
            <w14:solidFill>
              <w14:schemeClr w14:val="tx1"/>
            </w14:solidFill>
          </w14:textFill>
        </w:rPr>
        <w:t>第十四条</w:t>
      </w: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 xml:space="preserve">  改组改制退出、产权（股权）转让和资产处置方面的责任追究情形包括：</w:t>
      </w:r>
    </w:p>
    <w:p>
      <w:pPr>
        <w:pStyle w:val="8"/>
        <w:shd w:val="clear" w:color="auto" w:fill="auto"/>
        <w:spacing w:line="600" w:lineRule="exact"/>
        <w:ind w:firstLine="640" w:firstLineChars="200"/>
        <w:jc w:val="both"/>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（一）未按照规定履行决策和审批程序或超越授权范围组织实施的；</w:t>
      </w:r>
    </w:p>
    <w:p>
      <w:pPr>
        <w:pStyle w:val="8"/>
        <w:shd w:val="clear" w:color="auto" w:fill="auto"/>
        <w:spacing w:line="600" w:lineRule="exact"/>
        <w:ind w:firstLine="640" w:firstLineChars="200"/>
        <w:jc w:val="both"/>
        <w:rPr>
          <w:rFonts w:ascii="仿宋_GB2312" w:hAnsi="仿宋_GB2312" w:eastAsia="仿宋_GB2312" w:cs="仿宋_GB2312"/>
          <w:color w:val="000000" w:themeColor="text1"/>
          <w:sz w:val="32"/>
          <w:szCs w:val="32"/>
          <w:shd w:val="clear" w:color="auto" w:fill="FFFFFF"/>
          <w:lang w:val="en-US"/>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（二）未按照规定进行清产核资、财务审计和资产评估的；</w:t>
      </w:r>
    </w:p>
    <w:p>
      <w:pPr>
        <w:pStyle w:val="8"/>
        <w:shd w:val="clear" w:color="auto" w:fill="auto"/>
        <w:spacing w:line="600" w:lineRule="exact"/>
        <w:ind w:firstLine="640" w:firstLineChars="200"/>
        <w:jc w:val="both"/>
        <w:rPr>
          <w:rFonts w:ascii="仿宋_GB2312" w:hAnsi="仿宋_GB2312" w:eastAsia="仿宋_GB2312" w:cs="仿宋_GB2312"/>
          <w:color w:val="000000" w:themeColor="text1"/>
          <w:sz w:val="32"/>
          <w:szCs w:val="32"/>
          <w:shd w:val="clear" w:color="auto" w:fill="FFFFFF"/>
          <w:lang w:val="en-US"/>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（三）隐匿应当纳入审计、评估范围的资产，组织提供和披露虚假信息，授意、指使中介机构出具虚假财务审计、资产评估鉴证结果及法律意见书等的；</w:t>
      </w:r>
    </w:p>
    <w:p>
      <w:pPr>
        <w:pStyle w:val="8"/>
        <w:shd w:val="clear" w:color="auto" w:fill="auto"/>
        <w:spacing w:line="600" w:lineRule="exact"/>
        <w:ind w:firstLine="640" w:firstLineChars="200"/>
        <w:jc w:val="both"/>
        <w:rPr>
          <w:rFonts w:ascii="仿宋_GB2312" w:hAnsi="仿宋_GB2312" w:eastAsia="仿宋_GB2312" w:cs="仿宋_GB2312"/>
          <w:color w:val="000000" w:themeColor="text1"/>
          <w:sz w:val="32"/>
          <w:szCs w:val="32"/>
          <w:shd w:val="clear" w:color="auto" w:fill="FFFFFF"/>
          <w:lang w:val="en-US"/>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（四）在发展混合所有制经济、实施员工持股计划、破产重整或清算等改组改制退出过程中，变相套取、私分国有资产的；</w:t>
      </w:r>
    </w:p>
    <w:p>
      <w:pPr>
        <w:pStyle w:val="8"/>
        <w:shd w:val="clear" w:color="auto" w:fill="auto"/>
        <w:spacing w:line="600" w:lineRule="exact"/>
        <w:ind w:firstLine="640" w:firstLineChars="200"/>
        <w:jc w:val="both"/>
        <w:rPr>
          <w:rFonts w:ascii="仿宋_GB2312" w:hAnsi="仿宋_GB2312" w:eastAsia="仿宋_GB2312" w:cs="仿宋_GB2312"/>
          <w:color w:val="000000" w:themeColor="text1"/>
          <w:sz w:val="32"/>
          <w:szCs w:val="32"/>
          <w:shd w:val="clear" w:color="auto" w:fill="FFFFFF"/>
          <w:lang w:val="en-US"/>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（五）改制后的公司章程等法律文件中存在有损国有权益的条款的；</w:t>
      </w:r>
    </w:p>
    <w:p>
      <w:pPr>
        <w:pStyle w:val="8"/>
        <w:shd w:val="clear" w:color="auto" w:fill="auto"/>
        <w:spacing w:line="600" w:lineRule="exact"/>
        <w:ind w:firstLine="640" w:firstLineChars="200"/>
        <w:jc w:val="both"/>
        <w:rPr>
          <w:rFonts w:ascii="仿宋_GB2312" w:hAnsi="仿宋_GB2312" w:eastAsia="仿宋_GB2312" w:cs="仿宋_GB2312"/>
          <w:color w:val="000000" w:themeColor="text1"/>
          <w:sz w:val="32"/>
          <w:szCs w:val="32"/>
          <w:shd w:val="clear" w:color="auto" w:fill="FFFFFF"/>
          <w:lang w:val="en-US"/>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（六）未按规定进场交易的；</w:t>
      </w:r>
    </w:p>
    <w:p>
      <w:pPr>
        <w:pStyle w:val="8"/>
        <w:shd w:val="clear" w:color="auto" w:fill="auto"/>
        <w:tabs>
          <w:tab w:val="left" w:pos="1602"/>
        </w:tabs>
        <w:spacing w:line="600" w:lineRule="exact"/>
        <w:ind w:firstLine="640" w:firstLineChars="200"/>
        <w:jc w:val="both"/>
        <w:rPr>
          <w:rFonts w:ascii="仿宋_GB2312" w:hAnsi="仿宋_GB2312" w:eastAsia="仿宋_GB2312" w:cs="仿宋_GB2312"/>
          <w:color w:val="000000" w:themeColor="text1"/>
          <w:sz w:val="32"/>
          <w:szCs w:val="32"/>
          <w:shd w:val="clear" w:color="auto" w:fill="FFFFFF"/>
          <w:lang w:val="en-US"/>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（七）</w:t>
      </w: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ab/>
      </w: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违反相关规定和公开公平交易原则，将国有资产以明显不公允低价折股、出售或无偿分给其他单位或个人的；</w:t>
      </w:r>
    </w:p>
    <w:p>
      <w:pPr>
        <w:pStyle w:val="8"/>
        <w:shd w:val="clear" w:color="auto" w:fill="auto"/>
        <w:spacing w:line="600" w:lineRule="exact"/>
        <w:ind w:firstLine="640" w:firstLineChars="200"/>
        <w:jc w:val="both"/>
        <w:rPr>
          <w:rFonts w:ascii="仿宋_GB2312" w:hAnsi="仿宋_GB2312" w:eastAsia="仿宋_GB2312" w:cs="仿宋_GB2312"/>
          <w:color w:val="000000" w:themeColor="text1"/>
          <w:sz w:val="32"/>
          <w:szCs w:val="32"/>
          <w:shd w:val="clear" w:color="auto" w:fill="FFFFFF"/>
          <w:lang w:val="en-US"/>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（八）未按照规定收取国有资产转让价款的；</w:t>
      </w:r>
    </w:p>
    <w:p>
      <w:pPr>
        <w:pStyle w:val="8"/>
        <w:shd w:val="clear" w:color="auto" w:fill="auto"/>
        <w:spacing w:line="600" w:lineRule="exact"/>
        <w:ind w:firstLine="640" w:firstLineChars="200"/>
        <w:jc w:val="both"/>
        <w:rPr>
          <w:rFonts w:ascii="仿宋_GB2312" w:hAnsi="仿宋_GB2312" w:eastAsia="仿宋_GB2312" w:cs="仿宋_GB2312"/>
          <w:color w:val="000000" w:themeColor="text1"/>
          <w:sz w:val="32"/>
          <w:szCs w:val="32"/>
          <w:shd w:val="clear" w:color="auto" w:fill="FFFFFF"/>
          <w:lang w:val="en-US"/>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（九）未按照相关规定执行回避制度的。</w:t>
      </w:r>
    </w:p>
    <w:p>
      <w:pPr>
        <w:pStyle w:val="8"/>
        <w:shd w:val="clear" w:color="auto" w:fill="auto"/>
        <w:spacing w:line="600" w:lineRule="exact"/>
        <w:ind w:firstLine="643" w:firstLineChars="200"/>
        <w:jc w:val="both"/>
        <w:rPr>
          <w:rFonts w:ascii="仿宋_GB2312" w:hAnsi="仿宋_GB2312" w:eastAsia="仿宋_GB2312" w:cs="仿宋_GB2312"/>
          <w:color w:val="000000" w:themeColor="text1"/>
          <w:sz w:val="32"/>
          <w:szCs w:val="32"/>
          <w:shd w:val="clear" w:color="auto" w:fill="FFFFFF"/>
          <w:lang w:val="en-US"/>
          <w14:textFill>
            <w14:solidFill>
              <w14:schemeClr w14:val="tx1"/>
            </w14:solidFill>
          </w14:textFill>
        </w:rPr>
      </w:pPr>
      <w:r>
        <w:rPr>
          <w:rFonts w:hint="eastAsia" w:ascii="仿宋_GB2312" w:hAnsi="仿宋_GB2312" w:eastAsia="仿宋_GB2312" w:cs="仿宋_GB2312"/>
          <w:b/>
          <w:color w:val="000000" w:themeColor="text1"/>
          <w:sz w:val="32"/>
          <w:szCs w:val="32"/>
          <w:shd w:val="clear" w:color="auto" w:fill="FFFFFF"/>
          <w:lang w:val="en-US"/>
          <w14:textFill>
            <w14:solidFill>
              <w14:schemeClr w14:val="tx1"/>
            </w14:solidFill>
          </w14:textFill>
        </w:rPr>
        <w:t>第十五条</w:t>
      </w: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 xml:space="preserve">  风险管理方面的责任追究情形包括：</w:t>
      </w:r>
    </w:p>
    <w:p>
      <w:pPr>
        <w:pStyle w:val="8"/>
        <w:shd w:val="clear" w:color="auto" w:fill="auto"/>
        <w:spacing w:line="600" w:lineRule="exact"/>
        <w:ind w:firstLine="640" w:firstLineChars="200"/>
        <w:jc w:val="both"/>
        <w:rPr>
          <w:rFonts w:ascii="仿宋_GB2312" w:hAnsi="仿宋_GB2312" w:eastAsia="仿宋_GB2312" w:cs="仿宋_GB2312"/>
          <w:color w:val="000000" w:themeColor="text1"/>
          <w:sz w:val="32"/>
          <w:szCs w:val="32"/>
          <w:shd w:val="clear" w:color="auto" w:fill="FFFFFF"/>
          <w:lang w:val="en-US"/>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（一）未按规定履行内控及风险管理制度建设职责，导致内控及风险管理制度缺失，内控流程存在重大缺陷的；</w:t>
      </w:r>
    </w:p>
    <w:p>
      <w:pPr>
        <w:pStyle w:val="8"/>
        <w:shd w:val="clear" w:color="auto" w:fill="auto"/>
        <w:spacing w:line="600" w:lineRule="exact"/>
        <w:ind w:firstLine="640" w:firstLineChars="200"/>
        <w:jc w:val="both"/>
        <w:rPr>
          <w:rFonts w:ascii="仿宋_GB2312" w:hAnsi="仿宋_GB2312" w:eastAsia="仿宋_GB2312" w:cs="仿宋_GB2312"/>
          <w:color w:val="000000" w:themeColor="text1"/>
          <w:sz w:val="32"/>
          <w:szCs w:val="32"/>
          <w:shd w:val="clear" w:color="auto" w:fill="FFFFFF"/>
          <w:lang w:val="en-US"/>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（二）内控及风险管理制度未执行或执行不力，对经营投资重大风险未能及时分析、识别、评估、预警、应对和报告的；</w:t>
      </w:r>
    </w:p>
    <w:p>
      <w:pPr>
        <w:pStyle w:val="8"/>
        <w:shd w:val="clear" w:color="auto" w:fill="auto"/>
        <w:tabs>
          <w:tab w:val="left" w:pos="1621"/>
        </w:tabs>
        <w:spacing w:line="600" w:lineRule="exact"/>
        <w:ind w:firstLine="640" w:firstLineChars="200"/>
        <w:jc w:val="both"/>
        <w:rPr>
          <w:rFonts w:ascii="仿宋_GB2312" w:hAnsi="仿宋_GB2312" w:eastAsia="仿宋_GB2312" w:cs="仿宋_GB2312"/>
          <w:color w:val="000000" w:themeColor="text1"/>
          <w:sz w:val="32"/>
          <w:szCs w:val="32"/>
          <w:shd w:val="clear" w:color="auto" w:fill="FFFFFF"/>
          <w:lang w:val="en-US"/>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（三）</w:t>
      </w: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ab/>
      </w: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未按规定对企业规章制度、经济合同和重要决策等进行法律审核的；</w:t>
      </w:r>
    </w:p>
    <w:p>
      <w:pPr>
        <w:pStyle w:val="8"/>
        <w:shd w:val="clear" w:color="auto" w:fill="auto"/>
        <w:tabs>
          <w:tab w:val="left" w:pos="1616"/>
        </w:tabs>
        <w:spacing w:line="600" w:lineRule="exact"/>
        <w:ind w:firstLine="640" w:firstLineChars="200"/>
        <w:jc w:val="both"/>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（四）</w:t>
      </w: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ab/>
      </w: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未执行国有资产监管有关规定，过度负债危及企业持续经营或恶意逃废金融债务的；</w:t>
      </w:r>
    </w:p>
    <w:p>
      <w:pPr>
        <w:pStyle w:val="8"/>
        <w:shd w:val="clear" w:color="auto" w:fill="auto"/>
        <w:tabs>
          <w:tab w:val="left" w:pos="1616"/>
        </w:tabs>
        <w:spacing w:line="600" w:lineRule="exact"/>
        <w:ind w:firstLine="640" w:firstLineChars="200"/>
        <w:jc w:val="both"/>
        <w:rPr>
          <w:rFonts w:ascii="仿宋_GB2312" w:hAnsi="仿宋_GB2312" w:eastAsia="仿宋_GB2312" w:cs="仿宋_GB2312"/>
          <w:color w:val="000000" w:themeColor="text1"/>
          <w:sz w:val="32"/>
          <w:szCs w:val="32"/>
          <w:shd w:val="clear" w:color="auto" w:fill="FFFFFF"/>
          <w:lang w:val="en-US"/>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（五）</w:t>
      </w: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ab/>
      </w: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瞒报、漏报、谎报或迟报重大风险及风险损失事件,指使编制虚假财务报告，企业账实严重不符的；</w:t>
      </w:r>
    </w:p>
    <w:p>
      <w:pPr>
        <w:pStyle w:val="8"/>
        <w:shd w:val="clear" w:color="auto" w:fill="auto"/>
        <w:spacing w:line="600" w:lineRule="exact"/>
        <w:ind w:firstLine="640" w:firstLineChars="200"/>
        <w:jc w:val="both"/>
        <w:rPr>
          <w:rFonts w:ascii="仿宋_GB2312" w:hAnsi="仿宋_GB2312" w:eastAsia="仿宋_GB2312" w:cs="仿宋_GB2312"/>
          <w:color w:val="000000" w:themeColor="text1"/>
          <w:sz w:val="32"/>
          <w:szCs w:val="32"/>
          <w:shd w:val="clear" w:color="auto" w:fill="FFFFFF"/>
          <w:lang w:val="en-US"/>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（六）未按要求建立合规管理体系，或合规管理运行机制存在重大缺陷的；</w:t>
      </w:r>
    </w:p>
    <w:p>
      <w:pPr>
        <w:pStyle w:val="8"/>
        <w:shd w:val="clear" w:color="auto" w:fill="auto"/>
        <w:tabs>
          <w:tab w:val="left" w:pos="1635"/>
        </w:tabs>
        <w:spacing w:line="600" w:lineRule="exact"/>
        <w:ind w:firstLine="640" w:firstLineChars="200"/>
        <w:jc w:val="both"/>
        <w:rPr>
          <w:rFonts w:ascii="仿宋_GB2312" w:hAnsi="仿宋_GB2312" w:eastAsia="仿宋_GB2312" w:cs="仿宋_GB2312"/>
          <w:color w:val="000000" w:themeColor="text1"/>
          <w:sz w:val="32"/>
          <w:szCs w:val="32"/>
          <w:shd w:val="clear" w:color="auto" w:fill="FFFFFF"/>
          <w:lang w:val="en-US"/>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（七）</w:t>
      </w: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ab/>
      </w: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违规对外授权品牌、字号或授权后缺少有效风险防范措施的。</w:t>
      </w:r>
    </w:p>
    <w:p>
      <w:pPr>
        <w:pStyle w:val="8"/>
        <w:shd w:val="clear" w:color="auto" w:fill="auto"/>
        <w:spacing w:line="600" w:lineRule="exact"/>
        <w:ind w:firstLine="643" w:firstLineChars="200"/>
        <w:jc w:val="both"/>
        <w:rPr>
          <w:rFonts w:ascii="仿宋_GB2312" w:hAnsi="仿宋_GB2312" w:eastAsia="仿宋_GB2312" w:cs="仿宋_GB2312"/>
          <w:color w:val="000000" w:themeColor="text1"/>
          <w:sz w:val="32"/>
          <w:szCs w:val="32"/>
          <w:shd w:val="clear" w:color="auto" w:fill="FFFFFF"/>
          <w:lang w:val="en-US"/>
          <w14:textFill>
            <w14:solidFill>
              <w14:schemeClr w14:val="tx1"/>
            </w14:solidFill>
          </w14:textFill>
        </w:rPr>
      </w:pPr>
      <w:r>
        <w:rPr>
          <w:rFonts w:hint="eastAsia" w:ascii="仿宋_GB2312" w:hAnsi="仿宋_GB2312" w:eastAsia="仿宋_GB2312" w:cs="仿宋_GB2312"/>
          <w:b/>
          <w:color w:val="000000" w:themeColor="text1"/>
          <w:sz w:val="32"/>
          <w:szCs w:val="32"/>
          <w:shd w:val="clear" w:color="auto" w:fill="FFFFFF"/>
          <w:lang w:val="en-US"/>
          <w14:textFill>
            <w14:solidFill>
              <w14:schemeClr w14:val="tx1"/>
            </w14:solidFill>
          </w14:textFill>
        </w:rPr>
        <w:t>第十六条</w:t>
      </w: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 xml:space="preserve">  保证、抵押、质押等担保活动方面的责任追究情形包括：</w:t>
      </w:r>
    </w:p>
    <w:p>
      <w:pPr>
        <w:pStyle w:val="8"/>
        <w:shd w:val="clear" w:color="auto" w:fill="auto"/>
        <w:spacing w:line="600" w:lineRule="exact"/>
        <w:ind w:firstLine="640" w:firstLineChars="200"/>
        <w:jc w:val="both"/>
        <w:rPr>
          <w:rFonts w:ascii="仿宋_GB2312" w:hAnsi="仿宋_GB2312" w:eastAsia="仿宋_GB2312" w:cs="仿宋_GB2312"/>
          <w:color w:val="000000" w:themeColor="text1"/>
          <w:sz w:val="32"/>
          <w:szCs w:val="32"/>
          <w:shd w:val="clear" w:color="auto" w:fill="FFFFFF"/>
          <w:lang w:val="en-US"/>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（一）违规进行保证、抵押、质押的；</w:t>
      </w:r>
    </w:p>
    <w:p>
      <w:pPr>
        <w:pStyle w:val="8"/>
        <w:shd w:val="clear" w:color="auto" w:fill="auto"/>
        <w:tabs>
          <w:tab w:val="left" w:pos="1310"/>
        </w:tabs>
        <w:spacing w:line="600" w:lineRule="exact"/>
        <w:ind w:firstLine="640" w:firstLineChars="200"/>
        <w:jc w:val="both"/>
        <w:rPr>
          <w:rFonts w:ascii="仿宋_GB2312" w:hAnsi="仿宋_GB2312" w:eastAsia="仿宋_GB2312" w:cs="仿宋_GB2312"/>
          <w:color w:val="000000" w:themeColor="text1"/>
          <w:sz w:val="32"/>
          <w:szCs w:val="32"/>
          <w:shd w:val="clear" w:color="auto" w:fill="FFFFFF"/>
          <w:lang w:val="en-US"/>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（二</w:t>
      </w: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ab/>
      </w: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）违规向无产权关系的企业或个人提供担保的；</w:t>
      </w:r>
    </w:p>
    <w:p>
      <w:pPr>
        <w:pStyle w:val="8"/>
        <w:shd w:val="clear" w:color="auto" w:fill="auto"/>
        <w:spacing w:line="600" w:lineRule="exact"/>
        <w:ind w:firstLine="640" w:firstLineChars="200"/>
        <w:jc w:val="both"/>
        <w:rPr>
          <w:rFonts w:ascii="仿宋_GB2312" w:hAnsi="仿宋_GB2312" w:eastAsia="仿宋_GB2312" w:cs="仿宋_GB2312"/>
          <w:color w:val="000000" w:themeColor="text1"/>
          <w:sz w:val="32"/>
          <w:szCs w:val="32"/>
          <w:shd w:val="clear" w:color="auto" w:fill="FFFFFF"/>
          <w:lang w:val="en-US"/>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（三）未按照规定订立担保合同的；</w:t>
      </w:r>
    </w:p>
    <w:p>
      <w:pPr>
        <w:pStyle w:val="8"/>
        <w:shd w:val="clear" w:color="auto" w:fill="auto"/>
        <w:spacing w:line="600" w:lineRule="exact"/>
        <w:ind w:firstLine="640" w:firstLineChars="200"/>
        <w:jc w:val="both"/>
        <w:rPr>
          <w:rFonts w:ascii="仿宋_GB2312" w:hAnsi="仿宋_GB2312" w:eastAsia="仿宋_GB2312" w:cs="仿宋_GB2312"/>
          <w:color w:val="000000" w:themeColor="text1"/>
          <w:sz w:val="32"/>
          <w:szCs w:val="32"/>
          <w:shd w:val="clear" w:color="auto" w:fill="FFFFFF"/>
          <w:lang w:val="en-US"/>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（四）对担保项目未进行有效监管，发生损失未及时采取有效补救措施的。</w:t>
      </w:r>
    </w:p>
    <w:p>
      <w:pPr>
        <w:pStyle w:val="8"/>
        <w:shd w:val="clear" w:color="auto" w:fill="auto"/>
        <w:spacing w:line="600" w:lineRule="exact"/>
        <w:ind w:firstLine="643" w:firstLineChars="200"/>
        <w:jc w:val="both"/>
        <w:rPr>
          <w:rFonts w:ascii="仿宋_GB2312" w:hAnsi="仿宋_GB2312" w:eastAsia="仿宋_GB2312" w:cs="仿宋_GB2312"/>
          <w:color w:val="000000" w:themeColor="text1"/>
          <w:sz w:val="32"/>
          <w:szCs w:val="32"/>
          <w:shd w:val="clear" w:color="auto" w:fill="FFFFFF"/>
          <w:lang w:val="en-US"/>
          <w14:textFill>
            <w14:solidFill>
              <w14:schemeClr w14:val="tx1"/>
            </w14:solidFill>
          </w14:textFill>
        </w:rPr>
      </w:pPr>
      <w:r>
        <w:rPr>
          <w:rFonts w:hint="eastAsia" w:ascii="仿宋_GB2312" w:hAnsi="仿宋_GB2312" w:eastAsia="仿宋_GB2312" w:cs="仿宋_GB2312"/>
          <w:b/>
          <w:color w:val="000000" w:themeColor="text1"/>
          <w:sz w:val="32"/>
          <w:szCs w:val="32"/>
          <w:shd w:val="clear" w:color="auto" w:fill="FFFFFF"/>
          <w:lang w:val="en-US"/>
          <w14:textFill>
            <w14:solidFill>
              <w14:schemeClr w14:val="tx1"/>
            </w14:solidFill>
          </w14:textFill>
        </w:rPr>
        <w:t>第十七条</w:t>
      </w: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 xml:space="preserve">  京外、境外经营投资方面的责任追究情形包括：</w:t>
      </w:r>
    </w:p>
    <w:p>
      <w:pPr>
        <w:pStyle w:val="8"/>
        <w:shd w:val="clear" w:color="auto" w:fill="auto"/>
        <w:spacing w:line="600" w:lineRule="exact"/>
        <w:ind w:firstLine="640" w:firstLineChars="200"/>
        <w:jc w:val="both"/>
        <w:rPr>
          <w:rFonts w:ascii="仿宋_GB2312" w:hAnsi="仿宋_GB2312" w:eastAsia="仿宋_GB2312" w:cs="仿宋_GB2312"/>
          <w:color w:val="000000" w:themeColor="text1"/>
          <w:sz w:val="32"/>
          <w:szCs w:val="32"/>
          <w:shd w:val="clear" w:color="auto" w:fill="FFFFFF"/>
          <w:lang w:val="en-US"/>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（一）未按照规定建立或执行相关投资管理制度，导致京外、境外投资管控缺失的；</w:t>
      </w:r>
    </w:p>
    <w:p>
      <w:pPr>
        <w:pStyle w:val="8"/>
        <w:shd w:val="clear" w:color="auto" w:fill="auto"/>
        <w:spacing w:line="600" w:lineRule="exact"/>
        <w:ind w:firstLine="640" w:firstLineChars="200"/>
        <w:jc w:val="both"/>
        <w:rPr>
          <w:rFonts w:ascii="仿宋_GB2312" w:hAnsi="仿宋_GB2312" w:eastAsia="仿宋_GB2312" w:cs="仿宋_GB2312"/>
          <w:color w:val="000000" w:themeColor="text1"/>
          <w:sz w:val="32"/>
          <w:szCs w:val="32"/>
          <w:shd w:val="clear" w:color="auto" w:fill="FFFFFF"/>
          <w:lang w:val="en-US"/>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（二）违反规定在京外、境外开展非主业投资或者列入负面清单的投资项目的；</w:t>
      </w:r>
    </w:p>
    <w:p>
      <w:pPr>
        <w:pStyle w:val="8"/>
        <w:shd w:val="clear" w:color="auto" w:fill="auto"/>
        <w:spacing w:line="600" w:lineRule="exact"/>
        <w:ind w:firstLine="640" w:firstLineChars="200"/>
        <w:jc w:val="both"/>
        <w:rPr>
          <w:rFonts w:ascii="仿宋_GB2312" w:hAnsi="仿宋_GB2312" w:eastAsia="仿宋_GB2312" w:cs="仿宋_GB2312"/>
          <w:color w:val="000000" w:themeColor="text1"/>
          <w:sz w:val="32"/>
          <w:szCs w:val="32"/>
          <w:shd w:val="clear" w:color="auto" w:fill="FFFFFF"/>
          <w:lang w:val="en-US"/>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（三）超越权限违规进行京外、境外投资，融资及担保的；</w:t>
      </w:r>
    </w:p>
    <w:p>
      <w:pPr>
        <w:pStyle w:val="8"/>
        <w:shd w:val="clear" w:color="auto" w:fill="auto"/>
        <w:spacing w:line="600" w:lineRule="exact"/>
        <w:ind w:firstLine="640" w:firstLineChars="200"/>
        <w:jc w:val="both"/>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（四）风险防控措施不到位，未按照规定进行风险评估并采取有效风险防控措施对外投资或承揽京外、境外项目的；</w:t>
      </w:r>
    </w:p>
    <w:p>
      <w:pPr>
        <w:pStyle w:val="8"/>
        <w:shd w:val="clear" w:color="auto" w:fill="auto"/>
        <w:spacing w:line="600" w:lineRule="exact"/>
        <w:ind w:firstLine="640" w:firstLineChars="200"/>
        <w:jc w:val="both"/>
        <w:rPr>
          <w:rFonts w:ascii="仿宋_GB2312" w:hAnsi="仿宋_GB2312" w:eastAsia="仿宋_GB2312" w:cs="仿宋_GB2312"/>
          <w:color w:val="000000" w:themeColor="text1"/>
          <w:sz w:val="32"/>
          <w:szCs w:val="32"/>
          <w:shd w:val="clear" w:color="auto" w:fill="FFFFFF"/>
          <w:lang w:val="en-US"/>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（五）违反规定采取不当经营行为，以及不顾成本和代价进行恶性竞争的；</w:t>
      </w:r>
    </w:p>
    <w:p>
      <w:pPr>
        <w:pStyle w:val="8"/>
        <w:shd w:val="clear" w:color="auto" w:fill="auto"/>
        <w:spacing w:line="600" w:lineRule="exact"/>
        <w:ind w:firstLine="640" w:firstLineChars="200"/>
        <w:jc w:val="both"/>
        <w:rPr>
          <w:rFonts w:ascii="仿宋_GB2312" w:hAnsi="仿宋_GB2312" w:eastAsia="仿宋_GB2312" w:cs="仿宋_GB2312"/>
          <w:color w:val="000000" w:themeColor="text1"/>
          <w:sz w:val="32"/>
          <w:szCs w:val="32"/>
          <w:shd w:val="clear" w:color="auto" w:fill="FFFFFF"/>
          <w:lang w:val="en-US"/>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（六）违反规定进行海外垫资施工的。</w:t>
      </w:r>
    </w:p>
    <w:p>
      <w:pPr>
        <w:pStyle w:val="8"/>
        <w:shd w:val="clear" w:color="auto" w:fill="auto"/>
        <w:spacing w:line="600" w:lineRule="exact"/>
        <w:ind w:firstLine="643" w:firstLineChars="200"/>
        <w:jc w:val="both"/>
        <w:rPr>
          <w:rFonts w:ascii="仿宋_GB2312" w:hAnsi="仿宋_GB2312" w:eastAsia="仿宋_GB2312" w:cs="仿宋_GB2312"/>
          <w:color w:val="000000" w:themeColor="text1"/>
          <w:sz w:val="32"/>
          <w:szCs w:val="32"/>
          <w:shd w:val="clear" w:color="auto" w:fill="FFFFFF"/>
          <w:lang w:val="en-US"/>
          <w14:textFill>
            <w14:solidFill>
              <w14:schemeClr w14:val="tx1"/>
            </w14:solidFill>
          </w14:textFill>
        </w:rPr>
      </w:pPr>
      <w:r>
        <w:rPr>
          <w:rFonts w:hint="eastAsia" w:ascii="仿宋_GB2312" w:hAnsi="仿宋_GB2312" w:eastAsia="仿宋_GB2312" w:cs="仿宋_GB2312"/>
          <w:b/>
          <w:color w:val="000000" w:themeColor="text1"/>
          <w:sz w:val="32"/>
          <w:szCs w:val="32"/>
          <w:shd w:val="clear" w:color="auto" w:fill="FFFFFF"/>
          <w:lang w:val="en-US"/>
          <w14:textFill>
            <w14:solidFill>
              <w14:schemeClr w14:val="tx1"/>
            </w14:solidFill>
          </w14:textFill>
        </w:rPr>
        <w:t>第十八条</w:t>
      </w: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 xml:space="preserve">  实物资产管理方面的责任追究情形包括：</w:t>
      </w:r>
    </w:p>
    <w:p>
      <w:pPr>
        <w:pStyle w:val="8"/>
        <w:shd w:val="clear" w:color="auto" w:fill="auto"/>
        <w:spacing w:line="600" w:lineRule="exact"/>
        <w:ind w:firstLine="640" w:firstLineChars="200"/>
        <w:jc w:val="both"/>
        <w:rPr>
          <w:rFonts w:ascii="仿宋_GB2312" w:hAnsi="仿宋_GB2312" w:eastAsia="仿宋_GB2312" w:cs="仿宋_GB2312"/>
          <w:color w:val="000000" w:themeColor="text1"/>
          <w:sz w:val="32"/>
          <w:szCs w:val="32"/>
          <w:shd w:val="clear" w:color="auto" w:fill="FFFFFF"/>
          <w:lang w:val="en-US"/>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（一）对实物资产保管不当、维护不善，致使非正常毁损、报废、丢失、被盗的；</w:t>
      </w:r>
    </w:p>
    <w:p>
      <w:pPr>
        <w:pStyle w:val="8"/>
        <w:shd w:val="clear" w:color="auto" w:fill="auto"/>
        <w:spacing w:line="600" w:lineRule="exact"/>
        <w:ind w:firstLine="640" w:firstLineChars="200"/>
        <w:jc w:val="both"/>
        <w:rPr>
          <w:rFonts w:ascii="仿宋_GB2312" w:hAnsi="仿宋_GB2312" w:eastAsia="仿宋_GB2312" w:cs="仿宋_GB2312"/>
          <w:color w:val="000000" w:themeColor="text1"/>
          <w:sz w:val="32"/>
          <w:szCs w:val="32"/>
          <w:shd w:val="clear" w:color="auto" w:fill="FFFFFF"/>
          <w:lang w:val="en-US"/>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（二）未按照规定规范京内土地房屋资产处置和房屋出租对外合作经营管理的；</w:t>
      </w:r>
    </w:p>
    <w:p>
      <w:pPr>
        <w:pStyle w:val="8"/>
        <w:shd w:val="clear" w:color="auto" w:fill="auto"/>
        <w:spacing w:line="600" w:lineRule="exact"/>
        <w:ind w:firstLine="640" w:firstLineChars="200"/>
        <w:jc w:val="both"/>
        <w:rPr>
          <w:rFonts w:ascii="仿宋_GB2312" w:hAnsi="仿宋_GB2312" w:eastAsia="仿宋_GB2312" w:cs="仿宋_GB2312"/>
          <w:color w:val="000000" w:themeColor="text1"/>
          <w:sz w:val="32"/>
          <w:szCs w:val="32"/>
          <w:shd w:val="clear" w:color="auto" w:fill="FFFFFF"/>
          <w:lang w:val="en-US"/>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（三）违反相关规定和公开公平交易原则，将实物资产以明显不合理低价出租、承包经营或进行其他处置，或未履行管理职责导致租金收缴不及时、被承租人擅自转租或破坏等。</w:t>
      </w:r>
    </w:p>
    <w:p>
      <w:pPr>
        <w:pStyle w:val="8"/>
        <w:shd w:val="clear" w:color="auto" w:fill="auto"/>
        <w:spacing w:line="600" w:lineRule="exact"/>
        <w:ind w:firstLine="643" w:firstLineChars="200"/>
        <w:jc w:val="both"/>
        <w:rPr>
          <w:rFonts w:ascii="仿宋_GB2312" w:hAnsi="仿宋_GB2312" w:eastAsia="仿宋_GB2312" w:cs="仿宋_GB2312"/>
          <w:color w:val="000000" w:themeColor="text1"/>
          <w:sz w:val="32"/>
          <w:szCs w:val="32"/>
          <w:shd w:val="clear" w:color="auto" w:fill="FFFFFF"/>
          <w:lang w:val="en-US"/>
          <w14:textFill>
            <w14:solidFill>
              <w14:schemeClr w14:val="tx1"/>
            </w14:solidFill>
          </w14:textFill>
        </w:rPr>
      </w:pPr>
      <w:r>
        <w:rPr>
          <w:rFonts w:hint="eastAsia" w:ascii="仿宋_GB2312" w:hAnsi="仿宋_GB2312" w:eastAsia="仿宋_GB2312" w:cs="仿宋_GB2312"/>
          <w:b/>
          <w:color w:val="000000" w:themeColor="text1"/>
          <w:sz w:val="32"/>
          <w:szCs w:val="32"/>
          <w:shd w:val="clear" w:color="auto" w:fill="FFFFFF"/>
          <w:lang w:val="en-US"/>
          <w14:textFill>
            <w14:solidFill>
              <w14:schemeClr w14:val="tx1"/>
            </w14:solidFill>
          </w14:textFill>
        </w:rPr>
        <w:t>第十九条</w:t>
      </w: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 xml:space="preserve">  违规超发、滥发职工薪酬福利，违反廉洁从业等规定造成损失或其他不良后果的，应当追究相关人员责任。</w:t>
      </w:r>
    </w:p>
    <w:p>
      <w:pPr>
        <w:pStyle w:val="8"/>
        <w:shd w:val="clear" w:color="auto" w:fill="auto"/>
        <w:spacing w:after="540" w:line="600" w:lineRule="exact"/>
        <w:ind w:firstLine="643" w:firstLineChars="200"/>
        <w:jc w:val="both"/>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pPr>
      <w:r>
        <w:rPr>
          <w:rFonts w:hint="eastAsia" w:ascii="仿宋_GB2312" w:hAnsi="仿宋_GB2312" w:eastAsia="仿宋_GB2312" w:cs="仿宋_GB2312"/>
          <w:b/>
          <w:color w:val="000000" w:themeColor="text1"/>
          <w:sz w:val="32"/>
          <w:szCs w:val="32"/>
          <w:shd w:val="clear" w:color="auto" w:fill="FFFFFF"/>
          <w:lang w:val="en-US"/>
          <w14:textFill>
            <w14:solidFill>
              <w14:schemeClr w14:val="tx1"/>
            </w14:solidFill>
          </w14:textFill>
        </w:rPr>
        <w:t>第二十条</w:t>
      </w: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 xml:space="preserve">  其他违反规定，未履行或未正确履行职责造成损失或其他不良后果的责任追究情形。</w:t>
      </w:r>
    </w:p>
    <w:p>
      <w:pPr>
        <w:widowControl/>
        <w:shd w:val="clear" w:color="auto" w:fill="FFFFFF"/>
        <w:spacing w:line="600" w:lineRule="exact"/>
        <w:jc w:val="center"/>
        <w:rPr>
          <w:rFonts w:ascii="黑体" w:hAnsi="黑体" w:eastAsia="黑体" w:cs="仿宋_GB2312"/>
          <w:color w:val="000000" w:themeColor="text1"/>
          <w:sz w:val="32"/>
          <w:szCs w:val="32"/>
          <w:shd w:val="clear" w:color="auto" w:fill="FFFFFF"/>
          <w:lang w:eastAsia="zh-CN"/>
          <w14:textFill>
            <w14:solidFill>
              <w14:schemeClr w14:val="tx1"/>
            </w14:solidFill>
          </w14:textFill>
        </w:rPr>
      </w:pPr>
      <w:bookmarkStart w:id="4" w:name="bookmark12"/>
      <w:bookmarkStart w:id="5" w:name="bookmark13"/>
      <w:r>
        <w:rPr>
          <w:rFonts w:hint="eastAsia" w:ascii="黑体" w:hAnsi="黑体" w:eastAsia="黑体" w:cs="仿宋_GB2312"/>
          <w:color w:val="000000" w:themeColor="text1"/>
          <w:sz w:val="32"/>
          <w:szCs w:val="32"/>
          <w:shd w:val="clear" w:color="auto" w:fill="FFFFFF"/>
          <w:lang w:eastAsia="zh-CN"/>
          <w14:textFill>
            <w14:solidFill>
              <w14:schemeClr w14:val="tx1"/>
            </w14:solidFill>
          </w14:textFill>
        </w:rPr>
        <w:t>第三章  损失认定</w:t>
      </w:r>
      <w:bookmarkEnd w:id="4"/>
      <w:bookmarkEnd w:id="5"/>
    </w:p>
    <w:p>
      <w:pPr>
        <w:pStyle w:val="8"/>
        <w:shd w:val="clear" w:color="auto" w:fill="auto"/>
        <w:spacing w:line="600" w:lineRule="exact"/>
        <w:ind w:firstLine="643" w:firstLineChars="200"/>
        <w:jc w:val="both"/>
        <w:rPr>
          <w:rFonts w:ascii="仿宋_GB2312" w:hAnsi="仿宋_GB2312" w:eastAsia="仿宋_GB2312" w:cs="仿宋_GB2312"/>
          <w:color w:val="000000" w:themeColor="text1"/>
          <w:sz w:val="32"/>
          <w:szCs w:val="32"/>
          <w:shd w:val="clear" w:color="auto" w:fill="FFFFFF"/>
          <w:lang w:val="en-US"/>
          <w14:textFill>
            <w14:solidFill>
              <w14:schemeClr w14:val="tx1"/>
            </w14:solidFill>
          </w14:textFill>
        </w:rPr>
      </w:pPr>
      <w:r>
        <w:rPr>
          <w:rFonts w:hint="eastAsia" w:ascii="仿宋_GB2312" w:hAnsi="仿宋_GB2312" w:eastAsia="仿宋_GB2312" w:cs="仿宋_GB2312"/>
          <w:b/>
          <w:color w:val="000000" w:themeColor="text1"/>
          <w:sz w:val="32"/>
          <w:szCs w:val="32"/>
          <w:shd w:val="clear" w:color="auto" w:fill="FFFFFF"/>
          <w:lang w:val="en-US"/>
          <w14:textFill>
            <w14:solidFill>
              <w14:schemeClr w14:val="tx1"/>
            </w14:solidFill>
          </w14:textFill>
        </w:rPr>
        <w:t>第二十一条</w:t>
      </w: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 xml:space="preserve">  能够证明损失真实情况的各种事实，均可作为损失认定依据。主要包括：</w:t>
      </w:r>
    </w:p>
    <w:p>
      <w:pPr>
        <w:pStyle w:val="8"/>
        <w:shd w:val="clear" w:color="auto" w:fill="auto"/>
        <w:spacing w:line="600" w:lineRule="exact"/>
        <w:ind w:firstLine="640" w:firstLineChars="200"/>
        <w:jc w:val="both"/>
        <w:rPr>
          <w:rFonts w:ascii="仿宋_GB2312" w:hAnsi="仿宋_GB2312" w:eastAsia="仿宋_GB2312" w:cs="仿宋_GB2312"/>
          <w:color w:val="000000" w:themeColor="text1"/>
          <w:sz w:val="32"/>
          <w:szCs w:val="32"/>
          <w:shd w:val="clear" w:color="auto" w:fill="FFFFFF"/>
          <w:lang w:val="en-US"/>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（一）司法机关、行政机关、专业技术鉴定部门等依法</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出</w:t>
      </w: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具的与企业损失相关的书面文件；</w:t>
      </w:r>
    </w:p>
    <w:p>
      <w:pPr>
        <w:pStyle w:val="8"/>
        <w:shd w:val="clear" w:color="auto" w:fill="auto"/>
        <w:spacing w:line="600" w:lineRule="exact"/>
        <w:ind w:firstLine="640" w:firstLineChars="200"/>
        <w:jc w:val="both"/>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（二）政府部门的专项检查报告；</w:t>
      </w:r>
    </w:p>
    <w:p>
      <w:pPr>
        <w:pStyle w:val="8"/>
        <w:shd w:val="clear" w:color="auto" w:fill="auto"/>
        <w:spacing w:line="600" w:lineRule="exact"/>
        <w:ind w:firstLine="640" w:firstLineChars="200"/>
        <w:jc w:val="both"/>
        <w:rPr>
          <w:rFonts w:ascii="仿宋_GB2312" w:hAnsi="仿宋_GB2312" w:eastAsia="仿宋_GB2312" w:cs="仿宋_GB2312"/>
          <w:color w:val="000000" w:themeColor="text1"/>
          <w:sz w:val="32"/>
          <w:szCs w:val="32"/>
          <w:shd w:val="clear" w:color="auto" w:fill="FFFFFF"/>
          <w:lang w:val="en-US"/>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（三）会计师事务所、资产评估机构、律师事务所、税务师事务所等中介机构对企业某项经济事项出具的专项审计、评估或鉴证报告；</w:t>
      </w:r>
    </w:p>
    <w:p>
      <w:pPr>
        <w:pStyle w:val="8"/>
        <w:shd w:val="clear" w:color="auto" w:fill="auto"/>
        <w:tabs>
          <w:tab w:val="left" w:pos="1621"/>
        </w:tabs>
        <w:spacing w:line="600" w:lineRule="exact"/>
        <w:ind w:firstLine="640" w:firstLineChars="200"/>
        <w:jc w:val="both"/>
        <w:rPr>
          <w:rFonts w:ascii="仿宋_GB2312" w:hAnsi="仿宋_GB2312" w:eastAsia="仿宋_GB2312" w:cs="仿宋_GB2312"/>
          <w:color w:val="000000" w:themeColor="text1"/>
          <w:sz w:val="32"/>
          <w:szCs w:val="32"/>
          <w:shd w:val="clear" w:color="auto" w:fill="FFFFFF"/>
          <w:lang w:val="en-US"/>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（四）</w:t>
      </w: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ab/>
      </w: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企业决策、监督机构通过的决议、意见、报告、会议纪要等，企业内部涉及特定损失事项的会计记录等证明材料；</w:t>
      </w:r>
    </w:p>
    <w:p>
      <w:pPr>
        <w:pStyle w:val="8"/>
        <w:shd w:val="clear" w:color="auto" w:fill="auto"/>
        <w:spacing w:line="600" w:lineRule="exact"/>
        <w:ind w:firstLine="640" w:firstLineChars="200"/>
        <w:jc w:val="both"/>
        <w:rPr>
          <w:rFonts w:ascii="仿宋_GB2312" w:hAnsi="仿宋_GB2312" w:eastAsia="仿宋_GB2312" w:cs="仿宋_GB2312"/>
          <w:color w:val="000000" w:themeColor="text1"/>
          <w:sz w:val="32"/>
          <w:szCs w:val="32"/>
          <w:shd w:val="clear" w:color="auto" w:fill="FFFFFF"/>
          <w:lang w:val="en-US"/>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（五）可以认定损失的其他证明材料。</w:t>
      </w:r>
    </w:p>
    <w:p>
      <w:pPr>
        <w:pStyle w:val="8"/>
        <w:shd w:val="clear" w:color="auto" w:fill="auto"/>
        <w:spacing w:line="600" w:lineRule="exact"/>
        <w:ind w:firstLine="643" w:firstLineChars="200"/>
        <w:jc w:val="both"/>
        <w:rPr>
          <w:rFonts w:ascii="仿宋_GB2312" w:hAnsi="仿宋_GB2312" w:eastAsia="仿宋_GB2312" w:cs="仿宋_GB2312"/>
          <w:color w:val="000000" w:themeColor="text1"/>
          <w:sz w:val="32"/>
          <w:szCs w:val="32"/>
          <w:shd w:val="clear" w:color="auto" w:fill="FFFFFF"/>
          <w:lang w:val="en-US"/>
          <w14:textFill>
            <w14:solidFill>
              <w14:schemeClr w14:val="tx1"/>
            </w14:solidFill>
          </w14:textFill>
        </w:rPr>
      </w:pPr>
      <w:r>
        <w:rPr>
          <w:rFonts w:hint="eastAsia" w:ascii="仿宋_GB2312" w:hAnsi="仿宋_GB2312" w:eastAsia="仿宋_GB2312" w:cs="仿宋_GB2312"/>
          <w:b/>
          <w:color w:val="000000" w:themeColor="text1"/>
          <w:sz w:val="32"/>
          <w:szCs w:val="32"/>
          <w:shd w:val="clear" w:color="auto" w:fill="FFFFFF"/>
          <w:lang w:val="en-US"/>
          <w14:textFill>
            <w14:solidFill>
              <w14:schemeClr w14:val="tx1"/>
            </w14:solidFill>
          </w14:textFill>
        </w:rPr>
        <w:t>第二十二条</w:t>
      </w: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 xml:space="preserve">  认定损失金额应当包括直接损失金额和间接损失金额。直接损失金额是与相关人员行为有直接因果关系的损失金额；间接损失金额是由相关人员行为引发或导致的，除直接损失金额外、能够确认计量的其他损失金额。</w:t>
      </w:r>
    </w:p>
    <w:p>
      <w:pPr>
        <w:pStyle w:val="8"/>
        <w:shd w:val="clear" w:color="auto" w:fill="auto"/>
        <w:spacing w:line="600" w:lineRule="exact"/>
        <w:ind w:firstLine="643" w:firstLineChars="200"/>
        <w:jc w:val="both"/>
        <w:rPr>
          <w:rFonts w:ascii="仿宋_GB2312" w:hAnsi="仿宋_GB2312" w:eastAsia="仿宋_GB2312" w:cs="仿宋_GB2312"/>
          <w:color w:val="000000" w:themeColor="text1"/>
          <w:sz w:val="32"/>
          <w:szCs w:val="32"/>
          <w:shd w:val="clear" w:color="auto" w:fill="FFFFFF"/>
          <w:lang w:val="en-US"/>
          <w14:textFill>
            <w14:solidFill>
              <w14:schemeClr w14:val="tx1"/>
            </w14:solidFill>
          </w14:textFill>
        </w:rPr>
      </w:pPr>
      <w:r>
        <w:rPr>
          <w:rFonts w:hint="eastAsia" w:ascii="仿宋_GB2312" w:hAnsi="仿宋_GB2312" w:eastAsia="仿宋_GB2312" w:cs="仿宋_GB2312"/>
          <w:b/>
          <w:color w:val="000000" w:themeColor="text1"/>
          <w:sz w:val="32"/>
          <w:szCs w:val="32"/>
          <w:shd w:val="clear" w:color="auto" w:fill="FFFFFF"/>
          <w:lang w:val="en-US"/>
          <w14:textFill>
            <w14:solidFill>
              <w14:schemeClr w14:val="tx1"/>
            </w14:solidFill>
          </w14:textFill>
        </w:rPr>
        <w:t>第二十三条</w:t>
      </w: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 xml:space="preserve">  损失按照金额大小、问题性质及造成后果的严重程度划分为一般损失、较大损失和重大损失：</w:t>
      </w:r>
    </w:p>
    <w:p>
      <w:pPr>
        <w:pStyle w:val="8"/>
        <w:shd w:val="clear" w:color="auto" w:fill="auto"/>
        <w:tabs>
          <w:tab w:val="left" w:pos="1621"/>
        </w:tabs>
        <w:spacing w:line="600" w:lineRule="exact"/>
        <w:ind w:firstLine="640" w:firstLineChars="200"/>
        <w:jc w:val="both"/>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（一）</w:t>
      </w: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ab/>
      </w: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一般损失是指企业损失金额100万元以下，或造成一定不良后果的；</w:t>
      </w:r>
    </w:p>
    <w:p>
      <w:pPr>
        <w:pStyle w:val="8"/>
        <w:shd w:val="clear" w:color="auto" w:fill="auto"/>
        <w:tabs>
          <w:tab w:val="left" w:pos="1621"/>
        </w:tabs>
        <w:spacing w:line="600" w:lineRule="exact"/>
        <w:ind w:firstLine="640" w:firstLineChars="200"/>
        <w:jc w:val="both"/>
        <w:rPr>
          <w:rFonts w:ascii="仿宋_GB2312" w:hAnsi="仿宋_GB2312" w:eastAsia="仿宋_GB2312" w:cs="仿宋_GB2312"/>
          <w:color w:val="000000" w:themeColor="text1"/>
          <w:sz w:val="32"/>
          <w:szCs w:val="32"/>
          <w:shd w:val="clear" w:color="auto" w:fill="FFFFFF"/>
          <w:lang w:val="en-US"/>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（二）较大损失是指企业损失金额100万元以上1000万元以下，或造成较大不良后果的；</w:t>
      </w:r>
    </w:p>
    <w:p>
      <w:pPr>
        <w:pStyle w:val="8"/>
        <w:shd w:val="clear" w:color="auto" w:fill="auto"/>
        <w:spacing w:line="600" w:lineRule="exact"/>
        <w:ind w:firstLine="640" w:firstLineChars="200"/>
        <w:jc w:val="both"/>
        <w:rPr>
          <w:rFonts w:ascii="仿宋_GB2312" w:hAnsi="仿宋_GB2312" w:eastAsia="仿宋_GB2312" w:cs="仿宋_GB2312"/>
          <w:color w:val="000000" w:themeColor="text1"/>
          <w:sz w:val="32"/>
          <w:szCs w:val="32"/>
          <w:shd w:val="clear" w:color="auto" w:fill="FFFFFF"/>
          <w:lang w:val="en-US"/>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（三）重大损失是指企业损失金额1000万元以上，或造成严重不良后果的。</w:t>
      </w:r>
    </w:p>
    <w:p>
      <w:pPr>
        <w:pStyle w:val="8"/>
        <w:shd w:val="clear" w:color="auto" w:fill="auto"/>
        <w:spacing w:after="540" w:line="600" w:lineRule="exact"/>
        <w:ind w:firstLine="640" w:firstLineChars="200"/>
        <w:jc w:val="both"/>
        <w:rPr>
          <w:rFonts w:ascii="仿宋_GB2312" w:hAnsi="仿宋_GB2312" w:eastAsia="仿宋_GB2312" w:cs="仿宋_GB2312"/>
          <w:color w:val="000000" w:themeColor="text1"/>
          <w:sz w:val="32"/>
          <w:szCs w:val="32"/>
          <w:shd w:val="clear" w:color="auto" w:fill="FFFFFF"/>
          <w:lang w:val="en-US"/>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前款所称的“以下”包括本数，所称的“以上”不包括本数。</w:t>
      </w:r>
    </w:p>
    <w:p>
      <w:pPr>
        <w:widowControl/>
        <w:shd w:val="clear" w:color="auto" w:fill="FFFFFF"/>
        <w:spacing w:line="600" w:lineRule="exact"/>
        <w:jc w:val="center"/>
        <w:rPr>
          <w:rFonts w:ascii="黑体" w:hAnsi="黑体" w:eastAsia="黑体" w:cs="仿宋_GB2312"/>
          <w:color w:val="000000" w:themeColor="text1"/>
          <w:sz w:val="32"/>
          <w:szCs w:val="32"/>
          <w:shd w:val="clear" w:color="auto" w:fill="FFFFFF"/>
          <w:lang w:eastAsia="zh-CN"/>
          <w14:textFill>
            <w14:solidFill>
              <w14:schemeClr w14:val="tx1"/>
            </w14:solidFill>
          </w14:textFill>
        </w:rPr>
      </w:pPr>
      <w:r>
        <w:rPr>
          <w:rFonts w:hint="eastAsia" w:ascii="黑体" w:hAnsi="黑体" w:eastAsia="黑体" w:cs="仿宋_GB2312"/>
          <w:color w:val="000000" w:themeColor="text1"/>
          <w:sz w:val="32"/>
          <w:szCs w:val="32"/>
          <w:shd w:val="clear" w:color="auto" w:fill="FFFFFF"/>
          <w:lang w:eastAsia="zh-CN"/>
          <w14:textFill>
            <w14:solidFill>
              <w14:schemeClr w14:val="tx1"/>
            </w14:solidFill>
          </w14:textFill>
        </w:rPr>
        <w:t>第四章  责任划分</w:t>
      </w:r>
    </w:p>
    <w:p>
      <w:pPr>
        <w:widowControl/>
        <w:shd w:val="clear" w:color="auto" w:fill="FFFFFF"/>
        <w:spacing w:line="600" w:lineRule="exact"/>
        <w:ind w:firstLine="643" w:firstLineChars="200"/>
        <w:jc w:val="both"/>
        <w:rPr>
          <w:rFonts w:ascii="黑体" w:hAnsi="黑体" w:eastAsia="黑体" w:cs="仿宋_GB2312"/>
          <w:color w:val="000000" w:themeColor="text1"/>
          <w:sz w:val="32"/>
          <w:szCs w:val="32"/>
          <w:shd w:val="clear" w:color="auto" w:fill="FFFFFF"/>
          <w:lang w:eastAsia="zh-CN"/>
          <w14:textFill>
            <w14:solidFill>
              <w14:schemeClr w14:val="tx1"/>
            </w14:solidFill>
          </w14:textFill>
        </w:rPr>
      </w:pPr>
      <w:r>
        <w:rPr>
          <w:rFonts w:hint="eastAsia" w:ascii="仿宋_GB2312" w:hAnsi="仿宋_GB2312" w:eastAsia="仿宋_GB2312" w:cs="仿宋_GB2312"/>
          <w:b/>
          <w:color w:val="000000" w:themeColor="text1"/>
          <w:sz w:val="32"/>
          <w:szCs w:val="32"/>
          <w:shd w:val="clear" w:color="auto" w:fill="FFFFFF"/>
          <w:lang w:eastAsia="zh-CN"/>
          <w14:textFill>
            <w14:solidFill>
              <w14:schemeClr w14:val="tx1"/>
            </w14:solidFill>
          </w14:textFill>
        </w:rPr>
        <w:t>第二十四条</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 xml:space="preserve">  违规经营投资责任根据工作职责划分为直接责任、主管责任和领导责任：</w:t>
      </w:r>
    </w:p>
    <w:p>
      <w:pPr>
        <w:pStyle w:val="8"/>
        <w:shd w:val="clear" w:color="auto" w:fill="auto"/>
        <w:tabs>
          <w:tab w:val="left" w:pos="1616"/>
        </w:tabs>
        <w:spacing w:line="600" w:lineRule="exact"/>
        <w:ind w:firstLine="640" w:firstLineChars="200"/>
        <w:jc w:val="both"/>
        <w:rPr>
          <w:rFonts w:ascii="仿宋_GB2312" w:hAnsi="仿宋_GB2312" w:eastAsia="仿宋_GB2312" w:cs="仿宋_GB2312"/>
          <w:color w:val="000000" w:themeColor="text1"/>
          <w:sz w:val="32"/>
          <w:szCs w:val="32"/>
          <w:shd w:val="clear" w:color="auto" w:fill="FFFFFF"/>
          <w:lang w:val="en-US"/>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（一）</w:t>
      </w: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ab/>
      </w: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直接责任是指相关人员在其工作职责范围内，违反规定，未履行或未正确履行职责，对造成的损失或其他不良后果起决定性直接作用时应当承担的责任；</w:t>
      </w:r>
    </w:p>
    <w:p>
      <w:pPr>
        <w:pStyle w:val="8"/>
        <w:shd w:val="clear" w:color="auto" w:fill="auto"/>
        <w:tabs>
          <w:tab w:val="left" w:pos="1616"/>
        </w:tabs>
        <w:spacing w:line="600" w:lineRule="exact"/>
        <w:ind w:firstLine="640" w:firstLineChars="200"/>
        <w:jc w:val="both"/>
        <w:rPr>
          <w:rFonts w:ascii="仿宋_GB2312" w:hAnsi="仿宋_GB2312" w:eastAsia="仿宋_GB2312" w:cs="仿宋_GB2312"/>
          <w:color w:val="000000" w:themeColor="text1"/>
          <w:sz w:val="32"/>
          <w:szCs w:val="32"/>
          <w:shd w:val="clear" w:color="auto" w:fill="FFFFFF"/>
          <w:lang w:val="en-US"/>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（二）</w:t>
      </w: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ab/>
      </w: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主管责任是指相关人员在其直接主管（分管）工作职责范围内，违反规定，未履行或未正确履行职责，对造成的损失或其他不良后果应当承担的责任；</w:t>
      </w:r>
    </w:p>
    <w:p>
      <w:pPr>
        <w:pStyle w:val="8"/>
        <w:shd w:val="clear" w:color="auto" w:fill="auto"/>
        <w:tabs>
          <w:tab w:val="left" w:pos="1611"/>
        </w:tabs>
        <w:spacing w:line="600" w:lineRule="exact"/>
        <w:ind w:firstLine="640" w:firstLineChars="200"/>
        <w:jc w:val="both"/>
        <w:rPr>
          <w:rFonts w:ascii="仿宋_GB2312" w:hAnsi="仿宋_GB2312" w:eastAsia="仿宋_GB2312" w:cs="仿宋_GB2312"/>
          <w:color w:val="000000" w:themeColor="text1"/>
          <w:sz w:val="32"/>
          <w:szCs w:val="32"/>
          <w:shd w:val="clear" w:color="auto" w:fill="FFFFFF"/>
          <w:lang w:val="en-US"/>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（三）</w:t>
      </w: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ab/>
      </w: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领导责任是指主要负责人在其工作职责范围内，违反规定，未履行或未正确履行职责，对造成的损失或其他不良后果应当承担的责任。</w:t>
      </w:r>
    </w:p>
    <w:p>
      <w:pPr>
        <w:pStyle w:val="8"/>
        <w:shd w:val="clear" w:color="auto" w:fill="auto"/>
        <w:spacing w:line="600" w:lineRule="exact"/>
        <w:ind w:firstLine="643" w:firstLineChars="200"/>
        <w:jc w:val="both"/>
        <w:rPr>
          <w:rFonts w:ascii="仿宋_GB2312" w:hAnsi="仿宋_GB2312" w:eastAsia="仿宋_GB2312" w:cs="仿宋_GB2312"/>
          <w:color w:val="000000" w:themeColor="text1"/>
          <w:sz w:val="32"/>
          <w:szCs w:val="32"/>
          <w:shd w:val="clear" w:color="auto" w:fill="FFFFFF"/>
          <w:lang w:val="en-US"/>
          <w14:textFill>
            <w14:solidFill>
              <w14:schemeClr w14:val="tx1"/>
            </w14:solidFill>
          </w14:textFill>
        </w:rPr>
      </w:pPr>
      <w:r>
        <w:rPr>
          <w:rFonts w:hint="eastAsia" w:ascii="仿宋_GB2312" w:hAnsi="仿宋_GB2312" w:eastAsia="仿宋_GB2312" w:cs="仿宋_GB2312"/>
          <w:b/>
          <w:color w:val="000000" w:themeColor="text1"/>
          <w:sz w:val="32"/>
          <w:szCs w:val="32"/>
          <w:shd w:val="clear" w:color="auto" w:fill="FFFFFF"/>
          <w:lang w:val="en-US"/>
          <w14:textFill>
            <w14:solidFill>
              <w14:schemeClr w14:val="tx1"/>
            </w14:solidFill>
          </w14:textFill>
        </w:rPr>
        <w:t>第二十五条</w:t>
      </w: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 xml:space="preserve">  存在以下情形的，企业负责人应当承担直接责任：</w:t>
      </w:r>
    </w:p>
    <w:p>
      <w:pPr>
        <w:pStyle w:val="8"/>
        <w:shd w:val="clear" w:color="auto" w:fill="auto"/>
        <w:tabs>
          <w:tab w:val="left" w:pos="1611"/>
        </w:tabs>
        <w:spacing w:line="600" w:lineRule="exact"/>
        <w:ind w:firstLine="640" w:firstLineChars="200"/>
        <w:jc w:val="both"/>
        <w:rPr>
          <w:rFonts w:ascii="仿宋_GB2312" w:hAnsi="仿宋_GB2312" w:eastAsia="仿宋_GB2312" w:cs="仿宋_GB2312"/>
          <w:color w:val="000000" w:themeColor="text1"/>
          <w:sz w:val="32"/>
          <w:szCs w:val="32"/>
          <w:shd w:val="clear" w:color="auto" w:fill="FFFFFF"/>
          <w:lang w:val="en-US"/>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（一）</w:t>
      </w: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ab/>
      </w: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本人或与他人共同违反国家法律法规、国有资产监管规章制度和企业内部管理规定的；</w:t>
      </w:r>
    </w:p>
    <w:p>
      <w:pPr>
        <w:pStyle w:val="8"/>
        <w:shd w:val="clear" w:color="auto" w:fill="auto"/>
        <w:tabs>
          <w:tab w:val="left" w:pos="1626"/>
        </w:tabs>
        <w:spacing w:line="600" w:lineRule="exact"/>
        <w:ind w:firstLine="640" w:firstLineChars="200"/>
        <w:jc w:val="both"/>
        <w:rPr>
          <w:rFonts w:ascii="仿宋_GB2312" w:hAnsi="仿宋_GB2312" w:eastAsia="仿宋_GB2312" w:cs="仿宋_GB2312"/>
          <w:color w:val="000000" w:themeColor="text1"/>
          <w:sz w:val="32"/>
          <w:szCs w:val="32"/>
          <w:shd w:val="clear" w:color="auto" w:fill="FFFFFF"/>
          <w:lang w:val="en-US"/>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（二）</w:t>
      </w: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ab/>
      </w: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授意、指使、强令、纵容、包庇下属人员违反国家法律法规、国有资产监管规章制度和企业内部管理规定的；</w:t>
      </w:r>
    </w:p>
    <w:p>
      <w:pPr>
        <w:pStyle w:val="8"/>
        <w:shd w:val="clear" w:color="auto" w:fill="auto"/>
        <w:tabs>
          <w:tab w:val="left" w:pos="1611"/>
        </w:tabs>
        <w:spacing w:line="600" w:lineRule="exact"/>
        <w:ind w:firstLine="640" w:firstLineChars="200"/>
        <w:jc w:val="both"/>
        <w:rPr>
          <w:rFonts w:ascii="仿宋_GB2312" w:hAnsi="仿宋_GB2312" w:eastAsia="仿宋_GB2312" w:cs="仿宋_GB2312"/>
          <w:color w:val="000000" w:themeColor="text1"/>
          <w:sz w:val="32"/>
          <w:szCs w:val="32"/>
          <w:shd w:val="clear" w:color="auto" w:fill="FFFFFF"/>
          <w:lang w:val="en-US"/>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（三）</w:t>
      </w: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ab/>
      </w: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违反决策程序规定，直接决定、批准、组织实施重大经济事项，并造成重大损失或其他严重不良后果的；</w:t>
      </w:r>
    </w:p>
    <w:p>
      <w:pPr>
        <w:pStyle w:val="8"/>
        <w:shd w:val="clear" w:color="auto" w:fill="auto"/>
        <w:tabs>
          <w:tab w:val="left" w:pos="1602"/>
        </w:tabs>
        <w:spacing w:line="600" w:lineRule="exact"/>
        <w:ind w:firstLine="640" w:firstLineChars="200"/>
        <w:jc w:val="both"/>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（四）</w:t>
      </w: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ab/>
      </w: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主持相关会议讨论或以其他方式研究时，在多数人不同意的情况下，直接决定、批准、组织实施重大经济事项，造成重大损失或其他严重不良后果的；</w:t>
      </w:r>
    </w:p>
    <w:p>
      <w:pPr>
        <w:pStyle w:val="8"/>
        <w:shd w:val="clear" w:color="auto" w:fill="auto"/>
        <w:tabs>
          <w:tab w:val="left" w:pos="1602"/>
        </w:tabs>
        <w:spacing w:line="600" w:lineRule="exact"/>
        <w:ind w:firstLine="640" w:firstLineChars="200"/>
        <w:jc w:val="both"/>
        <w:rPr>
          <w:rFonts w:ascii="仿宋_GB2312" w:hAnsi="仿宋_GB2312" w:eastAsia="仿宋_GB2312" w:cs="仿宋_GB2312"/>
          <w:color w:val="000000" w:themeColor="text1"/>
          <w:sz w:val="32"/>
          <w:szCs w:val="32"/>
          <w:shd w:val="clear" w:color="auto" w:fill="FFFFFF"/>
          <w:lang w:val="en-US"/>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（五）</w:t>
      </w: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ab/>
      </w: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将按有关法律法规制度应作为第一责任人（总负责）的事项、签订的有关目标责任事项或应当履行的其他重要职责，授权（委托）其他领导干部决策且决策不当或决策失误造成重大损失或其他严重不良后果的；</w:t>
      </w:r>
    </w:p>
    <w:p>
      <w:pPr>
        <w:pStyle w:val="8"/>
        <w:shd w:val="clear" w:color="auto" w:fill="auto"/>
        <w:spacing w:line="600" w:lineRule="exact"/>
        <w:ind w:firstLine="640" w:firstLineChars="200"/>
        <w:jc w:val="both"/>
        <w:rPr>
          <w:rFonts w:ascii="仿宋_GB2312" w:hAnsi="仿宋_GB2312" w:eastAsia="仿宋_GB2312" w:cs="仿宋_GB2312"/>
          <w:color w:val="000000" w:themeColor="text1"/>
          <w:sz w:val="32"/>
          <w:szCs w:val="32"/>
          <w:shd w:val="clear" w:color="auto" w:fill="FFFFFF"/>
          <w:lang w:val="en-US"/>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（六）其他失职、渎职和应当承担直接责任的行为。</w:t>
      </w:r>
    </w:p>
    <w:p>
      <w:pPr>
        <w:pStyle w:val="8"/>
        <w:shd w:val="clear" w:color="auto" w:fill="auto"/>
        <w:spacing w:line="600" w:lineRule="exact"/>
        <w:ind w:firstLine="643" w:firstLineChars="200"/>
        <w:jc w:val="both"/>
        <w:rPr>
          <w:rFonts w:ascii="仿宋_GB2312" w:hAnsi="仿宋_GB2312" w:eastAsia="仿宋_GB2312" w:cs="仿宋_GB2312"/>
          <w:color w:val="000000" w:themeColor="text1"/>
          <w:sz w:val="32"/>
          <w:szCs w:val="32"/>
          <w:shd w:val="clear" w:color="auto" w:fill="FFFFFF"/>
          <w:lang w:val="en-US"/>
          <w14:textFill>
            <w14:solidFill>
              <w14:schemeClr w14:val="tx1"/>
            </w14:solidFill>
          </w14:textFill>
        </w:rPr>
      </w:pPr>
      <w:r>
        <w:rPr>
          <w:rFonts w:hint="eastAsia" w:ascii="仿宋_GB2312" w:hAnsi="仿宋_GB2312" w:eastAsia="仿宋_GB2312" w:cs="仿宋_GB2312"/>
          <w:b/>
          <w:color w:val="000000" w:themeColor="text1"/>
          <w:sz w:val="32"/>
          <w:szCs w:val="32"/>
          <w:shd w:val="clear" w:color="auto" w:fill="FFFFFF"/>
          <w:lang w:val="en-US"/>
          <w14:textFill>
            <w14:solidFill>
              <w14:schemeClr w14:val="tx1"/>
            </w14:solidFill>
          </w14:textFill>
        </w:rPr>
        <w:t>第二十六条</w:t>
      </w: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 xml:space="preserve">  企业内控管理制度缺失或存在重大缺陷，造成重大损失的，除按照本办法对其他相关人员进行责任认定外，企业主要负责人应当承担领导责任。</w:t>
      </w:r>
    </w:p>
    <w:p>
      <w:pPr>
        <w:pStyle w:val="8"/>
        <w:shd w:val="clear" w:color="auto" w:fill="auto"/>
        <w:spacing w:line="600" w:lineRule="exact"/>
        <w:ind w:firstLine="643" w:firstLineChars="200"/>
        <w:jc w:val="both"/>
        <w:rPr>
          <w:rFonts w:ascii="仿宋_GB2312" w:hAnsi="仿宋_GB2312" w:eastAsia="仿宋_GB2312" w:cs="仿宋_GB2312"/>
          <w:color w:val="000000" w:themeColor="text1"/>
          <w:sz w:val="32"/>
          <w:szCs w:val="32"/>
          <w:shd w:val="clear" w:color="auto" w:fill="FFFFFF"/>
          <w:lang w:val="en-US"/>
          <w14:textFill>
            <w14:solidFill>
              <w14:schemeClr w14:val="tx1"/>
            </w14:solidFill>
          </w14:textFill>
        </w:rPr>
      </w:pPr>
      <w:r>
        <w:rPr>
          <w:rFonts w:hint="eastAsia" w:ascii="仿宋_GB2312" w:hAnsi="仿宋_GB2312" w:eastAsia="仿宋_GB2312" w:cs="仿宋_GB2312"/>
          <w:b/>
          <w:color w:val="000000" w:themeColor="text1"/>
          <w:sz w:val="32"/>
          <w:szCs w:val="32"/>
          <w:shd w:val="clear" w:color="auto" w:fill="FFFFFF"/>
          <w:lang w:val="en-US"/>
          <w14:textFill>
            <w14:solidFill>
              <w14:schemeClr w14:val="tx1"/>
            </w14:solidFill>
          </w14:textFill>
        </w:rPr>
        <w:t>第二十七条</w:t>
      </w: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 xml:space="preserve">  子企业违规经营投资造成重大损失，除按照本办法对子企业相关人员进行责任认定外，其上级企业相关负责人应当承担相应责任。</w:t>
      </w:r>
    </w:p>
    <w:p>
      <w:pPr>
        <w:pStyle w:val="8"/>
        <w:shd w:val="clear" w:color="auto" w:fill="auto"/>
        <w:spacing w:line="600" w:lineRule="exact"/>
        <w:ind w:firstLine="643" w:firstLineChars="200"/>
        <w:jc w:val="both"/>
        <w:rPr>
          <w:rFonts w:ascii="仿宋_GB2312" w:hAnsi="仿宋_GB2312" w:eastAsia="仿宋_GB2312" w:cs="仿宋_GB2312"/>
          <w:color w:val="000000" w:themeColor="text1"/>
          <w:sz w:val="32"/>
          <w:szCs w:val="32"/>
          <w:shd w:val="clear" w:color="auto" w:fill="FFFFFF"/>
          <w:lang w:val="en-US"/>
          <w14:textFill>
            <w14:solidFill>
              <w14:schemeClr w14:val="tx1"/>
            </w14:solidFill>
          </w14:textFill>
        </w:rPr>
      </w:pPr>
      <w:r>
        <w:rPr>
          <w:rFonts w:hint="eastAsia" w:ascii="仿宋_GB2312" w:hAnsi="仿宋_GB2312" w:eastAsia="仿宋_GB2312" w:cs="仿宋_GB2312"/>
          <w:b/>
          <w:color w:val="000000" w:themeColor="text1"/>
          <w:sz w:val="32"/>
          <w:szCs w:val="32"/>
          <w:shd w:val="clear" w:color="auto" w:fill="FFFFFF"/>
          <w:lang w:val="en-US"/>
          <w14:textFill>
            <w14:solidFill>
              <w14:schemeClr w14:val="tx1"/>
            </w14:solidFill>
          </w14:textFill>
        </w:rPr>
        <w:t>第二十八条</w:t>
      </w: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 xml:space="preserve">  企业决策机构成员因违法违规、未履行或未正确履行职责，导致决策失误造成重大损失，由董事会决策的，参与决策的董事应当承担同等责任；其他形式决策的，企业主要负责人应当承担直接责任，参与决策的企业其他人员应当承担相应责任。</w:t>
      </w:r>
    </w:p>
    <w:p>
      <w:pPr>
        <w:pStyle w:val="8"/>
        <w:shd w:val="clear" w:color="auto" w:fill="auto"/>
        <w:spacing w:line="600" w:lineRule="exact"/>
        <w:ind w:firstLine="640" w:firstLineChars="200"/>
        <w:jc w:val="both"/>
        <w:rPr>
          <w:rFonts w:ascii="仿宋_GB2312" w:hAnsi="仿宋_GB2312" w:eastAsia="仿宋_GB2312" w:cs="仿宋_GB2312"/>
          <w:color w:val="000000" w:themeColor="text1"/>
          <w:sz w:val="32"/>
          <w:szCs w:val="32"/>
          <w:shd w:val="clear" w:color="auto" w:fill="FFFFFF"/>
          <w:lang w:val="en-US"/>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参与决策的人员经会议记录证明决策时曾表明异议的，可以免除相应责任。</w:t>
      </w:r>
    </w:p>
    <w:p>
      <w:pPr>
        <w:pStyle w:val="8"/>
        <w:shd w:val="clear" w:color="auto" w:fill="auto"/>
        <w:spacing w:line="600" w:lineRule="exact"/>
        <w:ind w:firstLine="643" w:firstLineChars="200"/>
        <w:jc w:val="both"/>
        <w:rPr>
          <w:rFonts w:ascii="仿宋_GB2312" w:hAnsi="仿宋_GB2312" w:eastAsia="仿宋_GB2312" w:cs="仿宋_GB2312"/>
          <w:color w:val="000000" w:themeColor="text1"/>
          <w:sz w:val="32"/>
          <w:szCs w:val="32"/>
          <w:shd w:val="clear" w:color="auto" w:fill="FFFFFF"/>
          <w:lang w:val="en-US"/>
          <w14:textFill>
            <w14:solidFill>
              <w14:schemeClr w14:val="tx1"/>
            </w14:solidFill>
          </w14:textFill>
        </w:rPr>
      </w:pPr>
      <w:r>
        <w:rPr>
          <w:rFonts w:hint="eastAsia" w:ascii="仿宋_GB2312" w:hAnsi="仿宋_GB2312" w:eastAsia="仿宋_GB2312" w:cs="仿宋_GB2312"/>
          <w:b/>
          <w:color w:val="000000" w:themeColor="text1"/>
          <w:sz w:val="32"/>
          <w:szCs w:val="32"/>
          <w:shd w:val="clear" w:color="auto" w:fill="FFFFFF"/>
          <w:lang w:val="en-US"/>
          <w14:textFill>
            <w14:solidFill>
              <w14:schemeClr w14:val="tx1"/>
            </w14:solidFill>
          </w14:textFill>
        </w:rPr>
        <w:t>第二十九条</w:t>
      </w: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 xml:space="preserve">  企业对违规经营投资造成的重大损失隐瞒不报或少报损失的，除按照本办法对相关人员进行责任认定外，企业分管财务负责人和企业主要负责人应当承担主管责任和领导责任。</w:t>
      </w:r>
    </w:p>
    <w:p>
      <w:pPr>
        <w:pStyle w:val="8"/>
        <w:shd w:val="clear" w:color="auto" w:fill="auto"/>
        <w:spacing w:after="560" w:line="600" w:lineRule="exact"/>
        <w:ind w:firstLine="643" w:firstLineChars="200"/>
        <w:jc w:val="both"/>
        <w:rPr>
          <w:rFonts w:ascii="仿宋_GB2312" w:hAnsi="仿宋_GB2312" w:eastAsia="仿宋_GB2312" w:cs="仿宋_GB2312"/>
          <w:color w:val="000000" w:themeColor="text1"/>
          <w:sz w:val="32"/>
          <w:szCs w:val="32"/>
          <w:shd w:val="clear" w:color="auto" w:fill="FFFFFF"/>
          <w:lang w:val="en-US"/>
          <w14:textFill>
            <w14:solidFill>
              <w14:schemeClr w14:val="tx1"/>
            </w14:solidFill>
          </w14:textFill>
        </w:rPr>
      </w:pPr>
      <w:r>
        <w:rPr>
          <w:rFonts w:hint="eastAsia" w:ascii="仿宋_GB2312" w:hAnsi="仿宋_GB2312" w:eastAsia="仿宋_GB2312" w:cs="仿宋_GB2312"/>
          <w:b/>
          <w:color w:val="000000" w:themeColor="text1"/>
          <w:sz w:val="32"/>
          <w:szCs w:val="32"/>
          <w:shd w:val="clear" w:color="auto" w:fill="FFFFFF"/>
          <w:lang w:val="en-US"/>
          <w14:textFill>
            <w14:solidFill>
              <w14:schemeClr w14:val="tx1"/>
            </w14:solidFill>
          </w14:textFill>
        </w:rPr>
        <w:t>第三十条</w:t>
      </w: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 xml:space="preserve">  企业因违规经营投资造成重大损失，未对相关人员进行责任追究的，一经查实，除按照本办法对相关责任人进行处理外，对企业主要负责人应当比照直接责任人进行处理。</w:t>
      </w:r>
    </w:p>
    <w:p>
      <w:pPr>
        <w:widowControl/>
        <w:shd w:val="clear" w:color="auto" w:fill="FFFFFF"/>
        <w:spacing w:line="600" w:lineRule="exact"/>
        <w:jc w:val="center"/>
        <w:rPr>
          <w:rFonts w:ascii="黑体" w:hAnsi="黑体" w:eastAsia="黑体" w:cs="仿宋_GB2312"/>
          <w:color w:val="000000" w:themeColor="text1"/>
          <w:sz w:val="32"/>
          <w:szCs w:val="32"/>
          <w:shd w:val="clear" w:color="auto" w:fill="FFFFFF"/>
          <w:lang w:eastAsia="zh-CN"/>
          <w14:textFill>
            <w14:solidFill>
              <w14:schemeClr w14:val="tx1"/>
            </w14:solidFill>
          </w14:textFill>
        </w:rPr>
      </w:pPr>
      <w:bookmarkStart w:id="6" w:name="bookmark15"/>
      <w:bookmarkStart w:id="7" w:name="bookmark14"/>
      <w:r>
        <w:rPr>
          <w:rFonts w:hint="eastAsia" w:ascii="黑体" w:hAnsi="黑体" w:eastAsia="黑体" w:cs="仿宋_GB2312"/>
          <w:color w:val="000000" w:themeColor="text1"/>
          <w:sz w:val="32"/>
          <w:szCs w:val="32"/>
          <w:shd w:val="clear" w:color="auto" w:fill="FFFFFF"/>
          <w:lang w:eastAsia="zh-CN"/>
          <w14:textFill>
            <w14:solidFill>
              <w14:schemeClr w14:val="tx1"/>
            </w14:solidFill>
          </w14:textFill>
        </w:rPr>
        <w:t>第五章  责任处理</w:t>
      </w:r>
      <w:bookmarkEnd w:id="6"/>
      <w:bookmarkEnd w:id="7"/>
    </w:p>
    <w:p>
      <w:pPr>
        <w:pStyle w:val="8"/>
        <w:shd w:val="clear" w:color="auto" w:fill="auto"/>
        <w:spacing w:line="600" w:lineRule="exact"/>
        <w:ind w:firstLine="643" w:firstLineChars="200"/>
        <w:jc w:val="both"/>
        <w:rPr>
          <w:rFonts w:ascii="仿宋_GB2312" w:hAnsi="仿宋_GB2312" w:eastAsia="仿宋_GB2312" w:cs="仿宋_GB2312"/>
          <w:color w:val="000000" w:themeColor="text1"/>
          <w:sz w:val="32"/>
          <w:szCs w:val="32"/>
          <w:shd w:val="clear" w:color="auto" w:fill="FFFFFF"/>
          <w:lang w:val="en-US"/>
          <w14:textFill>
            <w14:solidFill>
              <w14:schemeClr w14:val="tx1"/>
            </w14:solidFill>
          </w14:textFill>
        </w:rPr>
      </w:pPr>
      <w:r>
        <w:rPr>
          <w:rFonts w:hint="eastAsia" w:ascii="仿宋_GB2312" w:hAnsi="仿宋_GB2312" w:eastAsia="仿宋_GB2312" w:cs="仿宋_GB2312"/>
          <w:b/>
          <w:color w:val="000000" w:themeColor="text1"/>
          <w:sz w:val="32"/>
          <w:szCs w:val="32"/>
          <w:shd w:val="clear" w:color="auto" w:fill="FFFFFF"/>
          <w:lang w:val="en-US"/>
          <w14:textFill>
            <w14:solidFill>
              <w14:schemeClr w14:val="tx1"/>
            </w14:solidFill>
          </w14:textFill>
        </w:rPr>
        <w:t>第三十一条</w:t>
      </w: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 xml:space="preserve">  对责任人的处理方式包括批评教育、责令书面检查、通报批评、诫勉以及组织处理、扣减薪酬、禁入限制、党纪政务处分、移送监察机关或司法机关等：</w:t>
      </w:r>
    </w:p>
    <w:p>
      <w:pPr>
        <w:pStyle w:val="8"/>
        <w:shd w:val="clear" w:color="auto" w:fill="auto"/>
        <w:tabs>
          <w:tab w:val="left" w:pos="1578"/>
        </w:tabs>
        <w:spacing w:line="600" w:lineRule="exact"/>
        <w:ind w:firstLine="640" w:firstLineChars="200"/>
        <w:jc w:val="both"/>
        <w:rPr>
          <w:rFonts w:ascii="仿宋_GB2312" w:hAnsi="仿宋_GB2312" w:eastAsia="仿宋_GB2312" w:cs="仿宋_GB2312"/>
          <w:color w:val="000000" w:themeColor="text1"/>
          <w:sz w:val="32"/>
          <w:szCs w:val="32"/>
          <w:shd w:val="clear" w:color="auto" w:fill="FFFFFF"/>
          <w:lang w:val="en-US"/>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（一）批评教育、责令书面检查、通报批评、诫勉。</w:t>
      </w:r>
    </w:p>
    <w:p>
      <w:pPr>
        <w:pStyle w:val="8"/>
        <w:shd w:val="clear" w:color="auto" w:fill="auto"/>
        <w:tabs>
          <w:tab w:val="left" w:pos="1602"/>
        </w:tabs>
        <w:spacing w:line="600" w:lineRule="exact"/>
        <w:ind w:firstLine="640" w:firstLineChars="200"/>
        <w:jc w:val="both"/>
        <w:rPr>
          <w:rFonts w:ascii="仿宋_GB2312" w:hAnsi="仿宋_GB2312" w:eastAsia="仿宋_GB2312" w:cs="仿宋_GB2312"/>
          <w:color w:val="000000" w:themeColor="text1"/>
          <w:sz w:val="32"/>
          <w:szCs w:val="32"/>
          <w:shd w:val="clear" w:color="auto" w:fill="FFFFFF"/>
          <w:lang w:val="en-US"/>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（二）</w:t>
      </w: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ab/>
      </w: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组织处理。包括停职检查、调整职务、责令辞职、免职、降职。</w:t>
      </w:r>
    </w:p>
    <w:p>
      <w:pPr>
        <w:pStyle w:val="8"/>
        <w:shd w:val="clear" w:color="auto" w:fill="auto"/>
        <w:tabs>
          <w:tab w:val="left" w:pos="1621"/>
        </w:tabs>
        <w:spacing w:line="600" w:lineRule="exact"/>
        <w:ind w:firstLine="640" w:firstLineChars="200"/>
        <w:jc w:val="both"/>
        <w:rPr>
          <w:rFonts w:ascii="仿宋_GB2312" w:hAnsi="仿宋_GB2312" w:eastAsia="仿宋_GB2312" w:cs="仿宋_GB2312"/>
          <w:color w:val="000000" w:themeColor="text1"/>
          <w:sz w:val="32"/>
          <w:szCs w:val="32"/>
          <w:shd w:val="clear" w:color="auto" w:fill="FFFFFF"/>
          <w:lang w:val="en-US"/>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（三）</w:t>
      </w: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ab/>
      </w: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扣减薪酬。包括扣减和追索绩效年薪或任期激励收入,终止或收回中长期激励收益，取消参加中长期激励资格等。</w:t>
      </w:r>
    </w:p>
    <w:p>
      <w:pPr>
        <w:pStyle w:val="8"/>
        <w:shd w:val="clear" w:color="auto" w:fill="auto"/>
        <w:tabs>
          <w:tab w:val="left" w:pos="1616"/>
        </w:tabs>
        <w:spacing w:line="600" w:lineRule="exact"/>
        <w:ind w:firstLine="640" w:firstLineChars="200"/>
        <w:jc w:val="both"/>
        <w:rPr>
          <w:rFonts w:ascii="仿宋_GB2312" w:hAnsi="仿宋_GB2312" w:eastAsia="仿宋_GB2312" w:cs="仿宋_GB2312"/>
          <w:color w:val="000000" w:themeColor="text1"/>
          <w:sz w:val="32"/>
          <w:szCs w:val="32"/>
          <w:shd w:val="clear" w:color="auto" w:fill="FFFFFF"/>
          <w:lang w:val="en-US"/>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（四）</w:t>
      </w: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ab/>
      </w: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禁入限制。五年内直至终身不得担任企业党组织负责人、企业董事、监事、高级管理人员。</w:t>
      </w:r>
    </w:p>
    <w:p>
      <w:pPr>
        <w:pStyle w:val="8"/>
        <w:shd w:val="clear" w:color="auto" w:fill="auto"/>
        <w:spacing w:line="600" w:lineRule="exact"/>
        <w:ind w:firstLine="640" w:firstLineChars="200"/>
        <w:jc w:val="both"/>
        <w:rPr>
          <w:rFonts w:ascii="仿宋_GB2312" w:hAnsi="仿宋_GB2312" w:eastAsia="仿宋_GB2312" w:cs="仿宋_GB2312"/>
          <w:color w:val="000000" w:themeColor="text1"/>
          <w:sz w:val="32"/>
          <w:szCs w:val="32"/>
          <w:shd w:val="clear" w:color="auto" w:fill="FFFFFF"/>
          <w:lang w:val="en-US"/>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（五）党纪政务处分。由相应的纪检监察组织依法依规查处。</w:t>
      </w:r>
    </w:p>
    <w:p>
      <w:pPr>
        <w:pStyle w:val="8"/>
        <w:shd w:val="clear" w:color="auto" w:fill="auto"/>
        <w:spacing w:line="600" w:lineRule="exact"/>
        <w:ind w:firstLine="640" w:firstLineChars="200"/>
        <w:jc w:val="both"/>
        <w:rPr>
          <w:rFonts w:ascii="仿宋_GB2312" w:hAnsi="仿宋_GB2312" w:eastAsia="仿宋_GB2312" w:cs="仿宋_GB2312"/>
          <w:color w:val="000000" w:themeColor="text1"/>
          <w:sz w:val="32"/>
          <w:szCs w:val="32"/>
          <w:shd w:val="clear" w:color="auto" w:fill="FFFFFF"/>
          <w:lang w:val="en-US"/>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（六）移送监察机关或司法机关处理。依据国家有关法律规定，移送监察机关或司法机关查处。</w:t>
      </w:r>
    </w:p>
    <w:p>
      <w:pPr>
        <w:pStyle w:val="8"/>
        <w:shd w:val="clear" w:color="auto" w:fill="auto"/>
        <w:spacing w:line="600" w:lineRule="exact"/>
        <w:ind w:firstLine="640" w:firstLineChars="200"/>
        <w:jc w:val="both"/>
        <w:rPr>
          <w:rFonts w:ascii="仿宋_GB2312" w:hAnsi="仿宋_GB2312" w:eastAsia="仿宋_GB2312" w:cs="仿宋_GB2312"/>
          <w:color w:val="000000" w:themeColor="text1"/>
          <w:sz w:val="32"/>
          <w:szCs w:val="32"/>
          <w:shd w:val="clear" w:color="auto" w:fill="FFFFFF"/>
          <w:lang w:val="en-US"/>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以上处理方式可以单独适用，也可以合并适用。</w:t>
      </w:r>
    </w:p>
    <w:p>
      <w:pPr>
        <w:pStyle w:val="8"/>
        <w:shd w:val="clear" w:color="auto" w:fill="auto"/>
        <w:spacing w:line="600" w:lineRule="exact"/>
        <w:ind w:firstLine="643" w:firstLineChars="200"/>
        <w:jc w:val="both"/>
        <w:rPr>
          <w:rFonts w:ascii="仿宋_GB2312" w:hAnsi="仿宋_GB2312" w:eastAsia="仿宋_GB2312" w:cs="仿宋_GB2312"/>
          <w:color w:val="000000" w:themeColor="text1"/>
          <w:sz w:val="32"/>
          <w:szCs w:val="32"/>
          <w:shd w:val="clear" w:color="auto" w:fill="FFFFFF"/>
          <w:lang w:val="en-US"/>
          <w14:textFill>
            <w14:solidFill>
              <w14:schemeClr w14:val="tx1"/>
            </w14:solidFill>
          </w14:textFill>
        </w:rPr>
      </w:pPr>
      <w:r>
        <w:rPr>
          <w:rFonts w:hint="eastAsia" w:ascii="仿宋_GB2312" w:hAnsi="仿宋_GB2312" w:eastAsia="仿宋_GB2312" w:cs="仿宋_GB2312"/>
          <w:b/>
          <w:color w:val="000000" w:themeColor="text1"/>
          <w:sz w:val="32"/>
          <w:szCs w:val="32"/>
          <w:shd w:val="clear" w:color="auto" w:fill="FFFFFF"/>
          <w:lang w:val="en-US"/>
          <w14:textFill>
            <w14:solidFill>
              <w14:schemeClr w14:val="tx1"/>
            </w14:solidFill>
          </w14:textFill>
        </w:rPr>
        <w:t>第三十二条</w:t>
      </w: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 xml:space="preserve">  企业发生损失，经过查证核实和责任认定后，除依据有关规定移送纪检监察组织或司法机关处理外，应当按以下方式处理：</w:t>
      </w:r>
    </w:p>
    <w:p>
      <w:pPr>
        <w:pStyle w:val="8"/>
        <w:shd w:val="clear" w:color="auto" w:fill="auto"/>
        <w:tabs>
          <w:tab w:val="left" w:pos="1595"/>
        </w:tabs>
        <w:spacing w:line="600" w:lineRule="exact"/>
        <w:ind w:firstLine="640" w:firstLineChars="200"/>
        <w:jc w:val="both"/>
        <w:rPr>
          <w:rFonts w:ascii="仿宋_GB2312" w:hAnsi="仿宋_GB2312" w:eastAsia="仿宋_GB2312" w:cs="仿宋_GB2312"/>
          <w:color w:val="000000" w:themeColor="text1"/>
          <w:sz w:val="32"/>
          <w:szCs w:val="32"/>
          <w:shd w:val="clear" w:color="auto" w:fill="FFFFFF"/>
          <w:lang w:val="en-US"/>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一）发生一般损失的，对直接责任人和主管责任人给予批评教育、责令书面检查、通报批评、诫勉、停职检查等处理，同时按照以下标准扣减薪酬：扣减和追索责任认定年度30%-100%的绩效年薪、扣减和追索责任认定年度（含）前三年30%-100%的任期激励收入并延期支付绩效年薪，终止尚未行使的中长期激励权益、上缴责任认定年度及前一年度的全部中长期激励收益、三年内不得参加企业新的中长期激励。</w:t>
      </w:r>
    </w:p>
    <w:p>
      <w:pPr>
        <w:pStyle w:val="8"/>
        <w:shd w:val="clear" w:color="auto" w:fill="auto"/>
        <w:spacing w:after="200" w:line="600" w:lineRule="exact"/>
        <w:ind w:firstLine="640" w:firstLineChars="200"/>
        <w:jc w:val="both"/>
        <w:rPr>
          <w:rFonts w:ascii="仿宋_GB2312" w:hAnsi="仿宋_GB2312" w:eastAsia="仿宋_GB2312" w:cs="仿宋_GB2312"/>
          <w:color w:val="000000" w:themeColor="text1"/>
          <w:sz w:val="32"/>
          <w:szCs w:val="32"/>
          <w:shd w:val="clear" w:color="auto" w:fill="FFFFFF"/>
          <w:lang w:val="en-US"/>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对领导责任人给予批评教育、责令书面检查、通报批评等处理，同时按照以下标准扣减薪酬：扣减和追索责任认定年度20%-50%的绩效年薪、扣减和追索责任认定年度（含）前三年20%-50%的任期激励收入并延期支付绩效年薪，终止尚未行使的中长期激励权益、一年内不得参加企业新的中长期激励。</w:t>
      </w:r>
    </w:p>
    <w:p>
      <w:pPr>
        <w:pStyle w:val="8"/>
        <w:shd w:val="clear" w:color="auto" w:fill="auto"/>
        <w:spacing w:line="600" w:lineRule="exact"/>
        <w:ind w:firstLine="640" w:firstLineChars="200"/>
        <w:jc w:val="both"/>
        <w:rPr>
          <w:rFonts w:ascii="仿宋_GB2312" w:hAnsi="仿宋_GB2312" w:eastAsia="仿宋_GB2312" w:cs="仿宋_GB2312"/>
          <w:color w:val="000000" w:themeColor="text1"/>
          <w:sz w:val="32"/>
          <w:szCs w:val="32"/>
          <w:shd w:val="clear" w:color="auto" w:fill="FFFFFF"/>
          <w:lang w:val="en-US"/>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二）发生较大损失的，对直接责任人和主管责任人给予通报批评、诫勉、停职检查、调整职务、责令辞职等处理，同时按照以下标准扣减薪酬：扣减和追索责任认定年度50%-100%的绩效年薪、扣减和追索责任认定年度（含）前三年50%-100%的任期激励收入并延期支付绩效年薪，终止尚未行使的中长期激励权益、上缴责任认定年度及前一年度的全部中长期激励收益、五年内不得参加企业新的中长期激励。</w:t>
      </w:r>
    </w:p>
    <w:p>
      <w:pPr>
        <w:pStyle w:val="8"/>
        <w:shd w:val="clear" w:color="auto" w:fill="auto"/>
        <w:spacing w:line="600" w:lineRule="exact"/>
        <w:ind w:firstLine="640" w:firstLineChars="200"/>
        <w:jc w:val="both"/>
        <w:rPr>
          <w:rFonts w:ascii="仿宋_GB2312" w:hAnsi="仿宋_GB2312" w:eastAsia="仿宋_GB2312" w:cs="仿宋_GB2312"/>
          <w:color w:val="000000" w:themeColor="text1"/>
          <w:sz w:val="32"/>
          <w:szCs w:val="32"/>
          <w:shd w:val="clear" w:color="auto" w:fill="FFFFFF"/>
          <w:lang w:val="en-US"/>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对领导责任人给予通报批评、诫勉、停职检查、调整职务等处理，同时按照以下标准扣减薪酬：扣减和追索责任认定年度30%-70%的绩效年薪、扣减和追索责任认定年度（含）前三30%-70%的任期激励收入并延期支付绩效年薪，终止尚未行使的中长期激励权益、三年内不得参加企业新的中长期激励。</w:t>
      </w:r>
    </w:p>
    <w:p>
      <w:pPr>
        <w:pStyle w:val="8"/>
        <w:shd w:val="clear" w:color="auto" w:fill="auto"/>
        <w:tabs>
          <w:tab w:val="left" w:pos="1568"/>
        </w:tabs>
        <w:spacing w:line="600" w:lineRule="exact"/>
        <w:ind w:firstLine="640" w:firstLineChars="200"/>
        <w:jc w:val="both"/>
        <w:rPr>
          <w:rFonts w:ascii="仿宋_GB2312" w:hAnsi="仿宋_GB2312" w:eastAsia="仿宋_GB2312" w:cs="仿宋_GB2312"/>
          <w:color w:val="000000" w:themeColor="text1"/>
          <w:sz w:val="32"/>
          <w:szCs w:val="32"/>
          <w:shd w:val="clear" w:color="auto" w:fill="FFFFFF"/>
          <w:lang w:val="en-US"/>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三）发生重大损失的，对直接责任人和主管责任人给予调整职务、责令辞职、免职、降职、禁入限制等处理，同时按照以下标准扣减薪酬：扣减和追索责任认定年度100%的绩效年薪、扣减和追索责任认定年度（含）前三年100%的任期激励收入并延期支付绩效年薪，终止尚未行使的中长期激励权益、上缴责任认定年度（含）前三年的全部中长期激励收益、不得参加企业新的中长期激励。</w:t>
      </w:r>
    </w:p>
    <w:p>
      <w:pPr>
        <w:pStyle w:val="8"/>
        <w:shd w:val="clear" w:color="auto" w:fill="auto"/>
        <w:spacing w:line="600" w:lineRule="exact"/>
        <w:ind w:firstLine="640" w:firstLineChars="200"/>
        <w:jc w:val="both"/>
        <w:rPr>
          <w:rFonts w:ascii="仿宋_GB2312" w:hAnsi="仿宋_GB2312" w:eastAsia="仿宋_GB2312" w:cs="仿宋_GB2312"/>
          <w:color w:val="000000" w:themeColor="text1"/>
          <w:sz w:val="32"/>
          <w:szCs w:val="32"/>
          <w:shd w:val="clear" w:color="auto" w:fill="FFFFFF"/>
          <w:lang w:val="en-US"/>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对领导责任人给予停职检查、调整职务、责令辞职、免职、降职、禁入限制等处理，同时按照以下标准扣减薪酬：扣减和追索责任认定年度70%-100%的绩效年薪、扣减和追索责任认定年度（含）前三年70%-100%的任期激励收入并延期支付绩效年薪，终止尚未行使的中长期激励权益、上缴责任认定年度（含）前三年的全部中长期激励收益、五年内不得参加企业新的中长期激励。</w:t>
      </w:r>
    </w:p>
    <w:p>
      <w:pPr>
        <w:pStyle w:val="8"/>
        <w:shd w:val="clear" w:color="auto" w:fill="auto"/>
        <w:tabs>
          <w:tab w:val="left" w:pos="1568"/>
        </w:tabs>
        <w:spacing w:line="600" w:lineRule="exact"/>
        <w:ind w:firstLine="640" w:firstLineChars="200"/>
        <w:jc w:val="both"/>
        <w:rPr>
          <w:rFonts w:ascii="仿宋_GB2312" w:hAnsi="仿宋_GB2312" w:eastAsia="仿宋_GB2312" w:cs="仿宋_GB2312"/>
          <w:color w:val="000000" w:themeColor="text1"/>
          <w:sz w:val="32"/>
          <w:szCs w:val="32"/>
          <w:shd w:val="clear" w:color="auto" w:fill="FFFFFF"/>
          <w:lang w:val="en-US"/>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（四）责任人在责任认定年度已不在本企业领取绩效年薪的，按离职前一年度全部绩效年薪及前三年任期激励收入总和计算，参照上述标准追索扣回其薪酬。</w:t>
      </w:r>
    </w:p>
    <w:p>
      <w:pPr>
        <w:pStyle w:val="8"/>
        <w:shd w:val="clear" w:color="auto" w:fill="auto"/>
        <w:tabs>
          <w:tab w:val="left" w:pos="1568"/>
        </w:tabs>
        <w:spacing w:line="600" w:lineRule="exact"/>
        <w:ind w:firstLine="640" w:firstLineChars="200"/>
        <w:jc w:val="both"/>
        <w:rPr>
          <w:rFonts w:ascii="仿宋_GB2312" w:hAnsi="仿宋_GB2312" w:eastAsia="仿宋_GB2312" w:cs="仿宋_GB2312"/>
          <w:color w:val="000000" w:themeColor="text1"/>
          <w:sz w:val="32"/>
          <w:szCs w:val="32"/>
          <w:shd w:val="clear" w:color="auto" w:fill="FFFFFF"/>
          <w:lang w:val="en-US"/>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（五）对同一事件、同一责任人的薪酬扣减和追索，按照党纪政务处分、责任追究等扣减薪酬处理的最高标准执行，但不合并使用。</w:t>
      </w:r>
    </w:p>
    <w:p>
      <w:pPr>
        <w:pStyle w:val="8"/>
        <w:shd w:val="clear" w:color="auto" w:fill="auto"/>
        <w:spacing w:line="600" w:lineRule="exact"/>
        <w:ind w:firstLine="643" w:firstLineChars="200"/>
        <w:jc w:val="both"/>
        <w:rPr>
          <w:rFonts w:ascii="仿宋_GB2312" w:hAnsi="仿宋_GB2312" w:eastAsia="仿宋_GB2312" w:cs="仿宋_GB2312"/>
          <w:color w:val="000000" w:themeColor="text1"/>
          <w:sz w:val="32"/>
          <w:szCs w:val="32"/>
          <w:shd w:val="clear" w:color="auto" w:fill="FFFFFF"/>
          <w:lang w:val="en-US"/>
          <w14:textFill>
            <w14:solidFill>
              <w14:schemeClr w14:val="tx1"/>
            </w14:solidFill>
          </w14:textFill>
        </w:rPr>
      </w:pPr>
      <w:r>
        <w:rPr>
          <w:rFonts w:hint="eastAsia" w:ascii="仿宋_GB2312" w:hAnsi="仿宋_GB2312" w:eastAsia="仿宋_GB2312" w:cs="仿宋_GB2312"/>
          <w:b/>
          <w:color w:val="000000" w:themeColor="text1"/>
          <w:sz w:val="32"/>
          <w:szCs w:val="32"/>
          <w:shd w:val="clear" w:color="auto" w:fill="FFFFFF"/>
          <w:lang w:val="en-US"/>
          <w14:textFill>
            <w14:solidFill>
              <w14:schemeClr w14:val="tx1"/>
            </w14:solidFill>
          </w14:textFill>
        </w:rPr>
        <w:t>第三十三条</w:t>
      </w: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 xml:space="preserve">  企业发生两次及以上重大损失的，除对相关责任人处以组织处理、扣减薪酬外，应当同时进行禁入限制处理；涉及犯罪的相关责任人，终身不得担任国有企业党组织负责人、董事、监事、高级管理人员。</w:t>
      </w:r>
    </w:p>
    <w:p>
      <w:pPr>
        <w:pStyle w:val="8"/>
        <w:shd w:val="clear" w:color="auto" w:fill="auto"/>
        <w:spacing w:line="600" w:lineRule="exact"/>
        <w:ind w:firstLine="643" w:firstLineChars="200"/>
        <w:jc w:val="both"/>
        <w:rPr>
          <w:rFonts w:ascii="仿宋_GB2312" w:hAnsi="仿宋_GB2312" w:eastAsia="仿宋_GB2312" w:cs="仿宋_GB2312"/>
          <w:color w:val="000000" w:themeColor="text1"/>
          <w:sz w:val="32"/>
          <w:szCs w:val="32"/>
          <w:shd w:val="clear" w:color="auto" w:fill="FFFFFF"/>
          <w:lang w:val="en-US"/>
          <w14:textFill>
            <w14:solidFill>
              <w14:schemeClr w14:val="tx1"/>
            </w14:solidFill>
          </w14:textFill>
        </w:rPr>
      </w:pPr>
      <w:r>
        <w:rPr>
          <w:rFonts w:hint="eastAsia" w:ascii="仿宋_GB2312" w:hAnsi="仿宋_GB2312" w:eastAsia="仿宋_GB2312" w:cs="仿宋_GB2312"/>
          <w:b/>
          <w:color w:val="000000" w:themeColor="text1"/>
          <w:sz w:val="32"/>
          <w:szCs w:val="32"/>
          <w:shd w:val="clear" w:color="auto" w:fill="FFFFFF"/>
          <w:lang w:val="en-US"/>
          <w14:textFill>
            <w14:solidFill>
              <w14:schemeClr w14:val="tx1"/>
            </w14:solidFill>
          </w14:textFill>
        </w:rPr>
        <w:t>第三十四条</w:t>
      </w: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 xml:space="preserve">  有下列情形之一的，应当对相关责任人从重处理：</w:t>
      </w:r>
    </w:p>
    <w:p>
      <w:pPr>
        <w:pStyle w:val="8"/>
        <w:shd w:val="clear" w:color="auto" w:fill="auto"/>
        <w:spacing w:line="600" w:lineRule="exact"/>
        <w:ind w:firstLine="640" w:firstLineChars="200"/>
        <w:jc w:val="both"/>
        <w:rPr>
          <w:rFonts w:ascii="仿宋_GB2312" w:hAnsi="仿宋_GB2312" w:eastAsia="仿宋_GB2312" w:cs="仿宋_GB2312"/>
          <w:color w:val="000000" w:themeColor="text1"/>
          <w:sz w:val="32"/>
          <w:szCs w:val="32"/>
          <w:shd w:val="clear" w:color="auto" w:fill="FFFFFF"/>
          <w:lang w:val="en-US"/>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（一）损失频繁发生、金额巨大、后果严重、影响恶劣的；</w:t>
      </w:r>
    </w:p>
    <w:p>
      <w:pPr>
        <w:pStyle w:val="8"/>
        <w:shd w:val="clear" w:color="auto" w:fill="auto"/>
        <w:tabs>
          <w:tab w:val="left" w:pos="1607"/>
        </w:tabs>
        <w:spacing w:line="600" w:lineRule="exact"/>
        <w:ind w:firstLine="640" w:firstLineChars="200"/>
        <w:jc w:val="both"/>
        <w:rPr>
          <w:rFonts w:ascii="仿宋_GB2312" w:hAnsi="仿宋_GB2312" w:eastAsia="仿宋_GB2312" w:cs="仿宋_GB2312"/>
          <w:color w:val="000000" w:themeColor="text1"/>
          <w:sz w:val="32"/>
          <w:szCs w:val="32"/>
          <w:shd w:val="clear" w:color="auto" w:fill="FFFFFF"/>
          <w:lang w:val="en-US"/>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（二）</w:t>
      </w: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ab/>
      </w: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发生损失，未及时采取挽救措施或措施不力，导致损失继续扩大的；</w:t>
      </w:r>
    </w:p>
    <w:p>
      <w:pPr>
        <w:pStyle w:val="8"/>
        <w:shd w:val="clear" w:color="auto" w:fill="auto"/>
        <w:spacing w:line="600" w:lineRule="exact"/>
        <w:ind w:firstLine="640" w:firstLineChars="200"/>
        <w:jc w:val="both"/>
        <w:rPr>
          <w:rFonts w:ascii="仿宋_GB2312" w:hAnsi="仿宋_GB2312" w:eastAsia="仿宋_GB2312" w:cs="仿宋_GB2312"/>
          <w:color w:val="000000" w:themeColor="text1"/>
          <w:sz w:val="32"/>
          <w:szCs w:val="32"/>
          <w:shd w:val="clear" w:color="auto" w:fill="FFFFFF"/>
          <w:lang w:val="en-US"/>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（三）干扰、抵制责任追究工作的；</w:t>
      </w:r>
    </w:p>
    <w:p>
      <w:pPr>
        <w:pStyle w:val="8"/>
        <w:shd w:val="clear" w:color="auto" w:fill="auto"/>
        <w:spacing w:line="600" w:lineRule="exact"/>
        <w:ind w:firstLine="640" w:firstLineChars="200"/>
        <w:jc w:val="both"/>
        <w:rPr>
          <w:rFonts w:ascii="仿宋_GB2312" w:hAnsi="仿宋_GB2312" w:eastAsia="仿宋_GB2312" w:cs="仿宋_GB2312"/>
          <w:color w:val="000000" w:themeColor="text1"/>
          <w:sz w:val="32"/>
          <w:szCs w:val="32"/>
          <w:shd w:val="clear" w:color="auto" w:fill="FFFFFF"/>
          <w:lang w:val="en-US"/>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（四）对企业发生损失隐瞒不报或谎报、漏报的；</w:t>
      </w:r>
    </w:p>
    <w:p>
      <w:pPr>
        <w:pStyle w:val="8"/>
        <w:shd w:val="clear" w:color="auto" w:fill="auto"/>
        <w:spacing w:line="600" w:lineRule="exact"/>
        <w:ind w:firstLine="640" w:firstLineChars="200"/>
        <w:jc w:val="both"/>
        <w:rPr>
          <w:rFonts w:ascii="仿宋_GB2312" w:hAnsi="仿宋_GB2312" w:eastAsia="仿宋_GB2312" w:cs="仿宋_GB2312"/>
          <w:color w:val="000000" w:themeColor="text1"/>
          <w:sz w:val="32"/>
          <w:szCs w:val="32"/>
          <w:shd w:val="clear" w:color="auto" w:fill="FFFFFF"/>
          <w:lang w:val="en-US"/>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（五）强迫、唆使他人违法违纪造成损失的；</w:t>
      </w:r>
    </w:p>
    <w:p>
      <w:pPr>
        <w:pStyle w:val="8"/>
        <w:shd w:val="clear" w:color="auto" w:fill="auto"/>
        <w:tabs>
          <w:tab w:val="left" w:pos="1616"/>
        </w:tabs>
        <w:spacing w:line="600" w:lineRule="exact"/>
        <w:ind w:firstLine="640" w:firstLineChars="200"/>
        <w:jc w:val="both"/>
        <w:rPr>
          <w:rFonts w:ascii="仿宋_GB2312" w:hAnsi="仿宋_GB2312" w:eastAsia="仿宋_GB2312" w:cs="仿宋_GB2312"/>
          <w:color w:val="000000" w:themeColor="text1"/>
          <w:sz w:val="32"/>
          <w:szCs w:val="32"/>
          <w:shd w:val="clear" w:color="auto" w:fill="FFFFFF"/>
          <w:lang w:val="en-US"/>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（六）</w:t>
      </w: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ab/>
      </w: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伪造、毁灭、隐匿证据，或阻止他人揭发检举、提供证据材料的；</w:t>
      </w:r>
    </w:p>
    <w:p>
      <w:pPr>
        <w:pStyle w:val="8"/>
        <w:shd w:val="clear" w:color="auto" w:fill="auto"/>
        <w:spacing w:line="600" w:lineRule="exact"/>
        <w:ind w:firstLine="640" w:firstLineChars="200"/>
        <w:jc w:val="both"/>
        <w:rPr>
          <w:rFonts w:ascii="仿宋_GB2312" w:hAnsi="仿宋_GB2312" w:eastAsia="仿宋_GB2312" w:cs="仿宋_GB2312"/>
          <w:color w:val="000000" w:themeColor="text1"/>
          <w:sz w:val="32"/>
          <w:szCs w:val="32"/>
          <w:shd w:val="clear" w:color="auto" w:fill="FFFFFF"/>
          <w:lang w:val="en-US"/>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（七）其他应当从重处理的情形。</w:t>
      </w:r>
    </w:p>
    <w:p>
      <w:pPr>
        <w:pStyle w:val="8"/>
        <w:shd w:val="clear" w:color="auto" w:fill="auto"/>
        <w:spacing w:line="600" w:lineRule="exact"/>
        <w:ind w:firstLine="643" w:firstLineChars="200"/>
        <w:jc w:val="both"/>
        <w:rPr>
          <w:rFonts w:ascii="仿宋_GB2312" w:hAnsi="仿宋_GB2312" w:eastAsia="仿宋_GB2312" w:cs="仿宋_GB2312"/>
          <w:color w:val="000000" w:themeColor="text1"/>
          <w:sz w:val="32"/>
          <w:szCs w:val="32"/>
          <w:shd w:val="clear" w:color="auto" w:fill="FFFFFF"/>
          <w:lang w:val="en-US"/>
          <w14:textFill>
            <w14:solidFill>
              <w14:schemeClr w14:val="tx1"/>
            </w14:solidFill>
          </w14:textFill>
        </w:rPr>
      </w:pPr>
      <w:r>
        <w:rPr>
          <w:rFonts w:hint="eastAsia" w:ascii="仿宋_GB2312" w:hAnsi="仿宋_GB2312" w:eastAsia="仿宋_GB2312" w:cs="仿宋_GB2312"/>
          <w:b/>
          <w:color w:val="000000" w:themeColor="text1"/>
          <w:sz w:val="32"/>
          <w:szCs w:val="32"/>
          <w:shd w:val="clear" w:color="auto" w:fill="FFFFFF"/>
          <w:lang w:val="en-US"/>
          <w14:textFill>
            <w14:solidFill>
              <w14:schemeClr w14:val="tx1"/>
            </w14:solidFill>
          </w14:textFill>
        </w:rPr>
        <w:t>第三十五条</w:t>
      </w: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 xml:space="preserve">  有下列情形之一的，可以对相关责任人从轻或减轻处理：</w:t>
      </w:r>
    </w:p>
    <w:p>
      <w:pPr>
        <w:pStyle w:val="8"/>
        <w:shd w:val="clear" w:color="auto" w:fill="auto"/>
        <w:spacing w:line="600" w:lineRule="exact"/>
        <w:ind w:firstLine="640" w:firstLineChars="200"/>
        <w:jc w:val="both"/>
        <w:rPr>
          <w:rFonts w:ascii="仿宋_GB2312" w:hAnsi="仿宋_GB2312" w:eastAsia="仿宋_GB2312" w:cs="仿宋_GB2312"/>
          <w:color w:val="000000" w:themeColor="text1"/>
          <w:sz w:val="32"/>
          <w:szCs w:val="32"/>
          <w:shd w:val="clear" w:color="auto" w:fill="FFFFFF"/>
          <w:lang w:val="en-US"/>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（一）情节轻微的；</w:t>
      </w:r>
    </w:p>
    <w:p>
      <w:pPr>
        <w:pStyle w:val="8"/>
        <w:shd w:val="clear" w:color="auto" w:fill="auto"/>
        <w:tabs>
          <w:tab w:val="left" w:pos="1616"/>
        </w:tabs>
        <w:spacing w:line="600" w:lineRule="exact"/>
        <w:ind w:firstLine="640" w:firstLineChars="200"/>
        <w:jc w:val="both"/>
        <w:rPr>
          <w:rFonts w:ascii="仿宋_GB2312" w:hAnsi="仿宋_GB2312" w:eastAsia="仿宋_GB2312" w:cs="仿宋_GB2312"/>
          <w:color w:val="000000" w:themeColor="text1"/>
          <w:sz w:val="32"/>
          <w:szCs w:val="32"/>
          <w:shd w:val="clear" w:color="auto" w:fill="FFFFFF"/>
          <w:lang w:val="en-US"/>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（二）</w:t>
      </w: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ab/>
      </w: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以促进企业改革发展稳定或履行企业经济责任、政治责任、社会责任为目标，且个人没有谋取私利的；</w:t>
      </w:r>
    </w:p>
    <w:p>
      <w:pPr>
        <w:pStyle w:val="8"/>
        <w:shd w:val="clear" w:color="auto" w:fill="auto"/>
        <w:spacing w:line="600" w:lineRule="exact"/>
        <w:ind w:firstLine="640" w:firstLineChars="200"/>
        <w:jc w:val="both"/>
        <w:rPr>
          <w:rFonts w:ascii="仿宋_GB2312" w:hAnsi="仿宋_GB2312" w:eastAsia="仿宋_GB2312" w:cs="仿宋_GB2312"/>
          <w:color w:val="000000" w:themeColor="text1"/>
          <w:sz w:val="32"/>
          <w:szCs w:val="32"/>
          <w:shd w:val="clear" w:color="auto" w:fill="FFFFFF"/>
          <w:lang w:val="en-US"/>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（三）党和国家方针政策、党章党规党纪、国家法律法规、地方性法规和规章等没有明确限制或禁止的；</w:t>
      </w:r>
    </w:p>
    <w:p>
      <w:pPr>
        <w:pStyle w:val="8"/>
        <w:shd w:val="clear" w:color="auto" w:fill="auto"/>
        <w:tabs>
          <w:tab w:val="left" w:pos="1616"/>
        </w:tabs>
        <w:spacing w:line="600" w:lineRule="exact"/>
        <w:ind w:firstLine="640" w:firstLineChars="200"/>
        <w:jc w:val="both"/>
        <w:rPr>
          <w:rFonts w:ascii="仿宋_GB2312" w:hAnsi="仿宋_GB2312" w:eastAsia="仿宋_GB2312" w:cs="仿宋_GB2312"/>
          <w:color w:val="000000" w:themeColor="text1"/>
          <w:sz w:val="32"/>
          <w:szCs w:val="32"/>
          <w:shd w:val="clear" w:color="auto" w:fill="FFFFFF"/>
          <w:lang w:val="en-US"/>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（四）</w:t>
      </w: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ab/>
      </w: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处置突发事件或紧急情况下，个人或少数人决策，事后及时履行报告程序并得到追认，且不存在故意或重大过失的；</w:t>
      </w:r>
    </w:p>
    <w:p>
      <w:pPr>
        <w:pStyle w:val="8"/>
        <w:shd w:val="clear" w:color="auto" w:fill="auto"/>
        <w:tabs>
          <w:tab w:val="left" w:pos="1611"/>
        </w:tabs>
        <w:spacing w:line="600" w:lineRule="exact"/>
        <w:ind w:firstLine="640" w:firstLineChars="200"/>
        <w:jc w:val="both"/>
        <w:rPr>
          <w:rFonts w:ascii="仿宋_GB2312" w:hAnsi="仿宋_GB2312" w:eastAsia="仿宋_GB2312" w:cs="仿宋_GB2312"/>
          <w:color w:val="000000" w:themeColor="text1"/>
          <w:sz w:val="32"/>
          <w:szCs w:val="32"/>
          <w:shd w:val="clear" w:color="auto" w:fill="FFFFFF"/>
          <w:lang w:val="en-US"/>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（五）</w:t>
      </w: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ab/>
      </w: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及时采取有效措施减少、挽回资产损失并消除不良影响的；</w:t>
      </w:r>
    </w:p>
    <w:p>
      <w:pPr>
        <w:pStyle w:val="8"/>
        <w:shd w:val="clear" w:color="auto" w:fill="auto"/>
        <w:tabs>
          <w:tab w:val="left" w:pos="1616"/>
        </w:tabs>
        <w:spacing w:line="600" w:lineRule="exact"/>
        <w:ind w:firstLine="640" w:firstLineChars="200"/>
        <w:jc w:val="both"/>
        <w:rPr>
          <w:rFonts w:ascii="仿宋_GB2312" w:hAnsi="仿宋_GB2312" w:eastAsia="仿宋_GB2312" w:cs="仿宋_GB2312"/>
          <w:color w:val="000000" w:themeColor="text1"/>
          <w:sz w:val="32"/>
          <w:szCs w:val="32"/>
          <w:shd w:val="clear" w:color="auto" w:fill="FFFFFF"/>
          <w:lang w:val="en-US"/>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（六）</w:t>
      </w: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ab/>
      </w: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主动反映资产损失情况，积极配合责任追究工作的，或主动检举其他造成资产损失相关人员，查证属实的；</w:t>
      </w:r>
    </w:p>
    <w:p>
      <w:pPr>
        <w:pStyle w:val="8"/>
        <w:shd w:val="clear" w:color="auto" w:fill="auto"/>
        <w:tabs>
          <w:tab w:val="left" w:pos="1608"/>
        </w:tabs>
        <w:spacing w:line="600" w:lineRule="exact"/>
        <w:ind w:firstLine="640" w:firstLineChars="200"/>
        <w:jc w:val="both"/>
        <w:rPr>
          <w:rFonts w:ascii="仿宋_GB2312" w:hAnsi="仿宋_GB2312" w:eastAsia="仿宋_GB2312" w:cs="仿宋_GB2312"/>
          <w:color w:val="000000" w:themeColor="text1"/>
          <w:sz w:val="32"/>
          <w:szCs w:val="32"/>
          <w:shd w:val="clear" w:color="auto" w:fill="FFFFFF"/>
          <w:lang w:val="en-US"/>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（七）</w:t>
      </w: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ab/>
      </w: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其他可以从轻或减轻处理的。</w:t>
      </w:r>
    </w:p>
    <w:p>
      <w:pPr>
        <w:pStyle w:val="8"/>
        <w:shd w:val="clear" w:color="auto" w:fill="auto"/>
        <w:spacing w:line="600" w:lineRule="exact"/>
        <w:ind w:firstLine="643" w:firstLineChars="200"/>
        <w:jc w:val="both"/>
        <w:rPr>
          <w:rFonts w:ascii="仿宋_GB2312" w:hAnsi="仿宋_GB2312" w:eastAsia="仿宋_GB2312" w:cs="仿宋_GB2312"/>
          <w:color w:val="000000" w:themeColor="text1"/>
          <w:sz w:val="32"/>
          <w:szCs w:val="32"/>
          <w:shd w:val="clear" w:color="auto" w:fill="FFFFFF"/>
          <w:lang w:val="en-US"/>
          <w14:textFill>
            <w14:solidFill>
              <w14:schemeClr w14:val="tx1"/>
            </w14:solidFill>
          </w14:textFill>
        </w:rPr>
      </w:pPr>
      <w:r>
        <w:rPr>
          <w:rFonts w:hint="eastAsia" w:ascii="仿宋_GB2312" w:hAnsi="仿宋_GB2312" w:eastAsia="仿宋_GB2312" w:cs="仿宋_GB2312"/>
          <w:b/>
          <w:color w:val="000000" w:themeColor="text1"/>
          <w:sz w:val="32"/>
          <w:szCs w:val="32"/>
          <w:shd w:val="clear" w:color="auto" w:fill="FFFFFF"/>
          <w:lang w:val="en-US"/>
          <w14:textFill>
            <w14:solidFill>
              <w14:schemeClr w14:val="tx1"/>
            </w14:solidFill>
          </w14:textFill>
        </w:rPr>
        <w:t>第三十六条</w:t>
      </w: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 xml:space="preserve">  对违反规定，未履行或未正确履行职责造成损失的董事，除依法承担赔偿责任外，应当依照公司法、公司章程及本办法规定对其进行处理。对重大损失负有直接责任的董事，应当及时调整或解聘。</w:t>
      </w:r>
    </w:p>
    <w:p>
      <w:pPr>
        <w:pStyle w:val="8"/>
        <w:shd w:val="clear" w:color="auto" w:fill="auto"/>
        <w:spacing w:line="600" w:lineRule="exact"/>
        <w:ind w:firstLine="643" w:firstLineChars="200"/>
        <w:jc w:val="both"/>
        <w:rPr>
          <w:rFonts w:ascii="仿宋_GB2312" w:hAnsi="仿宋_GB2312" w:eastAsia="仿宋_GB2312" w:cs="仿宋_GB2312"/>
          <w:color w:val="000000" w:themeColor="text1"/>
          <w:sz w:val="32"/>
          <w:szCs w:val="32"/>
          <w:shd w:val="clear" w:color="auto" w:fill="FFFFFF"/>
          <w:lang w:val="en-US"/>
          <w14:textFill>
            <w14:solidFill>
              <w14:schemeClr w14:val="tx1"/>
            </w14:solidFill>
          </w14:textFill>
        </w:rPr>
      </w:pPr>
      <w:r>
        <w:rPr>
          <w:rFonts w:hint="eastAsia" w:ascii="仿宋_GB2312" w:hAnsi="仿宋_GB2312" w:eastAsia="仿宋_GB2312" w:cs="仿宋_GB2312"/>
          <w:b/>
          <w:color w:val="000000" w:themeColor="text1"/>
          <w:sz w:val="32"/>
          <w:szCs w:val="32"/>
          <w:shd w:val="clear" w:color="auto" w:fill="FFFFFF"/>
          <w:lang w:val="en-US"/>
          <w14:textFill>
            <w14:solidFill>
              <w14:schemeClr w14:val="tx1"/>
            </w14:solidFill>
          </w14:textFill>
        </w:rPr>
        <w:t>第三十七条</w:t>
      </w: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 xml:space="preserve">  将已调离工作岗位或退休的相关责任人纳入责任追究范围，实行重大决策终身责任追究制度。</w:t>
      </w:r>
    </w:p>
    <w:p>
      <w:pPr>
        <w:pStyle w:val="8"/>
        <w:shd w:val="clear" w:color="auto" w:fill="auto"/>
        <w:spacing w:after="520" w:line="600" w:lineRule="exact"/>
        <w:ind w:firstLine="643" w:firstLineChars="200"/>
        <w:jc w:val="both"/>
        <w:rPr>
          <w:rFonts w:ascii="仿宋_GB2312" w:hAnsi="仿宋_GB2312" w:eastAsia="仿宋_GB2312" w:cs="仿宋_GB2312"/>
          <w:color w:val="000000" w:themeColor="text1"/>
          <w:sz w:val="32"/>
          <w:szCs w:val="32"/>
          <w:shd w:val="clear" w:color="auto" w:fill="FFFFFF"/>
          <w:lang w:val="en-US"/>
          <w14:textFill>
            <w14:solidFill>
              <w14:schemeClr w14:val="tx1"/>
            </w14:solidFill>
          </w14:textFill>
        </w:rPr>
      </w:pPr>
      <w:r>
        <w:rPr>
          <w:rFonts w:hint="eastAsia" w:ascii="仿宋_GB2312" w:hAnsi="仿宋_GB2312" w:eastAsia="仿宋_GB2312" w:cs="仿宋_GB2312"/>
          <w:b/>
          <w:color w:val="000000" w:themeColor="text1"/>
          <w:sz w:val="32"/>
          <w:szCs w:val="32"/>
          <w:shd w:val="clear" w:color="auto" w:fill="FFFFFF"/>
          <w:lang w:val="en-US"/>
          <w14:textFill>
            <w14:solidFill>
              <w14:schemeClr w14:val="tx1"/>
            </w14:solidFill>
          </w14:textFill>
        </w:rPr>
        <w:t>第三十八条</w:t>
      </w: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 xml:space="preserve">  负责责任追究工作的相关人员收受贿赂、徇私舞弊、泄露工作秘密以及协助相关责任人逃避责任的，视情节轻重给予相应处理；涉嫌违纪、违法或犯罪的，移送纪检监察组织、司法机关处理。</w:t>
      </w:r>
      <w:bookmarkStart w:id="8" w:name="bookmark16"/>
      <w:bookmarkStart w:id="9" w:name="bookmark17"/>
    </w:p>
    <w:p>
      <w:pPr>
        <w:pStyle w:val="8"/>
        <w:shd w:val="clear" w:color="auto" w:fill="auto"/>
        <w:spacing w:line="600" w:lineRule="exact"/>
        <w:ind w:firstLine="0"/>
        <w:jc w:val="center"/>
        <w:rPr>
          <w:rFonts w:ascii="黑体" w:hAnsi="黑体" w:eastAsia="黑体" w:cs="仿宋_GB2312"/>
          <w:color w:val="000000" w:themeColor="text1"/>
          <w:sz w:val="32"/>
          <w:szCs w:val="32"/>
          <w:shd w:val="clear" w:color="auto" w:fill="FFFFFF"/>
          <w:lang w:val="en-US"/>
          <w14:textFill>
            <w14:solidFill>
              <w14:schemeClr w14:val="tx1"/>
            </w14:solidFill>
          </w14:textFill>
        </w:rPr>
      </w:pPr>
      <w:r>
        <w:rPr>
          <w:rFonts w:hint="eastAsia" w:ascii="黑体" w:hAnsi="黑体" w:eastAsia="黑体" w:cs="仿宋_GB2312"/>
          <w:color w:val="000000" w:themeColor="text1"/>
          <w:sz w:val="32"/>
          <w:szCs w:val="32"/>
          <w:shd w:val="clear" w:color="auto" w:fill="FFFFFF"/>
          <w:lang w:val="en-US"/>
          <w14:textFill>
            <w14:solidFill>
              <w14:schemeClr w14:val="tx1"/>
            </w14:solidFill>
          </w14:textFill>
        </w:rPr>
        <w:t>第六章  工作职责</w:t>
      </w:r>
      <w:bookmarkEnd w:id="8"/>
      <w:bookmarkEnd w:id="9"/>
    </w:p>
    <w:p>
      <w:pPr>
        <w:pStyle w:val="8"/>
        <w:shd w:val="clear" w:color="auto" w:fill="auto"/>
        <w:spacing w:line="600" w:lineRule="exact"/>
        <w:ind w:firstLine="643" w:firstLineChars="200"/>
        <w:jc w:val="both"/>
        <w:rPr>
          <w:rFonts w:ascii="仿宋_GB2312" w:hAnsi="仿宋_GB2312" w:eastAsia="仿宋_GB2312" w:cs="仿宋_GB2312"/>
          <w:color w:val="000000" w:themeColor="text1"/>
          <w:sz w:val="32"/>
          <w:szCs w:val="32"/>
          <w:shd w:val="clear" w:color="auto" w:fill="FFFFFF"/>
          <w:lang w:val="en-US"/>
          <w14:textFill>
            <w14:solidFill>
              <w14:schemeClr w14:val="tx1"/>
            </w14:solidFill>
          </w14:textFill>
        </w:rPr>
      </w:pPr>
      <w:r>
        <w:rPr>
          <w:rFonts w:hint="eastAsia" w:ascii="仿宋_GB2312" w:hAnsi="仿宋_GB2312" w:eastAsia="仿宋_GB2312" w:cs="仿宋_GB2312"/>
          <w:b/>
          <w:color w:val="000000" w:themeColor="text1"/>
          <w:sz w:val="32"/>
          <w:szCs w:val="32"/>
          <w:shd w:val="clear" w:color="auto" w:fill="FFFFFF"/>
          <w:lang w:val="en-US"/>
          <w14:textFill>
            <w14:solidFill>
              <w14:schemeClr w14:val="tx1"/>
            </w14:solidFill>
          </w14:textFill>
        </w:rPr>
        <w:t>第三十九条</w:t>
      </w: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 xml:space="preserve">  违规经营投资责任追究工作原则上按照干部管理权限和国有资本出资关系组织开展。履行出资人职责的机构与区纪委区监委、区委组织部、区审计局等建立沟通机制，在监督过程中及时沟通有关信息、移交相关问题线索，实现监督成果共享，共同做好企业违规经营投资责任追究工作。</w:t>
      </w:r>
    </w:p>
    <w:p>
      <w:pPr>
        <w:pStyle w:val="8"/>
        <w:shd w:val="clear" w:color="auto" w:fill="auto"/>
        <w:spacing w:line="600" w:lineRule="exact"/>
        <w:ind w:firstLine="643" w:firstLineChars="200"/>
        <w:jc w:val="both"/>
        <w:rPr>
          <w:rFonts w:ascii="仿宋_GB2312" w:hAnsi="仿宋_GB2312" w:eastAsia="仿宋_GB2312" w:cs="仿宋_GB2312"/>
          <w:color w:val="000000" w:themeColor="text1"/>
          <w:sz w:val="32"/>
          <w:szCs w:val="32"/>
          <w:shd w:val="clear" w:color="auto" w:fill="FFFFFF"/>
          <w:lang w:val="en-US"/>
          <w14:textFill>
            <w14:solidFill>
              <w14:schemeClr w14:val="tx1"/>
            </w14:solidFill>
          </w14:textFill>
        </w:rPr>
      </w:pPr>
      <w:r>
        <w:rPr>
          <w:rFonts w:hint="eastAsia" w:ascii="仿宋_GB2312" w:hAnsi="仿宋_GB2312" w:eastAsia="仿宋_GB2312" w:cs="仿宋_GB2312"/>
          <w:b/>
          <w:color w:val="000000" w:themeColor="text1"/>
          <w:sz w:val="32"/>
          <w:szCs w:val="32"/>
          <w:shd w:val="clear" w:color="auto" w:fill="FFFFFF"/>
          <w:lang w:val="en-US"/>
          <w14:textFill>
            <w14:solidFill>
              <w14:schemeClr w14:val="tx1"/>
            </w14:solidFill>
          </w14:textFill>
        </w:rPr>
        <w:t>第四十条</w:t>
      </w: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 xml:space="preserve">  履行出资人职责的机构在责任追究工作中的具体职责是：</w:t>
      </w:r>
    </w:p>
    <w:p>
      <w:pPr>
        <w:pStyle w:val="8"/>
        <w:shd w:val="clear" w:color="auto" w:fill="auto"/>
        <w:spacing w:line="600" w:lineRule="exact"/>
        <w:ind w:firstLine="640" w:firstLineChars="200"/>
        <w:jc w:val="both"/>
        <w:rPr>
          <w:rFonts w:ascii="仿宋_GB2312" w:hAnsi="仿宋_GB2312" w:eastAsia="仿宋_GB2312" w:cs="仿宋_GB2312"/>
          <w:color w:val="000000" w:themeColor="text1"/>
          <w:sz w:val="32"/>
          <w:szCs w:val="32"/>
          <w:shd w:val="clear" w:color="auto" w:fill="FFFFFF"/>
          <w:lang w:val="en-US"/>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（一）制定企业责任追究工作制度；</w:t>
      </w:r>
    </w:p>
    <w:p>
      <w:pPr>
        <w:pStyle w:val="8"/>
        <w:shd w:val="clear" w:color="auto" w:fill="auto"/>
        <w:spacing w:line="600" w:lineRule="exact"/>
        <w:ind w:firstLine="640" w:firstLineChars="200"/>
        <w:jc w:val="both"/>
        <w:rPr>
          <w:rFonts w:ascii="仿宋_GB2312" w:hAnsi="仿宋_GB2312" w:eastAsia="仿宋_GB2312" w:cs="仿宋_GB2312"/>
          <w:color w:val="000000" w:themeColor="text1"/>
          <w:sz w:val="32"/>
          <w:szCs w:val="32"/>
          <w:shd w:val="clear" w:color="auto" w:fill="FFFFFF"/>
          <w:lang w:val="en-US"/>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（二）负责权限范围内相关责任人的责任追究工作；</w:t>
      </w:r>
    </w:p>
    <w:p>
      <w:pPr>
        <w:pStyle w:val="8"/>
        <w:shd w:val="clear" w:color="auto" w:fill="auto"/>
        <w:tabs>
          <w:tab w:val="left" w:pos="1310"/>
        </w:tabs>
        <w:spacing w:line="600" w:lineRule="exact"/>
        <w:ind w:firstLine="640" w:firstLineChars="200"/>
        <w:jc w:val="both"/>
        <w:rPr>
          <w:rFonts w:ascii="仿宋_GB2312" w:hAnsi="仿宋_GB2312" w:eastAsia="仿宋_GB2312" w:cs="仿宋_GB2312"/>
          <w:color w:val="000000" w:themeColor="text1"/>
          <w:sz w:val="32"/>
          <w:szCs w:val="32"/>
          <w:shd w:val="clear" w:color="auto" w:fill="FFFFFF"/>
          <w:lang w:val="en-US"/>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（三</w:t>
      </w: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ab/>
      </w: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）必要时会同有关部门组成工作组开展责任追究工作；</w:t>
      </w:r>
    </w:p>
    <w:p>
      <w:pPr>
        <w:pStyle w:val="8"/>
        <w:shd w:val="clear" w:color="auto" w:fill="auto"/>
        <w:spacing w:line="600" w:lineRule="exact"/>
        <w:ind w:firstLine="640" w:firstLineChars="200"/>
        <w:jc w:val="both"/>
        <w:rPr>
          <w:rFonts w:ascii="仿宋_GB2312" w:hAnsi="仿宋_GB2312" w:eastAsia="仿宋_GB2312" w:cs="仿宋_GB2312"/>
          <w:color w:val="000000" w:themeColor="text1"/>
          <w:sz w:val="32"/>
          <w:szCs w:val="32"/>
          <w:shd w:val="clear" w:color="auto" w:fill="FFFFFF"/>
          <w:lang w:val="en-US"/>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（四）指导和监督区管企业开展责任追究工作；</w:t>
      </w:r>
    </w:p>
    <w:p>
      <w:pPr>
        <w:pStyle w:val="8"/>
        <w:shd w:val="clear" w:color="auto" w:fill="auto"/>
        <w:spacing w:line="600" w:lineRule="exact"/>
        <w:ind w:firstLine="640" w:firstLineChars="200"/>
        <w:jc w:val="both"/>
        <w:rPr>
          <w:rFonts w:ascii="仿宋_GB2312" w:hAnsi="仿宋_GB2312" w:eastAsia="仿宋_GB2312" w:cs="仿宋_GB2312"/>
          <w:color w:val="000000" w:themeColor="text1"/>
          <w:sz w:val="32"/>
          <w:szCs w:val="32"/>
          <w:shd w:val="clear" w:color="auto" w:fill="FFFFFF"/>
          <w:lang w:val="en-US"/>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（五）负责对多次发生重大损失或造成其他严重不良影响、损失金额特别巨大且危及生存发展的子企业的责任追究工作；</w:t>
      </w:r>
    </w:p>
    <w:p>
      <w:pPr>
        <w:pStyle w:val="8"/>
        <w:shd w:val="clear" w:color="auto" w:fill="auto"/>
        <w:spacing w:line="600" w:lineRule="exact"/>
        <w:ind w:firstLine="640" w:firstLineChars="200"/>
        <w:jc w:val="both"/>
        <w:rPr>
          <w:rFonts w:ascii="仿宋_GB2312" w:hAnsi="仿宋_GB2312" w:eastAsia="仿宋_GB2312" w:cs="仿宋_GB2312"/>
          <w:color w:val="000000" w:themeColor="text1"/>
          <w:sz w:val="32"/>
          <w:szCs w:val="32"/>
          <w:shd w:val="clear" w:color="auto" w:fill="FFFFFF"/>
          <w:lang w:val="en-US"/>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（六）其他有关责任追究工作。</w:t>
      </w:r>
    </w:p>
    <w:p>
      <w:pPr>
        <w:pStyle w:val="8"/>
        <w:shd w:val="clear" w:color="auto" w:fill="auto"/>
        <w:spacing w:line="600" w:lineRule="exact"/>
        <w:ind w:firstLine="643" w:firstLineChars="200"/>
        <w:jc w:val="both"/>
        <w:rPr>
          <w:rFonts w:ascii="仿宋_GB2312" w:hAnsi="仿宋_GB2312" w:eastAsia="仿宋_GB2312" w:cs="仿宋_GB2312"/>
          <w:color w:val="000000" w:themeColor="text1"/>
          <w:sz w:val="32"/>
          <w:szCs w:val="32"/>
          <w:shd w:val="clear" w:color="auto" w:fill="FFFFFF"/>
          <w:lang w:val="en-US"/>
          <w14:textFill>
            <w14:solidFill>
              <w14:schemeClr w14:val="tx1"/>
            </w14:solidFill>
          </w14:textFill>
        </w:rPr>
      </w:pPr>
      <w:r>
        <w:rPr>
          <w:rFonts w:hint="eastAsia" w:ascii="仿宋_GB2312" w:hAnsi="仿宋_GB2312" w:eastAsia="仿宋_GB2312" w:cs="仿宋_GB2312"/>
          <w:b/>
          <w:color w:val="000000" w:themeColor="text1"/>
          <w:sz w:val="32"/>
          <w:szCs w:val="32"/>
          <w:shd w:val="clear" w:color="auto" w:fill="FFFFFF"/>
          <w:lang w:val="en-US"/>
          <w14:textFill>
            <w14:solidFill>
              <w14:schemeClr w14:val="tx1"/>
            </w14:solidFill>
          </w14:textFill>
        </w:rPr>
        <w:t>第四十一条</w:t>
      </w: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 xml:space="preserve">  企业在责任追究工作中的具体职责是：</w:t>
      </w:r>
    </w:p>
    <w:p>
      <w:pPr>
        <w:pStyle w:val="8"/>
        <w:shd w:val="clear" w:color="auto" w:fill="auto"/>
        <w:tabs>
          <w:tab w:val="left" w:pos="1597"/>
        </w:tabs>
        <w:spacing w:line="600" w:lineRule="exact"/>
        <w:ind w:firstLine="640" w:firstLineChars="200"/>
        <w:jc w:val="both"/>
        <w:rPr>
          <w:rFonts w:ascii="仿宋_GB2312" w:hAnsi="仿宋_GB2312" w:eastAsia="仿宋_GB2312" w:cs="仿宋_GB2312"/>
          <w:color w:val="000000" w:themeColor="text1"/>
          <w:sz w:val="32"/>
          <w:szCs w:val="32"/>
          <w:shd w:val="clear" w:color="auto" w:fill="FFFFFF"/>
          <w:lang w:val="en-US"/>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（一）制定本企业责任追究工作制度，并报履行出资人职责的机构备案；</w:t>
      </w:r>
    </w:p>
    <w:p>
      <w:pPr>
        <w:pStyle w:val="8"/>
        <w:shd w:val="clear" w:color="auto" w:fill="auto"/>
        <w:spacing w:line="600" w:lineRule="exact"/>
        <w:ind w:firstLine="640" w:firstLineChars="200"/>
        <w:jc w:val="both"/>
        <w:rPr>
          <w:rFonts w:ascii="仿宋_GB2312" w:hAnsi="仿宋_GB2312" w:eastAsia="仿宋_GB2312" w:cs="仿宋_GB2312"/>
          <w:color w:val="000000" w:themeColor="text1"/>
          <w:sz w:val="32"/>
          <w:szCs w:val="32"/>
          <w:shd w:val="clear" w:color="auto" w:fill="FFFFFF"/>
          <w:lang w:val="en-US"/>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（二）负责权限范围内相关责任人的责任追究工作；</w:t>
      </w:r>
    </w:p>
    <w:p>
      <w:pPr>
        <w:pStyle w:val="8"/>
        <w:shd w:val="clear" w:color="auto" w:fill="auto"/>
        <w:spacing w:line="600" w:lineRule="exact"/>
        <w:ind w:firstLine="640" w:firstLineChars="200"/>
        <w:jc w:val="both"/>
        <w:rPr>
          <w:rFonts w:ascii="仿宋_GB2312" w:hAnsi="仿宋_GB2312" w:eastAsia="仿宋_GB2312" w:cs="仿宋_GB2312"/>
          <w:color w:val="000000" w:themeColor="text1"/>
          <w:sz w:val="32"/>
          <w:szCs w:val="32"/>
          <w:shd w:val="clear" w:color="auto" w:fill="FFFFFF"/>
          <w:lang w:val="en-US"/>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（三）指导和监督子企业开展责任追究工作；</w:t>
      </w:r>
    </w:p>
    <w:p>
      <w:pPr>
        <w:pStyle w:val="8"/>
        <w:shd w:val="clear" w:color="auto" w:fill="auto"/>
        <w:tabs>
          <w:tab w:val="left" w:pos="1611"/>
        </w:tabs>
        <w:spacing w:line="600" w:lineRule="exact"/>
        <w:ind w:firstLine="640" w:firstLineChars="200"/>
        <w:jc w:val="both"/>
        <w:rPr>
          <w:rFonts w:ascii="仿宋_GB2312" w:hAnsi="仿宋_GB2312" w:eastAsia="仿宋_GB2312" w:cs="仿宋_GB2312"/>
          <w:color w:val="000000" w:themeColor="text1"/>
          <w:sz w:val="32"/>
          <w:szCs w:val="32"/>
          <w:shd w:val="clear" w:color="auto" w:fill="FFFFFF"/>
          <w:lang w:val="en-US"/>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（四）</w:t>
      </w: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ab/>
      </w: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配合履行出资人职责的机构开展相关责任人的责任追究工作；</w:t>
      </w:r>
    </w:p>
    <w:p>
      <w:pPr>
        <w:pStyle w:val="8"/>
        <w:shd w:val="clear" w:color="auto" w:fill="auto"/>
        <w:spacing w:line="600" w:lineRule="exact"/>
        <w:ind w:firstLine="640" w:firstLineChars="200"/>
        <w:jc w:val="both"/>
        <w:rPr>
          <w:rFonts w:ascii="仿宋_GB2312" w:hAnsi="仿宋_GB2312" w:eastAsia="仿宋_GB2312" w:cs="仿宋_GB2312"/>
          <w:color w:val="000000" w:themeColor="text1"/>
          <w:sz w:val="32"/>
          <w:szCs w:val="32"/>
          <w:shd w:val="clear" w:color="auto" w:fill="FFFFFF"/>
          <w:lang w:val="en-US"/>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（五）负责将责任追究工作有关材料整理建档；</w:t>
      </w:r>
    </w:p>
    <w:p>
      <w:pPr>
        <w:pStyle w:val="8"/>
        <w:shd w:val="clear" w:color="auto" w:fill="auto"/>
        <w:spacing w:line="600" w:lineRule="exact"/>
        <w:ind w:firstLine="640" w:firstLineChars="200"/>
        <w:jc w:val="both"/>
        <w:rPr>
          <w:rFonts w:ascii="仿宋_GB2312" w:hAnsi="仿宋_GB2312" w:eastAsia="仿宋_GB2312" w:cs="仿宋_GB2312"/>
          <w:color w:val="000000" w:themeColor="text1"/>
          <w:sz w:val="32"/>
          <w:szCs w:val="32"/>
          <w:shd w:val="clear" w:color="auto" w:fill="FFFFFF"/>
          <w:lang w:val="en-US"/>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（六）履行出资人职责的机构交办的其他有关责任追究工作。</w:t>
      </w:r>
    </w:p>
    <w:p>
      <w:pPr>
        <w:pStyle w:val="8"/>
        <w:shd w:val="clear" w:color="auto" w:fill="auto"/>
        <w:tabs>
          <w:tab w:val="left" w:pos="1642"/>
        </w:tabs>
        <w:spacing w:line="600" w:lineRule="exact"/>
        <w:ind w:firstLine="643" w:firstLineChars="200"/>
        <w:jc w:val="both"/>
        <w:rPr>
          <w:rFonts w:ascii="仿宋_GB2312" w:hAnsi="仿宋_GB2312" w:eastAsia="仿宋_GB2312" w:cs="仿宋_GB2312"/>
          <w:color w:val="000000" w:themeColor="text1"/>
          <w:sz w:val="32"/>
          <w:szCs w:val="32"/>
          <w:shd w:val="clear" w:color="auto" w:fill="FFFFFF"/>
          <w:lang w:val="en-US"/>
          <w14:textFill>
            <w14:solidFill>
              <w14:schemeClr w14:val="tx1"/>
            </w14:solidFill>
          </w14:textFill>
        </w:rPr>
      </w:pPr>
      <w:r>
        <w:rPr>
          <w:rFonts w:hint="eastAsia" w:ascii="仿宋_GB2312" w:hAnsi="仿宋_GB2312" w:eastAsia="仿宋_GB2312" w:cs="仿宋_GB2312"/>
          <w:b/>
          <w:color w:val="000000" w:themeColor="text1"/>
          <w:sz w:val="32"/>
          <w:szCs w:val="32"/>
          <w:shd w:val="clear" w:color="auto" w:fill="FFFFFF"/>
          <w:lang w:val="en-US"/>
          <w14:textFill>
            <w14:solidFill>
              <w14:schemeClr w14:val="tx1"/>
            </w14:solidFill>
          </w14:textFill>
        </w:rPr>
        <w:t>第四十二条</w:t>
      </w: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 xml:space="preserve">  企业应定期对本办法所列责任追究范围内的损失情况进行全面自查，并报履行出资人职责的机构审查。未按照规定上报，或瞒报、迟报、漏报的，应当酌情加重处理。</w:t>
      </w:r>
    </w:p>
    <w:p>
      <w:pPr>
        <w:pStyle w:val="8"/>
        <w:shd w:val="clear" w:color="auto" w:fill="auto"/>
        <w:spacing w:line="600" w:lineRule="exact"/>
        <w:ind w:firstLine="643" w:firstLineChars="200"/>
        <w:jc w:val="both"/>
        <w:rPr>
          <w:rFonts w:ascii="仿宋_GB2312" w:hAnsi="仿宋_GB2312" w:eastAsia="仿宋_GB2312" w:cs="仿宋_GB2312"/>
          <w:color w:val="000000" w:themeColor="text1"/>
          <w:sz w:val="32"/>
          <w:szCs w:val="32"/>
          <w:shd w:val="clear" w:color="auto" w:fill="FFFFFF"/>
          <w:lang w:val="en-US"/>
          <w14:textFill>
            <w14:solidFill>
              <w14:schemeClr w14:val="tx1"/>
            </w14:solidFill>
          </w14:textFill>
        </w:rPr>
      </w:pPr>
      <w:r>
        <w:rPr>
          <w:rFonts w:hint="eastAsia" w:ascii="仿宋_GB2312" w:hAnsi="仿宋_GB2312" w:eastAsia="仿宋_GB2312" w:cs="仿宋_GB2312"/>
          <w:b/>
          <w:color w:val="000000" w:themeColor="text1"/>
          <w:sz w:val="32"/>
          <w:szCs w:val="32"/>
          <w:shd w:val="clear" w:color="auto" w:fill="FFFFFF"/>
          <w:lang w:val="en-US"/>
          <w14:textFill>
            <w14:solidFill>
              <w14:schemeClr w14:val="tx1"/>
            </w14:solidFill>
          </w14:textFill>
        </w:rPr>
        <w:t>第四十三条</w:t>
      </w: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 xml:space="preserve">  企业发生损失，应当及时采取有效措施，减少或挽回损失；发生重大损失的，应当及时向履行出资人职责的机构书面报告，对于特别紧急的重大损失，应当第一时间内以适当便捷方式报告。</w:t>
      </w:r>
    </w:p>
    <w:p>
      <w:pPr>
        <w:pStyle w:val="8"/>
        <w:shd w:val="clear" w:color="auto" w:fill="auto"/>
        <w:spacing w:line="600" w:lineRule="exact"/>
        <w:ind w:firstLine="643" w:firstLineChars="200"/>
        <w:jc w:val="both"/>
        <w:rPr>
          <w:rFonts w:ascii="仿宋_GB2312" w:hAnsi="仿宋_GB2312" w:eastAsia="仿宋_GB2312" w:cs="仿宋_GB2312"/>
          <w:color w:val="000000" w:themeColor="text1"/>
          <w:sz w:val="32"/>
          <w:szCs w:val="32"/>
          <w:shd w:val="clear" w:color="auto" w:fill="FFFFFF"/>
          <w:lang w:val="en-US"/>
          <w14:textFill>
            <w14:solidFill>
              <w14:schemeClr w14:val="tx1"/>
            </w14:solidFill>
          </w14:textFill>
        </w:rPr>
      </w:pPr>
      <w:r>
        <w:rPr>
          <w:rFonts w:hint="eastAsia" w:ascii="仿宋_GB2312" w:hAnsi="仿宋_GB2312" w:eastAsia="仿宋_GB2312" w:cs="仿宋_GB2312"/>
          <w:b/>
          <w:color w:val="000000" w:themeColor="text1"/>
          <w:sz w:val="32"/>
          <w:szCs w:val="32"/>
          <w:shd w:val="clear" w:color="auto" w:fill="FFFFFF"/>
          <w:lang w:val="en-US"/>
          <w14:textFill>
            <w14:solidFill>
              <w14:schemeClr w14:val="tx1"/>
            </w14:solidFill>
          </w14:textFill>
        </w:rPr>
        <w:t>第四十四条</w:t>
      </w: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 xml:space="preserve">  负责企业责任追究的相关工作人员，应当恪守工作职责，严格执行工作程序，保守秘密；与有关事项或相关责任人有利害关系的，应当按规定回避。</w:t>
      </w:r>
    </w:p>
    <w:p>
      <w:pPr>
        <w:pStyle w:val="8"/>
        <w:shd w:val="clear" w:color="auto" w:fill="auto"/>
        <w:spacing w:line="600" w:lineRule="exact"/>
        <w:ind w:firstLine="640" w:firstLineChars="200"/>
        <w:jc w:val="both"/>
        <w:rPr>
          <w:rFonts w:ascii="仿宋_GB2312" w:hAnsi="仿宋_GB2312" w:eastAsia="仿宋_GB2312" w:cs="仿宋_GB2312"/>
          <w:color w:val="000000" w:themeColor="text1"/>
          <w:sz w:val="32"/>
          <w:szCs w:val="32"/>
          <w:shd w:val="clear" w:color="auto" w:fill="FFFFFF"/>
          <w:lang w:val="en-US"/>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对企业违规经营投资等重大违规违纪违法问题，存在应当发现而未发现或发现后敷衍不追、隐匿不报、查处不力等失职渎职行为的，严肃追究失职渎职责任。</w:t>
      </w:r>
    </w:p>
    <w:p>
      <w:pPr>
        <w:pStyle w:val="8"/>
        <w:shd w:val="clear" w:color="auto" w:fill="auto"/>
        <w:spacing w:after="520" w:line="600" w:lineRule="exact"/>
        <w:ind w:firstLine="643" w:firstLineChars="200"/>
        <w:jc w:val="both"/>
        <w:rPr>
          <w:rFonts w:ascii="仿宋_GB2312" w:hAnsi="仿宋_GB2312" w:eastAsia="仿宋_GB2312" w:cs="仿宋_GB2312"/>
          <w:color w:val="000000" w:themeColor="text1"/>
          <w:sz w:val="32"/>
          <w:szCs w:val="32"/>
          <w:shd w:val="clear" w:color="auto" w:fill="FFFFFF"/>
          <w:lang w:val="en-US"/>
          <w14:textFill>
            <w14:solidFill>
              <w14:schemeClr w14:val="tx1"/>
            </w14:solidFill>
          </w14:textFill>
        </w:rPr>
      </w:pPr>
      <w:r>
        <w:rPr>
          <w:rFonts w:hint="eastAsia" w:ascii="仿宋_GB2312" w:hAnsi="仿宋_GB2312" w:eastAsia="仿宋_GB2312" w:cs="仿宋_GB2312"/>
          <w:b/>
          <w:color w:val="000000" w:themeColor="text1"/>
          <w:sz w:val="32"/>
          <w:szCs w:val="32"/>
          <w:shd w:val="clear" w:color="auto" w:fill="FFFFFF"/>
          <w:lang w:val="en-US"/>
          <w14:textFill>
            <w14:solidFill>
              <w14:schemeClr w14:val="tx1"/>
            </w14:solidFill>
          </w14:textFill>
        </w:rPr>
        <w:t>第四十五条</w:t>
      </w: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 xml:space="preserve">  受委托参与企业损失认定的中介机构，应当遵守法律法规和执业准则，并对认定结果的真实性负责。</w:t>
      </w:r>
    </w:p>
    <w:p>
      <w:pPr>
        <w:widowControl/>
        <w:shd w:val="clear" w:color="auto" w:fill="FFFFFF"/>
        <w:spacing w:line="600" w:lineRule="exact"/>
        <w:jc w:val="center"/>
        <w:rPr>
          <w:rFonts w:ascii="黑体" w:hAnsi="黑体" w:eastAsia="黑体" w:cs="仿宋_GB2312"/>
          <w:color w:val="000000" w:themeColor="text1"/>
          <w:sz w:val="32"/>
          <w:szCs w:val="32"/>
          <w:shd w:val="clear" w:color="auto" w:fill="FFFFFF"/>
          <w:lang w:eastAsia="zh-CN"/>
          <w14:textFill>
            <w14:solidFill>
              <w14:schemeClr w14:val="tx1"/>
            </w14:solidFill>
          </w14:textFill>
        </w:rPr>
      </w:pPr>
      <w:bookmarkStart w:id="10" w:name="bookmark18"/>
      <w:bookmarkStart w:id="11" w:name="bookmark19"/>
      <w:r>
        <w:rPr>
          <w:rFonts w:hint="eastAsia" w:ascii="黑体" w:hAnsi="黑体" w:eastAsia="黑体" w:cs="仿宋_GB2312"/>
          <w:color w:val="000000" w:themeColor="text1"/>
          <w:sz w:val="32"/>
          <w:szCs w:val="32"/>
          <w:shd w:val="clear" w:color="auto" w:fill="FFFFFF"/>
          <w:lang w:eastAsia="zh-CN"/>
          <w14:textFill>
            <w14:solidFill>
              <w14:schemeClr w14:val="tx1"/>
            </w14:solidFill>
          </w14:textFill>
        </w:rPr>
        <w:t>第七章  工作程序</w:t>
      </w:r>
      <w:bookmarkEnd w:id="10"/>
      <w:bookmarkEnd w:id="11"/>
    </w:p>
    <w:p>
      <w:pPr>
        <w:pStyle w:val="8"/>
        <w:shd w:val="clear" w:color="auto" w:fill="auto"/>
        <w:spacing w:line="600" w:lineRule="exact"/>
        <w:ind w:firstLine="643" w:firstLineChars="200"/>
        <w:jc w:val="both"/>
        <w:rPr>
          <w:rFonts w:ascii="仿宋_GB2312" w:hAnsi="仿宋_GB2312" w:eastAsia="仿宋_GB2312" w:cs="仿宋_GB2312"/>
          <w:color w:val="000000" w:themeColor="text1"/>
          <w:sz w:val="32"/>
          <w:szCs w:val="32"/>
          <w:shd w:val="clear" w:color="auto" w:fill="FFFFFF"/>
          <w:lang w:val="en-US"/>
          <w14:textFill>
            <w14:solidFill>
              <w14:schemeClr w14:val="tx1"/>
            </w14:solidFill>
          </w14:textFill>
        </w:rPr>
      </w:pPr>
      <w:r>
        <w:rPr>
          <w:rFonts w:hint="eastAsia" w:ascii="仿宋_GB2312" w:hAnsi="仿宋_GB2312" w:eastAsia="仿宋_GB2312" w:cs="仿宋_GB2312"/>
          <w:b/>
          <w:color w:val="000000" w:themeColor="text1"/>
          <w:sz w:val="32"/>
          <w:szCs w:val="32"/>
          <w:shd w:val="clear" w:color="auto" w:fill="FFFFFF"/>
          <w:lang w:val="en-US"/>
          <w14:textFill>
            <w14:solidFill>
              <w14:schemeClr w14:val="tx1"/>
            </w14:solidFill>
          </w14:textFill>
        </w:rPr>
        <w:t>第四十六条</w:t>
      </w: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 xml:space="preserve">  开展企业违规经营投资责任追究工作一般按照受理、初步核实、分类处置、核查、处理和整改等程序进行。</w:t>
      </w:r>
    </w:p>
    <w:p>
      <w:pPr>
        <w:pStyle w:val="8"/>
        <w:shd w:val="clear" w:color="auto" w:fill="auto"/>
        <w:spacing w:line="600" w:lineRule="exact"/>
        <w:ind w:firstLine="643" w:firstLineChars="200"/>
        <w:jc w:val="both"/>
        <w:rPr>
          <w:rFonts w:ascii="仿宋_GB2312" w:hAnsi="仿宋_GB2312" w:eastAsia="仿宋_GB2312" w:cs="仿宋_GB2312"/>
          <w:color w:val="000000" w:themeColor="text1"/>
          <w:sz w:val="32"/>
          <w:szCs w:val="32"/>
          <w:shd w:val="clear" w:color="auto" w:fill="FFFFFF"/>
          <w:lang w:val="en-US"/>
          <w14:textFill>
            <w14:solidFill>
              <w14:schemeClr w14:val="tx1"/>
            </w14:solidFill>
          </w14:textFill>
        </w:rPr>
      </w:pPr>
      <w:r>
        <w:rPr>
          <w:rFonts w:hint="eastAsia" w:ascii="仿宋_GB2312" w:hAnsi="仿宋_GB2312" w:eastAsia="仿宋_GB2312" w:cs="仿宋_GB2312"/>
          <w:b/>
          <w:color w:val="000000" w:themeColor="text1"/>
          <w:sz w:val="32"/>
          <w:szCs w:val="32"/>
          <w:shd w:val="clear" w:color="auto" w:fill="FFFFFF"/>
          <w:lang w:val="en-US"/>
          <w14:textFill>
            <w14:solidFill>
              <w14:schemeClr w14:val="tx1"/>
            </w14:solidFill>
          </w14:textFill>
        </w:rPr>
        <w:t>第四十七条</w:t>
      </w: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 xml:space="preserve">  履行出资人职责的机构和区管企业按照职责权限，受理有关方面按规定程序移交的有本办法所列损失情形的违规经营投资问题和线索，并进行有关证据、材料的收集、整理和分析工作。</w:t>
      </w:r>
    </w:p>
    <w:p>
      <w:pPr>
        <w:pStyle w:val="8"/>
        <w:shd w:val="clear" w:color="auto" w:fill="auto"/>
        <w:spacing w:line="600" w:lineRule="exact"/>
        <w:ind w:firstLine="643" w:firstLineChars="200"/>
        <w:jc w:val="both"/>
        <w:rPr>
          <w:rFonts w:ascii="仿宋_GB2312" w:hAnsi="仿宋_GB2312" w:eastAsia="仿宋_GB2312" w:cs="仿宋_GB2312"/>
          <w:color w:val="000000" w:themeColor="text1"/>
          <w:sz w:val="32"/>
          <w:szCs w:val="32"/>
          <w:shd w:val="clear" w:color="auto" w:fill="FFFFFF"/>
          <w:lang w:val="en-US"/>
          <w14:textFill>
            <w14:solidFill>
              <w14:schemeClr w14:val="tx1"/>
            </w14:solidFill>
          </w14:textFill>
        </w:rPr>
      </w:pPr>
      <w:r>
        <w:rPr>
          <w:rFonts w:hint="eastAsia" w:ascii="仿宋_GB2312" w:hAnsi="仿宋_GB2312" w:eastAsia="仿宋_GB2312" w:cs="仿宋_GB2312"/>
          <w:b/>
          <w:color w:val="000000" w:themeColor="text1"/>
          <w:sz w:val="32"/>
          <w:szCs w:val="32"/>
          <w:shd w:val="clear" w:color="auto" w:fill="FFFFFF"/>
          <w:lang w:val="en-US"/>
          <w14:textFill>
            <w14:solidFill>
              <w14:schemeClr w14:val="tx1"/>
            </w14:solidFill>
          </w14:textFill>
        </w:rPr>
        <w:t>第四十八条</w:t>
      </w: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 xml:space="preserve">  对受理的违规经营投资问题线索及相关证据、材料等进行必要的初步核实，主要工作内容包括：</w:t>
      </w:r>
    </w:p>
    <w:p>
      <w:pPr>
        <w:pStyle w:val="8"/>
        <w:shd w:val="clear" w:color="auto" w:fill="auto"/>
        <w:tabs>
          <w:tab w:val="left" w:pos="1618"/>
        </w:tabs>
        <w:spacing w:line="600" w:lineRule="exact"/>
        <w:ind w:firstLine="640" w:firstLineChars="200"/>
        <w:jc w:val="both"/>
        <w:rPr>
          <w:rFonts w:ascii="仿宋_GB2312" w:hAnsi="仿宋_GB2312" w:eastAsia="仿宋_GB2312" w:cs="仿宋_GB2312"/>
          <w:color w:val="000000" w:themeColor="text1"/>
          <w:sz w:val="32"/>
          <w:szCs w:val="32"/>
          <w:shd w:val="clear" w:color="auto" w:fill="FFFFFF"/>
          <w:lang w:val="en-US"/>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（一）</w:t>
      </w: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ab/>
      </w: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损失及其他不良后果的情况；</w:t>
      </w:r>
    </w:p>
    <w:p>
      <w:pPr>
        <w:pStyle w:val="8"/>
        <w:shd w:val="clear" w:color="auto" w:fill="auto"/>
        <w:tabs>
          <w:tab w:val="left" w:pos="1618"/>
        </w:tabs>
        <w:spacing w:line="600" w:lineRule="exact"/>
        <w:ind w:firstLine="640" w:firstLineChars="200"/>
        <w:jc w:val="both"/>
        <w:rPr>
          <w:rFonts w:ascii="仿宋_GB2312" w:hAnsi="仿宋_GB2312" w:eastAsia="仿宋_GB2312" w:cs="仿宋_GB2312"/>
          <w:color w:val="000000" w:themeColor="text1"/>
          <w:sz w:val="32"/>
          <w:szCs w:val="32"/>
          <w:shd w:val="clear" w:color="auto" w:fill="FFFFFF"/>
          <w:lang w:val="en-US"/>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（二）</w:t>
      </w: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ab/>
      </w: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违规违纪违法的情况；</w:t>
      </w:r>
    </w:p>
    <w:p>
      <w:pPr>
        <w:pStyle w:val="8"/>
        <w:shd w:val="clear" w:color="auto" w:fill="auto"/>
        <w:tabs>
          <w:tab w:val="left" w:pos="1618"/>
        </w:tabs>
        <w:spacing w:line="600" w:lineRule="exact"/>
        <w:ind w:firstLine="640" w:firstLineChars="200"/>
        <w:jc w:val="both"/>
        <w:rPr>
          <w:rFonts w:ascii="仿宋_GB2312" w:hAnsi="仿宋_GB2312" w:eastAsia="仿宋_GB2312" w:cs="仿宋_GB2312"/>
          <w:color w:val="000000" w:themeColor="text1"/>
          <w:sz w:val="32"/>
          <w:szCs w:val="32"/>
          <w:shd w:val="clear" w:color="auto" w:fill="FFFFFF"/>
          <w:lang w:val="en-US"/>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（三）</w:t>
      </w: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ab/>
      </w: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是否属于责任追究范围；</w:t>
      </w:r>
    </w:p>
    <w:p>
      <w:pPr>
        <w:pStyle w:val="8"/>
        <w:shd w:val="clear" w:color="auto" w:fill="auto"/>
        <w:tabs>
          <w:tab w:val="left" w:pos="1618"/>
        </w:tabs>
        <w:spacing w:line="600" w:lineRule="exact"/>
        <w:ind w:firstLine="640" w:firstLineChars="200"/>
        <w:jc w:val="both"/>
        <w:rPr>
          <w:rFonts w:ascii="仿宋_GB2312" w:hAnsi="仿宋_GB2312" w:eastAsia="仿宋_GB2312" w:cs="仿宋_GB2312"/>
          <w:color w:val="000000" w:themeColor="text1"/>
          <w:sz w:val="32"/>
          <w:szCs w:val="32"/>
          <w:shd w:val="clear" w:color="auto" w:fill="FFFFFF"/>
          <w:lang w:val="en-US"/>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（四）</w:t>
      </w: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ab/>
      </w: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有关方面的处理建议和要求等。</w:t>
      </w:r>
    </w:p>
    <w:p>
      <w:pPr>
        <w:pStyle w:val="8"/>
        <w:shd w:val="clear" w:color="auto" w:fill="auto"/>
        <w:spacing w:line="600" w:lineRule="exact"/>
        <w:ind w:firstLine="640" w:firstLineChars="200"/>
        <w:jc w:val="both"/>
        <w:rPr>
          <w:rFonts w:ascii="仿宋_GB2312" w:hAnsi="仿宋_GB2312" w:eastAsia="仿宋_GB2312" w:cs="仿宋_GB2312"/>
          <w:color w:val="000000" w:themeColor="text1"/>
          <w:sz w:val="32"/>
          <w:szCs w:val="32"/>
          <w:shd w:val="clear" w:color="auto" w:fill="FFFFFF"/>
          <w:lang w:val="en-US"/>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初步核实工作原则上于30个工作日内完成，根据工作需要可以适当延长。</w:t>
      </w:r>
    </w:p>
    <w:p>
      <w:pPr>
        <w:pStyle w:val="8"/>
        <w:shd w:val="clear" w:color="auto" w:fill="auto"/>
        <w:spacing w:line="600" w:lineRule="exact"/>
        <w:ind w:firstLine="643" w:firstLineChars="200"/>
        <w:jc w:val="both"/>
        <w:rPr>
          <w:rFonts w:ascii="仿宋_GB2312" w:hAnsi="仿宋_GB2312" w:eastAsia="仿宋_GB2312" w:cs="仿宋_GB2312"/>
          <w:color w:val="000000" w:themeColor="text1"/>
          <w:sz w:val="32"/>
          <w:szCs w:val="32"/>
          <w:shd w:val="clear" w:color="auto" w:fill="FFFFFF"/>
          <w:lang w:val="en-US"/>
          <w14:textFill>
            <w14:solidFill>
              <w14:schemeClr w14:val="tx1"/>
            </w14:solidFill>
          </w14:textFill>
        </w:rPr>
      </w:pPr>
      <w:r>
        <w:rPr>
          <w:rFonts w:hint="eastAsia" w:ascii="仿宋_GB2312" w:hAnsi="仿宋_GB2312" w:eastAsia="仿宋_GB2312" w:cs="仿宋_GB2312"/>
          <w:b/>
          <w:color w:val="000000" w:themeColor="text1"/>
          <w:sz w:val="32"/>
          <w:szCs w:val="32"/>
          <w:shd w:val="clear" w:color="auto" w:fill="FFFFFF"/>
          <w:lang w:val="en-US"/>
          <w14:textFill>
            <w14:solidFill>
              <w14:schemeClr w14:val="tx1"/>
            </w14:solidFill>
          </w14:textFill>
        </w:rPr>
        <w:t>第四十九条</w:t>
      </w: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 xml:space="preserve">  根据初步核实情况，对确有违规违纪违法事实的，按照规定的职责权限和程序进行分类处置。其中：</w:t>
      </w:r>
    </w:p>
    <w:p>
      <w:pPr>
        <w:pStyle w:val="8"/>
        <w:shd w:val="clear" w:color="auto" w:fill="auto"/>
        <w:spacing w:line="600" w:lineRule="exact"/>
        <w:ind w:firstLine="640" w:firstLineChars="200"/>
        <w:jc w:val="both"/>
        <w:rPr>
          <w:rFonts w:ascii="仿宋_GB2312" w:hAnsi="仿宋_GB2312" w:eastAsia="仿宋_GB2312" w:cs="仿宋_GB2312"/>
          <w:color w:val="000000" w:themeColor="text1"/>
          <w:sz w:val="32"/>
          <w:szCs w:val="32"/>
          <w:shd w:val="clear" w:color="auto" w:fill="FFFFFF"/>
          <w:lang w:val="en-US"/>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（一）属于履行出资人职责的机构责任追究职责范围的，由相关内设机构组织实施核查工作；</w:t>
      </w:r>
    </w:p>
    <w:p>
      <w:pPr>
        <w:pStyle w:val="8"/>
        <w:shd w:val="clear" w:color="auto" w:fill="auto"/>
        <w:tabs>
          <w:tab w:val="left" w:pos="1611"/>
        </w:tabs>
        <w:spacing w:line="600" w:lineRule="exact"/>
        <w:ind w:firstLine="640" w:firstLineChars="200"/>
        <w:jc w:val="both"/>
        <w:rPr>
          <w:rFonts w:ascii="仿宋_GB2312" w:hAnsi="仿宋_GB2312" w:eastAsia="仿宋_GB2312" w:cs="仿宋_GB2312"/>
          <w:color w:val="000000" w:themeColor="text1"/>
          <w:sz w:val="32"/>
          <w:szCs w:val="32"/>
          <w:shd w:val="clear" w:color="auto" w:fill="FFFFFF"/>
          <w:lang w:val="en-US"/>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（二）</w:t>
      </w: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ab/>
      </w: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属于区管企业责任追究职责范围的，移交和督促相关区管企业开展责任追究工作；</w:t>
      </w:r>
    </w:p>
    <w:p>
      <w:pPr>
        <w:pStyle w:val="8"/>
        <w:shd w:val="clear" w:color="auto" w:fill="auto"/>
        <w:tabs>
          <w:tab w:val="left" w:pos="1611"/>
        </w:tabs>
        <w:spacing w:line="600" w:lineRule="exact"/>
        <w:ind w:firstLine="640" w:firstLineChars="200"/>
        <w:jc w:val="both"/>
        <w:rPr>
          <w:rFonts w:ascii="仿宋_GB2312" w:hAnsi="仿宋_GB2312" w:eastAsia="仿宋_GB2312" w:cs="仿宋_GB2312"/>
          <w:color w:val="000000" w:themeColor="text1"/>
          <w:sz w:val="32"/>
          <w:szCs w:val="32"/>
          <w:shd w:val="clear" w:color="auto" w:fill="FFFFFF"/>
          <w:lang w:val="en-US"/>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（三）</w:t>
      </w: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ab/>
      </w: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涉及区管干部的违规经营投资问题线索，报经区纪委区监委同意后，</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按</w:t>
      </w:r>
      <w:bookmarkStart w:id="14" w:name="_GoBack"/>
      <w:bookmarkEnd w:id="14"/>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照《中国共产党纪律检查机关监督执纪工作规则》</w:t>
      </w: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开展有关核查工作，相关情况通报区委组织部；</w:t>
      </w:r>
    </w:p>
    <w:p>
      <w:pPr>
        <w:pStyle w:val="8"/>
        <w:shd w:val="clear" w:color="auto" w:fill="auto"/>
        <w:spacing w:line="600" w:lineRule="exact"/>
        <w:ind w:firstLine="640" w:firstLineChars="200"/>
        <w:jc w:val="both"/>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（四）涉嫌违反党纪</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职务违法</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或</w:t>
      </w: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涉嫌犯罪的，移送</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相关部门</w:t>
      </w: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w:t>
      </w:r>
    </w:p>
    <w:p>
      <w:pPr>
        <w:pStyle w:val="8"/>
        <w:shd w:val="clear" w:color="auto" w:fill="auto"/>
        <w:tabs>
          <w:tab w:val="left" w:pos="1628"/>
        </w:tabs>
        <w:spacing w:line="600" w:lineRule="exact"/>
        <w:ind w:firstLine="643" w:firstLineChars="200"/>
        <w:jc w:val="both"/>
        <w:rPr>
          <w:rFonts w:ascii="仿宋_GB2312" w:hAnsi="仿宋_GB2312" w:eastAsia="仿宋_GB2312" w:cs="仿宋_GB2312"/>
          <w:color w:val="000000" w:themeColor="text1"/>
          <w:sz w:val="32"/>
          <w:szCs w:val="32"/>
          <w:shd w:val="clear" w:color="auto" w:fill="FFFFFF"/>
          <w:lang w:val="en-US"/>
          <w14:textFill>
            <w14:solidFill>
              <w14:schemeClr w14:val="tx1"/>
            </w14:solidFill>
          </w14:textFill>
        </w:rPr>
      </w:pPr>
      <w:r>
        <w:rPr>
          <w:rFonts w:hint="eastAsia" w:ascii="仿宋_GB2312" w:hAnsi="仿宋_GB2312" w:eastAsia="仿宋_GB2312" w:cs="仿宋_GB2312"/>
          <w:b/>
          <w:color w:val="000000" w:themeColor="text1"/>
          <w:sz w:val="32"/>
          <w:szCs w:val="32"/>
          <w:shd w:val="clear" w:color="auto" w:fill="FFFFFF"/>
          <w:lang w:val="en-US"/>
          <w14:textFill>
            <w14:solidFill>
              <w14:schemeClr w14:val="tx1"/>
            </w14:solidFill>
          </w14:textFill>
        </w:rPr>
        <w:t>第五十条</w:t>
      </w: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 xml:space="preserve">  按照规定的职责权限，对违规经营投资事项组织开展核查工作，核实责任追究情形，确定损失程度，查清损失原因，认定相关人员责任等。</w:t>
      </w:r>
    </w:p>
    <w:p>
      <w:pPr>
        <w:pStyle w:val="8"/>
        <w:shd w:val="clear" w:color="auto" w:fill="auto"/>
        <w:spacing w:line="600" w:lineRule="exact"/>
        <w:ind w:firstLine="643" w:firstLineChars="200"/>
        <w:jc w:val="both"/>
        <w:rPr>
          <w:rFonts w:ascii="仿宋_GB2312" w:hAnsi="仿宋_GB2312" w:eastAsia="仿宋_GB2312" w:cs="仿宋_GB2312"/>
          <w:color w:val="000000" w:themeColor="text1"/>
          <w:sz w:val="32"/>
          <w:szCs w:val="32"/>
          <w:shd w:val="clear" w:color="auto" w:fill="FFFFFF"/>
          <w:lang w:val="en-US"/>
          <w14:textFill>
            <w14:solidFill>
              <w14:schemeClr w14:val="tx1"/>
            </w14:solidFill>
          </w14:textFill>
        </w:rPr>
      </w:pPr>
      <w:r>
        <w:rPr>
          <w:rFonts w:hint="eastAsia" w:ascii="仿宋_GB2312" w:hAnsi="仿宋_GB2312" w:eastAsia="仿宋_GB2312" w:cs="仿宋_GB2312"/>
          <w:b/>
          <w:color w:val="000000" w:themeColor="text1"/>
          <w:sz w:val="32"/>
          <w:szCs w:val="32"/>
          <w:shd w:val="clear" w:color="auto" w:fill="FFFFFF"/>
          <w:lang w:val="en-US"/>
          <w14:textFill>
            <w14:solidFill>
              <w14:schemeClr w14:val="tx1"/>
            </w14:solidFill>
          </w14:textFill>
        </w:rPr>
        <w:t>第五十一条</w:t>
      </w: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 xml:space="preserve">  核查工作可以采取以下措施：</w:t>
      </w:r>
    </w:p>
    <w:p>
      <w:pPr>
        <w:pStyle w:val="8"/>
        <w:shd w:val="clear" w:color="auto" w:fill="auto"/>
        <w:spacing w:line="600" w:lineRule="exact"/>
        <w:ind w:firstLine="640" w:firstLineChars="200"/>
        <w:jc w:val="both"/>
        <w:rPr>
          <w:rFonts w:ascii="仿宋_GB2312" w:hAnsi="仿宋_GB2312" w:eastAsia="仿宋_GB2312" w:cs="仿宋_GB2312"/>
          <w:color w:val="000000" w:themeColor="text1"/>
          <w:sz w:val="32"/>
          <w:szCs w:val="32"/>
          <w:shd w:val="clear" w:color="auto" w:fill="FFFFFF"/>
          <w:lang w:val="en-US"/>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（一）与被核查事项有关的人员谈话，形成核查谈话记录，并要求有关人员作出书面说明；</w:t>
      </w:r>
    </w:p>
    <w:p>
      <w:pPr>
        <w:pStyle w:val="8"/>
        <w:shd w:val="clear" w:color="auto" w:fill="auto"/>
        <w:tabs>
          <w:tab w:val="left" w:pos="1611"/>
        </w:tabs>
        <w:spacing w:line="600" w:lineRule="exact"/>
        <w:ind w:firstLine="640" w:firstLineChars="200"/>
        <w:jc w:val="both"/>
        <w:rPr>
          <w:rFonts w:ascii="仿宋_GB2312" w:hAnsi="仿宋_GB2312" w:eastAsia="仿宋_GB2312" w:cs="仿宋_GB2312"/>
          <w:color w:val="000000" w:themeColor="text1"/>
          <w:sz w:val="32"/>
          <w:szCs w:val="32"/>
          <w:shd w:val="clear" w:color="auto" w:fill="FFFFFF"/>
          <w:lang w:val="en-US"/>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（二）</w:t>
      </w: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ab/>
      </w: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查阅、复制被核查企业的有关文件、会议纪要（记录）、资料和账簿、原始凭证等相关材料；</w:t>
      </w:r>
    </w:p>
    <w:p>
      <w:pPr>
        <w:pStyle w:val="8"/>
        <w:shd w:val="clear" w:color="auto" w:fill="auto"/>
        <w:spacing w:line="600" w:lineRule="exact"/>
        <w:ind w:firstLine="640" w:firstLineChars="200"/>
        <w:jc w:val="both"/>
        <w:rPr>
          <w:rFonts w:ascii="仿宋_GB2312" w:hAnsi="仿宋_GB2312" w:eastAsia="仿宋_GB2312" w:cs="仿宋_GB2312"/>
          <w:color w:val="000000" w:themeColor="text1"/>
          <w:sz w:val="32"/>
          <w:szCs w:val="32"/>
          <w:shd w:val="clear" w:color="auto" w:fill="FFFFFF"/>
          <w:lang w:val="en-US"/>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（三）实地核查企业实物资产等；</w:t>
      </w:r>
    </w:p>
    <w:p>
      <w:pPr>
        <w:pStyle w:val="8"/>
        <w:shd w:val="clear" w:color="auto" w:fill="auto"/>
        <w:tabs>
          <w:tab w:val="left" w:pos="1611"/>
        </w:tabs>
        <w:spacing w:line="600" w:lineRule="exact"/>
        <w:ind w:firstLine="640" w:firstLineChars="200"/>
        <w:jc w:val="both"/>
        <w:rPr>
          <w:rFonts w:ascii="仿宋_GB2312" w:hAnsi="仿宋_GB2312" w:eastAsia="仿宋_GB2312" w:cs="仿宋_GB2312"/>
          <w:color w:val="000000" w:themeColor="text1"/>
          <w:sz w:val="32"/>
          <w:szCs w:val="32"/>
          <w:shd w:val="clear" w:color="auto" w:fill="FFFFFF"/>
          <w:lang w:val="en-US"/>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（四）</w:t>
      </w: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ab/>
      </w: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委托具有相应资质的专业机构对有关问题进行审计、评估或鉴证等；</w:t>
      </w:r>
    </w:p>
    <w:p>
      <w:pPr>
        <w:pStyle w:val="8"/>
        <w:shd w:val="clear" w:color="auto" w:fill="auto"/>
        <w:spacing w:line="600" w:lineRule="exact"/>
        <w:ind w:firstLine="640" w:firstLineChars="200"/>
        <w:jc w:val="both"/>
        <w:rPr>
          <w:rFonts w:ascii="仿宋_GB2312" w:hAnsi="仿宋_GB2312" w:eastAsia="仿宋_GB2312" w:cs="仿宋_GB2312"/>
          <w:color w:val="000000" w:themeColor="text1"/>
          <w:sz w:val="32"/>
          <w:szCs w:val="32"/>
          <w:shd w:val="clear" w:color="auto" w:fill="FFFFFF"/>
          <w:lang w:val="en-US"/>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（五）其他必要的措施。</w:t>
      </w:r>
    </w:p>
    <w:p>
      <w:pPr>
        <w:pStyle w:val="8"/>
        <w:shd w:val="clear" w:color="auto" w:fill="auto"/>
        <w:spacing w:line="600" w:lineRule="exact"/>
        <w:ind w:firstLine="643" w:firstLineChars="200"/>
        <w:jc w:val="both"/>
        <w:rPr>
          <w:rFonts w:ascii="仿宋_GB2312" w:hAnsi="仿宋_GB2312" w:eastAsia="仿宋_GB2312" w:cs="仿宋_GB2312"/>
          <w:color w:val="000000" w:themeColor="text1"/>
          <w:sz w:val="32"/>
          <w:szCs w:val="32"/>
          <w:shd w:val="clear" w:color="auto" w:fill="FFFFFF"/>
          <w:lang w:val="en-US"/>
          <w14:textFill>
            <w14:solidFill>
              <w14:schemeClr w14:val="tx1"/>
            </w14:solidFill>
          </w14:textFill>
        </w:rPr>
      </w:pPr>
      <w:r>
        <w:rPr>
          <w:rFonts w:hint="eastAsia" w:ascii="仿宋_GB2312" w:hAnsi="仿宋_GB2312" w:eastAsia="仿宋_GB2312" w:cs="仿宋_GB2312"/>
          <w:b/>
          <w:color w:val="000000" w:themeColor="text1"/>
          <w:sz w:val="32"/>
          <w:szCs w:val="32"/>
          <w:shd w:val="clear" w:color="auto" w:fill="FFFFFF"/>
          <w:lang w:val="en-US"/>
          <w14:textFill>
            <w14:solidFill>
              <w14:schemeClr w14:val="tx1"/>
            </w14:solidFill>
          </w14:textFill>
        </w:rPr>
        <w:t>第五十二条</w:t>
      </w: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 xml:space="preserve">  在核查期间，对相关责任人未支付或兑现的绩效年薪、任期激励收入、中长期激励收益等均应暂停支付或兑现;对影响调查工作顺利开展的相关责任人，可视情况采取停职检查、调整职务、责令辞职、免职等措施。</w:t>
      </w:r>
    </w:p>
    <w:p>
      <w:pPr>
        <w:pStyle w:val="8"/>
        <w:shd w:val="clear" w:color="auto" w:fill="auto"/>
        <w:spacing w:line="600" w:lineRule="exact"/>
        <w:ind w:firstLine="643" w:firstLineChars="200"/>
        <w:jc w:val="both"/>
        <w:rPr>
          <w:rFonts w:ascii="仿宋_GB2312" w:hAnsi="仿宋_GB2312" w:eastAsia="仿宋_GB2312" w:cs="仿宋_GB2312"/>
          <w:color w:val="000000" w:themeColor="text1"/>
          <w:sz w:val="32"/>
          <w:szCs w:val="32"/>
          <w:shd w:val="clear" w:color="auto" w:fill="FFFFFF"/>
          <w:lang w:val="en-US"/>
          <w14:textFill>
            <w14:solidFill>
              <w14:schemeClr w14:val="tx1"/>
            </w14:solidFill>
          </w14:textFill>
        </w:rPr>
      </w:pPr>
      <w:r>
        <w:rPr>
          <w:rFonts w:hint="eastAsia" w:ascii="仿宋_GB2312" w:hAnsi="仿宋_GB2312" w:eastAsia="仿宋_GB2312" w:cs="仿宋_GB2312"/>
          <w:b/>
          <w:color w:val="000000" w:themeColor="text1"/>
          <w:sz w:val="32"/>
          <w:szCs w:val="32"/>
          <w:shd w:val="clear" w:color="auto" w:fill="FFFFFF"/>
          <w:lang w:val="en-US"/>
          <w14:textFill>
            <w14:solidFill>
              <w14:schemeClr w14:val="tx1"/>
            </w14:solidFill>
          </w14:textFill>
        </w:rPr>
        <w:t>第五十三条</w:t>
      </w: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 xml:space="preserve">  在重大违规经营投资事项核查工作中，对确有工作需要的，可提请纪检监察组织提供必要支持。</w:t>
      </w:r>
    </w:p>
    <w:p>
      <w:pPr>
        <w:pStyle w:val="8"/>
        <w:shd w:val="clear" w:color="auto" w:fill="auto"/>
        <w:spacing w:line="600" w:lineRule="exact"/>
        <w:ind w:firstLine="643" w:firstLineChars="200"/>
        <w:jc w:val="both"/>
        <w:rPr>
          <w:rFonts w:ascii="仿宋_GB2312" w:hAnsi="仿宋_GB2312" w:eastAsia="仿宋_GB2312" w:cs="仿宋_GB2312"/>
          <w:color w:val="000000" w:themeColor="text1"/>
          <w:sz w:val="32"/>
          <w:szCs w:val="32"/>
          <w:shd w:val="clear" w:color="auto" w:fill="FFFFFF"/>
          <w:lang w:val="en-US"/>
          <w14:textFill>
            <w14:solidFill>
              <w14:schemeClr w14:val="tx1"/>
            </w14:solidFill>
          </w14:textFill>
        </w:rPr>
      </w:pPr>
      <w:r>
        <w:rPr>
          <w:rFonts w:hint="eastAsia" w:ascii="仿宋_GB2312" w:hAnsi="仿宋_GB2312" w:eastAsia="仿宋_GB2312" w:cs="仿宋_GB2312"/>
          <w:b/>
          <w:color w:val="000000" w:themeColor="text1"/>
          <w:sz w:val="32"/>
          <w:szCs w:val="32"/>
          <w:shd w:val="clear" w:color="auto" w:fill="FFFFFF"/>
          <w:lang w:val="en-US"/>
          <w14:textFill>
            <w14:solidFill>
              <w14:schemeClr w14:val="tx1"/>
            </w14:solidFill>
          </w14:textFill>
        </w:rPr>
        <w:t>第五十四条</w:t>
      </w: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 xml:space="preserve">  结合企业减少或挽回损失工作进展情况，可以适时启动损失认定工作。</w:t>
      </w:r>
    </w:p>
    <w:p>
      <w:pPr>
        <w:pStyle w:val="8"/>
        <w:shd w:val="clear" w:color="auto" w:fill="auto"/>
        <w:spacing w:line="600" w:lineRule="exact"/>
        <w:ind w:firstLine="643" w:firstLineChars="200"/>
        <w:jc w:val="both"/>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pPr>
      <w:r>
        <w:rPr>
          <w:rFonts w:hint="eastAsia" w:ascii="仿宋_GB2312" w:hAnsi="仿宋_GB2312" w:eastAsia="仿宋_GB2312" w:cs="仿宋_GB2312"/>
          <w:b/>
          <w:color w:val="000000" w:themeColor="text1"/>
          <w:sz w:val="32"/>
          <w:szCs w:val="32"/>
          <w:shd w:val="clear" w:color="auto" w:fill="FFFFFF"/>
          <w:lang w:val="en-US"/>
          <w14:textFill>
            <w14:solidFill>
              <w14:schemeClr w14:val="tx1"/>
            </w14:solidFill>
          </w14:textFill>
        </w:rPr>
        <w:t>第五十五条</w:t>
      </w: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 xml:space="preserve">  核查工作原则上于6个月内完成，根据工作需要可以适当延长。</w:t>
      </w:r>
    </w:p>
    <w:p>
      <w:pPr>
        <w:pStyle w:val="8"/>
        <w:shd w:val="clear" w:color="auto" w:fill="auto"/>
        <w:spacing w:line="600" w:lineRule="exact"/>
        <w:ind w:firstLine="643" w:firstLineChars="200"/>
        <w:jc w:val="both"/>
        <w:rPr>
          <w:rFonts w:ascii="仿宋_GB2312" w:hAnsi="仿宋_GB2312" w:eastAsia="仿宋_GB2312" w:cs="仿宋_GB2312"/>
          <w:color w:val="000000" w:themeColor="text1"/>
          <w:sz w:val="32"/>
          <w:szCs w:val="32"/>
          <w:shd w:val="clear" w:color="auto" w:fill="FFFFFF"/>
          <w:lang w:val="en-US"/>
          <w14:textFill>
            <w14:solidFill>
              <w14:schemeClr w14:val="tx1"/>
            </w14:solidFill>
          </w14:textFill>
        </w:rPr>
      </w:pPr>
      <w:r>
        <w:rPr>
          <w:rFonts w:hint="eastAsia" w:ascii="仿宋_GB2312" w:hAnsi="仿宋_GB2312" w:eastAsia="仿宋_GB2312" w:cs="仿宋_GB2312"/>
          <w:b/>
          <w:color w:val="000000" w:themeColor="text1"/>
          <w:sz w:val="32"/>
          <w:szCs w:val="32"/>
          <w:shd w:val="clear" w:color="auto" w:fill="FFFFFF"/>
          <w:lang w:val="en-US"/>
          <w14:textFill>
            <w14:solidFill>
              <w14:schemeClr w14:val="tx1"/>
            </w14:solidFill>
          </w14:textFill>
        </w:rPr>
        <w:t>第五十六条</w:t>
      </w: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 xml:space="preserve">  核查工作结束后，一般应当听取企业和相关责任人员关于核查工作结果的意见，形成损失情况核查报告和责任认定报告。</w:t>
      </w:r>
    </w:p>
    <w:p>
      <w:pPr>
        <w:pStyle w:val="8"/>
        <w:shd w:val="clear" w:color="auto" w:fill="auto"/>
        <w:spacing w:line="600" w:lineRule="exact"/>
        <w:ind w:firstLine="643" w:firstLineChars="200"/>
        <w:jc w:val="both"/>
        <w:rPr>
          <w:rFonts w:ascii="仿宋_GB2312" w:hAnsi="仿宋_GB2312" w:eastAsia="仿宋_GB2312" w:cs="仿宋_GB2312"/>
          <w:color w:val="000000" w:themeColor="text1"/>
          <w:sz w:val="32"/>
          <w:szCs w:val="32"/>
          <w:shd w:val="clear" w:color="auto" w:fill="FFFFFF"/>
          <w:lang w:val="en-US"/>
          <w14:textFill>
            <w14:solidFill>
              <w14:schemeClr w14:val="tx1"/>
            </w14:solidFill>
          </w14:textFill>
        </w:rPr>
      </w:pPr>
      <w:r>
        <w:rPr>
          <w:rFonts w:hint="eastAsia" w:ascii="仿宋_GB2312" w:hAnsi="仿宋_GB2312" w:eastAsia="仿宋_GB2312" w:cs="仿宋_GB2312"/>
          <w:b/>
          <w:color w:val="000000" w:themeColor="text1"/>
          <w:sz w:val="32"/>
          <w:szCs w:val="32"/>
          <w:shd w:val="clear" w:color="auto" w:fill="FFFFFF"/>
          <w:lang w:val="en-US"/>
          <w14:textFill>
            <w14:solidFill>
              <w14:schemeClr w14:val="tx1"/>
            </w14:solidFill>
          </w14:textFill>
        </w:rPr>
        <w:t>第五十七条</w:t>
      </w: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 xml:space="preserve">  根据核查工作结果，按照干部管理权限和相关程序对相关责任人追究处理，形成处理决定，送达有关企业及被处理人，并对有关企业提出整改要求。</w:t>
      </w:r>
    </w:p>
    <w:p>
      <w:pPr>
        <w:pStyle w:val="8"/>
        <w:shd w:val="clear" w:color="auto" w:fill="auto"/>
        <w:spacing w:line="600" w:lineRule="exact"/>
        <w:ind w:firstLine="643" w:firstLineChars="200"/>
        <w:jc w:val="both"/>
        <w:rPr>
          <w:rFonts w:ascii="仿宋_GB2312" w:hAnsi="仿宋_GB2312" w:eastAsia="仿宋_GB2312" w:cs="仿宋_GB2312"/>
          <w:color w:val="000000" w:themeColor="text1"/>
          <w:sz w:val="32"/>
          <w:szCs w:val="32"/>
          <w:shd w:val="clear" w:color="auto" w:fill="FFFFFF"/>
          <w:lang w:val="en-US"/>
          <w14:textFill>
            <w14:solidFill>
              <w14:schemeClr w14:val="tx1"/>
            </w14:solidFill>
          </w14:textFill>
        </w:rPr>
      </w:pPr>
      <w:r>
        <w:rPr>
          <w:rFonts w:hint="eastAsia" w:ascii="仿宋_GB2312" w:hAnsi="仿宋_GB2312" w:eastAsia="仿宋_GB2312" w:cs="仿宋_GB2312"/>
          <w:b/>
          <w:color w:val="000000" w:themeColor="text1"/>
          <w:sz w:val="32"/>
          <w:szCs w:val="32"/>
          <w:shd w:val="clear" w:color="auto" w:fill="FFFFFF"/>
          <w:lang w:val="en-US"/>
          <w14:textFill>
            <w14:solidFill>
              <w14:schemeClr w14:val="tx1"/>
            </w14:solidFill>
          </w14:textFill>
        </w:rPr>
        <w:t>第五十八条</w:t>
      </w: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 xml:space="preserve">  被处理人对处理决定有异议的，可以在处理决定送达之日起20个工作日内，向作出处理决定的机构提出书面申诉。作出处理决定的机构应当在收到申诉的1个月内作出申诉处理决定。被处理人对申诉处理决定有异议的，可以向作出申诉处理决定机构的上级单位提出书面申诉。上级单位应当在2个月内予以办理并作出答复，情况复杂的不超过3个月。其中，对履行出资人职责的机构做出的处理决定有异议的，被处理人应当向该履行出资人职责的机构书面申诉。</w:t>
      </w:r>
    </w:p>
    <w:p>
      <w:pPr>
        <w:pStyle w:val="8"/>
        <w:shd w:val="clear" w:color="auto" w:fill="auto"/>
        <w:spacing w:line="600" w:lineRule="exact"/>
        <w:ind w:firstLine="640" w:firstLineChars="200"/>
        <w:jc w:val="both"/>
        <w:rPr>
          <w:rFonts w:ascii="仿宋_GB2312" w:hAnsi="仿宋_GB2312" w:eastAsia="仿宋_GB2312" w:cs="仿宋_GB2312"/>
          <w:color w:val="000000" w:themeColor="text1"/>
          <w:sz w:val="32"/>
          <w:szCs w:val="32"/>
          <w:shd w:val="clear" w:color="auto" w:fill="FFFFFF"/>
          <w:lang w:val="en-US"/>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申诉期间，不停止处理决定的执行。</w:t>
      </w:r>
    </w:p>
    <w:p>
      <w:pPr>
        <w:pStyle w:val="8"/>
        <w:shd w:val="clear" w:color="auto" w:fill="auto"/>
        <w:spacing w:line="600" w:lineRule="exact"/>
        <w:ind w:firstLine="643" w:firstLineChars="200"/>
        <w:jc w:val="both"/>
        <w:rPr>
          <w:rFonts w:ascii="仿宋_GB2312" w:hAnsi="仿宋_GB2312" w:eastAsia="仿宋_GB2312" w:cs="仿宋_GB2312"/>
          <w:color w:val="000000" w:themeColor="text1"/>
          <w:sz w:val="32"/>
          <w:szCs w:val="32"/>
          <w:shd w:val="clear" w:color="auto" w:fill="FFFFFF"/>
          <w:lang w:val="en-US"/>
          <w14:textFill>
            <w14:solidFill>
              <w14:schemeClr w14:val="tx1"/>
            </w14:solidFill>
          </w14:textFill>
        </w:rPr>
      </w:pPr>
      <w:r>
        <w:rPr>
          <w:rFonts w:hint="eastAsia" w:ascii="仿宋_GB2312" w:hAnsi="仿宋_GB2312" w:eastAsia="仿宋_GB2312" w:cs="仿宋_GB2312"/>
          <w:b/>
          <w:color w:val="000000" w:themeColor="text1"/>
          <w:sz w:val="32"/>
          <w:szCs w:val="32"/>
          <w:shd w:val="clear" w:color="auto" w:fill="FFFFFF"/>
          <w:lang w:val="en-US"/>
          <w14:textFill>
            <w14:solidFill>
              <w14:schemeClr w14:val="tx1"/>
            </w14:solidFill>
          </w14:textFill>
        </w:rPr>
        <w:t>第五十九条</w:t>
      </w: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 xml:space="preserve">  发生损失的企业应当总结吸取教训，落实整改措施，堵塞管理漏洞，建立健全防范损失的长效机制。</w:t>
      </w:r>
    </w:p>
    <w:p>
      <w:pPr>
        <w:widowControl/>
        <w:shd w:val="clear" w:color="auto" w:fill="FFFFFF"/>
        <w:spacing w:line="600" w:lineRule="exact"/>
        <w:ind w:firstLine="643" w:firstLineChars="200"/>
        <w:jc w:val="both"/>
        <w:rPr>
          <w:rFonts w:ascii="仿宋_GB2312" w:hAnsi="仿宋_GB2312" w:eastAsia="仿宋_GB2312" w:cs="仿宋_GB2312"/>
          <w:color w:val="000000" w:themeColor="text1"/>
          <w:sz w:val="32"/>
          <w:szCs w:val="32"/>
          <w:shd w:val="clear" w:color="auto" w:fill="FFFFFF"/>
          <w:lang w:eastAsia="zh-CN"/>
          <w14:textFill>
            <w14:solidFill>
              <w14:schemeClr w14:val="tx1"/>
            </w14:solidFill>
          </w14:textFill>
        </w:rPr>
      </w:pPr>
      <w:r>
        <w:rPr>
          <w:rFonts w:hint="eastAsia" w:ascii="仿宋_GB2312" w:hAnsi="仿宋_GB2312" w:eastAsia="仿宋_GB2312" w:cs="仿宋_GB2312"/>
          <w:b/>
          <w:color w:val="000000" w:themeColor="text1"/>
          <w:sz w:val="32"/>
          <w:szCs w:val="32"/>
          <w:shd w:val="clear" w:color="auto" w:fill="FFFFFF"/>
          <w:lang w:eastAsia="zh-CN"/>
          <w14:textFill>
            <w14:solidFill>
              <w14:schemeClr w14:val="tx1"/>
            </w14:solidFill>
          </w14:textFill>
        </w:rPr>
        <w:t>第六十条</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 xml:space="preserve">  履行出资人职责的机构和区管企业应当积极运用信息化手段开展责任追究工作，推进相关数据信息的报送、归集、共享和综合利用，逐步建立违规经营投资责任追究工作信息报送系统，加大信息化手段运用力度。</w:t>
      </w:r>
      <w:bookmarkStart w:id="12" w:name="bookmark21"/>
      <w:bookmarkStart w:id="13" w:name="bookmark20"/>
    </w:p>
    <w:p>
      <w:pPr>
        <w:widowControl/>
        <w:shd w:val="clear" w:color="auto" w:fill="FFFFFF"/>
        <w:spacing w:line="600" w:lineRule="exact"/>
        <w:ind w:firstLine="640" w:firstLineChars="200"/>
        <w:jc w:val="both"/>
        <w:rPr>
          <w:rFonts w:ascii="仿宋_GB2312" w:hAnsi="仿宋_GB2312" w:eastAsia="仿宋_GB2312" w:cs="仿宋_GB2312"/>
          <w:color w:val="000000" w:themeColor="text1"/>
          <w:sz w:val="32"/>
          <w:szCs w:val="32"/>
          <w:shd w:val="clear" w:color="auto" w:fill="FFFFFF"/>
          <w:lang w:eastAsia="zh-CN"/>
          <w14:textFill>
            <w14:solidFill>
              <w14:schemeClr w14:val="tx1"/>
            </w14:solidFill>
          </w14:textFill>
        </w:rPr>
      </w:pPr>
    </w:p>
    <w:p>
      <w:pPr>
        <w:widowControl/>
        <w:shd w:val="clear" w:color="auto" w:fill="FFFFFF"/>
        <w:spacing w:line="600" w:lineRule="exact"/>
        <w:jc w:val="center"/>
        <w:rPr>
          <w:rFonts w:ascii="黑体" w:hAnsi="黑体" w:eastAsia="黑体" w:cs="仿宋_GB2312"/>
          <w:color w:val="000000" w:themeColor="text1"/>
          <w:sz w:val="32"/>
          <w:szCs w:val="32"/>
          <w:shd w:val="clear" w:color="auto" w:fill="FFFFFF"/>
          <w:lang w:eastAsia="zh-CN"/>
          <w14:textFill>
            <w14:solidFill>
              <w14:schemeClr w14:val="tx1"/>
            </w14:solidFill>
          </w14:textFill>
        </w:rPr>
      </w:pPr>
      <w:r>
        <w:rPr>
          <w:rFonts w:hint="eastAsia" w:ascii="黑体" w:hAnsi="黑体" w:eastAsia="黑体" w:cs="仿宋_GB2312"/>
          <w:color w:val="000000" w:themeColor="text1"/>
          <w:sz w:val="32"/>
          <w:szCs w:val="32"/>
          <w:shd w:val="clear" w:color="auto" w:fill="FFFFFF"/>
          <w:lang w:eastAsia="zh-CN"/>
          <w14:textFill>
            <w14:solidFill>
              <w14:schemeClr w14:val="tx1"/>
            </w14:solidFill>
          </w14:textFill>
        </w:rPr>
        <w:t>第八章  附 则</w:t>
      </w:r>
      <w:bookmarkEnd w:id="12"/>
      <w:bookmarkEnd w:id="13"/>
    </w:p>
    <w:p>
      <w:pPr>
        <w:pStyle w:val="8"/>
        <w:shd w:val="clear" w:color="auto" w:fill="auto"/>
        <w:spacing w:line="600" w:lineRule="exact"/>
        <w:ind w:firstLine="643" w:firstLineChars="200"/>
        <w:jc w:val="both"/>
        <w:rPr>
          <w:rFonts w:ascii="仿宋_GB2312" w:hAnsi="仿宋_GB2312" w:eastAsia="仿宋_GB2312" w:cs="仿宋_GB2312"/>
          <w:color w:val="000000" w:themeColor="text1"/>
          <w:sz w:val="32"/>
          <w:szCs w:val="32"/>
          <w:shd w:val="clear" w:color="auto" w:fill="FFFFFF"/>
          <w:lang w:val="en-US"/>
          <w14:textFill>
            <w14:solidFill>
              <w14:schemeClr w14:val="tx1"/>
            </w14:solidFill>
          </w14:textFill>
        </w:rPr>
      </w:pPr>
      <w:r>
        <w:rPr>
          <w:rFonts w:hint="eastAsia" w:ascii="仿宋_GB2312" w:hAnsi="仿宋_GB2312" w:eastAsia="仿宋_GB2312" w:cs="仿宋_GB2312"/>
          <w:b/>
          <w:color w:val="000000" w:themeColor="text1"/>
          <w:sz w:val="32"/>
          <w:szCs w:val="32"/>
          <w:shd w:val="clear" w:color="auto" w:fill="FFFFFF"/>
          <w:lang w:val="en-US"/>
          <w14:textFill>
            <w14:solidFill>
              <w14:schemeClr w14:val="tx1"/>
            </w14:solidFill>
          </w14:textFill>
        </w:rPr>
        <w:t>第六十一条</w:t>
      </w: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 xml:space="preserve">  区管企业应当根据本办法，结合本企业实际，制定子企业违规经营投资责任追究具体工作规范，并报履行出资人职责的机构备案。损失金额划分标准原则上不高于本办法规定的标准。</w:t>
      </w:r>
    </w:p>
    <w:p>
      <w:pPr>
        <w:pStyle w:val="8"/>
        <w:shd w:val="clear" w:color="auto" w:fill="auto"/>
        <w:spacing w:line="600" w:lineRule="exact"/>
        <w:ind w:firstLine="643" w:firstLineChars="200"/>
        <w:jc w:val="both"/>
        <w:rPr>
          <w:rFonts w:ascii="仿宋_GB2312" w:hAnsi="仿宋_GB2312" w:eastAsia="仿宋_GB2312" w:cs="仿宋_GB2312"/>
          <w:color w:val="000000" w:themeColor="text1"/>
          <w:sz w:val="32"/>
          <w:szCs w:val="32"/>
          <w:shd w:val="clear" w:color="auto" w:fill="FFFFFF"/>
          <w:lang w:val="en-US"/>
          <w14:textFill>
            <w14:solidFill>
              <w14:schemeClr w14:val="tx1"/>
            </w14:solidFill>
          </w14:textFill>
        </w:rPr>
      </w:pPr>
      <w:r>
        <w:rPr>
          <w:rFonts w:hint="eastAsia" w:ascii="仿宋_GB2312" w:hAnsi="仿宋_GB2312" w:eastAsia="仿宋_GB2312" w:cs="仿宋_GB2312"/>
          <w:b/>
          <w:color w:val="000000" w:themeColor="text1"/>
          <w:sz w:val="32"/>
          <w:szCs w:val="32"/>
          <w:shd w:val="clear" w:color="auto" w:fill="FFFFFF"/>
          <w:lang w:val="en-US"/>
          <w14:textFill>
            <w14:solidFill>
              <w14:schemeClr w14:val="tx1"/>
            </w14:solidFill>
          </w14:textFill>
        </w:rPr>
        <w:t>第六十二条</w:t>
      </w: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 xml:space="preserve">  对发生生产安全、环境污染责任事故和重大不稳定事件的，按照国家有关规定另行处理。</w:t>
      </w:r>
    </w:p>
    <w:p>
      <w:pPr>
        <w:pStyle w:val="8"/>
        <w:shd w:val="clear" w:color="auto" w:fill="auto"/>
        <w:spacing w:line="600" w:lineRule="exact"/>
        <w:ind w:firstLine="643" w:firstLineChars="200"/>
        <w:jc w:val="both"/>
        <w:rPr>
          <w:rFonts w:ascii="仿宋_GB2312" w:hAnsi="仿宋_GB2312" w:eastAsia="仿宋_GB2312" w:cs="仿宋_GB2312"/>
          <w:color w:val="000000" w:themeColor="text1"/>
          <w:sz w:val="32"/>
          <w:szCs w:val="32"/>
          <w:shd w:val="clear" w:color="auto" w:fill="FFFFFF"/>
          <w:lang w:val="en-US"/>
          <w14:textFill>
            <w14:solidFill>
              <w14:schemeClr w14:val="tx1"/>
            </w14:solidFill>
          </w14:textFill>
        </w:rPr>
      </w:pPr>
      <w:r>
        <w:rPr>
          <w:rFonts w:hint="eastAsia" w:ascii="仿宋_GB2312" w:hAnsi="仿宋_GB2312" w:eastAsia="仿宋_GB2312" w:cs="仿宋_GB2312"/>
          <w:b/>
          <w:color w:val="000000" w:themeColor="text1"/>
          <w:sz w:val="32"/>
          <w:szCs w:val="32"/>
          <w:shd w:val="clear" w:color="auto" w:fill="FFFFFF"/>
          <w:lang w:val="en-US"/>
          <w14:textFill>
            <w14:solidFill>
              <w14:schemeClr w14:val="tx1"/>
            </w14:solidFill>
          </w14:textFill>
        </w:rPr>
        <w:t>第六十三条</w:t>
      </w: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 xml:space="preserve">  国有金融、文化企业违规经营投资责任追究工作，参照本办法执行，另有规定的依其规定执行。</w:t>
      </w:r>
    </w:p>
    <w:p>
      <w:pPr>
        <w:pStyle w:val="8"/>
        <w:shd w:val="clear" w:color="auto" w:fill="auto"/>
        <w:spacing w:line="600" w:lineRule="exact"/>
        <w:ind w:firstLine="640" w:firstLineChars="200"/>
        <w:jc w:val="both"/>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履行出资人职责的机构实际监管的集体企业，参照本办法执行。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3" w:firstLineChars="200"/>
        <w:jc w:val="both"/>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pPr>
      <w:r>
        <w:rPr>
          <w:rFonts w:hint="eastAsia" w:ascii="仿宋_GB2312" w:hAnsi="仿宋_GB2312" w:eastAsia="仿宋_GB2312" w:cs="仿宋_GB2312"/>
          <w:b/>
          <w:color w:val="000000" w:themeColor="text1"/>
          <w:sz w:val="32"/>
          <w:szCs w:val="32"/>
          <w:shd w:val="clear" w:color="auto" w:fill="FFFFFF"/>
          <w:lang w:val="en-US" w:eastAsia="zh-CN" w:bidi="zh-CN"/>
          <w14:textFill>
            <w14:solidFill>
              <w14:schemeClr w14:val="tx1"/>
            </w14:solidFill>
          </w14:textFill>
        </w:rPr>
        <w:t xml:space="preserve">第六十四条  </w:t>
      </w:r>
      <w:r>
        <w:rPr>
          <w:rFonts w:hint="eastAsia" w:ascii="仿宋_GB2312" w:hAnsi="仿宋_GB2312" w:eastAsia="仿宋_GB2312" w:cs="仿宋_GB2312"/>
          <w:color w:val="000000" w:themeColor="text1"/>
          <w:sz w:val="32"/>
          <w:szCs w:val="32"/>
          <w:shd w:val="clear" w:color="auto" w:fill="FFFFFF"/>
          <w:lang w:val="en-US" w:eastAsia="zh-CN" w:bidi="zh-CN"/>
          <w14:textFill>
            <w14:solidFill>
              <w14:schemeClr w14:val="tx1"/>
            </w14:solidFill>
          </w14:textFill>
        </w:rPr>
        <w:t>本办法由门头沟区国资委负责解释。</w:t>
      </w:r>
    </w:p>
    <w:p>
      <w:pPr>
        <w:pStyle w:val="8"/>
        <w:shd w:val="clear" w:color="auto" w:fill="auto"/>
        <w:spacing w:line="600" w:lineRule="exact"/>
        <w:ind w:firstLine="643" w:firstLineChars="200"/>
        <w:jc w:val="both"/>
        <w:rPr>
          <w:rFonts w:ascii="仿宋_GB2312" w:hAnsi="仿宋_GB2312" w:eastAsia="仿宋_GB2312" w:cs="仿宋_GB2312"/>
          <w:color w:val="000000" w:themeColor="text1"/>
          <w:sz w:val="32"/>
          <w:szCs w:val="32"/>
          <w:shd w:val="clear" w:color="auto" w:fill="FFFFFF"/>
          <w:lang w:val="en-US"/>
          <w14:textFill>
            <w14:solidFill>
              <w14:schemeClr w14:val="tx1"/>
            </w14:solidFill>
          </w14:textFill>
        </w:rPr>
      </w:pPr>
      <w:r>
        <w:rPr>
          <w:rFonts w:hint="eastAsia" w:ascii="仿宋_GB2312" w:hAnsi="仿宋_GB2312" w:eastAsia="仿宋_GB2312" w:cs="仿宋_GB2312"/>
          <w:b/>
          <w:color w:val="000000" w:themeColor="text1"/>
          <w:sz w:val="32"/>
          <w:szCs w:val="32"/>
          <w:shd w:val="clear" w:color="auto" w:fill="FFFFFF"/>
          <w:lang w:val="en-US"/>
          <w14:textFill>
            <w14:solidFill>
              <w14:schemeClr w14:val="tx1"/>
            </w14:solidFill>
          </w14:textFill>
        </w:rPr>
        <w:t>第六十</w:t>
      </w:r>
      <w:r>
        <w:rPr>
          <w:rFonts w:hint="eastAsia" w:ascii="仿宋_GB2312" w:hAnsi="仿宋_GB2312" w:eastAsia="仿宋_GB2312" w:cs="仿宋_GB2312"/>
          <w:b/>
          <w:color w:val="000000" w:themeColor="text1"/>
          <w:sz w:val="32"/>
          <w:szCs w:val="32"/>
          <w:shd w:val="clear" w:color="auto" w:fill="FFFFFF"/>
          <w:lang w:val="en-US" w:eastAsia="zh-CN"/>
          <w14:textFill>
            <w14:solidFill>
              <w14:schemeClr w14:val="tx1"/>
            </w14:solidFill>
          </w14:textFill>
        </w:rPr>
        <w:t>五</w:t>
      </w:r>
      <w:r>
        <w:rPr>
          <w:rFonts w:hint="eastAsia" w:ascii="仿宋_GB2312" w:hAnsi="仿宋_GB2312" w:eastAsia="仿宋_GB2312" w:cs="仿宋_GB2312"/>
          <w:b/>
          <w:color w:val="000000" w:themeColor="text1"/>
          <w:sz w:val="32"/>
          <w:szCs w:val="32"/>
          <w:shd w:val="clear" w:color="auto" w:fill="FFFFFF"/>
          <w:lang w:val="en-US"/>
          <w14:textFill>
            <w14:solidFill>
              <w14:schemeClr w14:val="tx1"/>
            </w14:solidFill>
          </w14:textFill>
        </w:rPr>
        <w:t>条</w:t>
      </w:r>
      <w:r>
        <w:rPr>
          <w:rFonts w:hint="eastAsia" w:ascii="仿宋_GB2312" w:hAnsi="仿宋_GB2312" w:eastAsia="仿宋_GB2312" w:cs="仿宋_GB2312"/>
          <w:b/>
          <w:color w:val="000000" w:themeColor="text1"/>
          <w:sz w:val="32"/>
          <w:szCs w:val="32"/>
          <w:shd w:val="clear" w:color="auto" w:fill="FFFFFF"/>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本办法自印发之日起施行。《门头沟区国有企业违规经营投资责任追究暂行办法》（门政办发〔20</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0〕43号）同时废止。</w:t>
      </w:r>
    </w:p>
    <w:p>
      <w:pPr>
        <w:spacing w:line="600" w:lineRule="exact"/>
        <w:ind w:firstLine="640" w:firstLineChars="200"/>
        <w:jc w:val="both"/>
        <w:rPr>
          <w:rFonts w:ascii="仿宋_GB2312" w:hAnsi="仿宋_GB2312" w:eastAsia="仿宋_GB2312" w:cs="仿宋_GB2312"/>
          <w:color w:val="000000" w:themeColor="text1"/>
          <w:sz w:val="32"/>
          <w:szCs w:val="32"/>
          <w:shd w:val="clear" w:color="auto" w:fill="FFFFFF"/>
          <w:lang w:eastAsia="zh-CN"/>
          <w14:textFill>
            <w14:solidFill>
              <w14:schemeClr w14:val="tx1"/>
            </w14:solidFill>
          </w14:textFill>
        </w:rPr>
      </w:pPr>
    </w:p>
    <w:sectPr>
      <w:footerReference r:id="rId3" w:type="default"/>
      <w:footerReference r:id="rId4" w:type="even"/>
      <w:pgSz w:w="11900" w:h="16840"/>
      <w:pgMar w:top="1440" w:right="1800" w:bottom="1440" w:left="1800" w:header="0" w:footer="3" w:gutter="0"/>
      <w:pgNumType w:fmt="decimal"/>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JhengHei Light">
    <w:altName w:val="宋体"/>
    <w:panose1 w:val="00000000000000000000"/>
    <w:charset w:val="86"/>
    <w:family w:val="auto"/>
    <w:pitch w:val="default"/>
    <w:sig w:usb0="00000000" w:usb1="00000000" w:usb2="00000000" w:usb3="00000000" w:csb0="00000000" w:csb1="00000000"/>
  </w:font>
  <w:font w:name="MingLiU">
    <w:panose1 w:val="02020509000000000000"/>
    <w:charset w:val="88"/>
    <w:family w:val="modern"/>
    <w:pitch w:val="default"/>
    <w:sig w:usb0="A00002FF" w:usb1="28CFFCFA" w:usb2="00000016" w:usb3="00000000" w:csb0="00100001"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shd w:val="clear" w:color="auto" w:fill="FFFFFF"/>
      <w:spacing w:line="480" w:lineRule="atLeast"/>
      <w:jc w:val="center"/>
      <w:rPr>
        <w:rFonts w:ascii="黑体" w:hAnsi="黑体" w:eastAsia="黑体" w:cs="黑体"/>
        <w:color w:val="404040"/>
        <w:sz w:val="32"/>
        <w:szCs w:val="32"/>
        <w:shd w:val="clear" w:color="auto" w:fill="FFFFFF"/>
        <w:lang w:eastAsia="zh-CN"/>
      </w:rPr>
    </w:pPr>
    <w:r>
      <w:rPr>
        <w:rFonts w:ascii="黑体" w:hAnsi="黑体" w:eastAsia="黑体" w:cs="黑体"/>
        <w:color w:val="404040"/>
        <w:sz w:val="32"/>
        <w:szCs w:val="32"/>
        <w:shd w:val="clear" w:color="auto" w:fill="FFFFFF"/>
        <w:lang w:eastAsia="zh-CN"/>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ge">
                <wp:posOffset>10145395</wp:posOffset>
              </wp:positionV>
              <wp:extent cx="450850" cy="137160"/>
              <wp:effectExtent l="0" t="0" r="0" b="0"/>
              <wp:wrapNone/>
              <wp:docPr id="46" name="Shape 46"/>
              <wp:cNvGraphicFramePr/>
              <a:graphic xmlns:a="http://schemas.openxmlformats.org/drawingml/2006/main">
                <a:graphicData uri="http://schemas.microsoft.com/office/word/2010/wordprocessingShape">
                  <wps:wsp>
                    <wps:cNvSpPr txBox="1"/>
                    <wps:spPr>
                      <a:xfrm>
                        <a:off x="0" y="0"/>
                        <a:ext cx="450850" cy="137160"/>
                      </a:xfrm>
                      <a:prstGeom prst="rect">
                        <a:avLst/>
                      </a:prstGeom>
                      <a:noFill/>
                      <a:ln>
                        <a:noFill/>
                      </a:ln>
                      <a:effectLst/>
                    </wps:spPr>
                    <wps:txbx>
                      <w:txbxContent>
                        <w:p>
                          <w:pPr>
                            <w:pStyle w:val="9"/>
                            <w:shd w:val="clear" w:color="auto" w:fill="auto"/>
                            <w:rPr>
                              <w:sz w:val="24"/>
                              <w:szCs w:val="24"/>
                            </w:rPr>
                          </w:pPr>
                          <w:r>
                            <w:rPr>
                              <w:color w:val="232629"/>
                              <w:sz w:val="24"/>
                              <w:szCs w:val="24"/>
                            </w:rPr>
                            <w:t>-</w:t>
                          </w:r>
                          <w:r>
                            <w:fldChar w:fldCharType="begin"/>
                          </w:r>
                          <w:r>
                            <w:instrText xml:space="preserve"> PAGE \* MERGEFORMAT </w:instrText>
                          </w:r>
                          <w:r>
                            <w:fldChar w:fldCharType="separate"/>
                          </w:r>
                          <w:r>
                            <w:rPr>
                              <w:color w:val="232629"/>
                              <w:sz w:val="24"/>
                              <w:szCs w:val="24"/>
                            </w:rPr>
                            <w:t>24</w:t>
                          </w:r>
                          <w:r>
                            <w:rPr>
                              <w:color w:val="232629"/>
                              <w:sz w:val="24"/>
                              <w:szCs w:val="24"/>
                            </w:rPr>
                            <w:fldChar w:fldCharType="end"/>
                          </w:r>
                          <w:r>
                            <w:rPr>
                              <w:color w:val="232629"/>
                              <w:sz w:val="24"/>
                              <w:szCs w:val="24"/>
                            </w:rPr>
                            <w:t xml:space="preserve"> </w:t>
                          </w:r>
                          <w:r>
                            <w:rPr>
                              <w:color w:val="232629"/>
                              <w:sz w:val="24"/>
                              <w:szCs w:val="24"/>
                              <w:lang w:val="zh-CN" w:eastAsia="zh-CN" w:bidi="zh-CN"/>
                            </w:rPr>
                            <w:t>-</w:t>
                          </w:r>
                        </w:p>
                      </w:txbxContent>
                    </wps:txbx>
                    <wps:bodyPr wrap="none" lIns="0" tIns="0" rIns="0" bIns="0">
                      <a:spAutoFit/>
                    </wps:bodyPr>
                  </wps:wsp>
                </a:graphicData>
              </a:graphic>
            </wp:anchor>
          </w:drawing>
        </mc:Choice>
        <mc:Fallback>
          <w:pict>
            <v:shape id="Shape 46" o:spid="_x0000_s1026" o:spt="202" type="#_x0000_t202" style="position:absolute;left:0pt;margin-top:798.85pt;height:10.8pt;width:35.5pt;mso-position-horizontal:center;mso-position-horizontal-relative:margin;mso-position-vertical-relative:page;mso-wrap-style:none;z-index:251659264;mso-width-relative:page;mso-height-relative:page;" filled="f" stroked="f" coordsize="21600,21600" o:gfxdata="UEsDBAoAAAAAAIdO4kAAAAAAAAAAAAAAAAAEAAAAZHJzL1BLAwQUAAAACACHTuJA2Zr9f9QAAAAJ&#10;AQAADwAAAGRycy9kb3ducmV2LnhtbE2PwU7DMBBE70j8g7VI3KgTEE0b4vRQiQs3CqrEzY23cYS9&#10;jmw3Tf6e5QTHfTOanWl2s3diwpiGQArKVQECqQtmoF7B58frwwZEypqMdoFQwYIJdu3tTaNrE670&#10;jtMh94JDKNVagc15rKVMnUWv0yqMSKydQ/Q68xl7aaK+crh38rEo1tLrgfiD1SPuLXbfh4tXUM3H&#10;gGPCPX6dpy7aYdm4t0Wp+7uyeAGRcc5/Zvitz9Wh5U6ncCGThFPAQzLT521VgWC9KpmcmKzL7RPI&#10;tpH/F7Q/UEsDBBQAAAAIAIdO4kAj5UNdvAEAAJcDAAAOAAAAZHJzL2Uyb0RvYy54bWytU8Fu2zAM&#10;vQ/YPwi6N3a6NiuMOMWGoEOBYRvQ7QMUWYoFSKIgKrHz96VkJ+26Sw+7yBRJPfI90uv70Vl2VBEN&#10;+JYvFzVnykvojN+3/M/vh6s7zjAJ3wkLXrX8pJDfbz5+WA+hUdfQg+1UZATisRlCy/uUQlNVKHvl&#10;BC4gKE9BDdGJRNe4r7ooBkJ3trqu61U1QOxCBKkQybudgnxGjO8BBK2NVFuQB6d8mlCjsiIRJexN&#10;QL4p3WqtZPqpNarEbMuJaSonFSF7l89qsxbNPorQGzm3IN7TwhtOThhPRS9QW5EEO0TzD5QzMgKC&#10;TgsJrpqIFEWIxbJ+o81TL4IqXEhqDBfR8f/Byh/HX5GZruU3K868cDTxUpbRncQZAjaU8xQoK41f&#10;YaSVOfuRnJnzqKPLX2LDKE7Sni7SqjExSc6b2/ruliKSQstPn5erIn318jhETN8UOJaNlkeaXBFU&#10;HL9jokYo9ZySa3l4MNaW6Vn/l4MSJ48q459fZx5Tv9lK426cye2gOxG3gVag5Z42njP76EnhvC1n&#10;I56N3Wzkihi+HBK1UbrLqBMUtZovNK/S9LxbeSFe30vWy/+0eQ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Zmv1/1AAAAAkBAAAPAAAAAAAAAAEAIAAAACIAAABkcnMvZG93bnJldi54bWxQSwECFAAU&#10;AAAACACHTuJAI+VDXbwBAACXAwAADgAAAAAAAAABACAAAAAjAQAAZHJzL2Uyb0RvYy54bWxQSwUG&#10;AAAAAAYABgBZAQAAUQUAAAAA&#10;">
              <v:fill on="f" focussize="0,0"/>
              <v:stroke on="f"/>
              <v:imagedata o:title=""/>
              <o:lock v:ext="edit" aspectratio="f"/>
              <v:textbox inset="0mm,0mm,0mm,0mm" style="mso-fit-shape-to-text:t;">
                <w:txbxContent>
                  <w:p>
                    <w:pPr>
                      <w:pStyle w:val="9"/>
                      <w:shd w:val="clear" w:color="auto" w:fill="auto"/>
                      <w:rPr>
                        <w:sz w:val="24"/>
                        <w:szCs w:val="24"/>
                      </w:rPr>
                    </w:pPr>
                    <w:r>
                      <w:rPr>
                        <w:color w:val="232629"/>
                        <w:sz w:val="24"/>
                        <w:szCs w:val="24"/>
                      </w:rPr>
                      <w:t>-</w:t>
                    </w:r>
                    <w:r>
                      <w:fldChar w:fldCharType="begin"/>
                    </w:r>
                    <w:r>
                      <w:instrText xml:space="preserve"> PAGE \* MERGEFORMAT </w:instrText>
                    </w:r>
                    <w:r>
                      <w:fldChar w:fldCharType="separate"/>
                    </w:r>
                    <w:r>
                      <w:rPr>
                        <w:color w:val="232629"/>
                        <w:sz w:val="24"/>
                        <w:szCs w:val="24"/>
                      </w:rPr>
                      <w:t>24</w:t>
                    </w:r>
                    <w:r>
                      <w:rPr>
                        <w:color w:val="232629"/>
                        <w:sz w:val="24"/>
                        <w:szCs w:val="24"/>
                      </w:rPr>
                      <w:fldChar w:fldCharType="end"/>
                    </w:r>
                    <w:r>
                      <w:rPr>
                        <w:color w:val="232629"/>
                        <w:sz w:val="24"/>
                        <w:szCs w:val="24"/>
                      </w:rPr>
                      <w:t xml:space="preserve"> </w:t>
                    </w:r>
                    <w:r>
                      <w:rPr>
                        <w:color w:val="232629"/>
                        <w:sz w:val="24"/>
                        <w:szCs w:val="24"/>
                        <w:lang w:val="zh-CN" w:eastAsia="zh-CN" w:bidi="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mc:AlternateContent>
        <mc:Choice Requires="wps">
          <w:drawing>
            <wp:anchor distT="0" distB="0" distL="114300" distR="114300" simplePos="0" relativeHeight="251660288" behindDoc="1" locked="0" layoutInCell="1" allowOverlap="1">
              <wp:simplePos x="0" y="0"/>
              <wp:positionH relativeFrom="page">
                <wp:posOffset>1003300</wp:posOffset>
              </wp:positionH>
              <wp:positionV relativeFrom="page">
                <wp:posOffset>10075545</wp:posOffset>
              </wp:positionV>
              <wp:extent cx="454025" cy="130810"/>
              <wp:effectExtent l="0" t="0" r="0" b="0"/>
              <wp:wrapNone/>
              <wp:docPr id="48" name="Shape 48"/>
              <wp:cNvGraphicFramePr/>
              <a:graphic xmlns:a="http://schemas.openxmlformats.org/drawingml/2006/main">
                <a:graphicData uri="http://schemas.microsoft.com/office/word/2010/wordprocessingShape">
                  <wps:wsp>
                    <wps:cNvSpPr txBox="1"/>
                    <wps:spPr>
                      <a:xfrm>
                        <a:off x="0" y="0"/>
                        <a:ext cx="454025" cy="130810"/>
                      </a:xfrm>
                      <a:prstGeom prst="rect">
                        <a:avLst/>
                      </a:prstGeom>
                      <a:noFill/>
                      <a:ln>
                        <a:noFill/>
                      </a:ln>
                      <a:effectLst/>
                    </wps:spPr>
                    <wps:txbx>
                      <w:txbxContent>
                        <w:p>
                          <w:pPr>
                            <w:pStyle w:val="9"/>
                            <w:shd w:val="clear" w:color="auto" w:fill="auto"/>
                            <w:rPr>
                              <w:sz w:val="24"/>
                              <w:szCs w:val="24"/>
                            </w:rPr>
                          </w:pPr>
                          <w:r>
                            <w:rPr>
                              <w:color w:val="232629"/>
                              <w:sz w:val="24"/>
                              <w:szCs w:val="24"/>
                            </w:rPr>
                            <w:t>-</w:t>
                          </w:r>
                          <w:r>
                            <w:fldChar w:fldCharType="begin"/>
                          </w:r>
                          <w:r>
                            <w:instrText xml:space="preserve"> PAGE \* MERGEFORMAT </w:instrText>
                          </w:r>
                          <w:r>
                            <w:fldChar w:fldCharType="separate"/>
                          </w:r>
                          <w:r>
                            <w:rPr>
                              <w:color w:val="232629"/>
                              <w:sz w:val="24"/>
                              <w:szCs w:val="24"/>
                            </w:rPr>
                            <w:t>#</w:t>
                          </w:r>
                          <w:r>
                            <w:rPr>
                              <w:color w:val="232629"/>
                              <w:sz w:val="24"/>
                              <w:szCs w:val="24"/>
                            </w:rPr>
                            <w:fldChar w:fldCharType="end"/>
                          </w:r>
                          <w:r>
                            <w:rPr>
                              <w:color w:val="232629"/>
                              <w:sz w:val="24"/>
                              <w:szCs w:val="24"/>
                            </w:rPr>
                            <w:t xml:space="preserve"> </w:t>
                          </w:r>
                          <w:r>
                            <w:rPr>
                              <w:color w:val="5D5C62"/>
                              <w:sz w:val="24"/>
                              <w:szCs w:val="24"/>
                              <w:lang w:val="zh-CN" w:eastAsia="zh-CN" w:bidi="zh-CN"/>
                            </w:rPr>
                            <w:t>-</w:t>
                          </w:r>
                        </w:p>
                      </w:txbxContent>
                    </wps:txbx>
                    <wps:bodyPr wrap="none" lIns="0" tIns="0" rIns="0" bIns="0">
                      <a:spAutoFit/>
                    </wps:bodyPr>
                  </wps:wsp>
                </a:graphicData>
              </a:graphic>
            </wp:anchor>
          </w:drawing>
        </mc:Choice>
        <mc:Fallback>
          <w:pict>
            <v:shape id="Shape 48" o:spid="_x0000_s1026" o:spt="202" type="#_x0000_t202" style="position:absolute;left:0pt;margin-left:79pt;margin-top:793.35pt;height:10.3pt;width:35.75pt;mso-position-horizontal-relative:page;mso-position-vertical-relative:page;mso-wrap-style:none;z-index:-251656192;mso-width-relative:page;mso-height-relative:page;" filled="f" stroked="f" coordsize="21600,21600" o:gfxdata="UEsDBAoAAAAAAIdO4kAAAAAAAAAAAAAAAAAEAAAAZHJzL1BLAwQUAAAACACHTuJAHSJLqNgAAAAN&#10;AQAADwAAAGRycy9kb3ducmV2LnhtbE2PzU7DMBCE70i8g7VI3KjdoCYhjdNDJS7cKKgSNzfeJlH9&#10;E9lumrw9Cxe47eyOZr+pd7M1bMIQB+8krFcCGLrW68F1Ej4/Xp9KYDEpp5XxDiUsGGHX3N/VqtL+&#10;5t5xOqSOUYiLlZLQpzRWnMe2R6viyo/o6Hb2wapEMnRcB3WjcGt4JkTOrRocfejViPse28vhaiUU&#10;89HjGHGPX+epDf2wlOZtkfLxYS22wBLO6c8MP/iEDg0xnfzV6cgM6U1JXdLvkBfAyJJlLxtgJ1rl&#10;ongG3tT8f4vmG1BLAwQUAAAACACHTuJAlRnOpbwBAACXAwAADgAAAGRycy9lMm9Eb2MueG1srVPB&#10;btswDL0P6D8Iui92snQojDjFhqDFgKEb0O0DFFmKBUiiICqx8/elZCfduksPu9gURT++90hv7kdn&#10;2UlFNOBbvlzUnCkvoTP+0PLfvx4+3nGGSfhOWPCq5WeF/H5782EzhEatoAfbqcgIxGMzhJb3KYWm&#10;qlD2yglcQFCeLjVEJxId46HqohgI3dlqVdefqwFiFyJIhUjZ3XTJZ8T4HkDQ2ki1A3l0yqcJNSor&#10;EknC3gTk28JWayXTD61RJWZbTkpTeVITivf5WW03ojlEEXojZwriPRTeaHLCeGp6hdqJJNgxmn+g&#10;nJEREHRaSHDVJKQ4QiqW9RtvnnsRVNFCVmO4mo7/D1Y+nX5GZrqWr2nuXjiaeGnL6EzmDAEbqnkO&#10;VJXGrzDSylzySMmsedTR5TepYXRP1p6v1qoxMUnJ9e26Xt1yJulq+am+Wxbrq9ePQ8T0qMCxHLQ8&#10;0uSKoeL0HRMRodJLSe7l4cFYW6Zn/V8JKpwyqox//jrrmPjmKI37cRa3h+5M2gZagZZ72njO7DdP&#10;DudtuQTxEuznIHfE8OWYiEZhl1EnKKKaDzSvQnrerbwQf55L1ev/tH0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HSJLqNgAAAANAQAADwAAAAAAAAABACAAAAAiAAAAZHJzL2Rvd25yZXYueG1sUEsB&#10;AhQAFAAAAAgAh07iQJUZzqW8AQAAlwMAAA4AAAAAAAAAAQAgAAAAJwEAAGRycy9lMm9Eb2MueG1s&#10;UEsFBgAAAAAGAAYAWQEAAFUFAAAAAA==&#10;">
              <v:fill on="f" focussize="0,0"/>
              <v:stroke on="f"/>
              <v:imagedata o:title=""/>
              <o:lock v:ext="edit" aspectratio="f"/>
              <v:textbox inset="0mm,0mm,0mm,0mm" style="mso-fit-shape-to-text:t;">
                <w:txbxContent>
                  <w:p>
                    <w:pPr>
                      <w:pStyle w:val="9"/>
                      <w:shd w:val="clear" w:color="auto" w:fill="auto"/>
                      <w:rPr>
                        <w:sz w:val="24"/>
                        <w:szCs w:val="24"/>
                      </w:rPr>
                    </w:pPr>
                    <w:r>
                      <w:rPr>
                        <w:color w:val="232629"/>
                        <w:sz w:val="24"/>
                        <w:szCs w:val="24"/>
                      </w:rPr>
                      <w:t>-</w:t>
                    </w:r>
                    <w:r>
                      <w:fldChar w:fldCharType="begin"/>
                    </w:r>
                    <w:r>
                      <w:instrText xml:space="preserve"> PAGE \* MERGEFORMAT </w:instrText>
                    </w:r>
                    <w:r>
                      <w:fldChar w:fldCharType="separate"/>
                    </w:r>
                    <w:r>
                      <w:rPr>
                        <w:color w:val="232629"/>
                        <w:sz w:val="24"/>
                        <w:szCs w:val="24"/>
                      </w:rPr>
                      <w:t>#</w:t>
                    </w:r>
                    <w:r>
                      <w:rPr>
                        <w:color w:val="232629"/>
                        <w:sz w:val="24"/>
                        <w:szCs w:val="24"/>
                      </w:rPr>
                      <w:fldChar w:fldCharType="end"/>
                    </w:r>
                    <w:r>
                      <w:rPr>
                        <w:color w:val="232629"/>
                        <w:sz w:val="24"/>
                        <w:szCs w:val="24"/>
                      </w:rPr>
                      <w:t xml:space="preserve"> </w:t>
                    </w:r>
                    <w:r>
                      <w:rPr>
                        <w:color w:val="5D5C62"/>
                        <w:sz w:val="24"/>
                        <w:szCs w:val="24"/>
                        <w:lang w:val="zh-CN" w:eastAsia="zh-CN" w:bidi="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HorizontalSpacing w:val="1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462"/>
    <w:rsid w:val="000A03F0"/>
    <w:rsid w:val="000A21DA"/>
    <w:rsid w:val="000B0F1B"/>
    <w:rsid w:val="00172E20"/>
    <w:rsid w:val="00213E9B"/>
    <w:rsid w:val="003433F0"/>
    <w:rsid w:val="003757DC"/>
    <w:rsid w:val="00485611"/>
    <w:rsid w:val="00515E45"/>
    <w:rsid w:val="00594BD8"/>
    <w:rsid w:val="005F5462"/>
    <w:rsid w:val="008E6310"/>
    <w:rsid w:val="00B334CD"/>
    <w:rsid w:val="00BF7BFE"/>
    <w:rsid w:val="00C25D12"/>
    <w:rsid w:val="00CA055C"/>
    <w:rsid w:val="00D30313"/>
    <w:rsid w:val="00D816DA"/>
    <w:rsid w:val="00DC48D0"/>
    <w:rsid w:val="00E06842"/>
    <w:rsid w:val="00E75218"/>
    <w:rsid w:val="00E96E43"/>
    <w:rsid w:val="00FC45FC"/>
    <w:rsid w:val="08307FB5"/>
    <w:rsid w:val="09B06470"/>
    <w:rsid w:val="0E5E6DE0"/>
    <w:rsid w:val="143751A8"/>
    <w:rsid w:val="15CE179A"/>
    <w:rsid w:val="18F3263E"/>
    <w:rsid w:val="1DEE3C58"/>
    <w:rsid w:val="21C36B8C"/>
    <w:rsid w:val="332C02E7"/>
    <w:rsid w:val="402C7766"/>
    <w:rsid w:val="44543E63"/>
    <w:rsid w:val="4E5A6E52"/>
    <w:rsid w:val="5A2F5365"/>
    <w:rsid w:val="5A727ED0"/>
    <w:rsid w:val="5E00320D"/>
    <w:rsid w:val="6F1544D8"/>
    <w:rsid w:val="70056D5C"/>
    <w:rsid w:val="7BA01B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Microsoft JhengHei Light" w:hAnsi="Microsoft JhengHei Light" w:eastAsia="Microsoft JhengHei Light" w:cs="Microsoft JhengHei Light"/>
      <w:color w:val="000000"/>
      <w:sz w:val="24"/>
      <w:szCs w:val="24"/>
      <w:lang w:val="en-US" w:eastAsia="en-US" w:bidi="en-US"/>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3">
    <w:name w:val="Normal (Web)"/>
    <w:basedOn w:val="1"/>
    <w:qFormat/>
    <w:uiPriority w:val="0"/>
    <w:pPr>
      <w:spacing w:beforeAutospacing="1" w:afterAutospacing="1"/>
    </w:pPr>
    <w:rPr>
      <w:rFonts w:cs="Times New Roman"/>
      <w:lang w:eastAsia="zh-CN" w:bidi="ar-SA"/>
    </w:rPr>
  </w:style>
  <w:style w:type="paragraph" w:customStyle="1" w:styleId="6">
    <w:name w:val="标题 #2"/>
    <w:basedOn w:val="1"/>
    <w:qFormat/>
    <w:uiPriority w:val="0"/>
    <w:pPr>
      <w:shd w:val="clear" w:color="auto" w:fill="FFFFFF"/>
      <w:spacing w:after="430" w:line="710" w:lineRule="exact"/>
      <w:jc w:val="center"/>
      <w:outlineLvl w:val="1"/>
    </w:pPr>
    <w:rPr>
      <w:rFonts w:ascii="MingLiU" w:hAnsi="MingLiU" w:eastAsia="MingLiU" w:cs="MingLiU"/>
      <w:sz w:val="42"/>
      <w:szCs w:val="42"/>
      <w:lang w:val="zh-CN" w:eastAsia="zh-CN" w:bidi="zh-CN"/>
    </w:rPr>
  </w:style>
  <w:style w:type="paragraph" w:customStyle="1" w:styleId="7">
    <w:name w:val="标题 #3"/>
    <w:basedOn w:val="1"/>
    <w:qFormat/>
    <w:uiPriority w:val="0"/>
    <w:pPr>
      <w:shd w:val="clear" w:color="auto" w:fill="FFFFFF"/>
      <w:spacing w:line="568" w:lineRule="exact"/>
      <w:jc w:val="center"/>
      <w:outlineLvl w:val="2"/>
    </w:pPr>
    <w:rPr>
      <w:rFonts w:ascii="MingLiU" w:hAnsi="MingLiU" w:eastAsia="MingLiU" w:cs="MingLiU"/>
      <w:b/>
      <w:bCs/>
      <w:color w:val="101115"/>
      <w:sz w:val="28"/>
      <w:szCs w:val="28"/>
      <w:lang w:val="zh-CN" w:eastAsia="zh-CN" w:bidi="zh-CN"/>
    </w:rPr>
  </w:style>
  <w:style w:type="paragraph" w:customStyle="1" w:styleId="8">
    <w:name w:val="正文文本1"/>
    <w:basedOn w:val="1"/>
    <w:qFormat/>
    <w:uiPriority w:val="0"/>
    <w:pPr>
      <w:shd w:val="clear" w:color="auto" w:fill="FFFFFF"/>
      <w:spacing w:line="403" w:lineRule="auto"/>
      <w:ind w:firstLine="400"/>
    </w:pPr>
    <w:rPr>
      <w:rFonts w:ascii="MingLiU" w:hAnsi="MingLiU" w:eastAsia="MingLiU" w:cs="MingLiU"/>
      <w:color w:val="101115"/>
      <w:sz w:val="28"/>
      <w:szCs w:val="28"/>
      <w:lang w:val="zh-CN" w:eastAsia="zh-CN" w:bidi="zh-CN"/>
    </w:rPr>
  </w:style>
  <w:style w:type="paragraph" w:customStyle="1" w:styleId="9">
    <w:name w:val="页眉或页脚 (2)"/>
    <w:basedOn w:val="1"/>
    <w:qFormat/>
    <w:uiPriority w:val="0"/>
    <w:pPr>
      <w:shd w:val="clear" w:color="auto" w:fill="FFFFFF"/>
    </w:pPr>
    <w:rPr>
      <w:rFonts w:ascii="Times New Roman" w:hAnsi="Times New Roman" w:eastAsia="Times New Roman" w:cs="Times New Roman"/>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http://bbs.buyitx.com</Company>
  <Pages>24</Pages>
  <Words>10638</Words>
  <Characters>528</Characters>
  <Lines>4</Lines>
  <Paragraphs>22</Paragraphs>
  <TotalTime>2</TotalTime>
  <ScaleCrop>false</ScaleCrop>
  <LinksUpToDate>false</LinksUpToDate>
  <CharactersWithSpaces>11144</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john</dc:creator>
  <cp:lastModifiedBy>john</cp:lastModifiedBy>
  <cp:lastPrinted>2023-04-25T08:12:00Z</cp:lastPrinted>
  <dcterms:modified xsi:type="dcterms:W3CDTF">2023-04-25T08:36:14Z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F51EBFDEE9D649BE965F8C2BD91CE800</vt:lpwstr>
  </property>
</Properties>
</file>