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20" w:lineRule="exact"/>
        <w:ind w:firstLine="723" w:firstLineChars="200"/>
        <w:jc w:val="center"/>
        <w:textAlignment w:val="auto"/>
        <w:outlineLvl w:val="9"/>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723" w:firstLineChars="20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lang w:val="en-US" w:eastAsia="zh-CN"/>
        </w:rPr>
        <w:t>《</w:t>
      </w:r>
      <w:r>
        <w:rPr>
          <w:rFonts w:hint="eastAsia" w:ascii="宋体" w:hAnsi="宋体" w:eastAsia="宋体" w:cs="宋体"/>
          <w:b/>
          <w:bCs/>
          <w:sz w:val="36"/>
          <w:szCs w:val="36"/>
        </w:rPr>
        <w:t>门头沟人工智能大模型产业创新</w:t>
      </w:r>
    </w:p>
    <w:p>
      <w:pPr>
        <w:keepNext w:val="0"/>
        <w:keepLines w:val="0"/>
        <w:pageBreakBefore w:val="0"/>
        <w:widowControl w:val="0"/>
        <w:kinsoku/>
        <w:wordWrap/>
        <w:overflowPunct/>
        <w:topLinePunct w:val="0"/>
        <w:autoSpaceDE/>
        <w:autoSpaceDN/>
        <w:bidi w:val="0"/>
        <w:adjustRightInd w:val="0"/>
        <w:snapToGrid w:val="0"/>
        <w:spacing w:line="520" w:lineRule="exact"/>
        <w:ind w:firstLine="723" w:firstLineChars="20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rPr>
        <w:t>发展三年行动计划（202</w:t>
      </w: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年-2026年）</w:t>
      </w:r>
      <w:r>
        <w:rPr>
          <w:rFonts w:hint="eastAsia" w:ascii="宋体" w:hAnsi="宋体" w:eastAsia="宋体" w:cs="宋体"/>
          <w:b/>
          <w:bCs/>
          <w:sz w:val="36"/>
          <w:szCs w:val="36"/>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723" w:firstLineChars="20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的</w:t>
      </w:r>
      <w:r>
        <w:rPr>
          <w:rFonts w:hint="eastAsia" w:ascii="宋体" w:hAnsi="宋体" w:eastAsia="宋体" w:cs="宋体"/>
          <w:b/>
          <w:bCs/>
          <w:sz w:val="36"/>
          <w:szCs w:val="36"/>
          <w:lang w:eastAsia="zh-CN"/>
        </w:rPr>
        <w:t>起草</w:t>
      </w:r>
      <w:r>
        <w:rPr>
          <w:rFonts w:hint="eastAsia" w:ascii="宋体" w:hAnsi="宋体" w:eastAsia="宋体" w:cs="宋体"/>
          <w:b/>
          <w:bCs/>
          <w:sz w:val="36"/>
          <w:szCs w:val="36"/>
        </w:rPr>
        <w:t>说明</w:t>
      </w:r>
    </w:p>
    <w:p>
      <w:pPr>
        <w:pStyle w:val="6"/>
        <w:rPr>
          <w:rFonts w:hint="eastAsia" w:ascii="宋体" w:hAnsi="宋体" w:eastAsia="宋体" w:cs="宋体"/>
          <w:b/>
          <w:bCs/>
          <w:sz w:val="36"/>
          <w:szCs w:val="36"/>
          <w:lang w:val="en-US" w:eastAsia="zh-CN"/>
        </w:rPr>
      </w:pPr>
    </w:p>
    <w:p>
      <w:pPr>
        <w:pStyle w:val="5"/>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人工智能</w:t>
      </w:r>
      <w:r>
        <w:rPr>
          <w:rFonts w:hint="eastAsia" w:ascii="仿宋_GB2312" w:hAnsi="仿宋_GB2312" w:eastAsia="仿宋_GB2312" w:cs="仿宋_GB2312"/>
          <w:sz w:val="32"/>
          <w:szCs w:val="32"/>
        </w:rPr>
        <w:t>大模型作为引领</w:t>
      </w:r>
      <w:r>
        <w:rPr>
          <w:rFonts w:hint="eastAsia" w:ascii="仿宋_GB2312" w:hAnsi="仿宋_GB2312" w:eastAsia="仿宋_GB2312" w:cs="仿宋_GB2312"/>
          <w:sz w:val="32"/>
          <w:szCs w:val="32"/>
          <w:lang w:eastAsia="zh-CN"/>
        </w:rPr>
        <w:t>数字经济繁荣</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新</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和推动新一轮产业变革的新赛道</w:t>
      </w:r>
      <w:r>
        <w:rPr>
          <w:rFonts w:hint="eastAsia" w:ascii="仿宋_GB2312" w:hAnsi="仿宋_GB2312" w:eastAsia="仿宋_GB2312" w:cs="仿宋_GB2312"/>
          <w:sz w:val="32"/>
          <w:szCs w:val="32"/>
        </w:rPr>
        <w:t>，已成为</w:t>
      </w:r>
      <w:r>
        <w:rPr>
          <w:rFonts w:hint="eastAsia" w:ascii="仿宋_GB2312" w:hAnsi="仿宋_GB2312" w:eastAsia="仿宋_GB2312" w:cs="仿宋_GB2312"/>
          <w:sz w:val="32"/>
          <w:szCs w:val="32"/>
          <w:lang w:eastAsia="zh-CN"/>
        </w:rPr>
        <w:t>全球</w:t>
      </w:r>
      <w:r>
        <w:rPr>
          <w:rFonts w:hint="eastAsia" w:ascii="仿宋_GB2312" w:hAnsi="仿宋_GB2312" w:eastAsia="仿宋_GB2312" w:cs="仿宋_GB2312"/>
          <w:sz w:val="32"/>
          <w:szCs w:val="32"/>
        </w:rPr>
        <w:t>抢抓产业发展机遇、重塑竞争格局的关键所在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党中央、国务院重大</w:t>
      </w:r>
      <w:r>
        <w:rPr>
          <w:rFonts w:hint="eastAsia" w:ascii="仿宋_GB2312" w:hAnsi="仿宋_GB2312" w:eastAsia="仿宋_GB2312" w:cs="仿宋_GB2312"/>
          <w:sz w:val="32"/>
          <w:szCs w:val="32"/>
        </w:rPr>
        <w:t>决策部署，进一步落实北京市</w:t>
      </w:r>
      <w:r>
        <w:rPr>
          <w:rFonts w:hint="eastAsia" w:ascii="仿宋_GB2312" w:hAnsi="仿宋_GB2312" w:eastAsia="仿宋_GB2312" w:cs="仿宋_GB2312"/>
          <w:sz w:val="32"/>
          <w:szCs w:val="32"/>
          <w:lang w:val="en-US" w:eastAsia="zh-CN"/>
        </w:rPr>
        <w:t>科技创新和产业发展指示</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门头沟区大力实施“</w:t>
      </w:r>
      <w:r>
        <w:rPr>
          <w:rFonts w:hint="eastAsia" w:ascii="仿宋_GB2312" w:hAnsi="仿宋_GB2312" w:eastAsia="仿宋_GB2312" w:cs="仿宋_GB2312"/>
          <w:sz w:val="32"/>
          <w:szCs w:val="32"/>
        </w:rPr>
        <w:t>生态立区、文化兴区、科技强区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发展战略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发挥在人工智能产业已布局的算力、算法、数据</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场景</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先发优势</w:t>
      </w:r>
      <w:r>
        <w:rPr>
          <w:rFonts w:hint="eastAsia" w:ascii="仿宋_GB2312" w:hAnsi="仿宋_GB2312" w:eastAsia="仿宋_GB2312" w:cs="仿宋_GB2312"/>
          <w:sz w:val="32"/>
          <w:szCs w:val="32"/>
          <w:lang w:eastAsia="zh-CN"/>
        </w:rPr>
        <w:t>，助力北京建设数字经济标杆城市，</w:t>
      </w:r>
      <w:r>
        <w:rPr>
          <w:rFonts w:hint="eastAsia" w:ascii="仿宋_GB2312" w:hAnsi="仿宋_GB2312" w:eastAsia="仿宋_GB2312" w:cs="仿宋_GB2312"/>
          <w:sz w:val="32"/>
          <w:szCs w:val="32"/>
        </w:rPr>
        <w:t>制定本行动计划。先后多轮征求了相关部门意见，</w:t>
      </w:r>
      <w:r>
        <w:rPr>
          <w:rFonts w:hint="eastAsia" w:ascii="仿宋_GB2312" w:eastAsia="仿宋_GB2312"/>
          <w:sz w:val="32"/>
          <w:szCs w:val="32"/>
          <w:lang w:val="en-US" w:eastAsia="zh-CN"/>
        </w:rPr>
        <w:t>目前形成</w:t>
      </w:r>
      <w:r>
        <w:rPr>
          <w:rFonts w:hint="eastAsia" w:ascii="仿宋_GB2312" w:hAnsi="仿宋_GB2312" w:eastAsia="仿宋_GB2312" w:cs="仿宋_GB2312"/>
          <w:sz w:val="32"/>
          <w:szCs w:val="32"/>
          <w:lang w:val="en-US" w:eastAsia="zh-CN"/>
        </w:rPr>
        <w:t>《门头沟人工智能大模型产业创新发展三年行动计划（2024年-2026年）》报审稿。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 w:hAnsi="仿宋" w:eastAsia="仿宋_GB2312" w:cs="仿宋"/>
          <w:sz w:val="32"/>
          <w:szCs w:val="32"/>
          <w:lang w:val="en-US" w:eastAsia="zh-CN"/>
        </w:rPr>
      </w:pPr>
      <w:r>
        <w:rPr>
          <w:rFonts w:hint="eastAsia" w:ascii="黑体" w:hAnsi="宋体" w:eastAsia="黑体" w:cs="Times New Roman"/>
          <w:sz w:val="32"/>
          <w:szCs w:val="32"/>
        </w:rPr>
        <w:t>一、</w:t>
      </w:r>
      <w:r>
        <w:rPr>
          <w:rFonts w:hint="eastAsia" w:ascii="黑体" w:hAnsi="黑体" w:eastAsia="黑体" w:cs="黑体"/>
          <w:sz w:val="32"/>
          <w:szCs w:val="32"/>
          <w:lang w:val="en-US" w:eastAsia="zh-CN"/>
        </w:rPr>
        <w:t>主要内容</w:t>
      </w:r>
    </w:p>
    <w:p>
      <w:pPr>
        <w:pStyle w:val="10"/>
        <w:adjustRightInd w:val="0"/>
        <w:snapToGrid w:val="0"/>
        <w:spacing w:before="0" w:beforeAutospacing="0" w:after="0" w:afterAutospacing="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b w:val="0"/>
          <w:bCs w:val="0"/>
          <w:color w:val="404040"/>
          <w:sz w:val="32"/>
          <w:szCs w:val="32"/>
        </w:rPr>
        <w:t>（一）指导思想</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坚持以习近平新时代中国特色社会主义思想为指导，全面贯彻党的二十大关于“完善科技创新体系，加快实施创新驱动发展战略，加快实现高水平科技自立自强”的决策部署，门头沟区以国家战略为导向，立足首都“四个中心”总体定位，打造人工智能产业高地和大模型产业聚集地，高水平建设首都发展重要门户。</w:t>
      </w:r>
    </w:p>
    <w:p>
      <w:pPr>
        <w:pStyle w:val="10"/>
        <w:adjustRightInd w:val="0"/>
        <w:snapToGrid w:val="0"/>
        <w:spacing w:before="0" w:beforeAutospacing="0" w:after="0" w:afterAutospacing="0" w:line="560" w:lineRule="exact"/>
        <w:ind w:firstLine="640" w:firstLineChars="200"/>
        <w:jc w:val="both"/>
        <w:rPr>
          <w:rFonts w:hint="eastAsia" w:ascii="楷体_GB2312" w:hAnsi="楷体_GB2312" w:eastAsia="楷体_GB2312" w:cs="楷体_GB2312"/>
          <w:b w:val="0"/>
          <w:bCs w:val="0"/>
          <w:color w:val="404040"/>
          <w:sz w:val="32"/>
          <w:szCs w:val="32"/>
        </w:rPr>
      </w:pPr>
      <w:r>
        <w:rPr>
          <w:rFonts w:hint="eastAsia" w:ascii="楷体_GB2312" w:hAnsi="楷体_GB2312" w:eastAsia="楷体_GB2312" w:cs="楷体_GB2312"/>
          <w:b w:val="0"/>
          <w:bCs w:val="0"/>
          <w:color w:val="404040"/>
          <w:sz w:val="32"/>
          <w:szCs w:val="32"/>
        </w:rPr>
        <w:t>（二）基本原则</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坚持市场主导、政策引导</w:t>
      </w:r>
      <w:r>
        <w:rPr>
          <w:rFonts w:hint="eastAsia" w:ascii="仿宋_GB2312" w:hAnsi="仿宋_GB2312" w:eastAsia="仿宋_GB2312" w:cs="仿宋_GB2312"/>
          <w:kern w:val="2"/>
          <w:sz w:val="32"/>
          <w:szCs w:val="32"/>
          <w:lang w:val="en-US" w:eastAsia="zh-CN" w:bidi="ar-SA"/>
        </w:rPr>
        <w:t>。强化企业创新主体引领作用，提升政府决策效能，加强产业规划、完善产业政策、提升产业服务，突破制约产业发展的体制机制障碍，打造“先行先试”样板点，实现“政产学研用”多主体联动。</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坚持要素集聚、场景开放。</w:t>
      </w:r>
      <w:r>
        <w:rPr>
          <w:rFonts w:hint="eastAsia" w:ascii="仿宋_GB2312" w:hAnsi="仿宋_GB2312" w:eastAsia="仿宋_GB2312" w:cs="仿宋_GB2312"/>
          <w:kern w:val="2"/>
          <w:sz w:val="32"/>
          <w:szCs w:val="32"/>
          <w:lang w:val="en-US" w:eastAsia="zh-CN" w:bidi="ar-SA"/>
        </w:rPr>
        <w:t>发挥产业要素的核心价值，以普惠算力为基础，以产业应用为牵引，在算力、算法、数据和应用场景同步发力，打造一批标杆应用场景，形成一批创新应用成果，带动人工智能产业大模型生态的高质量发展。</w:t>
      </w:r>
    </w:p>
    <w:p>
      <w:pPr>
        <w:pStyle w:val="10"/>
        <w:adjustRightInd w:val="0"/>
        <w:snapToGrid w:val="0"/>
        <w:spacing w:before="0" w:beforeAutospacing="0" w:after="0" w:afterAutospacing="0" w:line="560" w:lineRule="exact"/>
        <w:ind w:firstLine="643"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坚持自主创新、开放合作。</w:t>
      </w:r>
      <w:r>
        <w:rPr>
          <w:rFonts w:hint="eastAsia" w:ascii="仿宋_GB2312" w:hAnsi="仿宋_GB2312" w:eastAsia="仿宋_GB2312" w:cs="仿宋_GB2312"/>
          <w:kern w:val="2"/>
          <w:sz w:val="32"/>
          <w:szCs w:val="32"/>
          <w:lang w:val="en-US" w:eastAsia="zh-CN" w:bidi="ar-SA"/>
        </w:rPr>
        <w:t>加大人工智能重点前沿技术布局，聚焦自主创新，着力突破多模态大模型、AIGC、AI4S等关键核心技术，强化国内国际产业分工合作，推动产业链、创新链、资金链、人才链高效融合，打造丰富活跃的大模型创新生态。</w:t>
      </w:r>
    </w:p>
    <w:p>
      <w:pPr>
        <w:pStyle w:val="10"/>
        <w:adjustRightInd w:val="0"/>
        <w:snapToGrid w:val="0"/>
        <w:spacing w:before="0" w:beforeAutospacing="0" w:after="0" w:afterAutospacing="0" w:line="560" w:lineRule="exact"/>
        <w:ind w:firstLine="640" w:firstLineChars="200"/>
        <w:jc w:val="both"/>
        <w:rPr>
          <w:rFonts w:hint="eastAsia" w:ascii="楷体_GB2312" w:hAnsi="楷体_GB2312" w:eastAsia="楷体_GB2312" w:cs="楷体_GB2312"/>
          <w:b w:val="0"/>
          <w:bCs w:val="0"/>
          <w:color w:val="404040"/>
          <w:sz w:val="32"/>
          <w:szCs w:val="32"/>
        </w:rPr>
      </w:pPr>
      <w:r>
        <w:rPr>
          <w:rFonts w:hint="eastAsia" w:ascii="楷体_GB2312" w:hAnsi="楷体_GB2312" w:eastAsia="楷体_GB2312" w:cs="楷体_GB2312"/>
          <w:b w:val="0"/>
          <w:bCs w:val="0"/>
          <w:color w:val="404040"/>
          <w:sz w:val="32"/>
          <w:szCs w:val="32"/>
        </w:rPr>
        <w:t>（三）主要目标</w:t>
      </w:r>
    </w:p>
    <w:p>
      <w:pPr>
        <w:pStyle w:val="10"/>
        <w:adjustRightInd w:val="0"/>
        <w:snapToGrid w:val="0"/>
        <w:spacing w:before="0" w:beforeAutospacing="0" w:after="0" w:afterAutospacing="0"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力争到2026年，将门头沟区打造成为全国具有影响力的人工智能大模型自主创新产业集聚区。建成30万平方米高品质人工智能特色产业园，引进或培育5家通用人工智能大模型企业、50家人工智能行业大模型企业和300家人工智能应用型企业，建设50个行业标杆解决方案、50个重点应用场景示范项目，聚焦文生视频、数字人、智能制造等关键环节建设5个公共技术平台。</w:t>
      </w:r>
    </w:p>
    <w:p>
      <w:pPr>
        <w:pStyle w:val="10"/>
        <w:adjustRightInd w:val="0"/>
        <w:snapToGrid w:val="0"/>
        <w:spacing w:before="0" w:beforeAutospacing="0" w:after="0" w:afterAutospacing="0" w:line="560" w:lineRule="exact"/>
        <w:ind w:firstLine="640" w:firstLineChars="200"/>
        <w:jc w:val="both"/>
        <w:rPr>
          <w:rFonts w:hint="eastAsia" w:ascii="黑体" w:hAnsi="黑体" w:eastAsia="黑体" w:cs="黑体"/>
          <w:b w:val="0"/>
          <w:bCs w:val="0"/>
          <w:color w:val="404040"/>
          <w:sz w:val="32"/>
          <w:szCs w:val="32"/>
        </w:rPr>
      </w:pPr>
      <w:r>
        <w:rPr>
          <w:rFonts w:hint="eastAsia" w:ascii="黑体" w:hAnsi="黑体" w:eastAsia="黑体" w:cs="黑体"/>
          <w:b w:val="0"/>
          <w:bCs w:val="0"/>
          <w:color w:val="404040"/>
          <w:sz w:val="32"/>
          <w:szCs w:val="32"/>
        </w:rPr>
        <w:t>二、重点任务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个部分：</w:t>
      </w:r>
    </w:p>
    <w:p>
      <w:pPr>
        <w:pStyle w:val="10"/>
        <w:adjustRightInd w:val="0"/>
        <w:snapToGrid w:val="0"/>
        <w:spacing w:before="0" w:beforeAutospacing="0" w:after="0" w:afterAutospacing="0" w:line="560" w:lineRule="exact"/>
        <w:ind w:firstLine="643" w:firstLineChars="200"/>
        <w:jc w:val="both"/>
        <w:rPr>
          <w:rFonts w:hint="eastAsia" w:ascii="楷体_GB2312" w:hAnsi="楷体_GB2312" w:eastAsia="楷体_GB2312" w:cs="楷体_GB2312"/>
          <w:b/>
          <w:bCs/>
          <w:color w:val="404040"/>
          <w:sz w:val="32"/>
          <w:szCs w:val="32"/>
        </w:rPr>
      </w:pPr>
      <w:r>
        <w:rPr>
          <w:rFonts w:hint="eastAsia" w:ascii="楷体_GB2312" w:hAnsi="楷体_GB2312" w:eastAsia="楷体_GB2312" w:cs="楷体_GB2312"/>
          <w:b/>
          <w:bCs/>
          <w:color w:val="404040"/>
          <w:sz w:val="32"/>
          <w:szCs w:val="32"/>
          <w:lang w:val="en-US" w:eastAsia="zh-CN"/>
        </w:rPr>
        <w:t>第一部分：</w:t>
      </w:r>
      <w:r>
        <w:rPr>
          <w:rFonts w:hint="eastAsia" w:ascii="楷体_GB2312" w:hAnsi="楷体_GB2312" w:eastAsia="楷体_GB2312" w:cs="楷体_GB2312"/>
          <w:b/>
          <w:bCs/>
          <w:color w:val="404040"/>
          <w:sz w:val="32"/>
          <w:szCs w:val="32"/>
        </w:rPr>
        <w:t>提供普惠大模型产业要素</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围绕</w:t>
      </w:r>
      <w:r>
        <w:rPr>
          <w:rFonts w:hint="eastAsia" w:ascii="仿宋_GB2312" w:hAnsi="仿宋_GB2312" w:eastAsia="仿宋_GB2312" w:cs="仿宋_GB2312"/>
          <w:color w:val="404040"/>
          <w:sz w:val="32"/>
          <w:szCs w:val="32"/>
        </w:rPr>
        <w:t>持续供给大规模普惠算力基础设施</w:t>
      </w:r>
      <w:r>
        <w:rPr>
          <w:rFonts w:hint="eastAsia" w:ascii="仿宋_GB2312" w:hAnsi="仿宋_GB2312" w:eastAsia="仿宋_GB2312" w:cs="仿宋_GB2312"/>
          <w:color w:val="404040"/>
          <w:sz w:val="32"/>
          <w:szCs w:val="32"/>
          <w:lang w:eastAsia="zh-CN"/>
        </w:rPr>
        <w:t>、</w:t>
      </w:r>
      <w:r>
        <w:rPr>
          <w:rFonts w:hint="eastAsia" w:ascii="仿宋_GB2312" w:hAnsi="仿宋_GB2312" w:eastAsia="仿宋_GB2312" w:cs="仿宋_GB2312"/>
          <w:color w:val="404040"/>
          <w:sz w:val="32"/>
          <w:szCs w:val="32"/>
          <w:lang w:val="en-US" w:eastAsia="zh-CN"/>
        </w:rPr>
        <w:t>建设北京</w:t>
      </w:r>
      <w:r>
        <w:rPr>
          <w:rFonts w:hint="eastAsia" w:ascii="仿宋_GB2312" w:hAnsi="仿宋_GB2312" w:eastAsia="仿宋_GB2312" w:cs="仿宋_GB2312"/>
          <w:color w:val="404040"/>
          <w:sz w:val="32"/>
          <w:szCs w:val="32"/>
        </w:rPr>
        <w:t>算法交易服务</w:t>
      </w:r>
      <w:r>
        <w:rPr>
          <w:rFonts w:hint="eastAsia" w:ascii="仿宋_GB2312" w:hAnsi="仿宋_GB2312" w:eastAsia="仿宋_GB2312" w:cs="仿宋_GB2312"/>
          <w:color w:val="404040"/>
          <w:sz w:val="32"/>
          <w:szCs w:val="32"/>
          <w:lang w:val="en-US" w:eastAsia="zh-CN"/>
        </w:rPr>
        <w:t>中心、</w:t>
      </w:r>
      <w:r>
        <w:rPr>
          <w:rFonts w:hint="eastAsia" w:ascii="仿宋_GB2312" w:hAnsi="仿宋_GB2312" w:eastAsia="仿宋_GB2312" w:cs="仿宋_GB2312"/>
          <w:color w:val="404040"/>
          <w:sz w:val="32"/>
          <w:szCs w:val="32"/>
        </w:rPr>
        <w:t>打造公共数据集开放平台</w:t>
      </w:r>
      <w:r>
        <w:rPr>
          <w:rFonts w:hint="eastAsia" w:ascii="仿宋_GB2312" w:hAnsi="仿宋_GB2312" w:eastAsia="仿宋_GB2312" w:cs="仿宋_GB2312"/>
          <w:color w:val="404040"/>
          <w:sz w:val="32"/>
          <w:szCs w:val="32"/>
          <w:lang w:val="en-US" w:eastAsia="zh-CN"/>
        </w:rPr>
        <w:t>三大板块，深度聚焦人工智能产业算力、算法、数据三要素。</w:t>
      </w:r>
    </w:p>
    <w:p>
      <w:pPr>
        <w:pStyle w:val="10"/>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rPr>
      </w:pPr>
      <w:r>
        <w:rPr>
          <w:rFonts w:hint="eastAsia" w:ascii="楷体_GB2312" w:hAnsi="楷体_GB2312" w:eastAsia="楷体_GB2312" w:cs="楷体_GB2312"/>
          <w:b/>
          <w:bCs/>
          <w:color w:val="404040"/>
          <w:sz w:val="32"/>
          <w:szCs w:val="32"/>
          <w:lang w:val="en-US" w:eastAsia="zh-CN"/>
        </w:rPr>
        <w:t>第二部分：</w:t>
      </w:r>
      <w:r>
        <w:rPr>
          <w:rFonts w:hint="eastAsia" w:ascii="楷体_GB2312" w:hAnsi="楷体_GB2312" w:eastAsia="楷体_GB2312" w:cs="楷体_GB2312"/>
          <w:b/>
          <w:bCs/>
          <w:color w:val="404040"/>
          <w:sz w:val="32"/>
          <w:szCs w:val="32"/>
        </w:rPr>
        <w:t>推动大模型应用场景开放</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围绕智慧城市场景向大模型企业开放、区内优势产业场景向大模型企业开放、支持共建场景联合创新中心三大板块，梳理产业发展阶段大模型应用场景开放相关事宜，旨在通过场景开放、共性技术平台建设运营来促进产业发展。</w:t>
      </w:r>
    </w:p>
    <w:p>
      <w:pPr>
        <w:pStyle w:val="10"/>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lang w:val="en-US" w:eastAsia="zh-CN"/>
        </w:rPr>
      </w:pPr>
      <w:r>
        <w:rPr>
          <w:rFonts w:hint="eastAsia" w:ascii="楷体_GB2312" w:hAnsi="楷体_GB2312" w:eastAsia="楷体_GB2312" w:cs="楷体_GB2312"/>
          <w:b/>
          <w:bCs/>
          <w:color w:val="404040"/>
          <w:sz w:val="32"/>
          <w:szCs w:val="32"/>
          <w:lang w:val="en-US" w:eastAsia="zh-CN"/>
        </w:rPr>
        <w:t>第三部分：加强大模型核心技术攻关</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围绕支持人工智能大模型基础理论研究、加强人工智能大模型关键技术研究、加强人工智能大模型安全可信研究三大板块，对聚焦人工智能大模型前沿研究、关键技术、安全可信的合作主体给予资金支持，推动核心技术攻关，探索安全可信的管理解决方案。</w:t>
      </w:r>
    </w:p>
    <w:p>
      <w:pPr>
        <w:pStyle w:val="10"/>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lang w:val="en-US" w:eastAsia="zh-CN"/>
        </w:rPr>
      </w:pPr>
      <w:r>
        <w:rPr>
          <w:rFonts w:hint="eastAsia" w:ascii="楷体_GB2312" w:hAnsi="楷体_GB2312" w:eastAsia="楷体_GB2312" w:cs="楷体_GB2312"/>
          <w:b/>
          <w:bCs/>
          <w:color w:val="404040"/>
          <w:sz w:val="32"/>
          <w:szCs w:val="32"/>
          <w:lang w:val="en-US" w:eastAsia="zh-CN"/>
        </w:rPr>
        <w:t>第四部分：建设人工智能大模型生态体系</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围绕加大重点企业引培力度、成立“京西智谷”生态创新中心、打造人工智能大模型成果展示中心、设立人工智能方向子基金、支持人工智能大模型科研成果产业化、深化打造人工智能产业IP、成立“京西智谷”人工智能实验室七大板块，全方面建设大模型生态，助力大模型企业在门头沟成长。</w:t>
      </w:r>
    </w:p>
    <w:p>
      <w:pPr>
        <w:pStyle w:val="10"/>
        <w:numPr>
          <w:ilvl w:val="0"/>
          <w:numId w:val="0"/>
        </w:numPr>
        <w:adjustRightInd w:val="0"/>
        <w:snapToGrid w:val="0"/>
        <w:spacing w:before="0" w:beforeAutospacing="0" w:after="0" w:afterAutospacing="0" w:line="560" w:lineRule="exact"/>
        <w:ind w:leftChars="300"/>
        <w:jc w:val="both"/>
        <w:rPr>
          <w:rFonts w:hint="eastAsia" w:ascii="楷体_GB2312" w:hAnsi="楷体_GB2312" w:eastAsia="楷体_GB2312" w:cs="楷体_GB2312"/>
          <w:b/>
          <w:bCs/>
          <w:color w:val="404040"/>
          <w:sz w:val="32"/>
          <w:szCs w:val="32"/>
          <w:lang w:val="en-US" w:eastAsia="zh-CN"/>
        </w:rPr>
      </w:pPr>
      <w:r>
        <w:rPr>
          <w:rFonts w:hint="eastAsia" w:ascii="楷体_GB2312" w:hAnsi="楷体_GB2312" w:eastAsia="楷体_GB2312" w:cs="楷体_GB2312"/>
          <w:b/>
          <w:bCs/>
          <w:color w:val="404040"/>
          <w:sz w:val="32"/>
          <w:szCs w:val="32"/>
          <w:lang w:val="en-US" w:eastAsia="zh-CN"/>
        </w:rPr>
        <w:t>第五部分：京西智谷人才体系建设</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围绕打造人工智能“京西智脑”、集聚人工智能“腰部”人才、培养人工智能基础人才，为产业发展人才建设提供完善的服务，形成人才培养的金字塔体系，强健人才队伍建设。</w:t>
      </w:r>
    </w:p>
    <w:p>
      <w:pPr>
        <w:pStyle w:val="10"/>
        <w:adjustRightInd w:val="0"/>
        <w:snapToGrid w:val="0"/>
        <w:spacing w:before="0" w:beforeAutospacing="0" w:after="0" w:afterAutospacing="0" w:line="560" w:lineRule="exact"/>
        <w:ind w:firstLine="643" w:firstLineChars="200"/>
        <w:jc w:val="both"/>
        <w:rPr>
          <w:rFonts w:hint="eastAsia" w:ascii="楷体_GB2312" w:hAnsi="楷体_GB2312" w:eastAsia="楷体_GB2312" w:cs="楷体_GB2312"/>
          <w:b/>
          <w:bCs/>
          <w:color w:val="404040"/>
          <w:sz w:val="32"/>
          <w:szCs w:val="32"/>
        </w:rPr>
      </w:pPr>
      <w:r>
        <w:rPr>
          <w:rFonts w:hint="eastAsia" w:ascii="楷体_GB2312" w:hAnsi="楷体_GB2312" w:eastAsia="楷体_GB2312" w:cs="楷体_GB2312"/>
          <w:b/>
          <w:bCs/>
          <w:color w:val="404040"/>
          <w:sz w:val="32"/>
          <w:szCs w:val="32"/>
          <w:lang w:val="en-US" w:eastAsia="zh-CN"/>
        </w:rPr>
        <w:t>第六部分：</w:t>
      </w:r>
      <w:r>
        <w:rPr>
          <w:rFonts w:hint="eastAsia" w:ascii="楷体_GB2312" w:hAnsi="楷体_GB2312" w:eastAsia="楷体_GB2312" w:cs="楷体_GB2312"/>
          <w:b/>
          <w:bCs/>
          <w:color w:val="404040"/>
          <w:sz w:val="32"/>
          <w:szCs w:val="32"/>
        </w:rPr>
        <w:t>深化国内国际化开放合作</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r>
        <w:rPr>
          <w:rFonts w:hint="eastAsia" w:ascii="仿宋_GB2312" w:hAnsi="仿宋_GB2312" w:eastAsia="仿宋_GB2312" w:cs="仿宋_GB2312"/>
          <w:color w:val="404040"/>
          <w:sz w:val="32"/>
          <w:szCs w:val="32"/>
          <w:lang w:val="en-US" w:eastAsia="zh-CN"/>
        </w:rPr>
        <w:t>围绕探索京津冀大模型产业一体化、推动全国算力网络联通联动、参与全球大模型生态建设三大板块，全面深化国内国际合作，全力打造世界级大模型产业集群，提升大模型产业在全国的影响力。</w:t>
      </w:r>
    </w:p>
    <w:p>
      <w:pPr>
        <w:pStyle w:val="10"/>
        <w:adjustRightInd w:val="0"/>
        <w:snapToGrid w:val="0"/>
        <w:spacing w:before="0" w:beforeAutospacing="0" w:after="0" w:afterAutospacing="0" w:line="560" w:lineRule="exact"/>
        <w:ind w:firstLine="640" w:firstLineChars="200"/>
        <w:jc w:val="both"/>
        <w:rPr>
          <w:rFonts w:hint="eastAsia" w:ascii="黑体" w:hAnsi="黑体" w:eastAsia="黑体" w:cs="黑体"/>
          <w:b w:val="0"/>
          <w:bCs w:val="0"/>
          <w:color w:val="404040"/>
          <w:sz w:val="32"/>
          <w:szCs w:val="32"/>
        </w:rPr>
      </w:pPr>
      <w:r>
        <w:rPr>
          <w:rFonts w:hint="eastAsia" w:ascii="黑体" w:hAnsi="黑体" w:eastAsia="黑体" w:cs="黑体"/>
          <w:b w:val="0"/>
          <w:bCs w:val="0"/>
          <w:color w:val="404040"/>
          <w:sz w:val="32"/>
          <w:szCs w:val="32"/>
        </w:rPr>
        <w:t>三、组织实施</w:t>
      </w:r>
    </w:p>
    <w:p>
      <w:pPr>
        <w:pStyle w:val="10"/>
        <w:adjustRightInd w:val="0"/>
        <w:snapToGrid w:val="0"/>
        <w:spacing w:before="0" w:beforeAutospacing="0" w:after="0" w:afterAutospacing="0" w:line="560" w:lineRule="exact"/>
        <w:ind w:firstLine="640" w:firstLineChars="200"/>
        <w:jc w:val="both"/>
        <w:rPr>
          <w:rFonts w:hint="default" w:ascii="仿宋_GB2312" w:hAnsi="仿宋_GB2312" w:eastAsia="仿宋_GB2312" w:cs="仿宋_GB2312"/>
          <w:color w:val="404040"/>
          <w:sz w:val="32"/>
          <w:szCs w:val="32"/>
          <w:lang w:val="en-US" w:eastAsia="zh-CN"/>
        </w:rPr>
      </w:pPr>
      <w:bookmarkStart w:id="0" w:name="_GoBack"/>
      <w:r>
        <w:rPr>
          <w:rFonts w:hint="eastAsia" w:ascii="仿宋_GB2312" w:hAnsi="仿宋_GB2312" w:eastAsia="仿宋_GB2312" w:cs="仿宋_GB2312"/>
          <w:color w:val="404040"/>
          <w:sz w:val="32"/>
          <w:szCs w:val="32"/>
          <w:lang w:val="en-US" w:eastAsia="zh-CN"/>
        </w:rPr>
        <w:t>通过加强组织实施、加大政策扶持、加快场景开放、完善产融服务、强化人才支撑、动态监测评估六方面建设，全力助推人工智能大模型产业创新发展，依照“一廊四极”首都地区算力供给体系的规划，聚力打造“京西一极”。未来，我区将进一步深化区域转型发展，全力打造京西产业高地。</w:t>
      </w:r>
    </w:p>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ËÎÌå">
    <w:altName w:val="DejaVu Math TeX Gyre"/>
    <w:panose1 w:val="000000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DejaVu Math TeX Gyre">
    <w:panose1 w:val="02000503000000000000"/>
    <w:charset w:val="00"/>
    <w:family w:val="auto"/>
    <w:pitch w:val="default"/>
    <w:sig w:usb0="A10000EF" w:usb1="4201F9EE" w:usb2="02000000" w:usb3="00000000" w:csb0="60000193" w:csb1="0DD4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NmZiYzg0NTIzYzFhNmI1NDJlNzQzYjdjOTg1NDUifQ=="/>
  </w:docVars>
  <w:rsids>
    <w:rsidRoot w:val="334702AD"/>
    <w:rsid w:val="33470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eastAsia="宋体"/>
      <w:sz w:val="21"/>
    </w:rPr>
  </w:style>
  <w:style w:type="paragraph" w:styleId="4">
    <w:name w:val="Body Text"/>
    <w:basedOn w:val="1"/>
    <w:qFormat/>
    <w:uiPriority w:val="0"/>
    <w:rPr>
      <w:rFonts w:ascii="仿宋_GB2312" w:eastAsia="仿宋_GB2312"/>
      <w:sz w:val="32"/>
    </w:rPr>
  </w:style>
  <w:style w:type="paragraph" w:styleId="5">
    <w:name w:val="footer"/>
    <w:basedOn w:val="1"/>
    <w:next w:val="1"/>
    <w:unhideWhenUsed/>
    <w:qFormat/>
    <w:uiPriority w:val="99"/>
    <w:pPr>
      <w:tabs>
        <w:tab w:val="center" w:pos="4153"/>
        <w:tab w:val="right" w:pos="8306"/>
      </w:tabs>
      <w:snapToGrid w:val="0"/>
      <w:jc w:val="left"/>
    </w:pPr>
    <w:rPr>
      <w:sz w:val="18"/>
      <w:szCs w:val="18"/>
    </w:rPr>
  </w:style>
  <w:style w:type="paragraph" w:styleId="6">
    <w:name w:val="toc 1"/>
    <w:basedOn w:val="1"/>
    <w:next w:val="1"/>
    <w:qFormat/>
    <w:uiPriority w:val="39"/>
  </w:style>
  <w:style w:type="paragraph" w:styleId="7">
    <w:name w:val="Title"/>
    <w:basedOn w:val="1"/>
    <w:next w:val="1"/>
    <w:qFormat/>
    <w:uiPriority w:val="10"/>
    <w:pPr>
      <w:spacing w:line="660" w:lineRule="exact"/>
      <w:jc w:val="center"/>
      <w:outlineLvl w:val="0"/>
    </w:pPr>
    <w:rPr>
      <w:rFonts w:ascii="华文中宋" w:hAnsi="Calibri Light" w:eastAsia="华文中宋" w:cs="Times New Roman"/>
      <w:bCs/>
      <w:sz w:val="44"/>
      <w:szCs w:val="32"/>
    </w:rPr>
  </w:style>
  <w:style w:type="paragraph" w:customStyle="1" w:styleId="10">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2023-11-01T05:40:00Z</dcterms:created>
  <dc:creator>陶冶</dc:creator>
  <cp:lastModifiedBy>陶冶</cp:lastModifiedBy>
  <dcterms:modified xsi:type="dcterms:W3CDTF">2023-11-01T06:12:59Z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5D3989750A814DF4A06088EF76CC1E1D</vt:lpwstr>
  </property>
</Properties>
</file>