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8F" w:rsidRPr="009D49C1" w:rsidRDefault="006B6D8F" w:rsidP="004F5554">
      <w:pPr>
        <w:spacing w:line="5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49C1">
        <w:rPr>
          <w:rFonts w:asciiTheme="majorEastAsia" w:eastAsiaTheme="majorEastAsia" w:hAnsiTheme="majorEastAsia" w:hint="eastAsia"/>
          <w:b/>
          <w:sz w:val="36"/>
          <w:szCs w:val="36"/>
        </w:rPr>
        <w:t>关于门头沟区</w:t>
      </w:r>
      <w:r w:rsidRPr="009D49C1">
        <w:rPr>
          <w:rFonts w:asciiTheme="majorEastAsia" w:eastAsiaTheme="majorEastAsia" w:hAnsiTheme="majorEastAsia"/>
          <w:b/>
          <w:sz w:val="36"/>
          <w:szCs w:val="36"/>
        </w:rPr>
        <w:t>2018</w:t>
      </w:r>
      <w:r w:rsidRPr="009D49C1">
        <w:rPr>
          <w:rFonts w:asciiTheme="majorEastAsia" w:eastAsiaTheme="majorEastAsia" w:hAnsiTheme="majorEastAsia" w:hint="eastAsia"/>
          <w:b/>
          <w:sz w:val="36"/>
          <w:szCs w:val="36"/>
        </w:rPr>
        <w:t>年上半年预算</w:t>
      </w:r>
    </w:p>
    <w:p w:rsidR="006B6D8F" w:rsidRPr="009D49C1" w:rsidRDefault="006B6D8F" w:rsidP="004F5554">
      <w:pPr>
        <w:spacing w:line="5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D49C1">
        <w:rPr>
          <w:rFonts w:asciiTheme="majorEastAsia" w:eastAsiaTheme="majorEastAsia" w:hAnsiTheme="majorEastAsia" w:hint="eastAsia"/>
          <w:b/>
          <w:sz w:val="36"/>
          <w:szCs w:val="36"/>
        </w:rPr>
        <w:t>执行情况的报告</w:t>
      </w:r>
    </w:p>
    <w:p w:rsidR="006B6D8F" w:rsidRPr="009D49C1" w:rsidRDefault="009D49C1" w:rsidP="004F5554">
      <w:pPr>
        <w:tabs>
          <w:tab w:val="left" w:pos="6300"/>
        </w:tabs>
        <w:spacing w:line="540" w:lineRule="exact"/>
        <w:jc w:val="center"/>
        <w:rPr>
          <w:rFonts w:asciiTheme="minorEastAsia" w:eastAsiaTheme="minorEastAsia" w:hAnsiTheme="minorEastAsia"/>
          <w:color w:val="000000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(</w:t>
      </w:r>
      <w:r w:rsidR="006B6D8F" w:rsidRPr="009D49C1">
        <w:rPr>
          <w:rFonts w:asciiTheme="minorEastAsia" w:eastAsiaTheme="minorEastAsia" w:hAnsiTheme="minorEastAsia" w:hint="eastAsia"/>
          <w:color w:val="000000"/>
          <w:sz w:val="28"/>
          <w:szCs w:val="28"/>
        </w:rPr>
        <w:t>门头沟区财政局</w:t>
      </w:r>
      <w:r>
        <w:rPr>
          <w:rFonts w:asciiTheme="minorEastAsia" w:eastAsiaTheme="minorEastAsia" w:hAnsiTheme="minorEastAsia" w:hint="eastAsia"/>
          <w:color w:val="000000"/>
          <w:sz w:val="28"/>
          <w:szCs w:val="28"/>
        </w:rPr>
        <w:t>)</w:t>
      </w:r>
    </w:p>
    <w:p w:rsidR="006B6D8F" w:rsidRPr="004F5554" w:rsidRDefault="006B6D8F" w:rsidP="004F5554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6B6D8F" w:rsidRPr="004F5554" w:rsidRDefault="006B6D8F" w:rsidP="004F5554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主任、各位副主任、各位委员：</w:t>
      </w:r>
    </w:p>
    <w:p w:rsidR="00CD4417" w:rsidRDefault="00CD4417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B00639">
        <w:rPr>
          <w:rFonts w:ascii="仿宋_GB2312" w:eastAsia="仿宋_GB2312" w:hAnsi="宋体" w:hint="eastAsia"/>
          <w:color w:val="000000"/>
          <w:sz w:val="32"/>
          <w:szCs w:val="32"/>
        </w:rPr>
        <w:t>2018年上半年，按照蔡奇书记三次调研门头沟指示精神，区财政部门紧密围绕区委重大决策和工作部署，坚持“绿色发展、生态富民、弘扬文化、文明首善、团结稳定”区域发展总原则，全力以赴打好创建全国文明城区攻坚战，统筹推进“三区创建”，财政管理各项工作有序推进，地区经济发展基础进一步稳固，财政预算整体执行情况良好。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F5554">
        <w:rPr>
          <w:rFonts w:ascii="黑体" w:eastAsia="黑体" w:hAnsi="黑体" w:hint="eastAsia"/>
          <w:sz w:val="32"/>
          <w:szCs w:val="32"/>
        </w:rPr>
        <w:t>一、收入预算执行的基本情况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上半年，全区一般公共预算收入完成18.74亿元，同比增长6.7%，完成年度预算的59.5%。其中：税收收入完成15.02亿元，同比增长18.3%，完成年度预算的64.0%；非税收入完成3.71亿元，同比下降23.6%，完成年度预算的46.3%。</w:t>
      </w:r>
    </w:p>
    <w:p w:rsidR="006B6D8F" w:rsidRPr="008728D0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56487">
        <w:rPr>
          <w:rFonts w:ascii="仿宋_GB2312" w:eastAsia="仿宋_GB2312" w:hAnsi="宋体" w:hint="eastAsia"/>
          <w:color w:val="000000"/>
          <w:sz w:val="32"/>
          <w:szCs w:val="32"/>
        </w:rPr>
        <w:t>全区政府性基金预算收入完成83.42亿元，剔除返还的土地成本57.32亿元，实际完成26.10亿元，</w:t>
      </w:r>
      <w:r w:rsidR="00FE4180" w:rsidRPr="00856487">
        <w:rPr>
          <w:rFonts w:ascii="仿宋_GB2312" w:eastAsia="仿宋_GB2312" w:hAnsi="宋体" w:hint="eastAsia"/>
          <w:color w:val="000000"/>
          <w:sz w:val="32"/>
          <w:szCs w:val="32"/>
        </w:rPr>
        <w:t>同口径</w:t>
      </w:r>
      <w:r w:rsidR="003F6AD7" w:rsidRPr="00856487">
        <w:rPr>
          <w:rFonts w:ascii="仿宋_GB2312" w:eastAsia="仿宋_GB2312" w:hAnsi="宋体" w:hint="eastAsia"/>
          <w:color w:val="000000"/>
          <w:sz w:val="32"/>
          <w:szCs w:val="32"/>
        </w:rPr>
        <w:t>完成年度预算的43.9%，</w:t>
      </w:r>
      <w:r w:rsidRPr="00856487">
        <w:rPr>
          <w:rFonts w:ascii="仿宋_GB2312" w:eastAsia="仿宋_GB2312" w:hAnsi="宋体" w:hint="eastAsia"/>
          <w:color w:val="000000"/>
          <w:sz w:val="32"/>
          <w:szCs w:val="32"/>
        </w:rPr>
        <w:t>下降12.3%。其中：土地出让形成的收益25.49亿元，占政府性基金收入的97.6%。</w:t>
      </w:r>
    </w:p>
    <w:p w:rsidR="006B6D8F" w:rsidRPr="008728D0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全区国有资本经营预算上半年未形成收入。</w:t>
      </w:r>
    </w:p>
    <w:p w:rsidR="006B6D8F" w:rsidRPr="008728D0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全区社会保险基金预算收入完成2.07亿元，同比增长14.2%。其中：城乡居民养老保险基金完成收入2.05元，同比增长46.5%，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完成年度预算的96.3%；新型农村合作医疗基金完成收入284万元，同比下降93.2%，完成年度预算的27.1%，下降主要原因为：2018年新型农村合作医疗基金撤销，全部并入城乡居民基本医疗保险基金，本年收入为2017年余款报销。</w:t>
      </w:r>
    </w:p>
    <w:p w:rsidR="006B6D8F" w:rsidRPr="008728D0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728D0">
        <w:rPr>
          <w:rFonts w:ascii="仿宋_GB2312" w:eastAsia="仿宋_GB2312" w:hAnsi="仿宋" w:cs="宋体" w:hint="eastAsia"/>
          <w:snapToGrid w:val="0"/>
          <w:kern w:val="0"/>
          <w:sz w:val="32"/>
          <w:szCs w:val="32"/>
        </w:rPr>
        <w:t>收入结构主要呈现以下特点：</w:t>
      </w:r>
    </w:p>
    <w:p w:rsidR="006B6D8F" w:rsidRPr="008728D0" w:rsidRDefault="004F5554" w:rsidP="004F5554">
      <w:pPr>
        <w:spacing w:line="540" w:lineRule="exact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 w:rsidRPr="008728D0">
        <w:rPr>
          <w:rFonts w:ascii="楷体_GB2312" w:eastAsia="楷体_GB2312" w:hAnsi="宋体" w:hint="eastAsia"/>
          <w:color w:val="000000"/>
          <w:sz w:val="32"/>
          <w:szCs w:val="32"/>
        </w:rPr>
        <w:t>(</w:t>
      </w:r>
      <w:r w:rsidR="006B6D8F" w:rsidRPr="008728D0">
        <w:rPr>
          <w:rFonts w:ascii="楷体_GB2312" w:eastAsia="楷体_GB2312" w:hAnsi="宋体" w:hint="eastAsia"/>
          <w:color w:val="000000"/>
          <w:sz w:val="32"/>
          <w:szCs w:val="32"/>
        </w:rPr>
        <w:t>一</w:t>
      </w:r>
      <w:r w:rsidRPr="008728D0">
        <w:rPr>
          <w:rFonts w:ascii="楷体_GB2312" w:eastAsia="楷体_GB2312" w:hAnsi="宋体" w:hint="eastAsia"/>
          <w:color w:val="000000"/>
          <w:sz w:val="32"/>
          <w:szCs w:val="32"/>
        </w:rPr>
        <w:t>)</w:t>
      </w:r>
      <w:r w:rsidR="006B6D8F" w:rsidRPr="008728D0">
        <w:rPr>
          <w:rFonts w:ascii="楷体_GB2312" w:eastAsia="楷体_GB2312" w:hAnsi="宋体" w:hint="eastAsia"/>
          <w:color w:val="000000"/>
          <w:sz w:val="32"/>
          <w:szCs w:val="32"/>
        </w:rPr>
        <w:t>主体税种增势较好，对税收起到带动作用</w:t>
      </w:r>
    </w:p>
    <w:p w:rsidR="006B6D8F" w:rsidRPr="008728D0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上半年，我区增值税、企业所得税和土地增值税三大主体税种合计完成12.38亿元，较上年同期增长26.4%，占一般公共预算收入的66.1%，是全区财政收入的主要来源。</w:t>
      </w:r>
    </w:p>
    <w:p w:rsidR="006B6D8F" w:rsidRPr="008728D0" w:rsidRDefault="006B6D8F" w:rsidP="004F5554">
      <w:pPr>
        <w:spacing w:line="540" w:lineRule="exact"/>
        <w:ind w:firstLineChars="200" w:firstLine="643"/>
        <w:rPr>
          <w:rFonts w:ascii="仿宋_GB2312" w:eastAsia="仿宋_GB2312" w:hAnsi="宋体"/>
          <w:color w:val="000000"/>
          <w:sz w:val="32"/>
          <w:szCs w:val="32"/>
        </w:rPr>
      </w:pPr>
      <w:r w:rsidRPr="008728D0">
        <w:rPr>
          <w:rFonts w:ascii="仿宋_GB2312" w:eastAsia="仿宋_GB2312" w:hAnsi="宋体" w:hint="eastAsia"/>
          <w:b/>
          <w:color w:val="000000"/>
          <w:sz w:val="32"/>
          <w:szCs w:val="32"/>
        </w:rPr>
        <w:t>企业所得税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完成4.09亿元，同比增长14.9%，主要由于房地产企业预缴额增加、批发零售业销售形势向好、昊华能源因高新技术所得税减免政策取消后税率增加等因素带动。</w:t>
      </w:r>
      <w:r w:rsidRPr="008728D0">
        <w:rPr>
          <w:rFonts w:ascii="仿宋_GB2312" w:eastAsia="仿宋_GB2312" w:hAnsi="宋体" w:hint="eastAsia"/>
          <w:b/>
          <w:color w:val="000000"/>
          <w:sz w:val="32"/>
          <w:szCs w:val="32"/>
        </w:rPr>
        <w:t>增值税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完成5.19亿元，同比增长11.6%。其中：改征增值税收入2.88亿元，同比下降4.7%。因精雕科技等制造业订单增加、昊华能源煤炭价格上涨、税务部门严格税票审核等因素，增值税实现较大幅度增长，有效弥补因房地产市场调控带来的改征增值税的减收。</w:t>
      </w:r>
      <w:r w:rsidRPr="008728D0">
        <w:rPr>
          <w:rFonts w:ascii="仿宋_GB2312" w:eastAsia="仿宋_GB2312" w:hAnsi="宋体" w:hint="eastAsia"/>
          <w:b/>
          <w:color w:val="000000"/>
          <w:sz w:val="32"/>
          <w:szCs w:val="32"/>
        </w:rPr>
        <w:t>土地增值税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完成3.10亿元，同比增长95.7%，主要为</w:t>
      </w:r>
      <w:r w:rsidRPr="008728D0">
        <w:rPr>
          <w:rFonts w:ascii="仿宋_GB2312" w:eastAsia="仿宋_GB2312" w:hAnsi="宋体" w:hint="eastAsia"/>
          <w:noProof/>
          <w:snapToGrid w:val="0"/>
          <w:color w:val="000000"/>
          <w:sz w:val="32"/>
          <w:szCs w:val="32"/>
        </w:rPr>
        <w:t>金泰丽湾和梧桐苑两处房地产项目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清算有效拉动土地增值税实现大额增收。</w:t>
      </w:r>
    </w:p>
    <w:p w:rsidR="006B6D8F" w:rsidRPr="008728D0" w:rsidRDefault="004F5554" w:rsidP="004F5554">
      <w:pPr>
        <w:topLinePunct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 w:rsidRPr="008728D0">
        <w:rPr>
          <w:rFonts w:ascii="楷体_GB2312" w:eastAsia="楷体_GB2312" w:hAnsi="宋体" w:hint="eastAsia"/>
          <w:color w:val="000000"/>
          <w:sz w:val="32"/>
          <w:szCs w:val="32"/>
        </w:rPr>
        <w:t>(</w:t>
      </w:r>
      <w:r w:rsidR="006B6D8F" w:rsidRPr="008728D0">
        <w:rPr>
          <w:rFonts w:ascii="楷体_GB2312" w:eastAsia="楷体_GB2312" w:hAnsi="宋体" w:hint="eastAsia"/>
          <w:color w:val="000000"/>
          <w:sz w:val="32"/>
          <w:szCs w:val="32"/>
        </w:rPr>
        <w:t>二</w:t>
      </w:r>
      <w:r w:rsidRPr="008728D0">
        <w:rPr>
          <w:rFonts w:ascii="楷体_GB2312" w:eastAsia="楷体_GB2312" w:hAnsi="宋体" w:hint="eastAsia"/>
          <w:color w:val="000000"/>
          <w:sz w:val="32"/>
          <w:szCs w:val="32"/>
        </w:rPr>
        <w:t>)</w:t>
      </w:r>
      <w:r w:rsidR="006B6D8F" w:rsidRPr="008728D0">
        <w:rPr>
          <w:rFonts w:ascii="楷体_GB2312" w:eastAsia="楷体_GB2312" w:hAnsi="宋体" w:hint="eastAsia"/>
          <w:color w:val="000000"/>
          <w:sz w:val="32"/>
          <w:szCs w:val="32"/>
        </w:rPr>
        <w:t>房地产业仍为我区主要支撑行业，税源结构</w:t>
      </w:r>
      <w:r w:rsidR="00E85966" w:rsidRPr="008728D0">
        <w:rPr>
          <w:rFonts w:ascii="楷体_GB2312" w:eastAsia="楷体_GB2312" w:hAnsi="宋体" w:hint="eastAsia"/>
          <w:color w:val="000000"/>
          <w:sz w:val="32"/>
          <w:szCs w:val="32"/>
        </w:rPr>
        <w:t>仍需</w:t>
      </w:r>
      <w:r w:rsidR="006B6D8F" w:rsidRPr="008728D0">
        <w:rPr>
          <w:rFonts w:ascii="楷体_GB2312" w:eastAsia="楷体_GB2312" w:hAnsi="宋体" w:hint="eastAsia"/>
          <w:color w:val="000000"/>
          <w:sz w:val="32"/>
          <w:szCs w:val="32"/>
        </w:rPr>
        <w:t>优化</w:t>
      </w:r>
    </w:p>
    <w:p w:rsidR="00022F4D" w:rsidRDefault="00022F4D" w:rsidP="004F5554">
      <w:pPr>
        <w:topLinePunct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从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主要行业看，我区上半年占税收比重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前五位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的行业分别为房地产业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（49.1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%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、批发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零售业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（15.8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%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、现代服务业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（11.4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%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、建筑业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（7.3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%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）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、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制造业（6.2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%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）。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其中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，房地产业形成收入</w:t>
      </w:r>
      <w:r w:rsidRPr="008728D0">
        <w:rPr>
          <w:rFonts w:ascii="仿宋_GB2312" w:eastAsia="仿宋_GB2312" w:hAnsi="宋体" w:hint="eastAsia"/>
          <w:noProof/>
          <w:snapToGrid w:val="0"/>
          <w:color w:val="000000"/>
          <w:sz w:val="32"/>
          <w:szCs w:val="32"/>
        </w:rPr>
        <w:t>7.37亿元，同比增长20.3%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，仍然是我区财政收入的主要支撑，税源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结构依然单一</w:t>
      </w:r>
      <w:r w:rsidR="00033121" w:rsidRPr="008728D0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如剔除上述两个房地产项目土地增值税一次性清算收入因素，房地产业形成收入同比下降10.3%。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批发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和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零售业形成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收入2.37亿元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，同比增长</w:t>
      </w:r>
      <w:r w:rsidRPr="008728D0">
        <w:rPr>
          <w:rFonts w:ascii="仿宋_GB2312" w:eastAsia="仿宋_GB2312" w:hAnsi="宋体" w:hint="eastAsia"/>
          <w:color w:val="000000"/>
          <w:sz w:val="32"/>
          <w:szCs w:val="32"/>
        </w:rPr>
        <w:t>22.6</w:t>
      </w:r>
      <w:r w:rsidRPr="008728D0">
        <w:rPr>
          <w:rFonts w:ascii="仿宋_GB2312" w:eastAsia="仿宋_GB2312" w:hAnsi="宋体"/>
          <w:color w:val="000000"/>
          <w:sz w:val="32"/>
          <w:szCs w:val="32"/>
        </w:rPr>
        <w:t>%</w:t>
      </w:r>
      <w:r w:rsidR="006E2A04" w:rsidRPr="008728D0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表明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我区居民收入水平整体稳步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提升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，消费能力持续增强。现代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服务业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形成收入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1.71亿元，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同比增长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1.3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%，作为我区产业转型发展的重点行业，目前增势较缓，占比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仍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偏低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对区级财政收入拉动效果不</w:t>
      </w:r>
      <w:r w:rsidR="009C55EF" w:rsidRPr="008728D0">
        <w:rPr>
          <w:rFonts w:ascii="仿宋_GB2312" w:eastAsia="仿宋_GB2312" w:hAnsi="宋体" w:hint="eastAsia"/>
          <w:color w:val="000000"/>
          <w:sz w:val="32"/>
          <w:szCs w:val="32"/>
        </w:rPr>
        <w:t>明显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。建筑业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形成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收入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1.10亿元，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同比增长</w:t>
      </w:r>
      <w:r w:rsidR="000804CB" w:rsidRPr="008728D0">
        <w:rPr>
          <w:rFonts w:ascii="仿宋_GB2312" w:eastAsia="仿宋_GB2312" w:hAnsi="宋体" w:hint="eastAsia"/>
          <w:color w:val="000000"/>
          <w:sz w:val="32"/>
          <w:szCs w:val="32"/>
        </w:rPr>
        <w:t>25.5</w:t>
      </w:r>
      <w:r w:rsidR="000804CB" w:rsidRPr="008728D0">
        <w:rPr>
          <w:rFonts w:ascii="仿宋_GB2312" w:eastAsia="仿宋_GB2312" w:hAnsi="宋体"/>
          <w:color w:val="000000"/>
          <w:sz w:val="32"/>
          <w:szCs w:val="32"/>
        </w:rPr>
        <w:t>%</w:t>
      </w:r>
      <w:r w:rsidR="002E7C9E" w:rsidRPr="008728D0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2E7C9E" w:rsidRPr="008728D0">
        <w:rPr>
          <w:rFonts w:ascii="仿宋_GB2312" w:eastAsia="仿宋_GB2312" w:hAnsi="宋体"/>
          <w:color w:val="000000"/>
          <w:sz w:val="32"/>
          <w:szCs w:val="32"/>
        </w:rPr>
        <w:t>受政府投资工程及社会</w:t>
      </w:r>
      <w:r w:rsidR="002E7C9E" w:rsidRPr="008728D0">
        <w:rPr>
          <w:rFonts w:ascii="仿宋_GB2312" w:eastAsia="仿宋_GB2312" w:hAnsi="宋体" w:hint="eastAsia"/>
          <w:color w:val="000000"/>
          <w:sz w:val="32"/>
          <w:szCs w:val="32"/>
        </w:rPr>
        <w:t>资本</w:t>
      </w:r>
      <w:r w:rsidR="002E7C9E" w:rsidRPr="008728D0">
        <w:rPr>
          <w:rFonts w:ascii="仿宋_GB2312" w:eastAsia="仿宋_GB2312" w:hAnsi="宋体"/>
          <w:color w:val="000000"/>
          <w:sz w:val="32"/>
          <w:szCs w:val="32"/>
        </w:rPr>
        <w:t>投资工程</w:t>
      </w:r>
      <w:r w:rsidR="002E7C9E" w:rsidRPr="008728D0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 w:rsidR="002E7C9E" w:rsidRPr="008728D0">
        <w:rPr>
          <w:rFonts w:ascii="仿宋_GB2312" w:eastAsia="仿宋_GB2312" w:hAnsi="宋体"/>
          <w:color w:val="000000"/>
          <w:sz w:val="32"/>
          <w:szCs w:val="32"/>
        </w:rPr>
        <w:t>有效开展、建筑业属地纳税管控不断加强等因素影响，实现平稳增长</w:t>
      </w:r>
      <w:r w:rsidR="009C55EF" w:rsidRPr="008728D0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9C55EF" w:rsidRPr="008728D0">
        <w:rPr>
          <w:rFonts w:ascii="仿宋_GB2312" w:eastAsia="仿宋_GB2312" w:hAnsi="宋体"/>
          <w:color w:val="000000"/>
          <w:sz w:val="32"/>
          <w:szCs w:val="32"/>
        </w:rPr>
        <w:t>制造业形成收入</w:t>
      </w:r>
      <w:r w:rsidR="009C55EF" w:rsidRPr="008728D0">
        <w:rPr>
          <w:rFonts w:ascii="仿宋_GB2312" w:eastAsia="仿宋_GB2312" w:hAnsi="宋体" w:hint="eastAsia"/>
          <w:color w:val="000000"/>
          <w:sz w:val="32"/>
          <w:szCs w:val="32"/>
        </w:rPr>
        <w:t>0.93亿元，</w:t>
      </w:r>
      <w:r w:rsidR="009C55EF" w:rsidRPr="008728D0">
        <w:rPr>
          <w:rFonts w:ascii="仿宋_GB2312" w:eastAsia="仿宋_GB2312" w:hAnsi="宋体"/>
          <w:color w:val="000000"/>
          <w:sz w:val="32"/>
          <w:szCs w:val="32"/>
        </w:rPr>
        <w:t>同比增长</w:t>
      </w:r>
      <w:r w:rsidR="009C55EF" w:rsidRPr="008728D0">
        <w:rPr>
          <w:rFonts w:ascii="仿宋_GB2312" w:eastAsia="仿宋_GB2312" w:hAnsi="宋体" w:hint="eastAsia"/>
          <w:color w:val="000000"/>
          <w:sz w:val="32"/>
          <w:szCs w:val="32"/>
        </w:rPr>
        <w:t>54.5</w:t>
      </w:r>
      <w:r w:rsidR="009C55EF" w:rsidRPr="008728D0">
        <w:rPr>
          <w:rFonts w:ascii="仿宋_GB2312" w:eastAsia="仿宋_GB2312" w:hAnsi="宋体"/>
          <w:color w:val="000000"/>
          <w:sz w:val="32"/>
          <w:szCs w:val="32"/>
        </w:rPr>
        <w:t>%，主要由于精雕科技</w:t>
      </w:r>
      <w:r w:rsidR="009C55EF" w:rsidRPr="008728D0">
        <w:rPr>
          <w:rFonts w:ascii="仿宋_GB2312" w:eastAsia="仿宋_GB2312" w:hAnsi="宋体" w:hint="eastAsia"/>
          <w:color w:val="000000"/>
          <w:sz w:val="32"/>
          <w:szCs w:val="32"/>
        </w:rPr>
        <w:t>等制造企业</w:t>
      </w:r>
      <w:r w:rsidR="009C55EF" w:rsidRPr="008728D0">
        <w:rPr>
          <w:rFonts w:ascii="仿宋_GB2312" w:eastAsia="仿宋_GB2312" w:hAnsi="宋体"/>
          <w:color w:val="000000"/>
          <w:sz w:val="32"/>
          <w:szCs w:val="32"/>
        </w:rPr>
        <w:t>订单增加</w:t>
      </w:r>
      <w:r w:rsidR="009C55EF" w:rsidRPr="008728D0">
        <w:rPr>
          <w:rFonts w:ascii="仿宋_GB2312" w:eastAsia="仿宋_GB2312" w:hAnsi="宋体" w:hint="eastAsia"/>
          <w:color w:val="000000"/>
          <w:sz w:val="32"/>
          <w:szCs w:val="32"/>
        </w:rPr>
        <w:t>，</w:t>
      </w:r>
      <w:r w:rsidR="009C55EF" w:rsidRPr="008728D0">
        <w:rPr>
          <w:rFonts w:ascii="仿宋_GB2312" w:eastAsia="仿宋_GB2312" w:hAnsi="宋体"/>
          <w:color w:val="000000"/>
          <w:sz w:val="32"/>
          <w:szCs w:val="32"/>
        </w:rPr>
        <w:t>带动制造业实现增收。</w:t>
      </w:r>
    </w:p>
    <w:p w:rsidR="006B6D8F" w:rsidRPr="004F5554" w:rsidRDefault="004F5554" w:rsidP="004F5554">
      <w:pPr>
        <w:topLinePunct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(</w:t>
      </w:r>
      <w:r w:rsidR="006B6D8F" w:rsidRPr="004F5554">
        <w:rPr>
          <w:rFonts w:ascii="楷体_GB2312" w:eastAsia="楷体_GB2312" w:hAnsi="宋体" w:hint="eastAsia"/>
          <w:color w:val="000000"/>
          <w:sz w:val="32"/>
          <w:szCs w:val="32"/>
        </w:rPr>
        <w:t>三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)</w:t>
      </w:r>
      <w:r w:rsidR="006B6D8F" w:rsidRPr="004F5554">
        <w:rPr>
          <w:rFonts w:ascii="楷体_GB2312" w:eastAsia="楷体_GB2312" w:hAnsi="宋体" w:hint="eastAsia"/>
          <w:color w:val="000000"/>
          <w:sz w:val="32"/>
          <w:szCs w:val="32"/>
        </w:rPr>
        <w:t>全区招商引资收入增长，但税源质量有待提升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上半年，全区新招引企业税收收入8,161万元，较上年同期增加7,395万元，增长964.7%。其中，石龙开发区新招引企业形成收入6,458万元，占全区新招引企业形成收入的79.1%，较上年同期增加6,227万元；各镇街新招引企业形成收入1,703万元，占全区新招引企业形成收入的20.9%，较上年同期增加1,168万元。虽然上半年招商引资企业收入较去年同期大幅增长，但主要为绿城投资公司股权转让一次性收入5,309万元拉动，且区级收入50万元以上企业仅为9家。可以看出，我区近年来的招商引资尚未形成稳定的有效税源，招商引资企业质量有待提高。</w:t>
      </w:r>
    </w:p>
    <w:p w:rsidR="006B6D8F" w:rsidRPr="004F5554" w:rsidRDefault="004F5554" w:rsidP="004F5554">
      <w:pPr>
        <w:topLinePunct/>
        <w:adjustRightInd w:val="0"/>
        <w:snapToGrid w:val="0"/>
        <w:spacing w:line="540" w:lineRule="exact"/>
        <w:ind w:firstLineChars="200" w:firstLine="640"/>
        <w:rPr>
          <w:rFonts w:ascii="楷体_GB2312" w:eastAsia="楷体_GB2312" w:hAnsi="仿宋" w:cs="宋体"/>
          <w:kern w:val="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(</w:t>
      </w:r>
      <w:r w:rsidR="006B6D8F" w:rsidRPr="004F5554">
        <w:rPr>
          <w:rFonts w:ascii="楷体_GB2312" w:eastAsia="楷体_GB2312" w:hAnsi="宋体" w:hint="eastAsia"/>
          <w:color w:val="000000"/>
          <w:sz w:val="32"/>
          <w:szCs w:val="32"/>
        </w:rPr>
        <w:t>四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)</w:t>
      </w:r>
      <w:r w:rsidR="006B6D8F" w:rsidRPr="004F5554">
        <w:rPr>
          <w:rFonts w:ascii="楷体_GB2312" w:eastAsia="楷体_GB2312" w:hAnsi="宋体" w:hint="eastAsia"/>
          <w:color w:val="000000"/>
          <w:sz w:val="32"/>
          <w:szCs w:val="32"/>
        </w:rPr>
        <w:t>土地出让收入与年初预算偏离较大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今年以来，受全市土地上市政策调控影响，我区土地上市进</w:t>
      </w: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度减缓，且目前已上市3个项目成交价均低于预期，较年初预计收益减少15亿元。综合研判当前土地上市调控形势，下半年我区土地出让收入存在极大的不确定性。如下半年再无其他地块上市或上市较晚当年不能返还收益，将导致我区政府性基金预算全年收入任务无法完成，预算支出缺口大幅增加，财政收支平衡面临较大困难。</w:t>
      </w:r>
    </w:p>
    <w:p w:rsidR="006B6D8F" w:rsidRPr="004F5554" w:rsidRDefault="006B6D8F" w:rsidP="004F5554">
      <w:pPr>
        <w:topLinePunct/>
        <w:adjustRightInd w:val="0"/>
        <w:snapToGrid w:val="0"/>
        <w:spacing w:line="540" w:lineRule="exact"/>
        <w:ind w:firstLineChars="200" w:firstLine="640"/>
        <w:rPr>
          <w:rFonts w:ascii="黑体" w:eastAsia="黑体" w:hAnsi="黑体" w:cs="宋体"/>
          <w:snapToGrid w:val="0"/>
          <w:kern w:val="0"/>
          <w:sz w:val="32"/>
          <w:szCs w:val="32"/>
        </w:rPr>
      </w:pPr>
      <w:r w:rsidRPr="004F5554">
        <w:rPr>
          <w:rFonts w:ascii="黑体" w:eastAsia="黑体" w:hAnsi="黑体" w:hint="eastAsia"/>
          <w:noProof/>
          <w:snapToGrid w:val="0"/>
          <w:sz w:val="32"/>
          <w:szCs w:val="32"/>
        </w:rPr>
        <w:t>二、支出预算执行的基本情况</w:t>
      </w:r>
    </w:p>
    <w:p w:rsidR="006B6D8F" w:rsidRPr="004F5554" w:rsidRDefault="006B6D8F" w:rsidP="004F5554">
      <w:pPr>
        <w:spacing w:line="540" w:lineRule="exact"/>
        <w:ind w:firstLine="573"/>
        <w:rPr>
          <w:rFonts w:ascii="仿宋_GB2312" w:eastAsia="仿宋_GB2312" w:hAnsi="宋体"/>
          <w:color w:val="000000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上半年，全区一般公共预算支出48.81亿元，同比增长11.29%，完成年度预算的63.3%；政府性基金预算支出65.22亿元，同比增长57.7%，完成年度预算的122.7%;由于上半年国有资本经营预算未形成收入，国有资本经营预算未安排支出；社保基金预算支出1.07亿元，同比增长12.6%，其中：城乡居民养老保险基金支出8,629万元，同比增长19.6%，完成年度预算的42.5%，新型农村合作医疗基金支出2,096万元，同比下降9.1%，完成年度预算的141.1%。主要支出如下。</w:t>
      </w:r>
    </w:p>
    <w:p w:rsidR="006B6D8F" w:rsidRPr="004F5554" w:rsidRDefault="004F5554" w:rsidP="004F5554">
      <w:pPr>
        <w:spacing w:line="540" w:lineRule="exact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int="eastAsia"/>
          <w:bCs/>
          <w:sz w:val="32"/>
          <w:szCs w:val="32"/>
        </w:rPr>
        <w:t>(</w:t>
      </w:r>
      <w:r w:rsidR="006B6D8F" w:rsidRPr="004F5554">
        <w:rPr>
          <w:rFonts w:ascii="楷体_GB2312" w:eastAsia="楷体_GB2312" w:hint="eastAsia"/>
          <w:bCs/>
          <w:sz w:val="32"/>
          <w:szCs w:val="32"/>
        </w:rPr>
        <w:t>一</w:t>
      </w:r>
      <w:r>
        <w:rPr>
          <w:rFonts w:ascii="楷体_GB2312" w:eastAsia="楷体_GB2312" w:hint="eastAsia"/>
          <w:bCs/>
          <w:sz w:val="32"/>
          <w:szCs w:val="32"/>
        </w:rPr>
        <w:t>)</w:t>
      </w:r>
      <w:r w:rsidR="006B6D8F" w:rsidRPr="004F5554">
        <w:rPr>
          <w:rFonts w:ascii="楷体_GB2312" w:eastAsia="楷体_GB2312" w:hint="eastAsia"/>
          <w:bCs/>
          <w:sz w:val="32"/>
          <w:szCs w:val="32"/>
        </w:rPr>
        <w:t>重点保障棚改和土储项目顺利推进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统筹财力重点保障棚户区改造、土储项目等重点工程资金需求。上半年，</w:t>
      </w:r>
      <w:r w:rsidRPr="004F5554">
        <w:rPr>
          <w:rFonts w:ascii="仿宋_GB2312" w:eastAsia="仿宋_GB2312" w:hAnsi="宋体" w:hint="eastAsia"/>
          <w:b/>
          <w:color w:val="000000"/>
          <w:sz w:val="32"/>
          <w:szCs w:val="32"/>
        </w:rPr>
        <w:t>棚改</w:t>
      </w: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方向投入资金</w:t>
      </w:r>
      <w:r w:rsidRPr="004F5554">
        <w:rPr>
          <w:rFonts w:ascii="仿宋_GB2312" w:eastAsia="仿宋_GB2312" w:hint="eastAsia"/>
          <w:sz w:val="32"/>
          <w:szCs w:val="32"/>
        </w:rPr>
        <w:t>26.45亿元，重点用于安置房回购及建设、棚改项目还本付息等支出。</w:t>
      </w:r>
      <w:r w:rsidRPr="004F5554">
        <w:rPr>
          <w:rFonts w:ascii="仿宋_GB2312" w:eastAsia="仿宋_GB2312" w:hint="eastAsia"/>
          <w:b/>
          <w:sz w:val="32"/>
          <w:szCs w:val="32"/>
        </w:rPr>
        <w:t>土储</w:t>
      </w:r>
      <w:r w:rsidRPr="004F5554">
        <w:rPr>
          <w:rFonts w:ascii="仿宋_GB2312" w:eastAsia="仿宋_GB2312" w:hint="eastAsia"/>
          <w:sz w:val="32"/>
          <w:szCs w:val="32"/>
        </w:rPr>
        <w:t>方向投入50.76亿元，重点用于</w:t>
      </w:r>
      <w:r w:rsidRPr="004F5554">
        <w:rPr>
          <w:rFonts w:ascii="仿宋_GB2312" w:eastAsia="仿宋_GB2312" w:hint="eastAsia"/>
          <w:color w:val="000000"/>
          <w:sz w:val="32"/>
          <w:szCs w:val="32"/>
        </w:rPr>
        <w:t>门头沟区永定镇苛罗坨、秋坡、石佛村土地一级开发成本返还</w:t>
      </w:r>
      <w:r w:rsidRPr="004F5554">
        <w:rPr>
          <w:rFonts w:ascii="仿宋_GB2312" w:eastAsia="仿宋_GB2312" w:hint="eastAsia"/>
          <w:sz w:val="32"/>
          <w:szCs w:val="32"/>
        </w:rPr>
        <w:t>等支出</w:t>
      </w: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6B6D8F" w:rsidRPr="004F5554" w:rsidRDefault="004F5554" w:rsidP="004F5554">
      <w:pPr>
        <w:spacing w:line="540" w:lineRule="exact"/>
        <w:ind w:firstLineChars="200" w:firstLine="640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(</w:t>
      </w:r>
      <w:r w:rsidR="006B6D8F" w:rsidRPr="004F5554">
        <w:rPr>
          <w:rFonts w:ascii="楷体_GB2312" w:eastAsia="楷体_GB2312" w:hAnsi="宋体" w:cs="宋体" w:hint="eastAsia"/>
          <w:color w:val="000000"/>
          <w:sz w:val="32"/>
          <w:szCs w:val="32"/>
        </w:rPr>
        <w:t>二</w:t>
      </w:r>
      <w:r>
        <w:rPr>
          <w:rFonts w:ascii="楷体_GB2312" w:eastAsia="楷体_GB2312" w:hAnsi="宋体" w:cs="宋体" w:hint="eastAsia"/>
          <w:color w:val="000000"/>
          <w:sz w:val="32"/>
          <w:szCs w:val="32"/>
        </w:rPr>
        <w:t>)</w:t>
      </w:r>
      <w:r w:rsidR="006B6D8F" w:rsidRPr="004F5554">
        <w:rPr>
          <w:rFonts w:ascii="楷体_GB2312" w:eastAsia="楷体_GB2312" w:hAnsi="宋体" w:cs="宋体" w:hint="eastAsia"/>
          <w:color w:val="000000"/>
          <w:sz w:val="32"/>
          <w:szCs w:val="32"/>
        </w:rPr>
        <w:t>全力</w:t>
      </w:r>
      <w:r w:rsidR="006B6D8F" w:rsidRPr="004F5554">
        <w:rPr>
          <w:rFonts w:ascii="楷体_GB2312" w:eastAsia="楷体_GB2312" w:hAnsi="楷体" w:cs="宋体" w:hint="eastAsia"/>
          <w:color w:val="000000"/>
          <w:sz w:val="32"/>
          <w:szCs w:val="32"/>
        </w:rPr>
        <w:t>支持城乡环</w:t>
      </w:r>
      <w:r w:rsidR="006B6D8F" w:rsidRPr="004F5554">
        <w:rPr>
          <w:rFonts w:ascii="楷体_GB2312" w:eastAsia="楷体_GB2312" w:hAnsi="宋体" w:cs="宋体" w:hint="eastAsia"/>
          <w:color w:val="000000"/>
          <w:sz w:val="32"/>
          <w:szCs w:val="32"/>
        </w:rPr>
        <w:t>境和基础设施建设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F5554">
        <w:rPr>
          <w:rFonts w:ascii="仿宋_GB2312" w:eastAsia="仿宋_GB2312" w:hint="eastAsia"/>
          <w:color w:val="000000"/>
          <w:sz w:val="32"/>
          <w:szCs w:val="32"/>
        </w:rPr>
        <w:t>投入7,905万元用于“疏解整治促提升”专项行动，推动非</w:t>
      </w:r>
      <w:r w:rsidRPr="004F5554">
        <w:rPr>
          <w:rFonts w:ascii="仿宋_GB2312" w:eastAsia="仿宋_GB2312" w:hint="eastAsia"/>
          <w:color w:val="000000"/>
          <w:sz w:val="32"/>
          <w:szCs w:val="32"/>
        </w:rPr>
        <w:lastRenderedPageBreak/>
        <w:t>首都功能疏解，促进产业结构优化升级。投入24.63亿元用于提前偿还京西鑫融债务、农村污水管网建设工程、门头沟新城35千伏石器线和营门线电力隧道工程、采空棚户区市政配套工程等城乡公共设施建设，以及33项历史遗留问题等征地和拆迁补偿支出。投入2.73亿元用于城市景观提升、垃圾处理、道路保洁、公共卫生间管理等城乡环境卫生支出。</w:t>
      </w:r>
    </w:p>
    <w:p w:rsidR="006B6D8F" w:rsidRPr="004F5554" w:rsidRDefault="004F5554" w:rsidP="004F5554">
      <w:pPr>
        <w:spacing w:line="540" w:lineRule="exact"/>
        <w:ind w:firstLineChars="200" w:firstLine="640"/>
        <w:rPr>
          <w:rFonts w:ascii="楷体_GB2312" w:eastAsia="楷体_GB2312" w:hAnsi="宋体" w:cs="宋体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color w:val="000000"/>
          <w:sz w:val="32"/>
          <w:szCs w:val="32"/>
        </w:rPr>
        <w:t>(</w:t>
      </w:r>
      <w:r w:rsidR="006B6D8F" w:rsidRPr="004F5554">
        <w:rPr>
          <w:rFonts w:ascii="楷体_GB2312" w:eastAsia="楷体_GB2312" w:hAnsi="宋体" w:cs="宋体" w:hint="eastAsia"/>
          <w:color w:val="000000"/>
          <w:sz w:val="32"/>
          <w:szCs w:val="32"/>
        </w:rPr>
        <w:t>三</w:t>
      </w:r>
      <w:r>
        <w:rPr>
          <w:rFonts w:ascii="楷体_GB2312" w:eastAsia="楷体_GB2312" w:hAnsi="宋体" w:cs="宋体" w:hint="eastAsia"/>
          <w:color w:val="000000"/>
          <w:sz w:val="32"/>
          <w:szCs w:val="32"/>
        </w:rPr>
        <w:t>)</w:t>
      </w:r>
      <w:r w:rsidR="006B6D8F" w:rsidRPr="004F5554">
        <w:rPr>
          <w:rFonts w:ascii="楷体_GB2312" w:eastAsia="楷体_GB2312" w:hAnsi="宋体" w:cs="宋体" w:hint="eastAsia"/>
          <w:color w:val="000000"/>
          <w:sz w:val="32"/>
          <w:szCs w:val="32"/>
        </w:rPr>
        <w:t>协同推进产业转型升级和生态环境建设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/>
          <w:snapToGrid w:val="0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进一步优化营商环境，投入2.68亿元用于重大贡献企业奖励及“门创30条”政策扶持，</w:t>
      </w:r>
      <w:r w:rsidRPr="004F5554">
        <w:rPr>
          <w:rFonts w:ascii="仿宋_GB2312" w:eastAsia="仿宋_GB2312" w:hint="eastAsia"/>
          <w:snapToGrid w:val="0"/>
          <w:sz w:val="32"/>
          <w:szCs w:val="32"/>
        </w:rPr>
        <w:t>积极培育高新技术产业项目落地。</w:t>
      </w: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投入6,250万元用于旅游宣传、传统村落旅游标识、京西商旅古道基础设施建设、智慧旅游项目等支出，切实推动旅游文化休闲产业全域发展。</w:t>
      </w:r>
      <w:r w:rsidRPr="004F5554">
        <w:rPr>
          <w:rFonts w:ascii="仿宋_GB2312" w:eastAsia="仿宋_GB2312" w:hint="eastAsia"/>
          <w:snapToGrid w:val="0"/>
          <w:sz w:val="32"/>
          <w:szCs w:val="32"/>
        </w:rPr>
        <w:t>投入12.98亿元，用于美丽乡村建设、</w:t>
      </w: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促进低收入农户增收及低收入村发展、险村险户搬迁、平原造林、生态公益林、河湖管护等农林水支出。投入2.63亿元用于京津风沙源治理、</w:t>
      </w:r>
      <w:r w:rsidRPr="004F5554">
        <w:rPr>
          <w:rFonts w:ascii="仿宋_GB2312" w:eastAsia="仿宋_GB2312" w:hAnsi="Calibri" w:hint="eastAsia"/>
          <w:sz w:val="32"/>
          <w:szCs w:val="32"/>
        </w:rPr>
        <w:t>“减煤换煤、清洁空气”行动计划</w:t>
      </w: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等节能环保支出，全力支持城乡生态环境综合治理。</w:t>
      </w:r>
    </w:p>
    <w:p w:rsidR="006B6D8F" w:rsidRPr="004F5554" w:rsidRDefault="004F5554" w:rsidP="004F5554">
      <w:pPr>
        <w:spacing w:line="540" w:lineRule="exact"/>
        <w:ind w:firstLineChars="200" w:firstLine="640"/>
        <w:rPr>
          <w:rFonts w:ascii="楷体_GB2312" w:eastAsia="楷体_GB2312" w:hAnsi="宋体"/>
          <w:color w:val="000000"/>
          <w:sz w:val="32"/>
          <w:szCs w:val="32"/>
        </w:rPr>
      </w:pPr>
      <w:r>
        <w:rPr>
          <w:rFonts w:ascii="楷体_GB2312" w:eastAsia="楷体_GB2312" w:hAnsi="宋体" w:hint="eastAsia"/>
          <w:color w:val="000000"/>
          <w:sz w:val="32"/>
          <w:szCs w:val="32"/>
        </w:rPr>
        <w:t>(</w:t>
      </w:r>
      <w:r w:rsidR="006B6D8F" w:rsidRPr="004F5554">
        <w:rPr>
          <w:rFonts w:ascii="楷体_GB2312" w:eastAsia="楷体_GB2312" w:hAnsi="宋体" w:hint="eastAsia"/>
          <w:color w:val="000000"/>
          <w:sz w:val="32"/>
          <w:szCs w:val="32"/>
        </w:rPr>
        <w:t>四</w:t>
      </w:r>
      <w:r>
        <w:rPr>
          <w:rFonts w:ascii="楷体_GB2312" w:eastAsia="楷体_GB2312" w:hAnsi="宋体" w:hint="eastAsia"/>
          <w:color w:val="000000"/>
          <w:sz w:val="32"/>
          <w:szCs w:val="32"/>
        </w:rPr>
        <w:t>)</w:t>
      </w:r>
      <w:r w:rsidR="006B6D8F" w:rsidRPr="004F5554">
        <w:rPr>
          <w:rFonts w:ascii="楷体_GB2312" w:eastAsia="楷体_GB2312" w:hAnsi="宋体" w:hint="eastAsia"/>
          <w:color w:val="000000"/>
          <w:sz w:val="32"/>
          <w:szCs w:val="32"/>
        </w:rPr>
        <w:t>着力</w:t>
      </w:r>
      <w:r w:rsidR="006B6D8F" w:rsidRPr="004F5554">
        <w:rPr>
          <w:rFonts w:ascii="楷体_GB2312" w:eastAsia="楷体_GB2312" w:hAnsi="宋体" w:cs="宋体" w:hint="eastAsia"/>
          <w:color w:val="000000"/>
          <w:sz w:val="32"/>
          <w:szCs w:val="32"/>
        </w:rPr>
        <w:t>提高民生保障和服务水平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教育方面投入4.94亿元，重点支持中小学信息化建设、校舍修缮改造及学前教育第三期行动计划等支出。文化体育方面投入1.56亿元，主要用于区体育文化中心建设、永定河文化节、文物及古村落保护及基层公共文化建设等支出。社会保障和就业方面投入6.98亿元，主要用于城乡居民养老保险、城市最低生活保障金、残疾人生活补助、京西老年公寓养老设施建设等方面</w:t>
      </w: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支出。医疗卫生方面投入2.39亿元，</w:t>
      </w:r>
      <w:r w:rsidRPr="004F5554">
        <w:rPr>
          <w:rFonts w:ascii="仿宋_GB2312" w:eastAsia="仿宋_GB2312" w:hAnsi="华文中宋" w:hint="eastAsia"/>
          <w:snapToGrid w:val="0"/>
          <w:sz w:val="32"/>
          <w:szCs w:val="32"/>
        </w:rPr>
        <w:t>主要用于城乡居民基本医疗保险、公立医院试点改革及基层医疗卫生机构建设支出。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黑体" w:eastAsia="黑体" w:hAnsi="黑体" w:cs="宋体"/>
          <w:noProof/>
          <w:snapToGrid w:val="0"/>
          <w:kern w:val="0"/>
          <w:sz w:val="32"/>
          <w:szCs w:val="32"/>
        </w:rPr>
      </w:pPr>
      <w:r w:rsidRPr="004F5554">
        <w:rPr>
          <w:rFonts w:ascii="黑体" w:eastAsia="黑体" w:hAnsi="黑体" w:cs="宋体" w:hint="eastAsia"/>
          <w:noProof/>
          <w:snapToGrid w:val="0"/>
          <w:kern w:val="0"/>
          <w:sz w:val="32"/>
          <w:szCs w:val="32"/>
        </w:rPr>
        <w:t>三、预算收支管理需关注的问题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4F5554">
        <w:rPr>
          <w:rFonts w:ascii="仿宋_GB2312" w:eastAsia="仿宋_GB2312" w:hAnsi="宋体" w:hint="eastAsia"/>
          <w:color w:val="000000"/>
          <w:sz w:val="32"/>
          <w:szCs w:val="32"/>
        </w:rPr>
        <w:t>从执行情况看，上半年财政收支运行总体平稳，但在财政管理工作中仍存在一些问题。</w:t>
      </w:r>
    </w:p>
    <w:p w:rsidR="006B6D8F" w:rsidRPr="004F5554" w:rsidRDefault="004F5554" w:rsidP="004F5554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</w:t>
      </w:r>
      <w:r w:rsidR="006B6D8F" w:rsidRPr="004F5554">
        <w:rPr>
          <w:rFonts w:ascii="楷体_GB2312" w:eastAsia="楷体_GB2312" w:hint="eastAsia"/>
          <w:sz w:val="32"/>
          <w:szCs w:val="32"/>
        </w:rPr>
        <w:t>一</w:t>
      </w:r>
      <w:r>
        <w:rPr>
          <w:rFonts w:ascii="楷体_GB2312" w:eastAsia="楷体_GB2312" w:hint="eastAsia"/>
          <w:sz w:val="32"/>
          <w:szCs w:val="32"/>
        </w:rPr>
        <w:t>)</w:t>
      </w:r>
      <w:r w:rsidR="006B6D8F" w:rsidRPr="004F5554">
        <w:rPr>
          <w:rFonts w:ascii="楷体_GB2312" w:eastAsia="楷体_GB2312" w:hint="eastAsia"/>
          <w:sz w:val="32"/>
          <w:szCs w:val="32"/>
        </w:rPr>
        <w:t>财政收支平衡压力较大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F5554">
        <w:rPr>
          <w:rFonts w:ascii="仿宋_GB2312" w:eastAsia="仿宋_GB2312" w:hint="eastAsia"/>
          <w:color w:val="000000"/>
          <w:sz w:val="32"/>
          <w:szCs w:val="32"/>
        </w:rPr>
        <w:t>受全市土地上市政策调控影响，我区土地上市不确定性因素增加，全年土地收入面临减收风险，政府性基金预算平衡压力进一步加大。</w:t>
      </w:r>
    </w:p>
    <w:p w:rsidR="006B6D8F" w:rsidRPr="004F5554" w:rsidRDefault="004F5554" w:rsidP="004F5554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</w:t>
      </w:r>
      <w:r w:rsidR="006B6D8F" w:rsidRPr="004F5554">
        <w:rPr>
          <w:rFonts w:ascii="楷体_GB2312" w:eastAsia="楷体_GB2312" w:hint="eastAsia"/>
          <w:sz w:val="32"/>
          <w:szCs w:val="32"/>
        </w:rPr>
        <w:t>二</w:t>
      </w:r>
      <w:r>
        <w:rPr>
          <w:rFonts w:ascii="楷体_GB2312" w:eastAsia="楷体_GB2312" w:hint="eastAsia"/>
          <w:sz w:val="32"/>
          <w:szCs w:val="32"/>
        </w:rPr>
        <w:t>)</w:t>
      </w:r>
      <w:r w:rsidR="006B6D8F" w:rsidRPr="004F5554">
        <w:rPr>
          <w:rFonts w:ascii="楷体_GB2312" w:eastAsia="楷体_GB2312" w:hint="eastAsia"/>
          <w:sz w:val="32"/>
          <w:szCs w:val="32"/>
        </w:rPr>
        <w:t>预算执行管理仍需进一步强化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F5554">
        <w:rPr>
          <w:rFonts w:ascii="仿宋_GB2312" w:eastAsia="仿宋_GB2312" w:hint="eastAsia"/>
          <w:color w:val="000000"/>
          <w:sz w:val="32"/>
          <w:szCs w:val="32"/>
        </w:rPr>
        <w:t>上半年，预算执行与市级绩效考核要求还存在一定差距，主要表现在：中央及市级转移支付资金支出进度与时间进度偏离加大，特别是农林水类项目支出较慢。</w:t>
      </w:r>
    </w:p>
    <w:p w:rsidR="006B6D8F" w:rsidRPr="004F5554" w:rsidRDefault="004F5554" w:rsidP="004F5554">
      <w:pPr>
        <w:spacing w:line="540" w:lineRule="exact"/>
        <w:ind w:firstLineChars="200" w:firstLine="640"/>
        <w:rPr>
          <w:rFonts w:ascii="楷体_GB2312" w:eastAsia="楷体_GB2312" w:hAnsi="楷体"/>
          <w:color w:val="000000"/>
          <w:sz w:val="32"/>
          <w:szCs w:val="32"/>
        </w:rPr>
      </w:pPr>
      <w:r>
        <w:rPr>
          <w:rFonts w:ascii="楷体_GB2312" w:eastAsia="楷体_GB2312" w:hAnsi="楷体" w:hint="eastAsia"/>
          <w:color w:val="000000"/>
          <w:sz w:val="32"/>
          <w:szCs w:val="32"/>
        </w:rPr>
        <w:t>(</w:t>
      </w:r>
      <w:r w:rsidR="006B6D8F" w:rsidRPr="004F5554">
        <w:rPr>
          <w:rFonts w:ascii="楷体_GB2312" w:eastAsia="楷体_GB2312" w:hAnsi="楷体" w:hint="eastAsia"/>
          <w:color w:val="000000"/>
          <w:sz w:val="32"/>
          <w:szCs w:val="32"/>
        </w:rPr>
        <w:t>三</w:t>
      </w:r>
      <w:r>
        <w:rPr>
          <w:rFonts w:ascii="楷体_GB2312" w:eastAsia="楷体_GB2312" w:hAnsi="楷体" w:hint="eastAsia"/>
          <w:color w:val="000000"/>
          <w:sz w:val="32"/>
          <w:szCs w:val="32"/>
        </w:rPr>
        <w:t>)</w:t>
      </w:r>
      <w:r w:rsidR="006B6D8F" w:rsidRPr="004F5554">
        <w:rPr>
          <w:rFonts w:ascii="楷体_GB2312" w:eastAsia="楷体_GB2312" w:hAnsi="楷体" w:hint="eastAsia"/>
          <w:color w:val="000000"/>
          <w:sz w:val="32"/>
          <w:szCs w:val="32"/>
        </w:rPr>
        <w:t>单位预算管理及财务基础工作水平亟需提高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F5554">
        <w:rPr>
          <w:rFonts w:ascii="仿宋_GB2312" w:eastAsia="仿宋_GB2312" w:hint="eastAsia"/>
          <w:color w:val="000000"/>
          <w:sz w:val="32"/>
          <w:szCs w:val="32"/>
        </w:rPr>
        <w:t>通过财政监督检查及审计发现，目前我区部分预算单位还存在项目预算编制细化程度不够、经济科目调整频繁、财政资金超范围支出等问题，反映出部分预算单位管理主体责任意识不强，财务管理基础工作弱化，财务管理和预算管理水平亟需提高。</w:t>
      </w:r>
    </w:p>
    <w:p w:rsidR="006B6D8F" w:rsidRPr="004F5554" w:rsidRDefault="006B6D8F" w:rsidP="004F5554">
      <w:pPr>
        <w:overflowPunct w:val="0"/>
        <w:spacing w:line="540" w:lineRule="exact"/>
        <w:ind w:firstLineChars="200" w:firstLine="640"/>
        <w:rPr>
          <w:rFonts w:ascii="黑体" w:eastAsia="黑体" w:hAnsi="黑体" w:cs="宋体"/>
          <w:noProof/>
          <w:snapToGrid w:val="0"/>
          <w:kern w:val="0"/>
          <w:sz w:val="32"/>
          <w:szCs w:val="32"/>
        </w:rPr>
      </w:pPr>
      <w:r w:rsidRPr="004F5554">
        <w:rPr>
          <w:rFonts w:ascii="黑体" w:eastAsia="黑体" w:hAnsi="黑体" w:cs="宋体" w:hint="eastAsia"/>
          <w:noProof/>
          <w:snapToGrid w:val="0"/>
          <w:kern w:val="0"/>
          <w:sz w:val="32"/>
          <w:szCs w:val="32"/>
        </w:rPr>
        <w:t>四、下半年主要工作</w:t>
      </w:r>
    </w:p>
    <w:p w:rsidR="006B6D8F" w:rsidRPr="004F5554" w:rsidRDefault="004F5554" w:rsidP="004F5554">
      <w:pPr>
        <w:widowControl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</w:t>
      </w:r>
      <w:r w:rsidR="006B6D8F" w:rsidRPr="004F5554">
        <w:rPr>
          <w:rFonts w:ascii="楷体_GB2312" w:eastAsia="楷体_GB2312" w:hint="eastAsia"/>
          <w:sz w:val="32"/>
          <w:szCs w:val="32"/>
        </w:rPr>
        <w:t>一</w:t>
      </w:r>
      <w:r>
        <w:rPr>
          <w:rFonts w:ascii="楷体_GB2312" w:eastAsia="楷体_GB2312" w:hint="eastAsia"/>
          <w:sz w:val="32"/>
          <w:szCs w:val="32"/>
        </w:rPr>
        <w:t>)</w:t>
      </w:r>
      <w:r w:rsidR="006B6D8F" w:rsidRPr="004F5554">
        <w:rPr>
          <w:rFonts w:ascii="楷体_GB2312" w:eastAsia="楷体_GB2312" w:hint="eastAsia"/>
          <w:sz w:val="32"/>
          <w:szCs w:val="32"/>
        </w:rPr>
        <w:t>努力完成政府基金预算收入任务</w:t>
      </w:r>
    </w:p>
    <w:p w:rsidR="006B6D8F" w:rsidRPr="004F5554" w:rsidRDefault="006B6D8F" w:rsidP="004F5554">
      <w:pPr>
        <w:widowControl/>
        <w:spacing w:line="540" w:lineRule="exact"/>
        <w:ind w:firstLineChars="200" w:firstLine="640"/>
        <w:rPr>
          <w:rFonts w:ascii="仿宋_GB2312" w:eastAsia="仿宋_GB2312"/>
          <w:snapToGrid w:val="0"/>
          <w:kern w:val="32"/>
          <w:sz w:val="32"/>
          <w:szCs w:val="32"/>
        </w:rPr>
      </w:pPr>
      <w:r w:rsidRPr="004F5554">
        <w:rPr>
          <w:rFonts w:ascii="仿宋_GB2312" w:eastAsia="仿宋_GB2312" w:hint="eastAsia"/>
          <w:sz w:val="32"/>
          <w:szCs w:val="32"/>
        </w:rPr>
        <w:t>针对土地调控政策，积极协调国土部门研究</w:t>
      </w:r>
      <w:r w:rsidRPr="004F5554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解决土地上市</w:t>
      </w:r>
      <w:r w:rsidRPr="004F555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面临的</w:t>
      </w:r>
      <w:r w:rsidRPr="004F5554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各项难题，</w:t>
      </w:r>
      <w:r w:rsidRPr="004F555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下半年力争实现地块上市并在当年形成收益，做好土地上市储备工作。做好减收风险应对，及早研究平衡收支方</w:t>
      </w:r>
      <w:r w:rsidRPr="004F5554">
        <w:rPr>
          <w:rFonts w:ascii="仿宋_GB2312" w:eastAsia="仿宋_GB2312" w:hAnsi="仿宋_GB2312" w:cs="仿宋_GB2312" w:hint="eastAsia"/>
          <w:sz w:val="32"/>
          <w:szCs w:val="32"/>
          <w:lang w:val="zh-TW"/>
        </w:rPr>
        <w:lastRenderedPageBreak/>
        <w:t>案，控制本年基金预算支出，降低政府性基金预算收支平衡风险</w:t>
      </w:r>
      <w:r w:rsidRPr="004F5554">
        <w:rPr>
          <w:rFonts w:ascii="仿宋_GB2312" w:eastAsia="仿宋_GB2312" w:hAnsi="仿宋_GB2312" w:cs="仿宋_GB2312" w:hint="eastAsia"/>
          <w:sz w:val="32"/>
          <w:szCs w:val="32"/>
          <w:lang w:val="zh-TW" w:eastAsia="zh-TW"/>
        </w:rPr>
        <w:t>。</w:t>
      </w:r>
    </w:p>
    <w:p w:rsidR="006B6D8F" w:rsidRPr="004F5554" w:rsidRDefault="004F5554" w:rsidP="004F5554">
      <w:pPr>
        <w:widowControl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</w:t>
      </w:r>
      <w:r w:rsidR="006B6D8F" w:rsidRPr="004F5554">
        <w:rPr>
          <w:rFonts w:ascii="楷体_GB2312" w:eastAsia="楷体_GB2312" w:hint="eastAsia"/>
          <w:sz w:val="32"/>
          <w:szCs w:val="32"/>
        </w:rPr>
        <w:t>二</w:t>
      </w:r>
      <w:r>
        <w:rPr>
          <w:rFonts w:ascii="楷体_GB2312" w:eastAsia="楷体_GB2312" w:hint="eastAsia"/>
          <w:sz w:val="32"/>
          <w:szCs w:val="32"/>
        </w:rPr>
        <w:t>)</w:t>
      </w:r>
      <w:r w:rsidR="006B6D8F" w:rsidRPr="004F5554">
        <w:rPr>
          <w:rFonts w:ascii="楷体_GB2312" w:eastAsia="楷体_GB2312" w:hint="eastAsia"/>
          <w:sz w:val="32"/>
          <w:szCs w:val="32"/>
        </w:rPr>
        <w:t>重点做好2019年部门预算编制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 w:rsidRPr="004F555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在当前财力增量有限、收支矛盾加大、外部监督愈发严格的突出背景下，2019年部门预算整体坚持从严从紧原则，按照“保基本、保运转、保市级考核、保重点项目”的顺序安排预算，优化支出结构，做细做实项目预算，严格控制预算规模无序增长。同时，2019年预算编制坚持绩效原则，强化问题导向，加大资金统筹，不断提高预算执行的刚性约束，提高财政资金配置效能。</w:t>
      </w:r>
    </w:p>
    <w:p w:rsidR="006B6D8F" w:rsidRPr="004F5554" w:rsidRDefault="004F5554" w:rsidP="004F5554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</w:t>
      </w:r>
      <w:r w:rsidR="006B6D8F" w:rsidRPr="004F5554">
        <w:rPr>
          <w:rFonts w:ascii="楷体_GB2312" w:eastAsia="楷体_GB2312" w:hint="eastAsia"/>
          <w:sz w:val="32"/>
          <w:szCs w:val="32"/>
        </w:rPr>
        <w:t>三</w:t>
      </w:r>
      <w:r>
        <w:rPr>
          <w:rFonts w:ascii="楷体_GB2312" w:eastAsia="楷体_GB2312" w:hint="eastAsia"/>
          <w:sz w:val="32"/>
          <w:szCs w:val="32"/>
        </w:rPr>
        <w:t>)</w:t>
      </w:r>
      <w:r w:rsidR="006B6D8F" w:rsidRPr="004F5554">
        <w:rPr>
          <w:rFonts w:ascii="楷体_GB2312" w:eastAsia="楷体_GB2312" w:hint="eastAsia"/>
          <w:sz w:val="32"/>
          <w:szCs w:val="32"/>
        </w:rPr>
        <w:t>充分发挥资金统筹职能</w:t>
      </w:r>
    </w:p>
    <w:p w:rsidR="006B6D8F" w:rsidRPr="004F5554" w:rsidRDefault="006B6D8F" w:rsidP="004F5554">
      <w:pPr>
        <w:widowControl/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TW"/>
        </w:rPr>
      </w:pPr>
      <w:r w:rsidRPr="004F5554">
        <w:rPr>
          <w:rFonts w:ascii="仿宋_GB2312" w:eastAsia="仿宋_GB2312" w:hAnsi="仿宋_GB2312" w:cs="仿宋_GB2312" w:hint="eastAsia"/>
          <w:sz w:val="32"/>
          <w:szCs w:val="32"/>
          <w:lang w:val="zh-TW"/>
        </w:rPr>
        <w:t>全面梳理近年来我区设立的各类政府性基金、国资注资等资金使用情况，对各类基金进行统筹合并，发挥基金对区域经济发展的扶持引导作用。开展扶持政策评估，对“门创30条”等企业扶持政策进行梳理，对政策实施情况开展绩效评估，对效益不高的政策进行修订完善。强化工程项目管理，研究梳理工程管理中存在的问题，强化薄弱环节的风险管控。</w:t>
      </w:r>
    </w:p>
    <w:p w:rsidR="006B6D8F" w:rsidRPr="004F5554" w:rsidRDefault="004F5554" w:rsidP="004F5554">
      <w:pPr>
        <w:widowControl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</w:t>
      </w:r>
      <w:r w:rsidR="006B6D8F" w:rsidRPr="004F5554">
        <w:rPr>
          <w:rFonts w:ascii="楷体_GB2312" w:eastAsia="楷体_GB2312" w:hint="eastAsia"/>
          <w:sz w:val="32"/>
          <w:szCs w:val="32"/>
        </w:rPr>
        <w:t>四</w:t>
      </w:r>
      <w:r>
        <w:rPr>
          <w:rFonts w:ascii="楷体_GB2312" w:eastAsia="楷体_GB2312" w:hint="eastAsia"/>
          <w:sz w:val="32"/>
          <w:szCs w:val="32"/>
        </w:rPr>
        <w:t>)</w:t>
      </w:r>
      <w:r w:rsidR="006B6D8F" w:rsidRPr="004F5554">
        <w:rPr>
          <w:rFonts w:ascii="楷体_GB2312" w:eastAsia="楷体_GB2312" w:hint="eastAsia"/>
          <w:sz w:val="32"/>
          <w:szCs w:val="32"/>
        </w:rPr>
        <w:t>继续强化预算执行管理</w:t>
      </w:r>
    </w:p>
    <w:p w:rsidR="006B6D8F" w:rsidRPr="004F5554" w:rsidRDefault="006B6D8F" w:rsidP="004F5554">
      <w:pPr>
        <w:widowControl/>
        <w:spacing w:line="540" w:lineRule="exact"/>
        <w:ind w:firstLineChars="200" w:firstLine="640"/>
        <w:rPr>
          <w:rFonts w:ascii="仿宋_GB2312" w:eastAsia="仿宋_GB2312"/>
          <w:snapToGrid w:val="0"/>
          <w:kern w:val="32"/>
          <w:sz w:val="32"/>
          <w:szCs w:val="32"/>
        </w:rPr>
      </w:pPr>
      <w:r w:rsidRPr="004F5554">
        <w:rPr>
          <w:rFonts w:ascii="仿宋_GB2312" w:eastAsia="仿宋_GB2312" w:hAnsi="仿宋" w:hint="eastAsia"/>
          <w:sz w:val="32"/>
          <w:szCs w:val="32"/>
        </w:rPr>
        <w:t>加大预算支出管理力度，深入调研预算执行中存在的问题，指导预算单位加快支出，切实减少年末结余。统筹市区两级财力，积极盘活存量资金，采取调整支出结构、压减项目预算等方式，</w:t>
      </w:r>
      <w:r w:rsidRPr="004F5554">
        <w:rPr>
          <w:rFonts w:ascii="仿宋_GB2312" w:eastAsia="仿宋_GB2312" w:hint="eastAsia"/>
          <w:snapToGrid w:val="0"/>
          <w:kern w:val="32"/>
          <w:sz w:val="32"/>
          <w:szCs w:val="32"/>
        </w:rPr>
        <w:t>足额保障“疏解整治促提升”、“高精尖”产业发展、棚户区改造等重大项目资金需求。继续开展基层财政财务管理培训，切实提</w:t>
      </w:r>
      <w:r w:rsidRPr="004F5554">
        <w:rPr>
          <w:rFonts w:ascii="仿宋_GB2312" w:eastAsia="仿宋_GB2312" w:hint="eastAsia"/>
          <w:snapToGrid w:val="0"/>
          <w:kern w:val="32"/>
          <w:sz w:val="32"/>
          <w:szCs w:val="32"/>
        </w:rPr>
        <w:lastRenderedPageBreak/>
        <w:t>高基层财务人员财政财务管理水平，全面启动全区资产清查，为新政府会计制度顺利实施夯实基础。</w:t>
      </w: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 w:hAnsi="MS Sans Serif"/>
          <w:color w:val="000000"/>
          <w:kern w:val="0"/>
          <w:sz w:val="32"/>
          <w:szCs w:val="32"/>
        </w:rPr>
      </w:pPr>
    </w:p>
    <w:p w:rsidR="006B6D8F" w:rsidRPr="004F5554" w:rsidRDefault="006B6D8F" w:rsidP="004F5554">
      <w:pPr>
        <w:spacing w:line="540" w:lineRule="exact"/>
        <w:ind w:firstLineChars="200" w:firstLine="640"/>
        <w:rPr>
          <w:rFonts w:ascii="仿宋_GB2312" w:eastAsia="仿宋_GB2312" w:hAnsi="MS Sans Serif"/>
          <w:color w:val="000000"/>
          <w:kern w:val="0"/>
          <w:sz w:val="32"/>
          <w:szCs w:val="32"/>
        </w:rPr>
      </w:pPr>
      <w:r w:rsidRPr="004F5554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下半年，区财政</w:t>
      </w:r>
      <w:r w:rsidR="001A124D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部门</w:t>
      </w:r>
      <w:r w:rsidRPr="004F5554">
        <w:rPr>
          <w:rFonts w:ascii="仿宋_GB2312" w:eastAsia="仿宋_GB2312" w:hAnsi="MS Sans Serif" w:hint="eastAsia"/>
          <w:color w:val="000000"/>
          <w:kern w:val="0"/>
          <w:sz w:val="32"/>
          <w:szCs w:val="32"/>
        </w:rPr>
        <w:t>将紧密围绕区委工作部署，在区人大的依法监督和指导下，全面做好财政预算收支及各项管理改革工作，充分履行财政统筹管理职能，为建设宜居宜业宜游的现代化生态新区做出新的贡献。</w:t>
      </w:r>
      <w:bookmarkStart w:id="0" w:name="_GoBack"/>
      <w:bookmarkEnd w:id="0"/>
    </w:p>
    <w:sectPr w:rsidR="006B6D8F" w:rsidRPr="004F5554" w:rsidSect="004F5554">
      <w:footerReference w:type="default" r:id="rId6"/>
      <w:pgSz w:w="11906" w:h="16838" w:code="9"/>
      <w:pgMar w:top="2098" w:right="1474" w:bottom="1985" w:left="1588" w:header="1418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01" w:rsidRDefault="000B5301" w:rsidP="00113226">
      <w:r>
        <w:separator/>
      </w:r>
    </w:p>
  </w:endnote>
  <w:endnote w:type="continuationSeparator" w:id="0">
    <w:p w:rsidR="000B5301" w:rsidRDefault="000B5301" w:rsidP="0011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8F" w:rsidRDefault="00252F6A">
    <w:pPr>
      <w:pStyle w:val="a4"/>
      <w:jc w:val="center"/>
    </w:pPr>
    <w:r>
      <w:fldChar w:fldCharType="begin"/>
    </w:r>
    <w:r w:rsidR="0029792E">
      <w:instrText>PAGE   \* MERGEFORMAT</w:instrText>
    </w:r>
    <w:r>
      <w:fldChar w:fldCharType="separate"/>
    </w:r>
    <w:r w:rsidR="00856487" w:rsidRPr="00856487">
      <w:rPr>
        <w:noProof/>
        <w:lang w:val="zh-CN"/>
      </w:rPr>
      <w:t>8</w:t>
    </w:r>
    <w:r>
      <w:rPr>
        <w:noProof/>
        <w:lang w:val="zh-CN"/>
      </w:rPr>
      <w:fldChar w:fldCharType="end"/>
    </w:r>
  </w:p>
  <w:p w:rsidR="006B6D8F" w:rsidRDefault="006B6D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01" w:rsidRDefault="000B5301" w:rsidP="00113226">
      <w:r>
        <w:separator/>
      </w:r>
    </w:p>
  </w:footnote>
  <w:footnote w:type="continuationSeparator" w:id="0">
    <w:p w:rsidR="000B5301" w:rsidRDefault="000B5301" w:rsidP="0011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4765"/>
    <w:rsid w:val="0001143F"/>
    <w:rsid w:val="00014C74"/>
    <w:rsid w:val="00022F4D"/>
    <w:rsid w:val="00026D80"/>
    <w:rsid w:val="00033121"/>
    <w:rsid w:val="00033797"/>
    <w:rsid w:val="0006500C"/>
    <w:rsid w:val="0007070B"/>
    <w:rsid w:val="000718F0"/>
    <w:rsid w:val="00072D5A"/>
    <w:rsid w:val="000804CB"/>
    <w:rsid w:val="000A105B"/>
    <w:rsid w:val="000B5301"/>
    <w:rsid w:val="000C22C6"/>
    <w:rsid w:val="000D4342"/>
    <w:rsid w:val="000E1FD4"/>
    <w:rsid w:val="001068CF"/>
    <w:rsid w:val="00113226"/>
    <w:rsid w:val="00114314"/>
    <w:rsid w:val="00124648"/>
    <w:rsid w:val="00132F1F"/>
    <w:rsid w:val="0015656B"/>
    <w:rsid w:val="00170828"/>
    <w:rsid w:val="001727F8"/>
    <w:rsid w:val="00177E35"/>
    <w:rsid w:val="0018021F"/>
    <w:rsid w:val="001876B3"/>
    <w:rsid w:val="00192835"/>
    <w:rsid w:val="00194736"/>
    <w:rsid w:val="001A124D"/>
    <w:rsid w:val="001C6E70"/>
    <w:rsid w:val="001D0FA7"/>
    <w:rsid w:val="001D3F18"/>
    <w:rsid w:val="001F0770"/>
    <w:rsid w:val="00205EBE"/>
    <w:rsid w:val="0021000D"/>
    <w:rsid w:val="00222B96"/>
    <w:rsid w:val="0023597A"/>
    <w:rsid w:val="002476B1"/>
    <w:rsid w:val="00252F6A"/>
    <w:rsid w:val="00294D33"/>
    <w:rsid w:val="0029792E"/>
    <w:rsid w:val="002A798F"/>
    <w:rsid w:val="002B7B25"/>
    <w:rsid w:val="002E7C9E"/>
    <w:rsid w:val="00300F8F"/>
    <w:rsid w:val="00305347"/>
    <w:rsid w:val="003102F9"/>
    <w:rsid w:val="003151ED"/>
    <w:rsid w:val="00327105"/>
    <w:rsid w:val="00330792"/>
    <w:rsid w:val="00335DAB"/>
    <w:rsid w:val="00377B52"/>
    <w:rsid w:val="00385D57"/>
    <w:rsid w:val="003A144B"/>
    <w:rsid w:val="003A4DCE"/>
    <w:rsid w:val="003A53F9"/>
    <w:rsid w:val="003B5562"/>
    <w:rsid w:val="003B5A3F"/>
    <w:rsid w:val="003D36A0"/>
    <w:rsid w:val="003D4F96"/>
    <w:rsid w:val="003D55CE"/>
    <w:rsid w:val="003E36E4"/>
    <w:rsid w:val="003F6AD7"/>
    <w:rsid w:val="004008BA"/>
    <w:rsid w:val="00400935"/>
    <w:rsid w:val="00414973"/>
    <w:rsid w:val="00434F4E"/>
    <w:rsid w:val="00441F8E"/>
    <w:rsid w:val="00461B4E"/>
    <w:rsid w:val="004A3C5B"/>
    <w:rsid w:val="004A4343"/>
    <w:rsid w:val="004A5DDB"/>
    <w:rsid w:val="004A7C7A"/>
    <w:rsid w:val="004B2341"/>
    <w:rsid w:val="004B4351"/>
    <w:rsid w:val="004F5554"/>
    <w:rsid w:val="005038B2"/>
    <w:rsid w:val="00513F46"/>
    <w:rsid w:val="00522FB2"/>
    <w:rsid w:val="00525BBC"/>
    <w:rsid w:val="00531636"/>
    <w:rsid w:val="005318A5"/>
    <w:rsid w:val="00532996"/>
    <w:rsid w:val="005351FF"/>
    <w:rsid w:val="00537249"/>
    <w:rsid w:val="00565076"/>
    <w:rsid w:val="00566DFE"/>
    <w:rsid w:val="00575848"/>
    <w:rsid w:val="0059063C"/>
    <w:rsid w:val="0059483C"/>
    <w:rsid w:val="005B7454"/>
    <w:rsid w:val="005C109D"/>
    <w:rsid w:val="005D539F"/>
    <w:rsid w:val="005E554B"/>
    <w:rsid w:val="005F274C"/>
    <w:rsid w:val="005F6D74"/>
    <w:rsid w:val="00616B7F"/>
    <w:rsid w:val="006242CB"/>
    <w:rsid w:val="0062507A"/>
    <w:rsid w:val="0062596B"/>
    <w:rsid w:val="00637D3B"/>
    <w:rsid w:val="00643444"/>
    <w:rsid w:val="00650D9C"/>
    <w:rsid w:val="00653BBC"/>
    <w:rsid w:val="0066676A"/>
    <w:rsid w:val="006A3BFF"/>
    <w:rsid w:val="006A7B35"/>
    <w:rsid w:val="006B11C9"/>
    <w:rsid w:val="006B6D8F"/>
    <w:rsid w:val="006E2A04"/>
    <w:rsid w:val="00704184"/>
    <w:rsid w:val="007162E0"/>
    <w:rsid w:val="00740BD5"/>
    <w:rsid w:val="00741935"/>
    <w:rsid w:val="007578C4"/>
    <w:rsid w:val="00776648"/>
    <w:rsid w:val="0078005F"/>
    <w:rsid w:val="00781113"/>
    <w:rsid w:val="00783686"/>
    <w:rsid w:val="007875F6"/>
    <w:rsid w:val="007B1A37"/>
    <w:rsid w:val="007C128F"/>
    <w:rsid w:val="007C41DE"/>
    <w:rsid w:val="007C4E87"/>
    <w:rsid w:val="007C5143"/>
    <w:rsid w:val="007E1642"/>
    <w:rsid w:val="007F05AF"/>
    <w:rsid w:val="007F11D1"/>
    <w:rsid w:val="007F3333"/>
    <w:rsid w:val="00800986"/>
    <w:rsid w:val="0080724B"/>
    <w:rsid w:val="00813BBB"/>
    <w:rsid w:val="008205FC"/>
    <w:rsid w:val="00826D18"/>
    <w:rsid w:val="008301EF"/>
    <w:rsid w:val="00842C43"/>
    <w:rsid w:val="00856487"/>
    <w:rsid w:val="00872117"/>
    <w:rsid w:val="008728D0"/>
    <w:rsid w:val="0087405D"/>
    <w:rsid w:val="008869B6"/>
    <w:rsid w:val="008924B8"/>
    <w:rsid w:val="008A1F2B"/>
    <w:rsid w:val="008B412D"/>
    <w:rsid w:val="008D279C"/>
    <w:rsid w:val="008E5B26"/>
    <w:rsid w:val="008F566F"/>
    <w:rsid w:val="009147B1"/>
    <w:rsid w:val="00914CF9"/>
    <w:rsid w:val="00917641"/>
    <w:rsid w:val="009206E3"/>
    <w:rsid w:val="009276B6"/>
    <w:rsid w:val="009300C2"/>
    <w:rsid w:val="00985C01"/>
    <w:rsid w:val="00995476"/>
    <w:rsid w:val="009A3C8F"/>
    <w:rsid w:val="009A6FFA"/>
    <w:rsid w:val="009B5090"/>
    <w:rsid w:val="009C3126"/>
    <w:rsid w:val="009C55EF"/>
    <w:rsid w:val="009C56FB"/>
    <w:rsid w:val="009D49C1"/>
    <w:rsid w:val="009D69B9"/>
    <w:rsid w:val="009D72ED"/>
    <w:rsid w:val="009E7821"/>
    <w:rsid w:val="009F3F75"/>
    <w:rsid w:val="009F7926"/>
    <w:rsid w:val="00A11EF0"/>
    <w:rsid w:val="00A14D14"/>
    <w:rsid w:val="00A15707"/>
    <w:rsid w:val="00A24CAB"/>
    <w:rsid w:val="00A273F9"/>
    <w:rsid w:val="00A44357"/>
    <w:rsid w:val="00A55F9A"/>
    <w:rsid w:val="00A578F6"/>
    <w:rsid w:val="00A63384"/>
    <w:rsid w:val="00A6597B"/>
    <w:rsid w:val="00A6729A"/>
    <w:rsid w:val="00A71D64"/>
    <w:rsid w:val="00A82859"/>
    <w:rsid w:val="00A85B85"/>
    <w:rsid w:val="00A91038"/>
    <w:rsid w:val="00A97F67"/>
    <w:rsid w:val="00AA1E69"/>
    <w:rsid w:val="00AB1A0A"/>
    <w:rsid w:val="00AB21E3"/>
    <w:rsid w:val="00AD3B55"/>
    <w:rsid w:val="00AD7EAD"/>
    <w:rsid w:val="00AE3F5F"/>
    <w:rsid w:val="00B00639"/>
    <w:rsid w:val="00B00BCD"/>
    <w:rsid w:val="00B02A6F"/>
    <w:rsid w:val="00B065D4"/>
    <w:rsid w:val="00B11090"/>
    <w:rsid w:val="00B329BB"/>
    <w:rsid w:val="00B45555"/>
    <w:rsid w:val="00B502B9"/>
    <w:rsid w:val="00B51870"/>
    <w:rsid w:val="00B72D73"/>
    <w:rsid w:val="00B937CC"/>
    <w:rsid w:val="00BB5A2F"/>
    <w:rsid w:val="00BB5CC2"/>
    <w:rsid w:val="00BC6D9B"/>
    <w:rsid w:val="00BF1509"/>
    <w:rsid w:val="00BF4199"/>
    <w:rsid w:val="00C03E45"/>
    <w:rsid w:val="00C2011D"/>
    <w:rsid w:val="00C4369B"/>
    <w:rsid w:val="00C50377"/>
    <w:rsid w:val="00C52D16"/>
    <w:rsid w:val="00C61B5B"/>
    <w:rsid w:val="00C87B29"/>
    <w:rsid w:val="00CA3E6C"/>
    <w:rsid w:val="00CA6E60"/>
    <w:rsid w:val="00CB4765"/>
    <w:rsid w:val="00CD1867"/>
    <w:rsid w:val="00CD4417"/>
    <w:rsid w:val="00CE0CE5"/>
    <w:rsid w:val="00D0459E"/>
    <w:rsid w:val="00D07490"/>
    <w:rsid w:val="00D11C20"/>
    <w:rsid w:val="00D14C75"/>
    <w:rsid w:val="00D21849"/>
    <w:rsid w:val="00D224F3"/>
    <w:rsid w:val="00D36EA8"/>
    <w:rsid w:val="00D566BF"/>
    <w:rsid w:val="00D60529"/>
    <w:rsid w:val="00D62A92"/>
    <w:rsid w:val="00D70C0E"/>
    <w:rsid w:val="00D717C2"/>
    <w:rsid w:val="00D719BF"/>
    <w:rsid w:val="00DA32B8"/>
    <w:rsid w:val="00DA3C06"/>
    <w:rsid w:val="00DD6C5D"/>
    <w:rsid w:val="00DD7317"/>
    <w:rsid w:val="00DF2DB8"/>
    <w:rsid w:val="00DF2F8D"/>
    <w:rsid w:val="00E0139C"/>
    <w:rsid w:val="00E026FE"/>
    <w:rsid w:val="00E26023"/>
    <w:rsid w:val="00E272EC"/>
    <w:rsid w:val="00E2744A"/>
    <w:rsid w:val="00E7614C"/>
    <w:rsid w:val="00E77E3A"/>
    <w:rsid w:val="00E80802"/>
    <w:rsid w:val="00E85966"/>
    <w:rsid w:val="00E8729D"/>
    <w:rsid w:val="00E91E3A"/>
    <w:rsid w:val="00ED287A"/>
    <w:rsid w:val="00F00A0A"/>
    <w:rsid w:val="00F02C5C"/>
    <w:rsid w:val="00F04CF6"/>
    <w:rsid w:val="00F10ECD"/>
    <w:rsid w:val="00F15038"/>
    <w:rsid w:val="00F30F2C"/>
    <w:rsid w:val="00F3634A"/>
    <w:rsid w:val="00F43BC0"/>
    <w:rsid w:val="00F55416"/>
    <w:rsid w:val="00F562FC"/>
    <w:rsid w:val="00F671ED"/>
    <w:rsid w:val="00F843B9"/>
    <w:rsid w:val="00F854D4"/>
    <w:rsid w:val="00F92CDB"/>
    <w:rsid w:val="00FA1A99"/>
    <w:rsid w:val="00FA377A"/>
    <w:rsid w:val="00FB083E"/>
    <w:rsid w:val="00FB536D"/>
    <w:rsid w:val="00FE347A"/>
    <w:rsid w:val="00FE4180"/>
    <w:rsid w:val="00FF02A0"/>
    <w:rsid w:val="00FF0D6E"/>
    <w:rsid w:val="00FF2C5A"/>
    <w:rsid w:val="00FF4296"/>
    <w:rsid w:val="00FF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F2A9EEC-030E-42DD-8EB8-FB69287D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2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13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11322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1322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113226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631</Words>
  <Characters>3602</Characters>
  <Application>Microsoft Office Word</Application>
  <DocSecurity>0</DocSecurity>
  <Lines>30</Lines>
  <Paragraphs>8</Paragraphs>
  <ScaleCrop>false</ScaleCrop>
  <Company>czj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关于门头沟区2018年上半年预算</dc:title>
  <dc:creator>刘益铭</dc:creator>
  <cp:lastModifiedBy>刘益铭</cp:lastModifiedBy>
  <cp:revision>27</cp:revision>
  <dcterms:created xsi:type="dcterms:W3CDTF">2018-07-24T02:58:00Z</dcterms:created>
  <dcterms:modified xsi:type="dcterms:W3CDTF">2018-08-09T09:11:00Z</dcterms:modified>
</cp:coreProperties>
</file>