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60" w:lineRule="exact"/>
        <w:jc w:val="center"/>
        <w:rPr>
          <w:rFonts w:eastAsia="方正小标宋简体"/>
          <w:sz w:val="44"/>
          <w:szCs w:val="44"/>
        </w:rPr>
      </w:pPr>
      <w:r>
        <w:rPr>
          <w:rFonts w:hint="eastAsia" w:eastAsia="方正小标宋简体"/>
          <w:sz w:val="44"/>
          <w:szCs w:val="44"/>
        </w:rPr>
        <w:t>门头沟区加快构建现代产业体系</w:t>
      </w:r>
    </w:p>
    <w:p>
      <w:pPr>
        <w:autoSpaceDE w:val="0"/>
        <w:autoSpaceDN w:val="0"/>
        <w:snapToGrid w:val="0"/>
        <w:spacing w:line="560" w:lineRule="exact"/>
        <w:jc w:val="center"/>
        <w:rPr>
          <w:rFonts w:eastAsia="方正小标宋简体"/>
          <w:sz w:val="44"/>
          <w:szCs w:val="44"/>
        </w:rPr>
      </w:pPr>
      <w:r>
        <w:rPr>
          <w:rFonts w:hint="eastAsia" w:eastAsia="方正小标宋简体"/>
          <w:sz w:val="44"/>
          <w:szCs w:val="44"/>
        </w:rPr>
        <w:t>促进绿色高质量发展的</w:t>
      </w:r>
      <w:r>
        <w:rPr>
          <w:rFonts w:eastAsia="方正小标宋简体"/>
          <w:sz w:val="44"/>
          <w:szCs w:val="44"/>
        </w:rPr>
        <w:t>实施意见</w:t>
      </w:r>
    </w:p>
    <w:p>
      <w:pPr>
        <w:pStyle w:val="2"/>
        <w:keepNext w:val="0"/>
        <w:keepLines w:val="0"/>
        <w:pageBreakBefore w:val="0"/>
        <w:widowControl w:val="0"/>
        <w:kinsoku/>
        <w:wordWrap/>
        <w:overflowPunct/>
        <w:topLinePunct w:val="0"/>
        <w:autoSpaceDE/>
        <w:autoSpaceDN/>
        <w:bidi w:val="0"/>
        <w:adjustRightInd w:val="0"/>
        <w:snapToGrid/>
        <w:spacing w:line="400" w:lineRule="exact"/>
        <w:ind w:left="0" w:leftChars="0" w:firstLine="0" w:firstLineChars="0"/>
        <w:jc w:val="center"/>
        <w:textAlignment w:val="auto"/>
        <w:rPr>
          <w:rFonts w:hint="eastAsia" w:ascii="仿宋" w:hAnsi="仿宋" w:eastAsia="仿宋" w:cs="仿宋"/>
          <w:b w:val="0"/>
          <w:bCs w:val="0"/>
          <w:sz w:val="28"/>
          <w:szCs w:val="18"/>
          <w:lang w:val="en-US" w:eastAsia="zh-CN"/>
        </w:rPr>
      </w:pPr>
      <w:r>
        <w:rPr>
          <w:rFonts w:hint="eastAsia" w:ascii="仿宋" w:hAnsi="仿宋" w:eastAsia="仿宋" w:cs="仿宋"/>
          <w:b w:val="0"/>
          <w:bCs w:val="0"/>
          <w:sz w:val="28"/>
          <w:szCs w:val="18"/>
          <w:lang w:val="en-US" w:eastAsia="zh-CN"/>
        </w:rPr>
        <w:t>（征求意见稿）</w:t>
      </w:r>
      <w:bookmarkStart w:id="37" w:name="_GoBack"/>
      <w:bookmarkEnd w:id="37"/>
    </w:p>
    <w:p>
      <w:pPr>
        <w:pStyle w:val="18"/>
        <w:spacing w:line="560" w:lineRule="exact"/>
        <w:ind w:left="-148" w:firstLine="119"/>
        <w:jc w:val="left"/>
        <w:rPr>
          <w:rFonts w:ascii="仿宋_GB2312" w:eastAsia="仿宋_GB2312"/>
          <w:sz w:val="28"/>
          <w:szCs w:val="28"/>
        </w:rPr>
      </w:pPr>
    </w:p>
    <w:p>
      <w:pPr>
        <w:autoSpaceDE w:val="0"/>
        <w:autoSpaceDN w:val="0"/>
        <w:snapToGrid w:val="0"/>
        <w:spacing w:line="560" w:lineRule="exact"/>
        <w:ind w:firstLine="632" w:firstLineChars="200"/>
        <w:jc w:val="both"/>
        <w:rPr>
          <w:szCs w:val="32"/>
        </w:rPr>
      </w:pPr>
      <w:r>
        <w:rPr>
          <w:szCs w:val="32"/>
        </w:rPr>
        <w:t>为</w:t>
      </w:r>
      <w:r>
        <w:rPr>
          <w:rFonts w:hint="eastAsia"/>
          <w:szCs w:val="32"/>
        </w:rPr>
        <w:t>深入贯彻</w:t>
      </w:r>
      <w:r>
        <w:t>《北京市生态涵养区生态保护和绿色发展条例》</w:t>
      </w:r>
      <w:r>
        <w:rPr>
          <w:rFonts w:hint="eastAsia"/>
          <w:szCs w:val="32"/>
        </w:rPr>
        <w:t>，积极</w:t>
      </w:r>
      <w:r>
        <w:rPr>
          <w:szCs w:val="32"/>
        </w:rPr>
        <w:t>落实</w:t>
      </w:r>
      <w:r>
        <w:rPr>
          <w:rFonts w:hint="eastAsia"/>
          <w:szCs w:val="32"/>
        </w:rPr>
        <w:t>《门头沟分区规划（国土空间规划）（2017年—2035年）》《北京市门头沟区国民经济和社会发展第十四个五年规划和二</w:t>
      </w:r>
      <w:r>
        <w:rPr>
          <w:rFonts w:hint="eastAsia" w:ascii="微软雅黑" w:hAnsi="微软雅黑" w:eastAsia="微软雅黑" w:cs="微软雅黑"/>
          <w:szCs w:val="32"/>
        </w:rPr>
        <w:t>〇</w:t>
      </w:r>
      <w:r>
        <w:rPr>
          <w:rFonts w:hint="eastAsia" w:ascii="仿宋_GB2312" w:hAnsi="仿宋_GB2312" w:cs="仿宋_GB2312"/>
          <w:szCs w:val="32"/>
        </w:rPr>
        <w:t>三五年远景目标纲</w:t>
      </w:r>
      <w:r>
        <w:rPr>
          <w:rFonts w:hint="eastAsia"/>
          <w:szCs w:val="32"/>
        </w:rPr>
        <w:t>要》，通过加快构建门头沟区现代产业体系，保持</w:t>
      </w:r>
      <w:r>
        <w:t>战略定力</w:t>
      </w:r>
      <w:r>
        <w:rPr>
          <w:rFonts w:hint="eastAsia"/>
          <w:szCs w:val="32"/>
        </w:rPr>
        <w:t>，</w:t>
      </w:r>
      <w:r>
        <w:t>践行绿水青山就是金山银山理念</w:t>
      </w:r>
      <w:r>
        <w:rPr>
          <w:rFonts w:hint="eastAsia"/>
        </w:rPr>
        <w:t>，</w:t>
      </w:r>
      <w:r>
        <w:rPr>
          <w:rFonts w:hint="eastAsia"/>
          <w:szCs w:val="32"/>
        </w:rPr>
        <w:t>促进全区经济社会绿色高质量发展</w:t>
      </w:r>
      <w:r>
        <w:rPr>
          <w:szCs w:val="32"/>
        </w:rPr>
        <w:t>，</w:t>
      </w:r>
      <w:r>
        <w:rPr>
          <w:rFonts w:hint="eastAsia"/>
          <w:szCs w:val="32"/>
        </w:rPr>
        <w:t>制定本实施意见。</w:t>
      </w:r>
    </w:p>
    <w:p>
      <w:pPr>
        <w:snapToGrid w:val="0"/>
        <w:spacing w:line="560" w:lineRule="exact"/>
        <w:ind w:firstLine="632" w:firstLineChars="200"/>
        <w:jc w:val="both"/>
        <w:outlineLvl w:val="0"/>
        <w:rPr>
          <w:rFonts w:eastAsia="黑体"/>
          <w:szCs w:val="32"/>
        </w:rPr>
      </w:pPr>
      <w:bookmarkStart w:id="0" w:name="_Toc87358687"/>
      <w:bookmarkStart w:id="1" w:name="_Hlk525122481"/>
      <w:r>
        <w:rPr>
          <w:rFonts w:eastAsia="黑体"/>
          <w:szCs w:val="32"/>
        </w:rPr>
        <w:t>一、总体</w:t>
      </w:r>
      <w:r>
        <w:rPr>
          <w:rFonts w:hint="eastAsia" w:eastAsia="黑体"/>
          <w:szCs w:val="32"/>
        </w:rPr>
        <w:t>要求</w:t>
      </w:r>
      <w:bookmarkEnd w:id="0"/>
    </w:p>
    <w:p>
      <w:pPr>
        <w:snapToGrid w:val="0"/>
        <w:spacing w:line="560" w:lineRule="exact"/>
        <w:ind w:firstLine="632" w:firstLineChars="200"/>
        <w:jc w:val="both"/>
        <w:rPr>
          <w:szCs w:val="32"/>
        </w:rPr>
      </w:pPr>
      <w:r>
        <w:rPr>
          <w:szCs w:val="32"/>
        </w:rPr>
        <w:t>以习近平新时代中国特色社会主义思想为</w:t>
      </w:r>
      <w:r>
        <w:rPr>
          <w:rFonts w:hint="eastAsia"/>
          <w:szCs w:val="32"/>
        </w:rPr>
        <w:t>指导</w:t>
      </w:r>
      <w:r>
        <w:rPr>
          <w:szCs w:val="32"/>
        </w:rPr>
        <w:t>，</w:t>
      </w:r>
      <w:r>
        <w:rPr>
          <w:rFonts w:hint="eastAsia"/>
          <w:szCs w:val="32"/>
        </w:rPr>
        <w:t>全面</w:t>
      </w:r>
      <w:r>
        <w:rPr>
          <w:szCs w:val="32"/>
        </w:rPr>
        <w:t>贯彻党</w:t>
      </w:r>
      <w:r>
        <w:rPr>
          <w:rFonts w:hint="eastAsia" w:ascii="仿宋_GB2312"/>
          <w:szCs w:val="32"/>
        </w:rPr>
        <w:t>的十九大和十九届二中、三中、四中、五中、六中全会及习近平总书记对北京重要讲话精神，</w:t>
      </w:r>
      <w:r>
        <w:rPr>
          <w:rFonts w:hint="eastAsia"/>
        </w:rPr>
        <w:t>立足</w:t>
      </w:r>
      <w:r>
        <w:t>首都西部重点生态保育及区域生态治理协作区、首都西部综合服务区、京西特色历史文化旅游休闲区</w:t>
      </w:r>
      <w:r>
        <w:rPr>
          <w:rFonts w:hint="eastAsia"/>
        </w:rPr>
        <w:t>三个区域定位，</w:t>
      </w:r>
      <w:r>
        <w:t>保持定力和耐心</w:t>
      </w:r>
      <w:r>
        <w:rPr>
          <w:rFonts w:hint="eastAsia" w:ascii="仿宋_GB2312"/>
          <w:szCs w:val="32"/>
        </w:rPr>
        <w:t>，</w:t>
      </w:r>
      <w:r>
        <w:t>筑牢首都西部生态屏障</w:t>
      </w:r>
      <w:r>
        <w:rPr>
          <w:rFonts w:hint="eastAsia"/>
        </w:rPr>
        <w:t>，</w:t>
      </w:r>
      <w:r>
        <w:rPr>
          <w:rFonts w:hint="eastAsia" w:ascii="仿宋_GB2312"/>
          <w:szCs w:val="32"/>
        </w:rPr>
        <w:t>落实“五子”联动要求，坚持创新引领，</w:t>
      </w:r>
      <w:r>
        <w:t>推动京西产业转型升级示范区建设</w:t>
      </w:r>
      <w:r>
        <w:rPr>
          <w:rFonts w:hint="eastAsia"/>
        </w:rPr>
        <w:t>，加快构建以科创智能、医药健康、文旅体验为重点方向的现代产业体系，培育好细分产业领域，</w:t>
      </w:r>
      <w:r>
        <w:rPr>
          <w:rFonts w:hint="eastAsia" w:ascii="仿宋_GB2312"/>
          <w:szCs w:val="32"/>
        </w:rPr>
        <w:t>协调好增量与存量的关系，</w:t>
      </w:r>
      <w:r>
        <w:t>办好中关村门头沟园</w:t>
      </w:r>
      <w:r>
        <w:rPr>
          <w:rFonts w:hint="eastAsia"/>
        </w:rPr>
        <w:t>，保障好空间、人才、资金、环境等产业支撑要素，持续优化营商环境，切实理顺组织和保障机制，通过构建和发展适合门头沟区实际的现代产业体系，不断拓宽绿水青山向金山银山的转化路径，坚定不移走好绿色</w:t>
      </w:r>
      <w:r>
        <w:rPr>
          <w:rFonts w:hint="eastAsia" w:ascii="仿宋_GB2312"/>
          <w:szCs w:val="32"/>
        </w:rPr>
        <w:t>高质量发展之路</w:t>
      </w:r>
      <w:r>
        <w:rPr>
          <w:szCs w:val="32"/>
        </w:rPr>
        <w:t>。</w:t>
      </w:r>
    </w:p>
    <w:p>
      <w:pPr>
        <w:snapToGrid w:val="0"/>
        <w:spacing w:line="560" w:lineRule="exact"/>
        <w:ind w:firstLine="632" w:firstLineChars="200"/>
        <w:jc w:val="both"/>
        <w:outlineLvl w:val="0"/>
        <w:rPr>
          <w:rFonts w:eastAsia="黑体"/>
          <w:szCs w:val="32"/>
        </w:rPr>
      </w:pPr>
      <w:bookmarkStart w:id="2" w:name="_Toc87358688"/>
      <w:r>
        <w:rPr>
          <w:rFonts w:hint="eastAsia" w:eastAsia="黑体"/>
          <w:szCs w:val="32"/>
        </w:rPr>
        <w:t>二、总体</w:t>
      </w:r>
      <w:r>
        <w:rPr>
          <w:rFonts w:eastAsia="黑体"/>
          <w:szCs w:val="32"/>
        </w:rPr>
        <w:t>目标</w:t>
      </w:r>
      <w:bookmarkEnd w:id="2"/>
    </w:p>
    <w:p>
      <w:pPr>
        <w:pStyle w:val="12"/>
        <w:spacing w:line="560" w:lineRule="exact"/>
        <w:ind w:firstLine="632" w:firstLineChars="200"/>
        <w:rPr>
          <w:szCs w:val="32"/>
        </w:rPr>
      </w:pPr>
      <w:r>
        <w:rPr>
          <w:rFonts w:hint="eastAsia" w:ascii="Times New Roman" w:hAnsi="Times New Roman"/>
          <w:sz w:val="32"/>
          <w:szCs w:val="20"/>
        </w:rPr>
        <w:t>到2025年，在构建现代产业体系</w:t>
      </w:r>
      <w:r>
        <w:rPr>
          <w:rFonts w:hint="eastAsia" w:ascii="Times New Roman" w:hAnsi="Times New Roman"/>
          <w:sz w:val="32"/>
          <w:szCs w:val="20"/>
          <w:lang w:eastAsia="zh-CN"/>
        </w:rPr>
        <w:t>促进高质量发展上</w:t>
      </w:r>
      <w:r>
        <w:rPr>
          <w:rFonts w:hint="eastAsia" w:ascii="Times New Roman" w:hAnsi="Times New Roman"/>
          <w:sz w:val="32"/>
          <w:szCs w:val="20"/>
        </w:rPr>
        <w:t>取得关键突破，</w:t>
      </w:r>
      <w:r>
        <w:rPr>
          <w:rFonts w:hint="eastAsia" w:ascii="Times New Roman" w:hAnsi="Times New Roman"/>
          <w:sz w:val="32"/>
          <w:szCs w:val="20"/>
          <w:lang w:eastAsia="zh-CN"/>
        </w:rPr>
        <w:t>产业</w:t>
      </w:r>
      <w:r>
        <w:rPr>
          <w:rFonts w:hint="eastAsia" w:ascii="Times New Roman" w:hAnsi="Times New Roman"/>
          <w:sz w:val="32"/>
          <w:szCs w:val="20"/>
        </w:rPr>
        <w:t>重点细分领域初步培育成型，重点产业项目逐步落地，产业集聚趋势逐步形成；紧抓首都核心区功能提升机遇，发展首都西部特色总部经济；服务新业态新模式</w:t>
      </w:r>
      <w:r>
        <w:rPr>
          <w:rFonts w:hint="eastAsia" w:ascii="Times New Roman" w:hAnsi="Times New Roman"/>
          <w:sz w:val="32"/>
          <w:szCs w:val="20"/>
          <w:lang w:eastAsia="zh-CN"/>
        </w:rPr>
        <w:t>，发展</w:t>
      </w:r>
      <w:r>
        <w:rPr>
          <w:rFonts w:hint="eastAsia" w:ascii="Times New Roman" w:hAnsi="Times New Roman"/>
          <w:sz w:val="32"/>
          <w:szCs w:val="20"/>
        </w:rPr>
        <w:t>高品质商务服务业和生活性服务业</w:t>
      </w:r>
      <w:r>
        <w:rPr>
          <w:rFonts w:hint="eastAsia" w:ascii="Times New Roman" w:hAnsi="Times New Roman"/>
          <w:sz w:val="32"/>
          <w:szCs w:val="20"/>
          <w:lang w:eastAsia="zh-CN"/>
        </w:rPr>
        <w:t>，</w:t>
      </w:r>
      <w:r>
        <w:rPr>
          <w:rFonts w:hint="eastAsia" w:ascii="Times New Roman" w:hAnsi="Times New Roman"/>
          <w:sz w:val="32"/>
          <w:szCs w:val="20"/>
        </w:rPr>
        <w:t>将中关村门头沟园建设成为</w:t>
      </w:r>
      <w:r>
        <w:rPr>
          <w:rFonts w:ascii="Times New Roman" w:hAnsi="Times New Roman"/>
          <w:sz w:val="32"/>
          <w:szCs w:val="20"/>
        </w:rPr>
        <w:t>长安街延长线上的活力新高地</w:t>
      </w:r>
      <w:r>
        <w:rPr>
          <w:rFonts w:hint="eastAsia" w:ascii="Times New Roman" w:hAnsi="Times New Roman"/>
          <w:sz w:val="32"/>
          <w:szCs w:val="20"/>
        </w:rPr>
        <w:t>。绿色发展重点领域取得有效提升，文旅产业实现平原与山区融合发展，全域旅游水平总体提升；</w:t>
      </w:r>
      <w:r>
        <w:rPr>
          <w:rFonts w:hint="eastAsia" w:ascii="Times New Roman" w:hAnsi="Times New Roman"/>
          <w:sz w:val="32"/>
          <w:szCs w:val="20"/>
          <w:lang w:eastAsia="zh-CN"/>
        </w:rPr>
        <w:t>发挥</w:t>
      </w:r>
      <w:r>
        <w:rPr>
          <w:rFonts w:hint="eastAsia" w:ascii="Times New Roman" w:hAnsi="Times New Roman"/>
          <w:sz w:val="32"/>
          <w:szCs w:val="20"/>
        </w:rPr>
        <w:t>政府产业引导基金</w:t>
      </w:r>
      <w:r>
        <w:rPr>
          <w:rFonts w:hint="eastAsia" w:ascii="Times New Roman" w:hAnsi="Times New Roman"/>
          <w:sz w:val="32"/>
          <w:szCs w:val="20"/>
          <w:lang w:eastAsia="zh-CN"/>
        </w:rPr>
        <w:t>带动作用，</w:t>
      </w:r>
      <w:r>
        <w:rPr>
          <w:rFonts w:hint="eastAsia" w:ascii="Times New Roman" w:hAnsi="Times New Roman"/>
          <w:sz w:val="32"/>
          <w:szCs w:val="20"/>
        </w:rPr>
        <w:t>引导绿色金融服务实体经济</w:t>
      </w:r>
      <w:r>
        <w:rPr>
          <w:rFonts w:hint="eastAsia" w:ascii="Times New Roman" w:hAnsi="Times New Roman"/>
          <w:sz w:val="32"/>
          <w:szCs w:val="20"/>
          <w:lang w:eastAsia="zh-CN"/>
        </w:rPr>
        <w:t>，使</w:t>
      </w:r>
      <w:r>
        <w:rPr>
          <w:rFonts w:hint="eastAsia" w:ascii="Times New Roman" w:hAnsi="Times New Roman"/>
          <w:sz w:val="32"/>
          <w:szCs w:val="20"/>
        </w:rPr>
        <w:t>培育增量与优化存量实现有机结合</w:t>
      </w:r>
      <w:r>
        <w:rPr>
          <w:rFonts w:hint="eastAsia" w:ascii="Times New Roman" w:hAnsi="Times New Roman"/>
          <w:sz w:val="32"/>
          <w:szCs w:val="20"/>
          <w:lang w:eastAsia="zh-CN"/>
        </w:rPr>
        <w:t>。持续优化各类生产要素保障能力，促进</w:t>
      </w:r>
      <w:r>
        <w:rPr>
          <w:rFonts w:hint="eastAsia" w:ascii="Times New Roman" w:hAnsi="Times New Roman"/>
          <w:sz w:val="32"/>
          <w:szCs w:val="20"/>
        </w:rPr>
        <w:t>闲置低效空间得到有效利用</w:t>
      </w:r>
      <w:r>
        <w:rPr>
          <w:rFonts w:hint="eastAsia" w:ascii="Times New Roman" w:hAnsi="Times New Roman"/>
          <w:sz w:val="32"/>
          <w:szCs w:val="20"/>
          <w:lang w:eastAsia="zh-CN"/>
        </w:rPr>
        <w:t>，</w:t>
      </w:r>
      <w:r>
        <w:rPr>
          <w:rFonts w:hint="eastAsia" w:ascii="Times New Roman" w:hAnsi="Times New Roman"/>
          <w:sz w:val="32"/>
          <w:szCs w:val="20"/>
        </w:rPr>
        <w:t>人才</w:t>
      </w:r>
      <w:r>
        <w:rPr>
          <w:rFonts w:hint="eastAsia" w:ascii="Times New Roman" w:hAnsi="Times New Roman"/>
          <w:sz w:val="32"/>
          <w:szCs w:val="20"/>
          <w:lang w:eastAsia="zh-CN"/>
        </w:rPr>
        <w:t>结构</w:t>
      </w:r>
      <w:r>
        <w:rPr>
          <w:rFonts w:hint="eastAsia" w:ascii="Times New Roman" w:hAnsi="Times New Roman"/>
          <w:sz w:val="32"/>
          <w:szCs w:val="20"/>
        </w:rPr>
        <w:t>切实</w:t>
      </w:r>
      <w:r>
        <w:rPr>
          <w:rFonts w:hint="eastAsia" w:ascii="Times New Roman" w:hAnsi="Times New Roman"/>
          <w:sz w:val="32"/>
          <w:szCs w:val="20"/>
          <w:lang w:eastAsia="zh-CN"/>
        </w:rPr>
        <w:t>适应发展需求</w:t>
      </w:r>
      <w:r>
        <w:rPr>
          <w:rFonts w:hint="eastAsia" w:ascii="Times New Roman" w:hAnsi="Times New Roman"/>
          <w:sz w:val="32"/>
          <w:szCs w:val="20"/>
        </w:rPr>
        <w:t>，乡村产业振兴纵深延展</w:t>
      </w:r>
      <w:r>
        <w:rPr>
          <w:rFonts w:hint="eastAsia" w:ascii="Times New Roman" w:hAnsi="Times New Roman"/>
          <w:sz w:val="32"/>
          <w:szCs w:val="20"/>
          <w:lang w:eastAsia="zh-CN"/>
        </w:rPr>
        <w:t>，</w:t>
      </w:r>
      <w:r>
        <w:rPr>
          <w:rFonts w:hint="eastAsia" w:ascii="Times New Roman" w:hAnsi="Times New Roman"/>
          <w:sz w:val="32"/>
          <w:szCs w:val="20"/>
        </w:rPr>
        <w:t>重点企业“服务包”机制持续完善，营商环境持续优化，招商引资体制机制和政策评估机制</w:t>
      </w:r>
      <w:r>
        <w:rPr>
          <w:rFonts w:hint="eastAsia" w:ascii="Times New Roman" w:hAnsi="Times New Roman"/>
          <w:sz w:val="32"/>
          <w:szCs w:val="20"/>
          <w:lang w:eastAsia="zh-CN"/>
        </w:rPr>
        <w:t>更加</w:t>
      </w:r>
      <w:r>
        <w:rPr>
          <w:rFonts w:hint="eastAsia" w:ascii="Times New Roman" w:hAnsi="Times New Roman"/>
          <w:sz w:val="32"/>
          <w:szCs w:val="20"/>
        </w:rPr>
        <w:t>科学有效。</w:t>
      </w:r>
    </w:p>
    <w:p>
      <w:pPr>
        <w:snapToGrid w:val="0"/>
        <w:spacing w:line="560" w:lineRule="exact"/>
        <w:ind w:firstLine="632" w:firstLineChars="200"/>
        <w:jc w:val="both"/>
        <w:outlineLvl w:val="0"/>
        <w:rPr>
          <w:rFonts w:eastAsia="黑体"/>
          <w:szCs w:val="32"/>
        </w:rPr>
      </w:pPr>
      <w:bookmarkStart w:id="3" w:name="_Toc87358689"/>
      <w:r>
        <w:rPr>
          <w:rFonts w:hint="eastAsia" w:eastAsia="黑体"/>
          <w:szCs w:val="32"/>
        </w:rPr>
        <w:t>三、加强产业重点细分领域培育</w:t>
      </w:r>
      <w:bookmarkEnd w:id="3"/>
    </w:p>
    <w:p>
      <w:pPr>
        <w:numPr>
          <w:ilvl w:val="255"/>
          <w:numId w:val="0"/>
        </w:numPr>
        <w:snapToGrid w:val="0"/>
        <w:spacing w:line="560" w:lineRule="exact"/>
        <w:ind w:firstLine="632" w:firstLineChars="200"/>
        <w:jc w:val="both"/>
        <w:rPr>
          <w:rFonts w:eastAsia="黑体"/>
          <w:szCs w:val="32"/>
        </w:rPr>
      </w:pPr>
      <w:r>
        <w:rPr>
          <w:rFonts w:hint="eastAsia"/>
        </w:rPr>
        <w:t>聚焦产业重点细分领域，统筹各方力量集中投入，实现集聚一批重点项目、培育一批产业链隐形冠军、汇聚一批高素质专业化人才、打造一批特色产业空间，在绿水青山间持续构建现代产业体系和产业生态。</w:t>
      </w:r>
    </w:p>
    <w:p>
      <w:pPr>
        <w:snapToGrid w:val="0"/>
        <w:spacing w:line="560" w:lineRule="exact"/>
        <w:ind w:left="638"/>
        <w:jc w:val="both"/>
        <w:outlineLvl w:val="1"/>
        <w:rPr>
          <w:rFonts w:eastAsia="楷体_GB2312"/>
          <w:szCs w:val="32"/>
        </w:rPr>
      </w:pPr>
      <w:bookmarkStart w:id="4" w:name="_Toc87358690"/>
      <w:r>
        <w:rPr>
          <w:rFonts w:hint="eastAsia" w:eastAsia="楷体_GB2312"/>
          <w:szCs w:val="32"/>
        </w:rPr>
        <w:t>（一）聚力布局人工智能产业</w:t>
      </w:r>
      <w:bookmarkEnd w:id="4"/>
    </w:p>
    <w:p>
      <w:pPr>
        <w:widowControl/>
        <w:adjustRightInd/>
        <w:spacing w:line="560" w:lineRule="exact"/>
        <w:ind w:firstLine="632" w:firstLineChars="200"/>
        <w:rPr>
          <w:rFonts w:ascii="仿宋" w:hAnsi="仿宋" w:eastAsia="仿宋" w:cs="仿宋"/>
          <w:sz w:val="24"/>
          <w:szCs w:val="24"/>
        </w:rPr>
      </w:pPr>
      <w:r>
        <w:rPr>
          <w:rFonts w:hint="eastAsia"/>
        </w:rPr>
        <w:t>系统引导人工智能基础设施、研发中心、产品创新、应用场景等关键环节有序集聚，培育人工智能创新生态。统筹部署5G、千兆网络、人工智能创新</w:t>
      </w:r>
      <w:r>
        <w:t>基础设施</w:t>
      </w:r>
      <w:r>
        <w:rPr>
          <w:rFonts w:hint="eastAsia"/>
        </w:rPr>
        <w:t>等新型基础设施，鼓励企业探索建设商用化人工智能算力中心，建立行业联盟和专业</w:t>
      </w:r>
      <w:r>
        <w:rPr>
          <w:rFonts w:hint="eastAsia"/>
          <w:lang w:eastAsia="zh-CN"/>
        </w:rPr>
        <w:t>化服务平台</w:t>
      </w:r>
      <w:r>
        <w:rPr>
          <w:rFonts w:hint="eastAsia"/>
        </w:rPr>
        <w:t>。吸引高校、科研院所、企业在区落地实验室、研发中心等</w:t>
      </w:r>
      <w:r>
        <w:t>人工智能创新载体，前瞻性布局人工智能关键技术重点攻关领域，</w:t>
      </w:r>
      <w:r>
        <w:rPr>
          <w:rFonts w:hint="eastAsia"/>
        </w:rPr>
        <w:t>强化创新对产业的引领和支撑作用。鼓励人工</w:t>
      </w:r>
      <w:r>
        <w:t>智能产品创新，</w:t>
      </w:r>
      <w:r>
        <w:rPr>
          <w:rFonts w:hint="eastAsia"/>
        </w:rPr>
        <w:t>重点支持占据未来产业链关键环节的</w:t>
      </w:r>
      <w:r>
        <w:t>智能芯片、传感器、智能网联</w:t>
      </w:r>
      <w:r>
        <w:rPr>
          <w:rFonts w:hint="eastAsia"/>
          <w:lang w:eastAsia="zh-CN"/>
        </w:rPr>
        <w:t>设备</w:t>
      </w:r>
      <w:r>
        <w:t>等关键零部件、产品的研发与产业化，培育行业</w:t>
      </w:r>
      <w:r>
        <w:rPr>
          <w:rFonts w:hint="eastAsia"/>
        </w:rPr>
        <w:t>隐形</w:t>
      </w:r>
      <w:r>
        <w:t>领军企业。</w:t>
      </w:r>
      <w:r>
        <w:rPr>
          <w:rFonts w:hint="eastAsia"/>
        </w:rPr>
        <w:t>支持人工</w:t>
      </w:r>
      <w:r>
        <w:t>智能应用场景</w:t>
      </w:r>
      <w:r>
        <w:rPr>
          <w:rFonts w:hint="eastAsia"/>
        </w:rPr>
        <w:t>落地</w:t>
      </w:r>
      <w:r>
        <w:t>，</w:t>
      </w:r>
      <w:r>
        <w:rPr>
          <w:rFonts w:hint="eastAsia"/>
          <w:lang w:eastAsia="zh-CN"/>
        </w:rPr>
        <w:t>鼓励</w:t>
      </w:r>
      <w:r>
        <w:rPr>
          <w:rFonts w:hint="eastAsia"/>
        </w:rPr>
        <w:t>在区研发技术</w:t>
      </w:r>
      <w:r>
        <w:t>在</w:t>
      </w:r>
      <w:r>
        <w:rPr>
          <w:rFonts w:hint="eastAsia"/>
        </w:rPr>
        <w:t>数字经济培育、智慧城市建设、民生改善服务等领域落地实践</w:t>
      </w:r>
      <w:r>
        <w:rPr>
          <w:rFonts w:hint="eastAsia" w:ascii="仿宋" w:hAnsi="仿宋" w:eastAsia="仿宋" w:cs="仿宋"/>
        </w:rPr>
        <w:t>。强化数据安全保护，在国家法律法规框架内探索数据公开、数据安全、数据资产保护和个人隐私保护等标准规则在区率先落地适用。</w:t>
      </w:r>
    </w:p>
    <w:p>
      <w:pPr>
        <w:snapToGrid w:val="0"/>
        <w:spacing w:line="560" w:lineRule="exact"/>
        <w:ind w:left="638"/>
        <w:jc w:val="both"/>
        <w:outlineLvl w:val="1"/>
        <w:rPr>
          <w:rFonts w:hint="eastAsia" w:eastAsia="楷体_GB2312"/>
          <w:szCs w:val="32"/>
        </w:rPr>
      </w:pPr>
      <w:bookmarkStart w:id="5" w:name="_Toc87358691"/>
      <w:r>
        <w:rPr>
          <w:rFonts w:hint="eastAsia" w:eastAsia="楷体_GB2312"/>
          <w:szCs w:val="32"/>
        </w:rPr>
        <w:t>（二）深入布局心血管医疗器械产业</w:t>
      </w:r>
      <w:bookmarkEnd w:id="5"/>
    </w:p>
    <w:p>
      <w:pPr>
        <w:widowControl/>
        <w:adjustRightInd/>
        <w:spacing w:line="560" w:lineRule="exact"/>
        <w:ind w:firstLine="632" w:firstLineChars="200"/>
        <w:rPr>
          <w:szCs w:val="22"/>
        </w:rPr>
      </w:pPr>
      <w:r>
        <w:rPr>
          <w:rFonts w:hint="eastAsia"/>
          <w:szCs w:val="22"/>
        </w:rPr>
        <w:t>依托国家级心血管研究和临床实验机构在区集聚的先发优势，积极打造心血管医疗器械特色产业园区。围绕心血管医疗器械创新研发和成果转化，支持专业化研发生产服务平台建设，吸引符合国际标准</w:t>
      </w:r>
      <w:r>
        <w:rPr>
          <w:rFonts w:hint="eastAsia"/>
          <w:szCs w:val="22"/>
          <w:lang w:eastAsia="zh-CN"/>
        </w:rPr>
        <w:t>的</w:t>
      </w:r>
      <w:r>
        <w:rPr>
          <w:rFonts w:hint="eastAsia"/>
          <w:szCs w:val="22"/>
        </w:rPr>
        <w:t>合同研发机构、合同定制研发生产服务机构、医疗器械工程化平台、产业化技术人员培训平台等的专业研发生产服务平台围绕相关领域集中布局。支持心血管医疗器械创新成果落地转化，建立专项引导基金，</w:t>
      </w:r>
      <w:r>
        <w:rPr>
          <w:rFonts w:hint="eastAsia"/>
          <w:szCs w:val="22"/>
          <w:lang w:eastAsia="zh-CN"/>
        </w:rPr>
        <w:t>用好市区相关</w:t>
      </w:r>
      <w:r>
        <w:rPr>
          <w:rFonts w:hint="eastAsia"/>
          <w:szCs w:val="22"/>
        </w:rPr>
        <w:t>支持政策，推动相关医疗器械产品的首台（套）重大技术装备、首购产品认定，建立细分领域医疗器械硬科技孵化器，为相关领域中小微企业开展产品研发、工业设计、小试中试、检验检测等需求提供专业服务保障，营造心血管医疗器械产业创新创业优质生态。</w:t>
      </w:r>
    </w:p>
    <w:p>
      <w:pPr>
        <w:snapToGrid w:val="0"/>
        <w:spacing w:line="560" w:lineRule="exact"/>
        <w:ind w:left="638"/>
        <w:jc w:val="both"/>
        <w:outlineLvl w:val="1"/>
        <w:rPr>
          <w:rFonts w:hint="eastAsia" w:eastAsia="楷体_GB2312"/>
          <w:szCs w:val="32"/>
        </w:rPr>
      </w:pPr>
      <w:bookmarkStart w:id="6" w:name="_Toc87358692"/>
      <w:r>
        <w:rPr>
          <w:rFonts w:hint="eastAsia" w:eastAsia="楷体_GB2312"/>
          <w:szCs w:val="32"/>
        </w:rPr>
        <w:t>（三）加快布局超高清数字视听产业</w:t>
      </w:r>
      <w:bookmarkEnd w:id="6"/>
    </w:p>
    <w:p>
      <w:pPr>
        <w:widowControl/>
        <w:adjustRightInd/>
        <w:spacing w:line="560" w:lineRule="exact"/>
        <w:ind w:firstLine="632" w:firstLineChars="200"/>
        <w:rPr>
          <w:szCs w:val="22"/>
        </w:rPr>
      </w:pPr>
      <w:r>
        <w:rPr>
          <w:rFonts w:hint="eastAsia"/>
          <w:szCs w:val="22"/>
        </w:rPr>
        <w:t>打造央广总台北京总站“5</w:t>
      </w:r>
      <w:r>
        <w:rPr>
          <w:szCs w:val="22"/>
        </w:rPr>
        <w:t>G</w:t>
      </w:r>
      <w:r>
        <w:rPr>
          <w:rFonts w:hint="eastAsia"/>
          <w:szCs w:val="22"/>
        </w:rPr>
        <w:t>+</w:t>
      </w:r>
      <w:r>
        <w:rPr>
          <w:szCs w:val="22"/>
        </w:rPr>
        <w:t>8K</w:t>
      </w:r>
      <w:r>
        <w:rPr>
          <w:rFonts w:hint="eastAsia"/>
          <w:szCs w:val="22"/>
        </w:rPr>
        <w:t>”超高清示范园，支持超高清头部企业带动上下游优质市场主体入驻集聚，构建超高清数字视听产业生态圈，鼓励行业协会、产业联盟</w:t>
      </w:r>
      <w:r>
        <w:rPr>
          <w:rFonts w:hint="eastAsia"/>
          <w:szCs w:val="22"/>
          <w:lang w:eastAsia="zh-CN"/>
        </w:rPr>
        <w:t>、头部</w:t>
      </w:r>
      <w:r>
        <w:rPr>
          <w:rFonts w:hint="eastAsia"/>
          <w:szCs w:val="22"/>
        </w:rPr>
        <w:t>企业举办技术对接、培训讲座、高端论坛等专业活动。共建超高清视听服务平台，整合各类内容创新服务资源，搭建多层次的超高清服务体系，支持专业机构搭建线下共享内容制作场景、线上共享服务平台，</w:t>
      </w:r>
      <w:r>
        <w:rPr>
          <w:rFonts w:hint="eastAsia"/>
          <w:szCs w:val="22"/>
          <w:lang w:eastAsia="zh-CN"/>
        </w:rPr>
        <w:t>鼓励</w:t>
      </w:r>
      <w:r>
        <w:rPr>
          <w:rFonts w:hint="eastAsia"/>
          <w:szCs w:val="22"/>
        </w:rPr>
        <w:t>知识产权服务机构开展相关领域知识产权试点服务，</w:t>
      </w:r>
      <w:r>
        <w:rPr>
          <w:rFonts w:hint="eastAsia"/>
          <w:szCs w:val="22"/>
          <w:lang w:eastAsia="zh-CN"/>
        </w:rPr>
        <w:t>推动</w:t>
      </w:r>
      <w:r>
        <w:rPr>
          <w:rFonts w:hint="eastAsia"/>
          <w:szCs w:val="22"/>
        </w:rPr>
        <w:t>金融机构提供</w:t>
      </w:r>
      <w:r>
        <w:rPr>
          <w:rFonts w:hint="eastAsia"/>
          <w:szCs w:val="22"/>
          <w:lang w:eastAsia="zh-CN"/>
        </w:rPr>
        <w:t>符合产业发展规律的</w:t>
      </w:r>
      <w:r>
        <w:rPr>
          <w:rFonts w:hint="eastAsia"/>
          <w:bCs/>
          <w:szCs w:val="32"/>
        </w:rPr>
        <w:t>融资服务。</w:t>
      </w:r>
      <w:r>
        <w:rPr>
          <w:rFonts w:hint="eastAsia"/>
          <w:bCs/>
          <w:szCs w:val="22"/>
        </w:rPr>
        <w:t>鼓励产业创新和成果转化，</w:t>
      </w:r>
      <w:r>
        <w:rPr>
          <w:rFonts w:hint="eastAsia"/>
          <w:szCs w:val="22"/>
        </w:rPr>
        <w:t>鼓励超高清视听企业开展技术研究和前沿制作，邀请国家级、省部级知名院校、研究机构在区建设视听产业研发中心、成果转化基地；</w:t>
      </w:r>
      <w:r>
        <w:rPr>
          <w:rFonts w:hint="eastAsia"/>
          <w:bCs/>
          <w:szCs w:val="32"/>
        </w:rPr>
        <w:t>支持中小微企业深耕细分领域，出产现象级优质视听作品，探索创新应用场景。</w:t>
      </w:r>
    </w:p>
    <w:p>
      <w:pPr>
        <w:snapToGrid w:val="0"/>
        <w:spacing w:line="560" w:lineRule="exact"/>
        <w:ind w:left="641"/>
        <w:jc w:val="both"/>
        <w:outlineLvl w:val="1"/>
        <w:rPr>
          <w:rFonts w:eastAsia="楷体_GB2312"/>
          <w:szCs w:val="32"/>
        </w:rPr>
      </w:pPr>
      <w:bookmarkStart w:id="7" w:name="_Toc87358693"/>
      <w:r>
        <w:rPr>
          <w:rFonts w:hint="eastAsia" w:eastAsia="楷体_GB2312"/>
          <w:szCs w:val="32"/>
        </w:rPr>
        <w:t>（四）促进总部经济发展</w:t>
      </w:r>
      <w:bookmarkEnd w:id="7"/>
    </w:p>
    <w:p>
      <w:pPr>
        <w:pStyle w:val="25"/>
        <w:widowControl/>
        <w:spacing w:line="560" w:lineRule="exact"/>
        <w:ind w:firstLine="632" w:firstLineChars="200"/>
        <w:jc w:val="both"/>
        <w:rPr>
          <w:bCs/>
          <w:szCs w:val="32"/>
        </w:rPr>
      </w:pPr>
      <w:r>
        <w:rPr>
          <w:rFonts w:hint="eastAsia"/>
          <w:bCs/>
          <w:szCs w:val="32"/>
        </w:rPr>
        <w:t>紧紧把握中心城区溢出效应，积极促进重点企业总部在区落地，支持总部经济高质量发展。在本区实体化经营的总部企业均纳入“服务包”机制，提供更高效精准的服务；对符合条件的总部企业境外投资项目给予备案便利，对总部企业进出口货物给予通关便利</w:t>
      </w:r>
      <w:r>
        <w:rPr>
          <w:rFonts w:hint="eastAsia"/>
          <w:bCs/>
          <w:szCs w:val="32"/>
          <w:lang w:eastAsia="zh-CN"/>
        </w:rPr>
        <w:t>；</w:t>
      </w:r>
      <w:r>
        <w:rPr>
          <w:rFonts w:hint="eastAsia"/>
          <w:bCs/>
          <w:szCs w:val="32"/>
        </w:rPr>
        <w:t>对新增重大战略项目的总部企业采取“一事一议”，统筹研究解决全区总部企业高质量发展中遇到的重大问题，提供更加优化的总部经济发展环境。</w:t>
      </w:r>
    </w:p>
    <w:p>
      <w:pPr>
        <w:snapToGrid w:val="0"/>
        <w:spacing w:line="560" w:lineRule="exact"/>
        <w:ind w:left="641"/>
        <w:jc w:val="both"/>
        <w:outlineLvl w:val="1"/>
        <w:rPr>
          <w:rFonts w:eastAsia="楷体_GB2312"/>
          <w:szCs w:val="32"/>
        </w:rPr>
      </w:pPr>
      <w:bookmarkStart w:id="8" w:name="_Toc87358694"/>
      <w:r>
        <w:rPr>
          <w:rFonts w:hint="eastAsia" w:eastAsia="楷体_GB2312"/>
          <w:szCs w:val="32"/>
        </w:rPr>
        <w:t>（五）促进商务和生活性服务业提质</w:t>
      </w:r>
      <w:bookmarkEnd w:id="8"/>
    </w:p>
    <w:p>
      <w:pPr>
        <w:adjustRightInd/>
        <w:spacing w:line="560" w:lineRule="exact"/>
        <w:ind w:firstLine="632" w:firstLineChars="200"/>
        <w:rPr>
          <w:rFonts w:ascii="仿宋_GB2312" w:hAnsi="仿宋_GB2312" w:cs="仿宋_GB2312"/>
          <w:szCs w:val="32"/>
        </w:rPr>
      </w:pPr>
      <w:r>
        <w:rPr>
          <w:rFonts w:hint="eastAsia" w:ascii="仿宋_GB2312" w:hAnsi="仿宋_GB2312" w:cs="仿宋_GB2312"/>
          <w:szCs w:val="32"/>
        </w:rPr>
        <w:t>立足北京国际消费中心城市承载区之一，打造首都西部消费新核心，</w:t>
      </w:r>
      <w:r>
        <w:rPr>
          <w:rFonts w:hint="eastAsia" w:ascii="仿宋_GB2312" w:hAnsi="仿宋_GB2312" w:cs="仿宋_GB2312"/>
          <w:szCs w:val="32"/>
          <w:lang w:eastAsia="zh-CN"/>
        </w:rPr>
        <w:t>促进</w:t>
      </w:r>
      <w:r>
        <w:rPr>
          <w:rFonts w:hint="eastAsia" w:ascii="仿宋_GB2312" w:hAnsi="仿宋_GB2312" w:cs="仿宋_GB2312"/>
          <w:szCs w:val="32"/>
        </w:rPr>
        <w:t>商务品牌影响力、文旅消费美誉度、区域产业服务力、消费环境舒适度显著提升。持续优化消费空间布局，丰富以首店经济、精品小店、区域老字号为核心的消费品牌矩阵，引导落地网红打卡地、品质消费推荐地，建立多元消费体系。提升产业发展服务能力，将产业布局与商务</w:t>
      </w:r>
      <w:r>
        <w:rPr>
          <w:rFonts w:hint="eastAsia" w:ascii="仿宋_GB2312" w:hAnsi="仿宋_GB2312" w:cs="仿宋_GB2312"/>
          <w:szCs w:val="32"/>
          <w:lang w:eastAsia="zh-CN"/>
        </w:rPr>
        <w:t>服务业布局</w:t>
      </w:r>
      <w:r>
        <w:rPr>
          <w:rFonts w:hint="eastAsia" w:ascii="仿宋_GB2312" w:hAnsi="仿宋_GB2312" w:cs="仿宋_GB2312"/>
          <w:szCs w:val="32"/>
        </w:rPr>
        <w:t>统筹规划，加快重点园区、重点企业周边专业服务、商务接待、餐饮购物、休闲娱乐等配套设施布局，加快智慧商圈建设</w:t>
      </w:r>
      <w:r>
        <w:rPr>
          <w:rFonts w:hint="eastAsia" w:ascii="仿宋_GB2312" w:hAnsi="仿宋_GB2312" w:cs="仿宋_GB2312"/>
          <w:color w:val="222222"/>
          <w:szCs w:val="32"/>
        </w:rPr>
        <w:t>，形成高效、有活力的</w:t>
      </w:r>
      <w:r>
        <w:rPr>
          <w:rFonts w:hint="eastAsia" w:ascii="仿宋_GB2312" w:hAnsi="仿宋_GB2312" w:cs="仿宋_GB2312"/>
          <w:szCs w:val="32"/>
        </w:rPr>
        <w:t>产业消费互促</w:t>
      </w:r>
      <w:r>
        <w:rPr>
          <w:rFonts w:hint="eastAsia" w:ascii="仿宋_GB2312" w:hAnsi="仿宋_GB2312" w:cs="仿宋_GB2312"/>
          <w:color w:val="222222"/>
          <w:szCs w:val="32"/>
        </w:rPr>
        <w:t>生态系统。优化</w:t>
      </w:r>
      <w:r>
        <w:rPr>
          <w:rFonts w:hint="eastAsia" w:ascii="仿宋_GB2312" w:hAnsi="仿宋_GB2312" w:cs="仿宋_GB2312"/>
          <w:szCs w:val="32"/>
        </w:rPr>
        <w:t>消费环境舒适度，营造“放心消费”软环境氛围，完善安全保障、质量保障、价格保障等标准与监管体系</w:t>
      </w:r>
      <w:r>
        <w:rPr>
          <w:rFonts w:hint="eastAsia" w:ascii="仿宋_GB2312" w:hAnsi="仿宋_GB2312" w:cs="仿宋_GB2312"/>
          <w:szCs w:val="32"/>
          <w:lang w:eastAsia="zh-CN"/>
        </w:rPr>
        <w:t>，</w:t>
      </w:r>
      <w:r>
        <w:rPr>
          <w:rFonts w:hint="eastAsia" w:ascii="仿宋_GB2312" w:hAnsi="仿宋_GB2312" w:cs="仿宋_GB2312"/>
          <w:szCs w:val="32"/>
        </w:rPr>
        <w:t>不断提升消费便利度、消费者满意度指数、消费服务质量与水平。</w:t>
      </w:r>
    </w:p>
    <w:p>
      <w:pPr>
        <w:adjustRightInd/>
        <w:spacing w:line="560" w:lineRule="exact"/>
        <w:ind w:firstLine="632" w:firstLineChars="200"/>
        <w:outlineLvl w:val="1"/>
        <w:rPr>
          <w:rFonts w:eastAsia="楷体_GB2312"/>
          <w:szCs w:val="32"/>
        </w:rPr>
      </w:pPr>
      <w:bookmarkStart w:id="9" w:name="_Toc87358695"/>
      <w:r>
        <w:rPr>
          <w:rFonts w:hint="eastAsia" w:eastAsia="楷体_GB2312"/>
          <w:szCs w:val="32"/>
        </w:rPr>
        <w:t>（六）优化全域文旅产业布局</w:t>
      </w:r>
      <w:bookmarkEnd w:id="9"/>
    </w:p>
    <w:p>
      <w:pPr>
        <w:widowControl/>
        <w:spacing w:line="560" w:lineRule="exact"/>
        <w:ind w:firstLine="632" w:firstLineChars="200"/>
        <w:rPr>
          <w:rFonts w:hint="eastAsia" w:ascii="仿宋_GB2312" w:hAnsi="仿宋_GB2312" w:cs="仿宋_GB2312"/>
          <w:szCs w:val="32"/>
        </w:rPr>
      </w:pPr>
      <w:r>
        <w:rPr>
          <w:rFonts w:hint="eastAsia" w:ascii="仿宋_GB2312"/>
          <w:szCs w:val="32"/>
        </w:rPr>
        <w:t>以实现全域旅游示范区为战略总体目标，</w:t>
      </w:r>
      <w:r>
        <w:rPr>
          <w:rFonts w:hint="eastAsia" w:ascii="仿宋_GB2312" w:hAnsi="仿宋_GB2312" w:cs="仿宋_GB2312"/>
          <w:szCs w:val="32"/>
        </w:rPr>
        <w:t>通过全域统筹、文旅融合持续优化文旅产业布局，依托区域优质生态资源禀赋，传承区域深厚历史民俗文化</w:t>
      </w:r>
      <w:r>
        <w:rPr>
          <w:rFonts w:hint="eastAsia" w:ascii="仿宋_GB2312" w:hAnsi="仿宋_GB2312" w:cs="仿宋_GB2312"/>
          <w:szCs w:val="32"/>
          <w:lang w:eastAsia="zh-CN"/>
        </w:rPr>
        <w:t>和红色文化</w:t>
      </w:r>
      <w:r>
        <w:rPr>
          <w:rFonts w:hint="eastAsia" w:ascii="仿宋_GB2312" w:hAnsi="仿宋_GB2312" w:cs="仿宋_GB2312"/>
          <w:szCs w:val="32"/>
        </w:rPr>
        <w:t>，聚焦“一线四矿”</w:t>
      </w:r>
      <w:r>
        <w:rPr>
          <w:rFonts w:hint="eastAsia" w:ascii="仿宋_GB2312" w:hAnsi="仿宋_GB2312" w:cs="仿宋_GB2312"/>
          <w:szCs w:val="32"/>
          <w:lang w:eastAsia="zh-CN"/>
        </w:rPr>
        <w:t>等</w:t>
      </w:r>
      <w:r>
        <w:rPr>
          <w:rFonts w:hint="eastAsia" w:ascii="仿宋_GB2312" w:hAnsi="仿宋_GB2312" w:cs="仿宋_GB2312"/>
          <w:szCs w:val="32"/>
        </w:rPr>
        <w:t>矿业遗产</w:t>
      </w:r>
      <w:r>
        <w:rPr>
          <w:rFonts w:hint="eastAsia" w:ascii="仿宋_GB2312" w:hAnsi="仿宋_GB2312" w:cs="仿宋_GB2312"/>
          <w:szCs w:val="32"/>
          <w:lang w:eastAsia="zh-CN"/>
        </w:rPr>
        <w:t>，</w:t>
      </w:r>
      <w:r>
        <w:rPr>
          <w:rFonts w:hint="eastAsia" w:ascii="仿宋_GB2312" w:hAnsi="仿宋_GB2312" w:cs="仿宋_GB2312"/>
          <w:szCs w:val="32"/>
        </w:rPr>
        <w:t>琉璃烧造、东胡林人遗迹、沿河城</w:t>
      </w:r>
      <w:r>
        <w:rPr>
          <w:rFonts w:hint="eastAsia" w:ascii="仿宋_GB2312" w:hAnsi="仿宋_GB2312" w:cs="仿宋_GB2312"/>
          <w:szCs w:val="32"/>
          <w:lang w:eastAsia="zh-CN"/>
        </w:rPr>
        <w:t>古迹</w:t>
      </w:r>
      <w:r>
        <w:rPr>
          <w:rFonts w:hint="eastAsia" w:ascii="仿宋_GB2312" w:hAnsi="仿宋_GB2312" w:cs="仿宋_GB2312"/>
          <w:szCs w:val="32"/>
        </w:rPr>
        <w:t>等历史文化遗产资源，山地越野、徒步、攀爬、骑行等户外运动资源，打造文旅融合创新发展品牌，落地新增优质文旅项目，提升旅游景区质量，完善配套设施和服务载体，强化科技赋能建设智慧文旅，着力打造京西传统文化体验目的地、红色旅游目的地、京郊微度假首选目的地、高端户外运动目的地、亲子生态研学目的地。依托古村古道构建一批全域覆盖的徒步休闲黄金旅游路线，大力发展</w:t>
      </w:r>
      <w:r>
        <w:rPr>
          <w:rFonts w:hint="eastAsia" w:ascii="仿宋_GB2312" w:hAnsi="仿宋_GB2312" w:cs="仿宋_GB2312"/>
          <w:szCs w:val="32"/>
          <w:lang w:eastAsia="zh-CN"/>
        </w:rPr>
        <w:t>以</w:t>
      </w:r>
      <w:r>
        <w:rPr>
          <w:rFonts w:hint="eastAsia" w:ascii="仿宋_GB2312" w:hAnsi="仿宋_GB2312" w:cs="仿宋_GB2312"/>
          <w:szCs w:val="32"/>
        </w:rPr>
        <w:t>“门头沟小院”精品民宿为</w:t>
      </w:r>
      <w:r>
        <w:rPr>
          <w:rFonts w:hint="eastAsia" w:ascii="仿宋_GB2312" w:hAnsi="仿宋_GB2312" w:cs="仿宋_GB2312"/>
          <w:szCs w:val="32"/>
          <w:lang w:eastAsia="zh-CN"/>
        </w:rPr>
        <w:t>主要</w:t>
      </w:r>
      <w:r>
        <w:rPr>
          <w:rFonts w:hint="eastAsia" w:ascii="仿宋_GB2312" w:hAnsi="仿宋_GB2312" w:cs="仿宋_GB2312"/>
          <w:szCs w:val="32"/>
        </w:rPr>
        <w:t>载体的“一村一品”的田园综合体。围绕“吃、住、行、游、购、娱”六大要素，培育一批文旅创意产品，积极营造绿色文旅消费生态，强化全域旅游服务平台建设。</w:t>
      </w:r>
    </w:p>
    <w:p>
      <w:pPr>
        <w:snapToGrid w:val="0"/>
        <w:spacing w:line="560" w:lineRule="exact"/>
        <w:ind w:firstLine="632" w:firstLineChars="200"/>
        <w:jc w:val="both"/>
        <w:outlineLvl w:val="1"/>
        <w:rPr>
          <w:rFonts w:eastAsia="楷体_GB2312"/>
          <w:szCs w:val="32"/>
        </w:rPr>
      </w:pPr>
      <w:bookmarkStart w:id="10" w:name="_Toc87358696"/>
      <w:r>
        <w:rPr>
          <w:rFonts w:hint="eastAsia" w:eastAsia="楷体_GB2312"/>
          <w:szCs w:val="32"/>
        </w:rPr>
        <w:t>（七）推动绿色金融支持产业发展</w:t>
      </w:r>
      <w:bookmarkEnd w:id="10"/>
    </w:p>
    <w:p>
      <w:pPr>
        <w:pStyle w:val="12"/>
        <w:spacing w:line="560" w:lineRule="exact"/>
        <w:ind w:firstLine="632" w:firstLineChars="200"/>
        <w:rPr>
          <w:rFonts w:ascii="Times New Roman" w:hAnsi="Times New Roman"/>
          <w:bCs/>
          <w:sz w:val="32"/>
          <w:szCs w:val="32"/>
        </w:rPr>
      </w:pPr>
      <w:r>
        <w:rPr>
          <w:rFonts w:hint="eastAsia" w:ascii="Times New Roman" w:hAnsi="Times New Roman"/>
          <w:bCs/>
          <w:sz w:val="32"/>
          <w:szCs w:val="32"/>
        </w:rPr>
        <w:t>抓住《北京市“十四五”时期金融业发展规划》支持我区打造绿色金融支持绿色产业发展的先行示范区的机遇，强化与金融机构合作，以绿色金融为抓手加快提升全区金融服务业布局，推动金融机构创新绿色信贷、绿色债券、绿色担保、绿色保险、碳金融、绿色投融资等绿色金融产品，与生态涵养区发展实际相结合，进行创新试验试点。重点突破绿色金融支持乡村振兴精品项目、绿色现代产业加速集聚、环保企业转型升级等关键领域。着力探索森林等生态碳汇资源进入碳交易市场，拓宽生态资产转化通道。</w:t>
      </w:r>
    </w:p>
    <w:p>
      <w:pPr>
        <w:numPr>
          <w:ilvl w:val="0"/>
          <w:numId w:val="3"/>
        </w:numPr>
        <w:snapToGrid w:val="0"/>
        <w:spacing w:line="560" w:lineRule="exact"/>
        <w:ind w:firstLine="632" w:firstLineChars="200"/>
        <w:jc w:val="both"/>
        <w:outlineLvl w:val="0"/>
        <w:rPr>
          <w:rFonts w:eastAsia="黑体"/>
          <w:szCs w:val="32"/>
        </w:rPr>
      </w:pPr>
      <w:bookmarkStart w:id="11" w:name="_Toc87358697"/>
      <w:r>
        <w:rPr>
          <w:rFonts w:hint="eastAsia" w:eastAsia="黑体"/>
          <w:szCs w:val="32"/>
        </w:rPr>
        <w:t>支持在区企业持续稳定发展</w:t>
      </w:r>
      <w:bookmarkEnd w:id="11"/>
    </w:p>
    <w:p>
      <w:pPr>
        <w:pStyle w:val="21"/>
        <w:spacing w:line="560" w:lineRule="exact"/>
        <w:ind w:left="0" w:leftChars="0" w:firstLine="632" w:firstLineChars="200"/>
      </w:pPr>
      <w:r>
        <w:rPr>
          <w:rFonts w:hint="eastAsia"/>
          <w:szCs w:val="22"/>
          <w:lang w:val="zh-CN"/>
        </w:rPr>
        <w:t>围绕企业全生命周期提供系统支持政策，扫清支持企业发展的“盲点”、“空白点”，持续强化创新引领导向，形成重点企业梯次培育格局。</w:t>
      </w:r>
    </w:p>
    <w:p>
      <w:pPr>
        <w:snapToGrid w:val="0"/>
        <w:spacing w:line="560" w:lineRule="exact"/>
        <w:ind w:firstLine="632" w:firstLineChars="200"/>
        <w:jc w:val="both"/>
        <w:outlineLvl w:val="1"/>
        <w:rPr>
          <w:rFonts w:eastAsia="楷体_GB2312"/>
          <w:szCs w:val="32"/>
        </w:rPr>
      </w:pPr>
      <w:bookmarkStart w:id="12" w:name="_Toc87358698"/>
      <w:r>
        <w:rPr>
          <w:rFonts w:hint="eastAsia" w:eastAsia="楷体_GB2312"/>
          <w:szCs w:val="32"/>
        </w:rPr>
        <w:t>（八）强化企业在区持续发展支持政策</w:t>
      </w:r>
      <w:bookmarkEnd w:id="12"/>
    </w:p>
    <w:p>
      <w:pPr>
        <w:pStyle w:val="12"/>
        <w:spacing w:line="560" w:lineRule="exact"/>
        <w:ind w:firstLine="632" w:firstLineChars="200"/>
        <w:rPr>
          <w:rFonts w:ascii="Times New Roman" w:hAnsi="Times New Roman"/>
          <w:sz w:val="32"/>
          <w:szCs w:val="22"/>
          <w:lang w:val="zh-CN"/>
        </w:rPr>
      </w:pPr>
      <w:r>
        <w:rPr>
          <w:rFonts w:hint="eastAsia" w:ascii="Times New Roman" w:hAnsi="Times New Roman"/>
          <w:sz w:val="32"/>
          <w:szCs w:val="22"/>
          <w:lang w:val="zh-CN"/>
        </w:rPr>
        <w:t>强化全区企业发展状况调研监测，落实对新引进企业的全程跟踪支持，对已</w:t>
      </w:r>
      <w:bookmarkStart w:id="13" w:name="_Hlk87254808"/>
      <w:r>
        <w:rPr>
          <w:rFonts w:hint="eastAsia" w:ascii="Times New Roman" w:hAnsi="Times New Roman"/>
          <w:sz w:val="32"/>
          <w:szCs w:val="22"/>
          <w:lang w:val="zh-CN"/>
        </w:rPr>
        <w:t>退出3年培育期</w:t>
      </w:r>
      <w:bookmarkEnd w:id="13"/>
      <w:r>
        <w:rPr>
          <w:rFonts w:hint="eastAsia" w:ascii="Times New Roman" w:hAnsi="Times New Roman"/>
          <w:sz w:val="32"/>
          <w:szCs w:val="22"/>
          <w:lang w:val="zh-CN"/>
        </w:rPr>
        <w:t>的存量稳定发展期企业，明确持续支持措施，统筹资金支持、人才保障等支持措施的科学公平分配，促进企业自身成长与地区发展激励相容。</w:t>
      </w:r>
    </w:p>
    <w:p>
      <w:pPr>
        <w:snapToGrid w:val="0"/>
        <w:spacing w:line="560" w:lineRule="exact"/>
        <w:ind w:firstLine="632" w:firstLineChars="200"/>
        <w:jc w:val="both"/>
        <w:outlineLvl w:val="1"/>
        <w:rPr>
          <w:rFonts w:eastAsia="楷体_GB2312"/>
          <w:szCs w:val="32"/>
        </w:rPr>
      </w:pPr>
      <w:bookmarkStart w:id="14" w:name="_Toc87358699"/>
      <w:r>
        <w:rPr>
          <w:rFonts w:hint="eastAsia" w:eastAsia="楷体_GB2312"/>
          <w:szCs w:val="32"/>
        </w:rPr>
        <w:t>（九）细化专精特新“小巨人”企业培育政策</w:t>
      </w:r>
      <w:bookmarkEnd w:id="14"/>
    </w:p>
    <w:p>
      <w:pPr>
        <w:widowControl/>
        <w:spacing w:line="560" w:lineRule="exact"/>
        <w:ind w:firstLine="632" w:firstLineChars="200"/>
        <w:jc w:val="both"/>
        <w:rPr>
          <w:szCs w:val="22"/>
          <w:lang w:val="zh-CN"/>
        </w:rPr>
      </w:pPr>
      <w:r>
        <w:rPr>
          <w:rFonts w:hint="eastAsia"/>
          <w:szCs w:val="22"/>
          <w:lang w:val="zh-CN"/>
        </w:rPr>
        <w:t>为专精特新小巨人企业的前期储备、重点培养和发展支持建立全程支持机制，鼓励在区中小企业持续提升自身专业化、精细化、特色化及创新水平，围绕创新协作、产业配套等企业发展痛点难点问题提供个性化帮助。重点支持在区中小企业持续增加创新投入，推进技术成果产业化应用，围绕产业重点细分领域“补短板”和“锻长板”，紧跟京津冀一体化深入发展促进产业链补链延链固链，加快数字化网络化智能化改造，加快登陆资本市场步伐和开展国际合作。</w:t>
      </w:r>
    </w:p>
    <w:p>
      <w:pPr>
        <w:pStyle w:val="12"/>
        <w:numPr>
          <w:ilvl w:val="0"/>
          <w:numId w:val="3"/>
        </w:numPr>
        <w:spacing w:line="560" w:lineRule="exact"/>
        <w:ind w:firstLine="632" w:firstLineChars="200"/>
        <w:outlineLvl w:val="0"/>
        <w:rPr>
          <w:rFonts w:ascii="Times New Roman" w:hAnsi="Times New Roman" w:eastAsia="黑体"/>
          <w:sz w:val="32"/>
          <w:szCs w:val="32"/>
        </w:rPr>
      </w:pPr>
      <w:bookmarkStart w:id="15" w:name="_Toc87358700"/>
      <w:r>
        <w:rPr>
          <w:rFonts w:hint="eastAsia" w:ascii="Times New Roman" w:hAnsi="Times New Roman" w:eastAsia="黑体"/>
          <w:sz w:val="32"/>
          <w:szCs w:val="32"/>
        </w:rPr>
        <w:t>加快中关村门头沟园建设</w:t>
      </w:r>
      <w:bookmarkEnd w:id="15"/>
    </w:p>
    <w:p>
      <w:pPr>
        <w:pStyle w:val="12"/>
        <w:spacing w:line="560" w:lineRule="exact"/>
        <w:ind w:firstLine="632" w:firstLineChars="200"/>
        <w:rPr>
          <w:rFonts w:ascii="Times New Roman" w:hAnsi="Times New Roman"/>
          <w:sz w:val="32"/>
          <w:szCs w:val="22"/>
          <w:lang w:val="zh-CN"/>
        </w:rPr>
      </w:pPr>
      <w:r>
        <w:rPr>
          <w:rFonts w:hint="eastAsia" w:ascii="Times New Roman" w:hAnsi="Times New Roman"/>
          <w:sz w:val="32"/>
          <w:szCs w:val="22"/>
          <w:lang w:val="zh-CN"/>
        </w:rPr>
        <w:t>发挥中关村门头沟园在全区产业发展中的引擎作用，强化园区全周期管理服务能力，始终</w:t>
      </w:r>
      <w:r>
        <w:rPr>
          <w:rFonts w:hint="eastAsia" w:ascii="仿宋_GB2312"/>
          <w:sz w:val="32"/>
          <w:szCs w:val="32"/>
        </w:rPr>
        <w:t>把创新作为引领发展的第一动力。</w:t>
      </w:r>
    </w:p>
    <w:p>
      <w:pPr>
        <w:pStyle w:val="12"/>
        <w:spacing w:line="560" w:lineRule="exact"/>
        <w:ind w:firstLine="632" w:firstLineChars="200"/>
        <w:outlineLvl w:val="1"/>
        <w:rPr>
          <w:rFonts w:ascii="Times New Roman" w:hAnsi="Times New Roman" w:eastAsia="楷体_GB2312"/>
          <w:sz w:val="32"/>
          <w:szCs w:val="32"/>
        </w:rPr>
      </w:pPr>
      <w:bookmarkStart w:id="16" w:name="_Toc87358701"/>
      <w:r>
        <w:rPr>
          <w:rFonts w:hint="eastAsia" w:ascii="Times New Roman" w:hAnsi="Times New Roman" w:eastAsia="楷体_GB2312"/>
          <w:sz w:val="32"/>
          <w:szCs w:val="32"/>
        </w:rPr>
        <w:t>（十）</w:t>
      </w:r>
      <w:r>
        <w:rPr>
          <w:rFonts w:hint="eastAsia" w:ascii="Times New Roman" w:hAnsi="Times New Roman" w:eastAsia="楷体_GB2312"/>
          <w:sz w:val="32"/>
          <w:szCs w:val="32"/>
          <w:lang w:eastAsia="zh-CN"/>
        </w:rPr>
        <w:t>加强</w:t>
      </w:r>
      <w:r>
        <w:rPr>
          <w:rFonts w:hint="eastAsia" w:ascii="Times New Roman" w:hAnsi="Times New Roman" w:eastAsia="楷体_GB2312"/>
          <w:sz w:val="32"/>
          <w:szCs w:val="32"/>
        </w:rPr>
        <w:t>园区企业准入与管理</w:t>
      </w:r>
      <w:bookmarkEnd w:id="16"/>
    </w:p>
    <w:p>
      <w:pPr>
        <w:pStyle w:val="12"/>
        <w:spacing w:line="560" w:lineRule="exact"/>
        <w:ind w:firstLine="632" w:firstLineChars="200"/>
        <w:rPr>
          <w:rFonts w:ascii="Times New Roman" w:hAnsi="Times New Roman"/>
          <w:sz w:val="32"/>
          <w:szCs w:val="22"/>
          <w:lang w:val="zh-CN"/>
        </w:rPr>
      </w:pPr>
      <w:r>
        <w:rPr>
          <w:rFonts w:hint="eastAsia" w:ascii="Times New Roman" w:hAnsi="Times New Roman"/>
          <w:sz w:val="32"/>
          <w:szCs w:val="22"/>
          <w:lang w:val="zh-CN"/>
        </w:rPr>
        <w:t>围绕全区构建现代产业的实际需求，持续细化完善园区企业准入与管理的标准和规则。围绕园区规划及产业布局，提高入园项目质量，加强规范管理，服务企业有序落地和培育，细化企业更新和退出流程，用活用精产业用地，不断提高服务产业发展的能力和水平。</w:t>
      </w:r>
    </w:p>
    <w:p>
      <w:pPr>
        <w:pStyle w:val="12"/>
        <w:spacing w:line="560" w:lineRule="exact"/>
        <w:ind w:firstLine="632" w:firstLineChars="200"/>
        <w:outlineLvl w:val="1"/>
        <w:rPr>
          <w:rFonts w:ascii="Times New Roman" w:hAnsi="Times New Roman" w:eastAsia="楷体_GB2312"/>
          <w:sz w:val="32"/>
          <w:szCs w:val="32"/>
        </w:rPr>
      </w:pPr>
      <w:bookmarkStart w:id="17" w:name="_Toc87358702"/>
      <w:r>
        <w:rPr>
          <w:rFonts w:hint="eastAsia" w:ascii="Times New Roman" w:hAnsi="Times New Roman" w:eastAsia="楷体_GB2312"/>
          <w:sz w:val="32"/>
          <w:szCs w:val="32"/>
        </w:rPr>
        <w:t>（十一）</w:t>
      </w:r>
      <w:r>
        <w:rPr>
          <w:rFonts w:hint="eastAsia" w:ascii="Times New Roman" w:hAnsi="Times New Roman" w:eastAsia="楷体_GB2312"/>
          <w:sz w:val="32"/>
          <w:szCs w:val="32"/>
          <w:lang w:eastAsia="zh-CN"/>
        </w:rPr>
        <w:t>优化</w:t>
      </w:r>
      <w:r>
        <w:rPr>
          <w:rFonts w:hint="eastAsia" w:ascii="Times New Roman" w:hAnsi="Times New Roman" w:eastAsia="楷体_GB2312"/>
          <w:sz w:val="32"/>
          <w:szCs w:val="32"/>
        </w:rPr>
        <w:t>园区运营机构引导与管理</w:t>
      </w:r>
      <w:bookmarkEnd w:id="17"/>
    </w:p>
    <w:p>
      <w:pPr>
        <w:spacing w:line="560" w:lineRule="exact"/>
        <w:ind w:firstLine="631"/>
        <w:jc w:val="both"/>
      </w:pPr>
      <w:r>
        <w:rPr>
          <w:rFonts w:hint="eastAsia"/>
          <w:szCs w:val="22"/>
          <w:lang w:val="zh-CN"/>
        </w:rPr>
        <w:t>围绕园区招商中介机构、产业和物业运营机构、孵化器、加速器等创新服务机构，明确引导发展的支持政策和管理规则，</w:t>
      </w:r>
      <w:r>
        <w:rPr>
          <w:rFonts w:hint="eastAsia" w:ascii="仿宋_GB2312" w:hAnsi="仿宋_GB2312" w:cs="仿宋_GB2312"/>
          <w:szCs w:val="32"/>
        </w:rPr>
        <w:t>优化科技资源和创新要素配置，完</w:t>
      </w:r>
      <w:r>
        <w:rPr>
          <w:rFonts w:hint="eastAsia" w:ascii="仿宋_GB2312" w:hAnsi="仿宋_GB2312" w:cs="仿宋_GB2312"/>
          <w:szCs w:val="32"/>
          <w:lang w:val="zh-TW"/>
        </w:rPr>
        <w:t>善科技创新</w:t>
      </w:r>
      <w:r>
        <w:rPr>
          <w:rFonts w:hint="eastAsia" w:ascii="仿宋_GB2312" w:hAnsi="仿宋_GB2312" w:cs="仿宋_GB2312"/>
          <w:szCs w:val="32"/>
          <w:lang w:val="zh-TW" w:eastAsia="zh-CN"/>
        </w:rPr>
        <w:t>的</w:t>
      </w:r>
      <w:r>
        <w:rPr>
          <w:rFonts w:hint="eastAsia" w:ascii="仿宋_GB2312" w:hAnsi="仿宋_GB2312" w:cs="仿宋_GB2312"/>
          <w:szCs w:val="32"/>
          <w:lang w:val="zh-TW"/>
        </w:rPr>
        <w:t>市场导向机制，</w:t>
      </w:r>
      <w:r>
        <w:rPr>
          <w:rFonts w:hint="eastAsia"/>
          <w:szCs w:val="22"/>
          <w:lang w:val="zh-CN"/>
        </w:rPr>
        <w:t>激励各类机构与中关村门头沟园有效协同建设园区。</w:t>
      </w:r>
    </w:p>
    <w:p>
      <w:pPr>
        <w:pStyle w:val="12"/>
        <w:spacing w:line="560" w:lineRule="exact"/>
        <w:ind w:firstLine="632" w:firstLineChars="200"/>
        <w:outlineLvl w:val="1"/>
        <w:rPr>
          <w:rFonts w:ascii="Times New Roman" w:hAnsi="Times New Roman" w:eastAsia="楷体_GB2312"/>
          <w:sz w:val="32"/>
          <w:szCs w:val="32"/>
        </w:rPr>
      </w:pPr>
      <w:bookmarkStart w:id="18" w:name="_Toc87358703"/>
      <w:r>
        <w:rPr>
          <w:rFonts w:hint="eastAsia" w:ascii="Times New Roman" w:hAnsi="Times New Roman" w:eastAsia="楷体_GB2312"/>
          <w:sz w:val="32"/>
          <w:szCs w:val="32"/>
        </w:rPr>
        <w:t>（十二）</w:t>
      </w:r>
      <w:r>
        <w:rPr>
          <w:rFonts w:hint="eastAsia" w:ascii="Times New Roman" w:hAnsi="Times New Roman" w:eastAsia="楷体_GB2312"/>
          <w:sz w:val="32"/>
          <w:szCs w:val="32"/>
          <w:lang w:eastAsia="zh-CN"/>
        </w:rPr>
        <w:t>完善</w:t>
      </w:r>
      <w:r>
        <w:rPr>
          <w:rFonts w:hint="eastAsia" w:ascii="Times New Roman" w:hAnsi="Times New Roman" w:eastAsia="楷体_GB2312"/>
          <w:sz w:val="32"/>
          <w:szCs w:val="32"/>
        </w:rPr>
        <w:t>企业培育一事一议管理机制</w:t>
      </w:r>
      <w:bookmarkEnd w:id="18"/>
    </w:p>
    <w:p>
      <w:pPr>
        <w:widowControl/>
        <w:spacing w:line="560" w:lineRule="exact"/>
        <w:ind w:firstLine="632" w:firstLineChars="200"/>
        <w:rPr>
          <w:rFonts w:ascii="仿宋_GB2312" w:hAnsi="仿宋_GB2312" w:cs="仿宋_GB2312"/>
          <w:szCs w:val="32"/>
          <w:lang w:val="zh-TW"/>
        </w:rPr>
      </w:pPr>
      <w:r>
        <w:rPr>
          <w:rFonts w:hint="eastAsia" w:ascii="仿宋_GB2312" w:hAnsi="仿宋_GB2312" w:cs="仿宋_GB2312"/>
          <w:color w:val="000000"/>
          <w:szCs w:val="32"/>
          <w:lang w:val="zh-TW" w:bidi="ar"/>
        </w:rPr>
        <w:t>进一步加大对标志性重大项目的引进力度，</w:t>
      </w:r>
      <w:r>
        <w:rPr>
          <w:rFonts w:hint="eastAsia" w:ascii="仿宋_GB2312" w:hAnsi="仿宋_GB2312" w:cs="仿宋_GB2312"/>
          <w:szCs w:val="32"/>
          <w:lang w:val="zh-TW"/>
        </w:rPr>
        <w:t>细化对园区企业培育政策支持，</w:t>
      </w:r>
      <w:r>
        <w:rPr>
          <w:rFonts w:hint="eastAsia" w:ascii="仿宋_GB2312" w:hAnsi="仿宋_GB2312" w:cs="仿宋_GB2312"/>
          <w:color w:val="000000"/>
          <w:szCs w:val="32"/>
          <w:lang w:val="zh-TW" w:bidi="ar"/>
        </w:rPr>
        <w:t>鼓励关键核心技术攻关、重点行业国际国内标准制定，支持重大兼并重组、重大商业模式创新、重大贡献项目，</w:t>
      </w:r>
      <w:r>
        <w:rPr>
          <w:rFonts w:hint="eastAsia" w:ascii="仿宋_GB2312" w:hAnsi="仿宋_GB2312" w:cs="仿宋_GB2312"/>
          <w:szCs w:val="32"/>
          <w:lang w:val="zh-TW"/>
        </w:rPr>
        <w:t>构建我区重大项目、重点企业长期服务的一事一议管理机制。按照</w:t>
      </w:r>
      <w:r>
        <w:rPr>
          <w:rFonts w:ascii="仿宋_GB2312" w:hAnsi="仿宋_GB2312" w:cs="仿宋_GB2312"/>
          <w:color w:val="000000"/>
          <w:szCs w:val="32"/>
          <w:lang w:val="zh-TW" w:bidi="ar"/>
        </w:rPr>
        <w:t>产业导向原则</w:t>
      </w:r>
      <w:r>
        <w:rPr>
          <w:rFonts w:hint="eastAsia" w:ascii="仿宋_GB2312" w:hAnsi="仿宋_GB2312" w:cs="仿宋_GB2312"/>
          <w:color w:val="000000"/>
          <w:szCs w:val="32"/>
          <w:lang w:val="zh-TW" w:bidi="ar"/>
        </w:rPr>
        <w:t>、</w:t>
      </w:r>
      <w:r>
        <w:rPr>
          <w:rFonts w:ascii="仿宋_GB2312" w:hAnsi="仿宋_GB2312" w:cs="仿宋_GB2312"/>
          <w:color w:val="000000"/>
          <w:szCs w:val="32"/>
          <w:lang w:val="zh-TW" w:bidi="ar"/>
        </w:rPr>
        <w:t>依法行政原则</w:t>
      </w:r>
      <w:r>
        <w:rPr>
          <w:rFonts w:hint="eastAsia" w:ascii="仿宋_GB2312" w:hAnsi="仿宋_GB2312" w:cs="仿宋_GB2312"/>
          <w:color w:val="000000"/>
          <w:szCs w:val="32"/>
          <w:lang w:val="zh-TW" w:bidi="ar"/>
        </w:rPr>
        <w:t>、</w:t>
      </w:r>
      <w:r>
        <w:rPr>
          <w:rFonts w:ascii="仿宋_GB2312" w:hAnsi="仿宋_GB2312" w:cs="仿宋_GB2312"/>
          <w:color w:val="000000"/>
          <w:szCs w:val="32"/>
          <w:lang w:val="zh-TW" w:bidi="ar"/>
        </w:rPr>
        <w:t>集体研究原则</w:t>
      </w:r>
      <w:r>
        <w:rPr>
          <w:rFonts w:hint="eastAsia" w:ascii="仿宋_GB2312" w:hAnsi="仿宋_GB2312" w:cs="仿宋_GB2312"/>
          <w:color w:val="000000"/>
          <w:szCs w:val="32"/>
          <w:lang w:val="zh-TW" w:bidi="ar"/>
        </w:rPr>
        <w:t>、</w:t>
      </w:r>
      <w:r>
        <w:rPr>
          <w:rFonts w:ascii="仿宋_GB2312" w:hAnsi="仿宋_GB2312" w:cs="仿宋_GB2312"/>
          <w:color w:val="000000"/>
          <w:szCs w:val="32"/>
          <w:lang w:val="zh-TW" w:bidi="ar"/>
        </w:rPr>
        <w:t>特事特办原则在用地、财政、税收、金融、审批服务等方面，积极主动创造有利条件，加快</w:t>
      </w:r>
      <w:r>
        <w:rPr>
          <w:rFonts w:hint="eastAsia" w:ascii="仿宋_GB2312" w:hAnsi="仿宋_GB2312" w:cs="仿宋_GB2312"/>
          <w:color w:val="000000"/>
          <w:szCs w:val="32"/>
          <w:lang w:val="zh-TW" w:eastAsia="zh-CN" w:bidi="ar"/>
        </w:rPr>
        <w:t>相关</w:t>
      </w:r>
      <w:r>
        <w:rPr>
          <w:rFonts w:ascii="仿宋_GB2312" w:hAnsi="仿宋_GB2312" w:cs="仿宋_GB2312"/>
          <w:color w:val="000000"/>
          <w:szCs w:val="32"/>
          <w:lang w:val="zh-TW" w:bidi="ar"/>
        </w:rPr>
        <w:t>项目推进落实。</w:t>
      </w:r>
    </w:p>
    <w:p>
      <w:pPr>
        <w:pStyle w:val="12"/>
        <w:spacing w:line="560" w:lineRule="exact"/>
        <w:ind w:firstLine="632" w:firstLineChars="200"/>
        <w:outlineLvl w:val="1"/>
        <w:rPr>
          <w:rFonts w:ascii="Times New Roman" w:hAnsi="Times New Roman" w:eastAsia="楷体_GB2312"/>
          <w:sz w:val="32"/>
          <w:szCs w:val="32"/>
        </w:rPr>
      </w:pPr>
      <w:bookmarkStart w:id="19" w:name="_Toc87358704"/>
      <w:r>
        <w:rPr>
          <w:rFonts w:hint="eastAsia" w:ascii="Times New Roman" w:hAnsi="Times New Roman" w:eastAsia="楷体_GB2312"/>
          <w:sz w:val="32"/>
          <w:szCs w:val="32"/>
        </w:rPr>
        <w:t>（十三）园区空间高效管理</w:t>
      </w:r>
      <w:bookmarkEnd w:id="19"/>
    </w:p>
    <w:p>
      <w:pPr>
        <w:widowControl/>
        <w:numPr>
          <w:ilvl w:val="255"/>
          <w:numId w:val="0"/>
        </w:numPr>
        <w:adjustRightInd/>
        <w:spacing w:line="560" w:lineRule="exact"/>
        <w:ind w:firstLine="640"/>
        <w:rPr>
          <w:rFonts w:ascii="仿宋_GB2312" w:hAnsi="仿宋_GB2312" w:cs="仿宋_GB2312"/>
          <w:szCs w:val="32"/>
          <w:lang w:val="zh-TW"/>
        </w:rPr>
      </w:pPr>
      <w:r>
        <w:rPr>
          <w:rFonts w:hint="eastAsia" w:ascii="仿宋_GB2312" w:hAnsi="仿宋_GB2312" w:cs="仿宋_GB2312"/>
          <w:szCs w:val="32"/>
          <w:lang w:val="zh-TW"/>
        </w:rPr>
        <w:t>对园区增量空间开发和存量空间提质增效进行细化安排，摸清园区规划建设指标总量，建立园区规划使用性质正负面清单制度，建立“新增”及“存量”双指标池。优先支持正面清单内的项目，优先保障高精尖产业项目、存量更新项目，并结合企业承诺的产值、资金投入、研发能力等贡献情况切实做好规划指标的精准供给、合理匹配、高效利用。优化产业用地规划，研究实施新型产业用地管理办法，在街区规划层面采取灵活的产业用地类型划分，鼓励M1、M4用地类型兼容，根据产业发展需要合理设置容积率、建筑密度和配套设施建筑面积占比等建设用地控制指标，为新经济、新产业、新业态提供低成本发展空间。优先引导区域产业项目在园区内落地，将产业项目建设规模优化与产业发展贡献挂钩，激励企业不断优化升级，促进产业高质量发展，对于具有高经济贡献、高研发能力的产业项目，如对建筑规模有特殊要求，原则上可通过增加公共空间、补齐园区配套短板等贡献公共利益的方式获得容积率等指标奖励。</w:t>
      </w:r>
    </w:p>
    <w:p>
      <w:pPr>
        <w:pStyle w:val="12"/>
        <w:spacing w:line="560" w:lineRule="exact"/>
        <w:ind w:firstLine="632" w:firstLineChars="200"/>
        <w:outlineLvl w:val="0"/>
        <w:rPr>
          <w:rFonts w:ascii="Times New Roman" w:hAnsi="Times New Roman" w:eastAsia="黑体"/>
          <w:sz w:val="32"/>
          <w:szCs w:val="32"/>
        </w:rPr>
      </w:pPr>
      <w:bookmarkStart w:id="20" w:name="_Toc87358705"/>
      <w:r>
        <w:rPr>
          <w:rFonts w:hint="eastAsia" w:ascii="Times New Roman" w:hAnsi="Times New Roman" w:eastAsia="黑体"/>
          <w:sz w:val="32"/>
          <w:szCs w:val="32"/>
        </w:rPr>
        <w:t>六、保障各项产业支撑要素</w:t>
      </w:r>
      <w:bookmarkEnd w:id="20"/>
    </w:p>
    <w:p>
      <w:pPr>
        <w:pStyle w:val="12"/>
        <w:spacing w:line="560" w:lineRule="exact"/>
        <w:ind w:firstLine="632" w:firstLineChars="200"/>
        <w:rPr>
          <w:rFonts w:eastAsia="黑体"/>
        </w:rPr>
      </w:pPr>
      <w:r>
        <w:rPr>
          <w:rFonts w:ascii="Times New Roman" w:hAnsi="Times New Roman"/>
          <w:sz w:val="32"/>
          <w:szCs w:val="32"/>
        </w:rPr>
        <w:t>瞄准经济高质量发展的核心动力</w:t>
      </w:r>
      <w:r>
        <w:rPr>
          <w:rFonts w:hint="eastAsia" w:ascii="Times New Roman" w:hAnsi="Times New Roman"/>
          <w:sz w:val="32"/>
          <w:szCs w:val="32"/>
        </w:rPr>
        <w:t>和</w:t>
      </w:r>
      <w:r>
        <w:rPr>
          <w:rFonts w:ascii="Times New Roman" w:hAnsi="Times New Roman"/>
          <w:sz w:val="32"/>
          <w:szCs w:val="32"/>
        </w:rPr>
        <w:t>关键资源，优化产业驱动要素，发挥创新引领作用，完善资金支持机制，提高空间利用效率，加大人才保障力度，持续打造一流发展环境。</w:t>
      </w:r>
    </w:p>
    <w:p>
      <w:pPr>
        <w:pStyle w:val="12"/>
        <w:spacing w:line="560" w:lineRule="exact"/>
        <w:ind w:firstLine="632" w:firstLineChars="200"/>
        <w:outlineLvl w:val="1"/>
        <w:rPr>
          <w:rFonts w:ascii="Times New Roman" w:hAnsi="Times New Roman" w:eastAsia="楷体_GB2312"/>
          <w:sz w:val="32"/>
          <w:szCs w:val="32"/>
        </w:rPr>
      </w:pPr>
      <w:bookmarkStart w:id="21" w:name="_Toc87358706"/>
      <w:r>
        <w:rPr>
          <w:rFonts w:hint="eastAsia" w:ascii="Times New Roman" w:hAnsi="Times New Roman" w:eastAsia="楷体_GB2312"/>
          <w:sz w:val="32"/>
          <w:szCs w:val="32"/>
        </w:rPr>
        <w:t>（十四）建立政府产业引导基金机制</w:t>
      </w:r>
      <w:bookmarkEnd w:id="21"/>
    </w:p>
    <w:p>
      <w:pPr>
        <w:spacing w:line="560" w:lineRule="exact"/>
        <w:ind w:firstLine="631"/>
        <w:jc w:val="both"/>
        <w:rPr>
          <w:bCs/>
          <w:szCs w:val="32"/>
        </w:rPr>
      </w:pPr>
      <w:r>
        <w:rPr>
          <w:rFonts w:hint="eastAsia"/>
          <w:bCs/>
          <w:szCs w:val="32"/>
          <w:lang w:val="zh-TW"/>
        </w:rPr>
        <w:t>建立并持续</w:t>
      </w:r>
      <w:r>
        <w:rPr>
          <w:rFonts w:hint="eastAsia"/>
          <w:bCs/>
          <w:szCs w:val="32"/>
        </w:rPr>
        <w:t>完善区级产业投资引导基金体系，建立由区政府统筹管理的产业引导母基金。围绕</w:t>
      </w:r>
      <w:r>
        <w:rPr>
          <w:rFonts w:hint="eastAsia"/>
        </w:rPr>
        <w:t>科创智能、医药健康、文旅体验等</w:t>
      </w:r>
      <w:r>
        <w:rPr>
          <w:rFonts w:hint="eastAsia"/>
          <w:bCs/>
          <w:szCs w:val="32"/>
        </w:rPr>
        <w:t>产业重点细分领域建立专项基金，</w:t>
      </w:r>
      <w:r>
        <w:rPr>
          <w:rFonts w:hint="eastAsia"/>
          <w:bCs/>
          <w:szCs w:val="32"/>
          <w:lang w:val="zh-TW"/>
        </w:rPr>
        <w:t>创新</w:t>
      </w:r>
      <w:r>
        <w:rPr>
          <w:rFonts w:hint="eastAsia"/>
          <w:lang w:val="zh-CN"/>
        </w:rPr>
        <w:t>专项基金支持方式，提升</w:t>
      </w:r>
      <w:r>
        <w:rPr>
          <w:bCs/>
          <w:szCs w:val="32"/>
        </w:rPr>
        <w:t>财政资金放大效应</w:t>
      </w:r>
      <w:r>
        <w:rPr>
          <w:rFonts w:hint="eastAsia"/>
          <w:bCs/>
          <w:szCs w:val="32"/>
        </w:rPr>
        <w:t>，撬动吸引社会资本参与投资全区重点发展的产业方向和行业领域，引导资本</w:t>
      </w:r>
      <w:r>
        <w:rPr>
          <w:bCs/>
          <w:szCs w:val="32"/>
        </w:rPr>
        <w:t>向</w:t>
      </w:r>
      <w:r>
        <w:rPr>
          <w:rFonts w:hint="eastAsia"/>
          <w:bCs/>
          <w:szCs w:val="32"/>
        </w:rPr>
        <w:t>创新驱动企业、中小微企业持续倾斜投资。</w:t>
      </w:r>
    </w:p>
    <w:p>
      <w:pPr>
        <w:pStyle w:val="12"/>
        <w:numPr>
          <w:ilvl w:val="0"/>
          <w:numId w:val="4"/>
        </w:numPr>
        <w:spacing w:line="560" w:lineRule="exact"/>
        <w:ind w:firstLine="632" w:firstLineChars="200"/>
        <w:outlineLvl w:val="1"/>
        <w:rPr>
          <w:rFonts w:ascii="Times New Roman" w:hAnsi="Times New Roman" w:eastAsia="楷体_GB2312"/>
          <w:sz w:val="32"/>
          <w:szCs w:val="32"/>
        </w:rPr>
      </w:pPr>
      <w:bookmarkStart w:id="22" w:name="_Toc87358707"/>
      <w:r>
        <w:rPr>
          <w:rFonts w:hint="eastAsia" w:ascii="Times New Roman" w:hAnsi="Times New Roman" w:eastAsia="楷体_GB2312"/>
          <w:sz w:val="32"/>
          <w:szCs w:val="32"/>
        </w:rPr>
        <w:t>优化各类资金支持机制</w:t>
      </w:r>
      <w:bookmarkEnd w:id="22"/>
    </w:p>
    <w:p>
      <w:pPr>
        <w:pStyle w:val="21"/>
        <w:spacing w:line="560" w:lineRule="exact"/>
        <w:ind w:left="0" w:leftChars="0" w:firstLine="632" w:firstLineChars="200"/>
        <w:rPr>
          <w:rFonts w:hint="eastAsia" w:ascii="Times New Roman" w:hAnsi="Times New Roman" w:eastAsia="仿宋_GB2312" w:cs="Times New Roman"/>
          <w:bCs/>
          <w:szCs w:val="32"/>
        </w:rPr>
      </w:pPr>
      <w:r>
        <w:rPr>
          <w:rFonts w:hint="eastAsia"/>
          <w:bCs/>
          <w:szCs w:val="32"/>
        </w:rPr>
        <w:t>围绕金融机构对重点产业方向和中小微企业的</w:t>
      </w:r>
      <w:r>
        <w:rPr>
          <w:bCs/>
          <w:szCs w:val="32"/>
        </w:rPr>
        <w:t>投融资支持</w:t>
      </w:r>
      <w:r>
        <w:rPr>
          <w:rFonts w:hint="eastAsia"/>
          <w:bCs/>
          <w:szCs w:val="32"/>
        </w:rPr>
        <w:t>情况，基于区情实际探索风险补偿机制，支持企业登陆资本市场扩展融资渠道</w:t>
      </w:r>
      <w:r>
        <w:rPr>
          <w:bCs/>
          <w:szCs w:val="32"/>
        </w:rPr>
        <w:t>。</w:t>
      </w:r>
      <w:r>
        <w:rPr>
          <w:rFonts w:hint="eastAsia" w:ascii="Times New Roman" w:hAnsi="Times New Roman" w:eastAsia="仿宋_GB2312" w:cs="Times New Roman"/>
          <w:bCs/>
          <w:szCs w:val="32"/>
        </w:rPr>
        <w:t>梳理全区现存续的财政奖励、贴息、小额担保等政策，建立财政奖励、贴息、小额担保等政策建立跨部门的综合管理机制，持续优化政策性担保、小额信贷贴息等财政支持工具落地机制，结合企业发展全生命周期和地区产业生态演进规律，加强财政奖补资金的精准滴灌。</w:t>
      </w:r>
    </w:p>
    <w:p>
      <w:pPr>
        <w:pStyle w:val="12"/>
        <w:spacing w:line="560" w:lineRule="exact"/>
        <w:ind w:firstLine="632" w:firstLineChars="200"/>
        <w:outlineLvl w:val="1"/>
        <w:rPr>
          <w:rFonts w:ascii="Times New Roman" w:hAnsi="Times New Roman" w:eastAsia="楷体_GB2312"/>
          <w:sz w:val="32"/>
          <w:szCs w:val="32"/>
        </w:rPr>
      </w:pPr>
      <w:bookmarkStart w:id="23" w:name="_Toc87358708"/>
      <w:r>
        <w:rPr>
          <w:rFonts w:hint="eastAsia" w:ascii="Times New Roman" w:hAnsi="Times New Roman" w:eastAsia="楷体_GB2312"/>
          <w:sz w:val="32"/>
          <w:szCs w:val="32"/>
        </w:rPr>
        <w:t>（十六）统筹产业发展各类空间保障</w:t>
      </w:r>
      <w:bookmarkEnd w:id="23"/>
    </w:p>
    <w:p>
      <w:pPr>
        <w:pStyle w:val="12"/>
        <w:spacing w:line="560" w:lineRule="exact"/>
        <w:ind w:firstLine="632" w:firstLineChars="200"/>
        <w:rPr>
          <w:rFonts w:ascii="仿宋_GB2312" w:hAnsi="仿宋_GB2312" w:cs="仿宋_GB2312"/>
          <w:sz w:val="32"/>
          <w:szCs w:val="32"/>
        </w:rPr>
      </w:pPr>
      <w:r>
        <w:rPr>
          <w:rFonts w:hint="eastAsia" w:ascii="仿宋_GB2312" w:hAnsi="仿宋_GB2312" w:cs="仿宋_GB2312"/>
          <w:sz w:val="32"/>
          <w:szCs w:val="32"/>
        </w:rPr>
        <w:t>高质量推进门头沟区新城街区控规及镇域国土空间规划编制工作，通过规划引领细分</w:t>
      </w:r>
      <w:r>
        <w:rPr>
          <w:rFonts w:hint="eastAsia" w:ascii="仿宋_GB2312" w:hAnsi="仿宋_GB2312" w:cs="仿宋_GB2312"/>
          <w:color w:val="000000" w:themeColor="text1"/>
          <w:sz w:val="32"/>
          <w:szCs w:val="32"/>
          <w14:textFill>
            <w14:solidFill>
              <w14:schemeClr w14:val="tx1"/>
            </w14:solidFill>
          </w14:textFill>
        </w:rPr>
        <w:t>土地潜力资源情况及重点实施项目，</w:t>
      </w:r>
      <w:r>
        <w:rPr>
          <w:rFonts w:hint="eastAsia" w:ascii="仿宋_GB2312" w:hAnsi="仿宋_GB2312" w:cs="仿宋_GB2312"/>
          <w:sz w:val="32"/>
          <w:szCs w:val="32"/>
        </w:rPr>
        <w:t>划定重点功能区，引导项目由规划层面逐步落图落位。围绕科创智能、医药健康、文旅体验等</w:t>
      </w:r>
      <w:r>
        <w:rPr>
          <w:rFonts w:hint="eastAsia" w:ascii="仿宋_GB2312" w:hAnsi="仿宋_GB2312" w:cs="仿宋_GB2312"/>
          <w:bCs w:val="0"/>
          <w:sz w:val="32"/>
          <w:szCs w:val="32"/>
        </w:rPr>
        <w:t>产业重点</w:t>
      </w:r>
      <w:r>
        <w:rPr>
          <w:rFonts w:hint="eastAsia" w:ascii="仿宋_GB2312" w:hAnsi="仿宋_GB2312" w:cs="仿宋_GB2312"/>
          <w:sz w:val="32"/>
          <w:szCs w:val="32"/>
        </w:rPr>
        <w:t>制定专项</w:t>
      </w:r>
      <w:r>
        <w:rPr>
          <w:rFonts w:hint="eastAsia" w:ascii="仿宋_GB2312" w:hAnsi="仿宋_GB2312" w:cs="仿宋_GB2312"/>
          <w:spacing w:val="-4"/>
          <w:sz w:val="32"/>
          <w:szCs w:val="32"/>
        </w:rPr>
        <w:t>用地政策，细化落地举措，在后续增量产业用地挂牌文件中，约定准入、退出条款，实行弹性年期出让土地、土地年租制、出租持有产业用房等方式，控制和降低土地使用成本；在签订出让合同时，明确履约监管措施，做好用地保障工作。推动存量用地的盘活利用</w:t>
      </w:r>
      <w:r>
        <w:rPr>
          <w:rFonts w:hint="eastAsia" w:ascii="仿宋_GB2312" w:hAnsi="仿宋_GB2312" w:cs="仿宋_GB2312"/>
          <w:spacing w:val="-4"/>
          <w:sz w:val="32"/>
          <w:szCs w:val="32"/>
          <w:lang w:eastAsia="zh-CN"/>
        </w:rPr>
        <w:t>，</w:t>
      </w:r>
      <w:r>
        <w:rPr>
          <w:rFonts w:hint="eastAsia" w:ascii="仿宋_GB2312" w:hAnsi="仿宋_GB2312" w:cs="仿宋_GB2312"/>
          <w:spacing w:val="-4"/>
          <w:sz w:val="32"/>
          <w:szCs w:val="32"/>
        </w:rPr>
        <w:t>在规划层面上尽可能保留一类工业用地（M1）</w:t>
      </w:r>
      <w:r>
        <w:rPr>
          <w:rFonts w:hint="eastAsia" w:ascii="仿宋_GB2312" w:hAnsi="仿宋_GB2312" w:cs="仿宋_GB2312"/>
          <w:b/>
          <w:bCs/>
          <w:spacing w:val="-4"/>
          <w:sz w:val="32"/>
          <w:szCs w:val="32"/>
        </w:rPr>
        <w:t>，</w:t>
      </w:r>
      <w:r>
        <w:rPr>
          <w:rFonts w:hint="eastAsia" w:ascii="仿宋_GB2312" w:hAnsi="仿宋_GB2312" w:cs="仿宋_GB2312"/>
          <w:spacing w:val="-4"/>
          <w:sz w:val="32"/>
          <w:szCs w:val="32"/>
        </w:rPr>
        <w:t>鼓励对既有工业用地追加投资，坚持“腾笼”和“换鸟”两手抓，从而吸引“高精尖”产业投向，促进我区产业转型升级。</w:t>
      </w:r>
    </w:p>
    <w:p>
      <w:pPr>
        <w:pStyle w:val="12"/>
        <w:spacing w:line="560" w:lineRule="exact"/>
        <w:ind w:firstLine="632" w:firstLineChars="200"/>
        <w:outlineLvl w:val="1"/>
        <w:rPr>
          <w:rFonts w:ascii="Times New Roman" w:hAnsi="Times New Roman" w:eastAsia="楷体_GB2312"/>
          <w:sz w:val="32"/>
          <w:szCs w:val="32"/>
        </w:rPr>
      </w:pPr>
      <w:bookmarkStart w:id="24" w:name="_Toc87358709"/>
      <w:r>
        <w:rPr>
          <w:rFonts w:hint="eastAsia" w:ascii="Times New Roman" w:hAnsi="Times New Roman" w:eastAsia="楷体_GB2312"/>
          <w:sz w:val="32"/>
          <w:szCs w:val="32"/>
        </w:rPr>
        <w:t>（十七）细化人才保障支持措施</w:t>
      </w:r>
      <w:bookmarkEnd w:id="24"/>
    </w:p>
    <w:p>
      <w:pPr>
        <w:pStyle w:val="12"/>
        <w:spacing w:line="560" w:lineRule="exact"/>
        <w:ind w:firstLine="632" w:firstLineChars="200"/>
        <w:outlineLvl w:val="1"/>
        <w:rPr>
          <w:rFonts w:hint="eastAsia" w:ascii="仿宋_GB2312" w:hAnsi="宋体" w:cs="宋体"/>
          <w:color w:val="000000"/>
          <w:sz w:val="32"/>
          <w:szCs w:val="32"/>
          <w:highlight w:val="none"/>
        </w:rPr>
      </w:pPr>
      <w:r>
        <w:rPr>
          <w:rFonts w:hint="eastAsia" w:ascii="仿宋_GB2312" w:hAnsi="宋体" w:cs="宋体"/>
          <w:color w:val="000000"/>
          <w:sz w:val="32"/>
          <w:szCs w:val="32"/>
          <w:highlight w:val="none"/>
          <w:lang w:eastAsia="zh-CN"/>
        </w:rPr>
        <w:t>大力实施“京西聚智”计划</w:t>
      </w:r>
      <w:r>
        <w:rPr>
          <w:rFonts w:hint="eastAsia" w:ascii="仿宋_GB2312" w:hAnsi="宋体" w:cs="宋体"/>
          <w:color w:val="000000"/>
          <w:sz w:val="32"/>
          <w:szCs w:val="32"/>
          <w:highlight w:val="none"/>
          <w:lang w:val="en-US" w:eastAsia="zh-CN"/>
        </w:rPr>
        <w:t>，聚焦地区绿色高质量发展需要，加大人才政策创新，着力构建“1+X”地区特色人才政策矩阵。坚持精准引才，统筹用好进京指标、工作居住证、人才租赁住房等资源，重点引进地区发展急需紧缺的优秀人才，构建完备的人才梯次结构。深化柔性引才引智，进一步加强与市级机关、市属国企、在京高校、科研院所的人才战略合作，创新实施“京西聚智”专项人才引进计划，持续引进优秀人才，深度助力绿色高质量发展。加强人才保障服务，持续深入开展“百家企业行”等特色品牌活动，利用“互联网+”，开通“人才政策”直通车，实现“一站式”人才信息服务和“一对一”高层次人才特色服务，优先保障符合条件的高层次人才服务需求，</w:t>
      </w:r>
      <w:r>
        <w:rPr>
          <w:rFonts w:hint="eastAsia" w:ascii="仿宋_GB2312" w:hAnsi="宋体" w:cs="宋体"/>
          <w:color w:val="000000"/>
          <w:sz w:val="32"/>
          <w:szCs w:val="32"/>
          <w:highlight w:val="none"/>
          <w:lang w:eastAsia="zh-CN"/>
        </w:rPr>
        <w:t>进一步优化地区</w:t>
      </w:r>
      <w:r>
        <w:rPr>
          <w:rFonts w:hint="eastAsia" w:ascii="仿宋_GB2312" w:hAnsi="宋体" w:cs="宋体"/>
          <w:color w:val="000000"/>
          <w:sz w:val="32"/>
          <w:szCs w:val="32"/>
          <w:highlight w:val="none"/>
          <w:lang w:val="en-US" w:eastAsia="zh-CN"/>
        </w:rPr>
        <w:t>人才发展生态。</w:t>
      </w:r>
    </w:p>
    <w:p>
      <w:pPr>
        <w:snapToGrid w:val="0"/>
        <w:spacing w:line="560" w:lineRule="exact"/>
        <w:ind w:firstLine="632" w:firstLineChars="200"/>
        <w:jc w:val="both"/>
        <w:outlineLvl w:val="1"/>
        <w:rPr>
          <w:rFonts w:eastAsia="楷体_GB2312"/>
          <w:szCs w:val="32"/>
          <w:lang w:bidi="en-US"/>
        </w:rPr>
      </w:pPr>
      <w:bookmarkStart w:id="25" w:name="_Toc87358710"/>
      <w:r>
        <w:rPr>
          <w:rFonts w:hint="eastAsia" w:eastAsia="楷体_GB2312"/>
          <w:szCs w:val="32"/>
          <w:lang w:bidi="en-US"/>
        </w:rPr>
        <w:t>（十八）大力支持乡村产业振兴</w:t>
      </w:r>
      <w:bookmarkEnd w:id="25"/>
    </w:p>
    <w:p>
      <w:pPr>
        <w:widowControl/>
        <w:ind w:firstLine="632" w:firstLineChars="200"/>
        <w:rPr>
          <w:rFonts w:ascii="仿宋_GB2312" w:hAnsi="仿宋_GB2312" w:cs="仿宋_GB2312"/>
          <w:szCs w:val="32"/>
        </w:rPr>
      </w:pPr>
      <w:r>
        <w:rPr>
          <w:rFonts w:hint="eastAsia" w:ascii="仿宋_GB2312" w:hAnsi="仿宋_GB2312" w:cs="仿宋_GB2312"/>
          <w:szCs w:val="32"/>
        </w:rPr>
        <w:t>依托绿水青山、田园风光、红色党建和乡土文化等</w:t>
      </w:r>
      <w:r>
        <w:rPr>
          <w:rFonts w:hint="eastAsia" w:ascii="仿宋_GB2312" w:hAnsi="仿宋_GB2312" w:cs="仿宋_GB2312"/>
          <w:szCs w:val="32"/>
          <w:lang w:eastAsia="zh-CN"/>
        </w:rPr>
        <w:t>乡村产业发展有利条件</w:t>
      </w:r>
      <w:r>
        <w:rPr>
          <w:rFonts w:hint="eastAsia" w:ascii="仿宋_GB2312" w:hAnsi="仿宋_GB2312" w:cs="仿宋_GB2312"/>
          <w:szCs w:val="32"/>
        </w:rPr>
        <w:t>，</w:t>
      </w:r>
      <w:r>
        <w:rPr>
          <w:rFonts w:hint="eastAsia" w:ascii="仿宋_GB2312" w:hAnsi="宋体" w:cs="宋体"/>
          <w:color w:val="000000" w:themeColor="text1"/>
          <w:szCs w:val="32"/>
          <w14:textFill>
            <w14:solidFill>
              <w14:schemeClr w14:val="tx1"/>
            </w14:solidFill>
          </w14:textFill>
        </w:rPr>
        <w:t>因地制宜地</w:t>
      </w:r>
      <w:r>
        <w:rPr>
          <w:rFonts w:hint="eastAsia" w:ascii="仿宋_GB2312" w:hAnsi="仿宋_GB2312" w:cs="仿宋_GB2312"/>
          <w:szCs w:val="32"/>
        </w:rPr>
        <w:t>发展优势明显、特色鲜明的休闲农业和乡村旅游产业集群。更好发挥政府作用，引导形成以农民为主体、企业带动和社会参与相结合的乡村产业发展格局。加快全产业链、全价值链建设，健全利益联结机制。严守耕地和生态保护红线，节约资源</w:t>
      </w:r>
      <w:r>
        <w:rPr>
          <w:rFonts w:hint="eastAsia" w:ascii="仿宋_GB2312" w:hAnsi="仿宋_GB2312" w:cs="仿宋_GB2312"/>
          <w:szCs w:val="32"/>
          <w:lang w:eastAsia="zh-CN"/>
        </w:rPr>
        <w:t>，</w:t>
      </w:r>
      <w:r>
        <w:rPr>
          <w:rFonts w:hint="eastAsia" w:ascii="仿宋_GB2312" w:hAnsi="仿宋_GB2312" w:cs="仿宋_GB2312"/>
          <w:szCs w:val="32"/>
        </w:rPr>
        <w:t>保护环境，促进农村生产生活生态协调发展。推动技</w:t>
      </w:r>
      <w:r>
        <w:rPr>
          <w:rFonts w:hint="eastAsia" w:ascii="仿宋_GB2312" w:hAnsi="仿宋_GB2312" w:cs="仿宋_GB2312"/>
          <w:szCs w:val="32"/>
          <w:lang w:eastAsia="zh-CN"/>
        </w:rPr>
        <w:t>术</w:t>
      </w:r>
      <w:r>
        <w:rPr>
          <w:rFonts w:hint="eastAsia" w:ascii="仿宋_GB2312" w:hAnsi="仿宋_GB2312" w:cs="仿宋_GB2312"/>
          <w:szCs w:val="32"/>
        </w:rPr>
        <w:t>、业态和模式创新，提高乡村产业质量效益</w:t>
      </w:r>
      <w:r>
        <w:rPr>
          <w:rFonts w:hint="eastAsia" w:ascii="仿宋_GB2312" w:hAnsi="仿宋_GB2312" w:cs="仿宋_GB2312"/>
          <w:szCs w:val="32"/>
          <w:lang w:eastAsia="zh-CN"/>
        </w:rPr>
        <w:t>，培育乡村产业</w:t>
      </w:r>
      <w:r>
        <w:rPr>
          <w:rFonts w:hint="eastAsia" w:ascii="仿宋_GB2312" w:hAnsi="仿宋_GB2312" w:cs="仿宋_GB2312"/>
          <w:szCs w:val="32"/>
        </w:rPr>
        <w:t>绿色发展模式，</w:t>
      </w:r>
      <w:r>
        <w:rPr>
          <w:rFonts w:hint="eastAsia" w:ascii="仿宋_GB2312" w:hAnsi="仿宋_GB2312" w:cs="仿宋_GB2312"/>
          <w:szCs w:val="32"/>
          <w:lang w:eastAsia="zh-CN"/>
        </w:rPr>
        <w:t>优化</w:t>
      </w:r>
      <w:r>
        <w:rPr>
          <w:rFonts w:hint="eastAsia" w:ascii="仿宋_GB2312" w:hAnsi="仿宋_GB2312" w:cs="仿宋_GB2312"/>
          <w:szCs w:val="32"/>
        </w:rPr>
        <w:t>乡村就业结构，</w:t>
      </w:r>
      <w:r>
        <w:rPr>
          <w:rFonts w:hint="eastAsia" w:ascii="仿宋_GB2312" w:hAnsi="仿宋_GB2312" w:cs="仿宋_GB2312"/>
          <w:szCs w:val="32"/>
          <w:lang w:eastAsia="zh-CN"/>
        </w:rPr>
        <w:t>拓宽</w:t>
      </w:r>
      <w:r>
        <w:rPr>
          <w:rFonts w:hint="eastAsia" w:ascii="仿宋_GB2312" w:hAnsi="仿宋_GB2312" w:cs="仿宋_GB2312"/>
          <w:szCs w:val="32"/>
        </w:rPr>
        <w:t>农民增收渠道持续。</w:t>
      </w:r>
    </w:p>
    <w:p>
      <w:pPr>
        <w:pStyle w:val="12"/>
        <w:spacing w:line="560" w:lineRule="exact"/>
        <w:ind w:firstLine="632" w:firstLineChars="200"/>
        <w:outlineLvl w:val="0"/>
        <w:rPr>
          <w:rFonts w:ascii="Times New Roman" w:hAnsi="Times New Roman" w:eastAsia="黑体"/>
          <w:sz w:val="32"/>
          <w:szCs w:val="32"/>
        </w:rPr>
      </w:pPr>
      <w:bookmarkStart w:id="26" w:name="_Toc87358711"/>
      <w:r>
        <w:rPr>
          <w:rFonts w:hint="eastAsia" w:ascii="Times New Roman" w:hAnsi="Times New Roman" w:eastAsia="黑体"/>
          <w:sz w:val="32"/>
          <w:szCs w:val="32"/>
        </w:rPr>
        <w:t>七、推动营商环境持续整体优化</w:t>
      </w:r>
      <w:bookmarkEnd w:id="26"/>
    </w:p>
    <w:p>
      <w:pPr>
        <w:pStyle w:val="12"/>
        <w:spacing w:line="560" w:lineRule="exact"/>
        <w:ind w:firstLine="632" w:firstLineChars="200"/>
        <w:outlineLvl w:val="1"/>
        <w:rPr>
          <w:rFonts w:ascii="Times New Roman" w:hAnsi="Times New Roman" w:eastAsia="楷体_GB2312"/>
          <w:sz w:val="32"/>
          <w:szCs w:val="32"/>
          <w:lang w:bidi="en-US"/>
        </w:rPr>
      </w:pPr>
      <w:bookmarkStart w:id="27" w:name="_Toc87358712"/>
      <w:r>
        <w:rPr>
          <w:rFonts w:hint="eastAsia" w:ascii="Times New Roman" w:hAnsi="Times New Roman" w:eastAsia="楷体_GB2312"/>
          <w:sz w:val="32"/>
          <w:szCs w:val="32"/>
          <w:lang w:bidi="en-US"/>
        </w:rPr>
        <w:t>（十九）推进营商环境改革“最后一公里”落地见效</w:t>
      </w:r>
      <w:bookmarkEnd w:id="27"/>
    </w:p>
    <w:p>
      <w:pPr>
        <w:snapToGrid w:val="0"/>
        <w:spacing w:line="560" w:lineRule="exact"/>
        <w:ind w:firstLine="632" w:firstLineChars="200"/>
        <w:jc w:val="both"/>
        <w:rPr>
          <w:rFonts w:ascii="仿宋_GB2312"/>
        </w:rPr>
      </w:pPr>
      <w:r>
        <w:rPr>
          <w:rFonts w:hint="eastAsia" w:ascii="仿宋_GB2312"/>
          <w:szCs w:val="32"/>
        </w:rPr>
        <w:t>落实市委市政府“放管服”改革和优化营商环境系列政策，紧跟全市政策迭代持续更新全区优化营商环境实施方案。持续提高政务服务水平，推进告知承诺制和备查制改革，不断优化</w:t>
      </w:r>
      <w:r>
        <w:rPr>
          <w:rFonts w:hint="eastAsia" w:ascii="仿宋_GB2312"/>
        </w:rPr>
        <w:t>“一网通办”、“全程网办”，增强网办深度，依托</w:t>
      </w:r>
      <w:r>
        <w:rPr>
          <w:rFonts w:hint="eastAsia" w:ascii="仿宋_GB2312"/>
          <w:szCs w:val="32"/>
          <w:lang w:bidi="en-US"/>
        </w:rPr>
        <w:t>“多规合一”平台持续优化报建项目审批流程</w:t>
      </w:r>
      <w:r>
        <w:rPr>
          <w:rFonts w:hint="eastAsia" w:ascii="仿宋_GB2312"/>
        </w:rPr>
        <w:t>。发挥“好差评”机制作用，破除隐性壁垒门槛，以企业和群众满意为提升</w:t>
      </w:r>
      <w:r>
        <w:rPr>
          <w:rFonts w:hint="eastAsia" w:ascii="仿宋_GB2312"/>
          <w:lang w:eastAsia="zh-CN"/>
        </w:rPr>
        <w:t>政务</w:t>
      </w:r>
      <w:r>
        <w:rPr>
          <w:rFonts w:hint="eastAsia" w:ascii="仿宋_GB2312"/>
        </w:rPr>
        <w:t>服务的重要标准。持续打造公平竞争的市场环境，强化事中事后监管，</w:t>
      </w:r>
      <w:r>
        <w:rPr>
          <w:rFonts w:hint="eastAsia" w:ascii="仿宋_GB2312"/>
          <w:lang w:eastAsia="zh-CN"/>
        </w:rPr>
        <w:t>推进</w:t>
      </w:r>
      <w:r>
        <w:rPr>
          <w:rFonts w:hint="eastAsia" w:ascii="仿宋_GB2312"/>
          <w:szCs w:val="32"/>
          <w:lang w:bidi="en-US"/>
        </w:rPr>
        <w:t>“双随机、一公开”监管全覆盖，结合全区产业发展重点领域进行包容审慎监管创新实践。</w:t>
      </w:r>
    </w:p>
    <w:p>
      <w:pPr>
        <w:pStyle w:val="12"/>
        <w:spacing w:line="560" w:lineRule="exact"/>
        <w:ind w:firstLine="632" w:firstLineChars="200"/>
        <w:outlineLvl w:val="1"/>
        <w:rPr>
          <w:rFonts w:ascii="Times New Roman" w:hAnsi="Times New Roman" w:eastAsia="楷体_GB2312"/>
          <w:sz w:val="32"/>
          <w:szCs w:val="32"/>
          <w:lang w:bidi="en-US"/>
        </w:rPr>
      </w:pPr>
      <w:bookmarkStart w:id="28" w:name="_Toc87358713"/>
      <w:r>
        <w:rPr>
          <w:rFonts w:hint="eastAsia" w:ascii="Times New Roman" w:hAnsi="Times New Roman" w:eastAsia="楷体_GB2312"/>
          <w:sz w:val="32"/>
          <w:szCs w:val="32"/>
          <w:lang w:bidi="en-US"/>
        </w:rPr>
        <w:t>（二十）深化“服务包”企业服务机制建设</w:t>
      </w:r>
      <w:bookmarkEnd w:id="28"/>
    </w:p>
    <w:p>
      <w:pPr>
        <w:pStyle w:val="12"/>
        <w:spacing w:line="560" w:lineRule="exact"/>
        <w:ind w:firstLine="632" w:firstLineChars="200"/>
        <w:rPr>
          <w:rFonts w:ascii="仿宋_GB2312" w:hAnsi="Times New Roman"/>
          <w:sz w:val="32"/>
          <w:szCs w:val="20"/>
        </w:rPr>
      </w:pPr>
      <w:r>
        <w:rPr>
          <w:rFonts w:hint="eastAsia" w:ascii="仿宋_GB2312" w:hAnsi="Times New Roman"/>
          <w:sz w:val="32"/>
          <w:szCs w:val="20"/>
        </w:rPr>
        <w:t>落实市委市政府推进</w:t>
      </w:r>
      <w:r>
        <w:rPr>
          <w:rFonts w:hint="eastAsia" w:ascii="仿宋" w:hAnsi="仿宋" w:eastAsia="仿宋" w:cs="仿宋"/>
          <w:color w:val="000000"/>
          <w:sz w:val="32"/>
          <w:szCs w:val="32"/>
        </w:rPr>
        <w:t>重点企业“服务包”制度的各项要求，持续深化全区“服务包”企业服务机制创新。坚持区领导带头走访服务企业，持续完善</w:t>
      </w:r>
      <w:r>
        <w:rPr>
          <w:rFonts w:hint="eastAsia" w:ascii="仿宋" w:hAnsi="仿宋" w:eastAsia="仿宋" w:cs="仿宋"/>
          <w:color w:val="000000"/>
          <w:sz w:val="32"/>
          <w:szCs w:val="32"/>
          <w:lang w:bidi="ar"/>
        </w:rPr>
        <w:t>“四单两表一报”总体服务机制</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用好</w:t>
      </w:r>
      <w:r>
        <w:rPr>
          <w:rFonts w:hint="eastAsia" w:ascii="仿宋" w:hAnsi="仿宋" w:eastAsia="仿宋" w:cs="仿宋"/>
          <w:color w:val="000000"/>
          <w:sz w:val="32"/>
          <w:szCs w:val="32"/>
          <w:lang w:bidi="ar"/>
        </w:rPr>
        <w:t>“双平台”、“报审建”、“促成长”、“促共赢”四张服务清单，</w:t>
      </w:r>
      <w:r>
        <w:rPr>
          <w:rFonts w:hint="eastAsia" w:ascii="仿宋" w:hAnsi="仿宋" w:eastAsia="仿宋" w:cs="仿宋"/>
          <w:color w:val="000000"/>
          <w:sz w:val="32"/>
          <w:szCs w:val="32"/>
          <w:lang w:eastAsia="zh-CN" w:bidi="ar"/>
        </w:rPr>
        <w:t>带好</w:t>
      </w:r>
      <w:r>
        <w:rPr>
          <w:rFonts w:hint="eastAsia" w:ascii="仿宋" w:hAnsi="仿宋" w:eastAsia="仿宋" w:cs="仿宋"/>
          <w:color w:val="000000"/>
          <w:sz w:val="32"/>
          <w:szCs w:val="32"/>
          <w:lang w:bidi="ar"/>
        </w:rPr>
        <w:t>全区服务管家、服务专员队伍，</w:t>
      </w:r>
      <w:r>
        <w:rPr>
          <w:rFonts w:hint="eastAsia" w:ascii="仿宋" w:hAnsi="仿宋" w:eastAsia="仿宋" w:cs="仿宋"/>
          <w:color w:val="000000"/>
          <w:sz w:val="32"/>
          <w:szCs w:val="32"/>
          <w:lang w:eastAsia="zh-CN" w:bidi="ar"/>
        </w:rPr>
        <w:t>有效回应</w:t>
      </w:r>
      <w:r>
        <w:rPr>
          <w:rFonts w:hint="eastAsia" w:ascii="仿宋" w:hAnsi="仿宋" w:eastAsia="仿宋" w:cs="仿宋"/>
          <w:color w:val="000000"/>
          <w:sz w:val="32"/>
          <w:szCs w:val="32"/>
          <w:lang w:bidi="ar"/>
        </w:rPr>
        <w:t>企业对项目报审报建、挖掘成长潜力、获得融资支持等方面的重点需求；建立企业服务事项台账和服务效果反馈统计两个动态跟踪机制，为市场主体提供稳定的支持和服务预期。</w:t>
      </w:r>
    </w:p>
    <w:p>
      <w:pPr>
        <w:pStyle w:val="12"/>
        <w:spacing w:line="560" w:lineRule="exact"/>
        <w:ind w:firstLine="632" w:firstLineChars="200"/>
        <w:outlineLvl w:val="0"/>
        <w:rPr>
          <w:rFonts w:ascii="Times New Roman" w:hAnsi="Times New Roman" w:eastAsia="黑体"/>
          <w:sz w:val="32"/>
          <w:szCs w:val="32"/>
        </w:rPr>
      </w:pPr>
      <w:bookmarkStart w:id="29" w:name="_Toc87358714"/>
      <w:r>
        <w:rPr>
          <w:rFonts w:hint="eastAsia" w:ascii="Times New Roman" w:hAnsi="Times New Roman" w:eastAsia="黑体"/>
          <w:sz w:val="32"/>
          <w:szCs w:val="32"/>
        </w:rPr>
        <w:t>八、强化重点政策机制建设</w:t>
      </w:r>
      <w:bookmarkEnd w:id="29"/>
    </w:p>
    <w:p>
      <w:pPr>
        <w:pStyle w:val="12"/>
        <w:spacing w:line="560" w:lineRule="exact"/>
        <w:ind w:firstLine="632" w:firstLineChars="200"/>
        <w:rPr>
          <w:rFonts w:ascii="仿宋_GB2312" w:hAnsi="Times New Roman"/>
          <w:sz w:val="32"/>
          <w:szCs w:val="22"/>
        </w:rPr>
      </w:pPr>
      <w:r>
        <w:rPr>
          <w:rFonts w:hint="eastAsia" w:ascii="仿宋_GB2312" w:hAnsi="Times New Roman"/>
          <w:sz w:val="32"/>
          <w:szCs w:val="22"/>
          <w:lang w:eastAsia="zh-CN"/>
        </w:rPr>
        <w:t>立足</w:t>
      </w:r>
      <w:r>
        <w:rPr>
          <w:rFonts w:hint="eastAsia" w:ascii="仿宋_GB2312" w:hAnsi="Times New Roman"/>
          <w:sz w:val="32"/>
          <w:szCs w:val="22"/>
        </w:rPr>
        <w:t>区域产业转型攻坚期</w:t>
      </w:r>
      <w:r>
        <w:rPr>
          <w:rFonts w:hint="eastAsia" w:ascii="仿宋_GB2312" w:hAnsi="Times New Roman"/>
          <w:sz w:val="32"/>
          <w:szCs w:val="22"/>
          <w:lang w:eastAsia="zh-CN"/>
        </w:rPr>
        <w:t>的迫切发展要求，针对市场主体诉求集中的难点问题</w:t>
      </w:r>
      <w:r>
        <w:rPr>
          <w:rFonts w:hint="eastAsia" w:ascii="仿宋_GB2312" w:hAnsi="Times New Roman"/>
          <w:sz w:val="32"/>
          <w:szCs w:val="22"/>
        </w:rPr>
        <w:t>，创新政策措施，理顺体制机制。</w:t>
      </w:r>
    </w:p>
    <w:p>
      <w:pPr>
        <w:pStyle w:val="12"/>
        <w:spacing w:line="560" w:lineRule="exact"/>
        <w:ind w:firstLine="632" w:firstLineChars="200"/>
        <w:outlineLvl w:val="1"/>
        <w:rPr>
          <w:rFonts w:ascii="Times New Roman" w:hAnsi="Times New Roman" w:eastAsia="楷体_GB2312"/>
          <w:sz w:val="32"/>
          <w:szCs w:val="32"/>
          <w:lang w:bidi="en-US"/>
        </w:rPr>
      </w:pPr>
      <w:bookmarkStart w:id="30" w:name="_Toc87358715"/>
      <w:r>
        <w:rPr>
          <w:rFonts w:hint="eastAsia" w:ascii="Times New Roman" w:hAnsi="Times New Roman" w:eastAsia="楷体_GB2312"/>
          <w:sz w:val="32"/>
          <w:szCs w:val="32"/>
          <w:lang w:bidi="en-US"/>
        </w:rPr>
        <w:t>（二十一）完善招商引资体制机制</w:t>
      </w:r>
      <w:bookmarkEnd w:id="30"/>
    </w:p>
    <w:p>
      <w:pPr>
        <w:spacing w:line="560" w:lineRule="exact"/>
        <w:ind w:firstLine="632" w:firstLineChars="200"/>
        <w:rPr>
          <w:rFonts w:ascii="仿宋_GB2312"/>
          <w:szCs w:val="22"/>
          <w:lang w:bidi="en-US"/>
        </w:rPr>
      </w:pPr>
      <w:r>
        <w:rPr>
          <w:rFonts w:hint="eastAsia" w:ascii="仿宋_GB2312"/>
          <w:szCs w:val="22"/>
          <w:lang w:bidi="en-US"/>
        </w:rPr>
        <w:t>建立全区招商引资工作机制，形成高位统筹、</w:t>
      </w:r>
      <w:r>
        <w:rPr>
          <w:rFonts w:hint="eastAsia" w:ascii="仿宋_GB2312"/>
          <w:szCs w:val="22"/>
        </w:rPr>
        <w:t>全区13个镇街及各委办局全员参与的</w:t>
      </w:r>
      <w:r>
        <w:rPr>
          <w:rFonts w:hint="eastAsia" w:ascii="仿宋_GB2312"/>
          <w:szCs w:val="22"/>
          <w:lang w:bidi="en-US"/>
        </w:rPr>
        <w:t>大招商格局。</w:t>
      </w:r>
      <w:r>
        <w:rPr>
          <w:rFonts w:hint="eastAsia" w:ascii="仿宋_GB2312"/>
          <w:szCs w:val="22"/>
        </w:rPr>
        <w:t>突出招商引资在全区经济工作中的重要地位，调动各单位招商积极性，形成全区思发展、谋发展、抓发展、促发展的良好氛围，</w:t>
      </w:r>
      <w:r>
        <w:rPr>
          <w:rFonts w:hint="eastAsia" w:ascii="仿宋_GB2312"/>
          <w:szCs w:val="22"/>
          <w:lang w:bidi="en-US"/>
        </w:rPr>
        <w:t>加大我区招商引资工作力度，扩充区域经济总量，</w:t>
      </w:r>
      <w:r>
        <w:rPr>
          <w:rFonts w:hint="eastAsia" w:ascii="仿宋_GB2312"/>
          <w:szCs w:val="22"/>
          <w:lang w:eastAsia="zh-CN" w:bidi="en-US"/>
        </w:rPr>
        <w:t>支撑</w:t>
      </w:r>
      <w:r>
        <w:rPr>
          <w:rFonts w:hint="eastAsia" w:ascii="仿宋_GB2312"/>
          <w:szCs w:val="22"/>
          <w:lang w:bidi="en-US"/>
        </w:rPr>
        <w:t>全区经济高质量发展。</w:t>
      </w:r>
    </w:p>
    <w:p>
      <w:pPr>
        <w:snapToGrid w:val="0"/>
        <w:spacing w:line="560" w:lineRule="exact"/>
        <w:ind w:firstLine="632" w:firstLineChars="200"/>
        <w:jc w:val="both"/>
        <w:outlineLvl w:val="1"/>
        <w:rPr>
          <w:rFonts w:eastAsia="楷体_GB2312"/>
          <w:szCs w:val="32"/>
          <w:lang w:bidi="en-US"/>
        </w:rPr>
      </w:pPr>
      <w:bookmarkStart w:id="31" w:name="_Toc87358716"/>
      <w:r>
        <w:rPr>
          <w:rFonts w:hint="eastAsia" w:eastAsia="楷体_GB2312"/>
          <w:szCs w:val="32"/>
          <w:lang w:bidi="en-US"/>
        </w:rPr>
        <w:t>（二十二）建立</w:t>
      </w:r>
      <w:r>
        <w:rPr>
          <w:rFonts w:hint="eastAsia" w:ascii="Times New Roman" w:hAnsi="Times New Roman" w:eastAsia="楷体_GB2312" w:cs="Times New Roman"/>
          <w:szCs w:val="32"/>
          <w:lang w:bidi="en-US"/>
        </w:rPr>
        <w:t>定期政策评估机制</w:t>
      </w:r>
      <w:bookmarkEnd w:id="31"/>
    </w:p>
    <w:p>
      <w:pPr>
        <w:pStyle w:val="21"/>
        <w:spacing w:line="560" w:lineRule="exact"/>
        <w:ind w:left="0" w:leftChars="0" w:firstLine="632" w:firstLineChars="200"/>
        <w:rPr>
          <w:rFonts w:hint="eastAsia" w:ascii="仿宋_GB2312"/>
          <w:szCs w:val="22"/>
          <w:lang w:bidi="en-US"/>
        </w:rPr>
      </w:pPr>
      <w:r>
        <w:rPr>
          <w:rFonts w:hint="eastAsia" w:ascii="仿宋_GB2312" w:hAnsi="Times New Roman" w:eastAsia="仿宋_GB2312" w:cs="Times New Roman"/>
          <w:szCs w:val="22"/>
          <w:lang w:bidi="en-US"/>
        </w:rPr>
        <w:t>综合运用政策绩效评估及预算项目绩效评价方式，开展产业政策实施效果及财政投入资金使用效益评估分析工作，建立对全区市场主体支持政策的定期评价机制，实现资源有效配置，通过政策评估反馈持续促进政策迭代。</w:t>
      </w:r>
    </w:p>
    <w:p>
      <w:pPr>
        <w:snapToGrid w:val="0"/>
        <w:spacing w:line="560" w:lineRule="exact"/>
        <w:ind w:firstLine="632" w:firstLineChars="200"/>
        <w:jc w:val="both"/>
        <w:outlineLvl w:val="0"/>
        <w:rPr>
          <w:rFonts w:eastAsia="黑体"/>
          <w:szCs w:val="32"/>
        </w:rPr>
      </w:pPr>
      <w:bookmarkStart w:id="32" w:name="_Toc87358717"/>
      <w:r>
        <w:rPr>
          <w:rFonts w:hint="eastAsia" w:eastAsia="黑体"/>
          <w:szCs w:val="32"/>
        </w:rPr>
        <w:t>九</w:t>
      </w:r>
      <w:r>
        <w:rPr>
          <w:rFonts w:eastAsia="黑体"/>
          <w:szCs w:val="32"/>
        </w:rPr>
        <w:t>、保障措施</w:t>
      </w:r>
      <w:bookmarkEnd w:id="32"/>
    </w:p>
    <w:p>
      <w:pPr>
        <w:snapToGrid w:val="0"/>
        <w:spacing w:line="560" w:lineRule="exact"/>
        <w:ind w:firstLine="632" w:firstLineChars="200"/>
        <w:jc w:val="both"/>
        <w:rPr>
          <w:rFonts w:cs="仿宋_GB2312"/>
          <w:szCs w:val="32"/>
        </w:rPr>
      </w:pPr>
      <w:r>
        <w:rPr>
          <w:rFonts w:hint="eastAsia" w:cs="仿宋_GB2312"/>
          <w:szCs w:val="32"/>
        </w:rPr>
        <w:t>坚持党对经济社会发展工作的集中统一领导，强化组织统筹和领导机制，推进政策制定实现有效引导，抓住项目谋划增强带动作用，落实任务跟踪和评价考评。</w:t>
      </w:r>
    </w:p>
    <w:p>
      <w:pPr>
        <w:snapToGrid w:val="0"/>
        <w:spacing w:line="560" w:lineRule="exact"/>
        <w:ind w:firstLine="632" w:firstLineChars="200"/>
        <w:jc w:val="both"/>
        <w:outlineLvl w:val="1"/>
        <w:rPr>
          <w:rFonts w:hAnsi="楷体_GB2312" w:eastAsia="楷体_GB2312"/>
          <w:szCs w:val="32"/>
        </w:rPr>
      </w:pPr>
      <w:bookmarkStart w:id="33" w:name="_Toc87358718"/>
      <w:r>
        <w:rPr>
          <w:rFonts w:hint="eastAsia" w:hAnsi="楷体_GB2312" w:eastAsia="楷体_GB2312"/>
          <w:szCs w:val="32"/>
        </w:rPr>
        <w:t>（二十三）加强组织统筹和领导</w:t>
      </w:r>
      <w:bookmarkEnd w:id="33"/>
    </w:p>
    <w:p>
      <w:pPr>
        <w:pStyle w:val="9"/>
        <w:spacing w:after="0" w:line="560" w:lineRule="exact"/>
        <w:ind w:firstLine="631"/>
        <w:rPr>
          <w:rFonts w:ascii="仿宋_GB2312" w:eastAsia="仿宋_GB2312"/>
          <w:kern w:val="0"/>
          <w:szCs w:val="20"/>
        </w:rPr>
      </w:pPr>
      <w:r>
        <w:rPr>
          <w:rFonts w:hint="eastAsia" w:eastAsia="仿宋_GB2312" w:cs="仿宋_GB2312"/>
        </w:rPr>
        <w:t>建立健全集中统筹领导机制，切实强化全区各部门协调统筹，形成工作合力，建立和完善</w:t>
      </w:r>
      <w:r>
        <w:rPr>
          <w:rFonts w:hint="eastAsia" w:ascii="仿宋_GB2312" w:eastAsia="仿宋_GB2312"/>
          <w:kern w:val="0"/>
          <w:szCs w:val="20"/>
        </w:rPr>
        <w:t>定期调度、联席会议等工作机制。细化任务分工和工作举措，对重点任务进行跟踪反馈，强化对任务推进的督导检查，将推进情况纳入区委和区政府督导清单，切实压实各方责任，保障实施意见有序落地见效。</w:t>
      </w:r>
    </w:p>
    <w:p>
      <w:pPr>
        <w:snapToGrid w:val="0"/>
        <w:spacing w:line="560" w:lineRule="exact"/>
        <w:ind w:firstLine="632" w:firstLineChars="200"/>
        <w:jc w:val="both"/>
        <w:outlineLvl w:val="1"/>
        <w:rPr>
          <w:rFonts w:hAnsi="楷体_GB2312" w:eastAsia="楷体_GB2312"/>
          <w:szCs w:val="32"/>
        </w:rPr>
      </w:pPr>
      <w:bookmarkStart w:id="34" w:name="_Toc87358719"/>
      <w:r>
        <w:rPr>
          <w:rFonts w:hint="eastAsia" w:hAnsi="楷体_GB2312" w:eastAsia="楷体_GB2312"/>
          <w:szCs w:val="32"/>
        </w:rPr>
        <w:t>（二十四）加强政策制定和引导</w:t>
      </w:r>
      <w:bookmarkEnd w:id="34"/>
    </w:p>
    <w:p>
      <w:pPr>
        <w:spacing w:line="560" w:lineRule="exact"/>
        <w:ind w:firstLine="632" w:firstLineChars="200"/>
        <w:rPr>
          <w:rFonts w:ascii="仿宋_GB2312" w:hAnsi="仿宋_GB2312" w:cs="仿宋_GB2312"/>
          <w:szCs w:val="32"/>
        </w:rPr>
      </w:pPr>
      <w:r>
        <w:rPr>
          <w:rFonts w:hint="eastAsia" w:ascii="仿宋_GB2312" w:hAnsi="仿宋_GB2312" w:cs="仿宋_GB2312"/>
          <w:szCs w:val="32"/>
        </w:rPr>
        <w:t>加快落地各重点领域区级实施方案、办法和细则的出台，不断细化政策颗粒度，</w:t>
      </w:r>
      <w:r>
        <w:rPr>
          <w:rFonts w:hint="eastAsia" w:ascii="仿宋_GB2312" w:hAnsi="仿宋_GB2312" w:cs="仿宋_GB2312"/>
          <w:szCs w:val="32"/>
          <w:lang w:eastAsia="zh-CN"/>
        </w:rPr>
        <w:t>针对央企、国企、民营中小微企业等不同市场主体特点分类施策，</w:t>
      </w:r>
      <w:r>
        <w:rPr>
          <w:rFonts w:hint="eastAsia" w:ascii="仿宋_GB2312" w:hAnsi="仿宋_GB2312" w:cs="仿宋_GB2312"/>
          <w:szCs w:val="32"/>
        </w:rPr>
        <w:t>持续结合产业发展和招商营商环境实际进行政策迭代，持续完善构建政策支持体系，积极围绕市场主体推动实现政策创新突破。抓好各类产业政策的宣传解读和贯彻落实，加强政府与市场主体的信息沟通和相互协作。</w:t>
      </w:r>
    </w:p>
    <w:p>
      <w:pPr>
        <w:snapToGrid w:val="0"/>
        <w:spacing w:line="560" w:lineRule="exact"/>
        <w:ind w:firstLine="632" w:firstLineChars="200"/>
        <w:jc w:val="both"/>
        <w:outlineLvl w:val="1"/>
        <w:rPr>
          <w:rFonts w:hAnsi="楷体_GB2312" w:eastAsia="楷体_GB2312"/>
          <w:szCs w:val="32"/>
        </w:rPr>
      </w:pPr>
      <w:bookmarkStart w:id="35" w:name="_Toc87358720"/>
      <w:r>
        <w:rPr>
          <w:rFonts w:hint="eastAsia" w:hAnsi="楷体_GB2312" w:eastAsia="楷体_GB2312"/>
          <w:szCs w:val="32"/>
        </w:rPr>
        <w:t>（二十五）加强项目谋划和带动</w:t>
      </w:r>
      <w:bookmarkEnd w:id="35"/>
    </w:p>
    <w:p>
      <w:pPr>
        <w:spacing w:line="560" w:lineRule="exact"/>
        <w:ind w:firstLine="631"/>
      </w:pPr>
      <w:r>
        <w:rPr>
          <w:rFonts w:hint="eastAsia"/>
        </w:rPr>
        <w:t>围绕产业细分领域和中关村门头沟园建设，梳理重点产业项目，形成前期储备、规划实施、落地建设全过程跟踪项目库，结合产业发展、迭代规律，加快落地先导项目，系统支持引领项目落地，前瞻谋划升级提质项目。调动全区积极性开展优质项目捕捉、策划、引入，实现项目库动态调整更新。</w:t>
      </w:r>
    </w:p>
    <w:bookmarkEnd w:id="1"/>
    <w:p>
      <w:pPr>
        <w:spacing w:line="560" w:lineRule="exact"/>
        <w:ind w:firstLine="632" w:firstLineChars="200"/>
        <w:outlineLvl w:val="1"/>
        <w:rPr>
          <w:rFonts w:hAnsi="楷体_GB2312" w:eastAsia="楷体_GB2312"/>
          <w:szCs w:val="32"/>
        </w:rPr>
      </w:pPr>
      <w:bookmarkStart w:id="36" w:name="_Toc87358721"/>
      <w:r>
        <w:rPr>
          <w:rFonts w:hint="eastAsia" w:hAnsi="楷体_GB2312" w:eastAsia="楷体_GB2312"/>
          <w:szCs w:val="32"/>
        </w:rPr>
        <w:t>（二十六）加强任务跟踪和考评</w:t>
      </w:r>
      <w:bookmarkEnd w:id="36"/>
      <w:r>
        <w:rPr>
          <w:rFonts w:hint="eastAsia" w:hAnsi="楷体_GB2312" w:eastAsia="楷体_GB2312"/>
          <w:szCs w:val="32"/>
        </w:rPr>
        <w:tab/>
      </w:r>
    </w:p>
    <w:p>
      <w:pPr>
        <w:spacing w:line="560" w:lineRule="exact"/>
        <w:ind w:firstLine="631"/>
        <w:rPr>
          <w:szCs w:val="32"/>
        </w:rPr>
      </w:pPr>
      <w:r>
        <w:rPr>
          <w:rFonts w:hint="eastAsia"/>
        </w:rPr>
        <w:t>围绕实施意见中支持产业发展和提升招商营商的重点任务和分工部署，将各项任务推进情况纳入区委</w:t>
      </w:r>
      <w:r>
        <w:rPr>
          <w:rFonts w:hint="eastAsia"/>
          <w:lang w:eastAsia="zh-CN"/>
        </w:rPr>
        <w:t>综合</w:t>
      </w:r>
      <w:r>
        <w:rPr>
          <w:rFonts w:hint="eastAsia"/>
        </w:rPr>
        <w:t>考评，实现每季度跟踪考评，结合政策“闭环”评估机制，科学评价各区级部门工作绩效，建立明确奖惩机制，促进全区形成合力</w:t>
      </w:r>
      <w:r>
        <w:rPr>
          <w:rFonts w:hint="eastAsia"/>
          <w:lang w:eastAsia="zh-CN"/>
        </w:rPr>
        <w:t>加快实现</w:t>
      </w:r>
      <w:r>
        <w:rPr>
          <w:rFonts w:hint="eastAsia"/>
        </w:rPr>
        <w:t>绿色高质量发展。</w:t>
      </w:r>
    </w:p>
    <w:sectPr>
      <w:headerReference r:id="rId3" w:type="default"/>
      <w:footerReference r:id="rId4" w:type="default"/>
      <w:pgSz w:w="11906" w:h="16838"/>
      <w:pgMar w:top="2098" w:right="1474" w:bottom="1985" w:left="1588" w:header="851" w:footer="1701" w:gutter="0"/>
      <w:pgNumType w:start="1"/>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2182483-EA4A-489B-8E79-2F4BC5CC393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880C998A-E31B-4F58-9912-BF8E59556277}"/>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embedRegular r:id="rId3" w:fontKey="{06249644-0893-4B3B-923F-9E4D166E95F1}"/>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Lucida Grande">
    <w:altName w:val="Times New Roman"/>
    <w:panose1 w:val="00000000000000000000"/>
    <w:charset w:val="00"/>
    <w:family w:val="roman"/>
    <w:pitch w:val="default"/>
    <w:sig w:usb0="00000000" w:usb1="00000000" w:usb2="00000000" w:usb3="00000000" w:csb0="00040001"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embedRegular r:id="rId4" w:fontKey="{514BCB95-DEC1-4AEC-AD63-24E44DBB40F5}"/>
  </w:font>
  <w:font w:name="微软雅黑">
    <w:panose1 w:val="020B0503020204020204"/>
    <w:charset w:val="86"/>
    <w:family w:val="auto"/>
    <w:pitch w:val="default"/>
    <w:sig w:usb0="80000287" w:usb1="280F3C52" w:usb2="00000016" w:usb3="00000000" w:csb0="0004001F" w:csb1="00000000"/>
    <w:embedRegular r:id="rId5" w:fontKey="{BE4218CC-3A87-494B-9C30-2FC89D0628B2}"/>
  </w:font>
  <w:font w:name="楷体_GB2312">
    <w:panose1 w:val="02010609030101010101"/>
    <w:charset w:val="86"/>
    <w:family w:val="modern"/>
    <w:pitch w:val="default"/>
    <w:sig w:usb0="00000001" w:usb1="080E0000" w:usb2="00000000" w:usb3="00000000" w:csb0="00040000" w:csb1="00000000"/>
    <w:embedRegular r:id="rId6" w:fontKey="{3C95FCE1-FC47-4390-A54C-B410806381A4}"/>
  </w:font>
  <w:font w:name="宋体-18030">
    <w:altName w:val="微软雅黑"/>
    <w:panose1 w:val="00000000000000000000"/>
    <w:charset w:val="7A"/>
    <w:family w:val="modern"/>
    <w:pitch w:val="default"/>
    <w:sig w:usb0="00000000" w:usb1="00000000" w:usb2="000A005E" w:usb3="00000000" w:csb0="00040001" w:csb1="00000000"/>
    <w:embedRegular r:id="rId7" w:fontKey="{905BC15C-9935-4BF4-BF27-55430B1CF88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tabs>
        <w:tab w:val="center" w:pos="4153"/>
        <w:tab w:val="right" w:pos="8306"/>
        <w:tab w:val="clear" w:pos="4140"/>
        <w:tab w:val="clear" w:pos="8300"/>
      </w:tabs>
      <w:ind w:right="250" w:rightChars="78" w:firstLine="422" w:firstLineChars="150"/>
      <w:rPr>
        <w:rStyle w:val="32"/>
        <w:rFonts w:ascii="宋体" w:hAnsi="宋体" w:eastAsia="宋体" w:cs="宋体-18030"/>
        <w:sz w:val="28"/>
        <w:szCs w:val="28"/>
        <w:lang w:eastAsia="zh-CN"/>
      </w:rPr>
    </w:pPr>
    <w:r>
      <w:rPr>
        <w:rStyle w:val="32"/>
        <w:rFonts w:hint="eastAsia" w:ascii="宋体" w:hAnsi="宋体" w:eastAsia="宋体" w:cs="宋体-18030"/>
        <w:sz w:val="28"/>
        <w:szCs w:val="28"/>
        <w:lang w:eastAsia="zh-CN"/>
      </w:rPr>
      <w:t xml:space="preserve">— </w:t>
    </w:r>
    <w:r>
      <w:rPr>
        <w:rFonts w:ascii="宋体" w:hAnsi="宋体" w:eastAsia="宋体" w:cs="宋体-18030"/>
        <w:b w:val="0"/>
        <w:sz w:val="28"/>
        <w:szCs w:val="28"/>
      </w:rPr>
      <w:fldChar w:fldCharType="begin"/>
    </w:r>
    <w:r>
      <w:rPr>
        <w:rStyle w:val="32"/>
        <w:rFonts w:ascii="宋体" w:hAnsi="宋体" w:eastAsia="宋体" w:cs="宋体-18030"/>
        <w:sz w:val="28"/>
        <w:szCs w:val="28"/>
      </w:rPr>
      <w:instrText xml:space="preserve">PAGE  </w:instrText>
    </w:r>
    <w:r>
      <w:rPr>
        <w:rFonts w:ascii="宋体" w:hAnsi="宋体" w:eastAsia="宋体" w:cs="宋体-18030"/>
        <w:b w:val="0"/>
        <w:sz w:val="28"/>
        <w:szCs w:val="28"/>
      </w:rPr>
      <w:fldChar w:fldCharType="separate"/>
    </w:r>
    <w:r>
      <w:rPr>
        <w:rStyle w:val="32"/>
        <w:rFonts w:ascii="宋体" w:hAnsi="宋体" w:eastAsia="宋体" w:cs="宋体-18030"/>
        <w:sz w:val="28"/>
        <w:szCs w:val="28"/>
      </w:rPr>
      <w:t>12</w:t>
    </w:r>
    <w:r>
      <w:rPr>
        <w:rFonts w:ascii="宋体" w:hAnsi="宋体" w:eastAsia="宋体" w:cs="宋体-18030"/>
        <w:b w:val="0"/>
        <w:sz w:val="28"/>
        <w:szCs w:val="28"/>
      </w:rPr>
      <w:fldChar w:fldCharType="end"/>
    </w:r>
    <w:r>
      <w:rPr>
        <w:rStyle w:val="32"/>
        <w:rFonts w:hint="eastAsia" w:ascii="宋体" w:hAnsi="宋体" w:eastAsia="宋体" w:cs="宋体-18030"/>
        <w:sz w:val="28"/>
        <w:szCs w:val="28"/>
        <w:lang w:eastAsia="zh-CN"/>
      </w:rPr>
      <w:t xml:space="preserve"> —</w:t>
    </w:r>
  </w:p>
  <w:p>
    <w:pPr>
      <w:pStyle w:val="16"/>
      <w:tabs>
        <w:tab w:val="center" w:pos="4153"/>
        <w:tab w:val="right" w:pos="8306"/>
        <w:tab w:val="clear" w:pos="4140"/>
        <w:tab w:val="clear" w:pos="8300"/>
      </w:tabs>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center" w:pos="4153"/>
        <w:tab w:val="right" w:pos="8306"/>
        <w:tab w:val="clear" w:pos="4140"/>
        <w:tab w:val="clear" w:pos="83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2B5AE9"/>
    <w:multiLevelType w:val="singleLevel"/>
    <w:tmpl w:val="BB2B5AE9"/>
    <w:lvl w:ilvl="0" w:tentative="0">
      <w:start w:val="15"/>
      <w:numFmt w:val="chineseCounting"/>
      <w:suff w:val="nothing"/>
      <w:lvlText w:val="（%1）"/>
      <w:lvlJc w:val="left"/>
      <w:rPr>
        <w:rFonts w:hint="eastAsia"/>
      </w:rPr>
    </w:lvl>
  </w:abstractNum>
  <w:abstractNum w:abstractNumId="1">
    <w:nsid w:val="F3A415FD"/>
    <w:multiLevelType w:val="singleLevel"/>
    <w:tmpl w:val="F3A415FD"/>
    <w:lvl w:ilvl="0" w:tentative="0">
      <w:start w:val="4"/>
      <w:numFmt w:val="chineseCounting"/>
      <w:suff w:val="nothing"/>
      <w:lvlText w:val="%1、"/>
      <w:lvlJc w:val="left"/>
      <w:rPr>
        <w:rFonts w:hint="eastAsia"/>
      </w:rPr>
    </w:lvl>
  </w:abstractNum>
  <w:abstractNum w:abstractNumId="2">
    <w:nsid w:val="00000002"/>
    <w:multiLevelType w:val="singleLevel"/>
    <w:tmpl w:val="00000002"/>
    <w:lvl w:ilvl="0" w:tentative="0">
      <w:start w:val="1"/>
      <w:numFmt w:val="chineseCounting"/>
      <w:pStyle w:val="59"/>
      <w:suff w:val="nothing"/>
      <w:lvlText w:val="（%1）"/>
      <w:lvlJc w:val="left"/>
    </w:lvl>
  </w:abstractNum>
  <w:abstractNum w:abstractNumId="3">
    <w:nsid w:val="00000003"/>
    <w:multiLevelType w:val="multilevel"/>
    <w:tmpl w:val="00000003"/>
    <w:lvl w:ilvl="0" w:tentative="0">
      <w:start w:val="1"/>
      <w:numFmt w:val="decimal"/>
      <w:pStyle w:val="61"/>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TrueTypeFonts/>
  <w:saveSubsetFonts/>
  <w:bordersDoNotSurroundHeader w:val="1"/>
  <w:bordersDoNotSurroundFooter w:val="1"/>
  <w:documentProtection w:enforcement="0"/>
  <w:defaultTabStop w:val="420"/>
  <w:drawingGridHorizontalSpacing w:val="158"/>
  <w:drawingGridVerticalSpacing w:val="579"/>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C7"/>
    <w:rsid w:val="00003C4F"/>
    <w:rsid w:val="00004720"/>
    <w:rsid w:val="00004B1C"/>
    <w:rsid w:val="000062F8"/>
    <w:rsid w:val="00006DA6"/>
    <w:rsid w:val="00007018"/>
    <w:rsid w:val="00013748"/>
    <w:rsid w:val="0001378E"/>
    <w:rsid w:val="00014B25"/>
    <w:rsid w:val="000155BD"/>
    <w:rsid w:val="0001617B"/>
    <w:rsid w:val="000164B2"/>
    <w:rsid w:val="0002031B"/>
    <w:rsid w:val="000222E0"/>
    <w:rsid w:val="0002243F"/>
    <w:rsid w:val="00023E43"/>
    <w:rsid w:val="0002493C"/>
    <w:rsid w:val="00025937"/>
    <w:rsid w:val="00036881"/>
    <w:rsid w:val="00042AB6"/>
    <w:rsid w:val="00043767"/>
    <w:rsid w:val="00043ABE"/>
    <w:rsid w:val="00044BF9"/>
    <w:rsid w:val="00045ABB"/>
    <w:rsid w:val="00046A7B"/>
    <w:rsid w:val="00046D66"/>
    <w:rsid w:val="000474AD"/>
    <w:rsid w:val="00047822"/>
    <w:rsid w:val="000479C9"/>
    <w:rsid w:val="000507E5"/>
    <w:rsid w:val="00051F3E"/>
    <w:rsid w:val="00052915"/>
    <w:rsid w:val="00053E61"/>
    <w:rsid w:val="0005457E"/>
    <w:rsid w:val="00054626"/>
    <w:rsid w:val="00057593"/>
    <w:rsid w:val="00057C1B"/>
    <w:rsid w:val="00061B6A"/>
    <w:rsid w:val="00063C98"/>
    <w:rsid w:val="00065618"/>
    <w:rsid w:val="00066E82"/>
    <w:rsid w:val="00067723"/>
    <w:rsid w:val="00072053"/>
    <w:rsid w:val="00083C7F"/>
    <w:rsid w:val="000902AB"/>
    <w:rsid w:val="00090FE2"/>
    <w:rsid w:val="00091A0A"/>
    <w:rsid w:val="00092822"/>
    <w:rsid w:val="00094491"/>
    <w:rsid w:val="000966FF"/>
    <w:rsid w:val="000A48E5"/>
    <w:rsid w:val="000A7330"/>
    <w:rsid w:val="000A7E55"/>
    <w:rsid w:val="000B20BE"/>
    <w:rsid w:val="000B56C9"/>
    <w:rsid w:val="000B5A49"/>
    <w:rsid w:val="000B609B"/>
    <w:rsid w:val="000C0092"/>
    <w:rsid w:val="000C1D0B"/>
    <w:rsid w:val="000C3344"/>
    <w:rsid w:val="000C3458"/>
    <w:rsid w:val="000C38EA"/>
    <w:rsid w:val="000C4699"/>
    <w:rsid w:val="000C482A"/>
    <w:rsid w:val="000C71CD"/>
    <w:rsid w:val="000C78E2"/>
    <w:rsid w:val="000D4705"/>
    <w:rsid w:val="000D5719"/>
    <w:rsid w:val="000D5757"/>
    <w:rsid w:val="000D62CD"/>
    <w:rsid w:val="000D7521"/>
    <w:rsid w:val="000D75DF"/>
    <w:rsid w:val="000E0953"/>
    <w:rsid w:val="000E14B8"/>
    <w:rsid w:val="000E3CCA"/>
    <w:rsid w:val="000E445A"/>
    <w:rsid w:val="000E4719"/>
    <w:rsid w:val="000E53E9"/>
    <w:rsid w:val="000E5D03"/>
    <w:rsid w:val="000E6617"/>
    <w:rsid w:val="000E69DB"/>
    <w:rsid w:val="000E6AA6"/>
    <w:rsid w:val="000E6DA6"/>
    <w:rsid w:val="000F014A"/>
    <w:rsid w:val="000F16B5"/>
    <w:rsid w:val="000F1FB2"/>
    <w:rsid w:val="000F1FED"/>
    <w:rsid w:val="000F3FC8"/>
    <w:rsid w:val="001010F8"/>
    <w:rsid w:val="00101A34"/>
    <w:rsid w:val="001021AC"/>
    <w:rsid w:val="00102A5A"/>
    <w:rsid w:val="001032F3"/>
    <w:rsid w:val="00103F47"/>
    <w:rsid w:val="00110362"/>
    <w:rsid w:val="0011068A"/>
    <w:rsid w:val="00111FDC"/>
    <w:rsid w:val="00112273"/>
    <w:rsid w:val="00112BEE"/>
    <w:rsid w:val="00114F5E"/>
    <w:rsid w:val="00115B0C"/>
    <w:rsid w:val="00121C1B"/>
    <w:rsid w:val="00122A44"/>
    <w:rsid w:val="001249B0"/>
    <w:rsid w:val="0012501D"/>
    <w:rsid w:val="00126CB5"/>
    <w:rsid w:val="0013125D"/>
    <w:rsid w:val="00131B98"/>
    <w:rsid w:val="0013282D"/>
    <w:rsid w:val="001332DB"/>
    <w:rsid w:val="0013341A"/>
    <w:rsid w:val="00133563"/>
    <w:rsid w:val="001342FA"/>
    <w:rsid w:val="00134E54"/>
    <w:rsid w:val="00135692"/>
    <w:rsid w:val="0013695F"/>
    <w:rsid w:val="0013774A"/>
    <w:rsid w:val="00137B4D"/>
    <w:rsid w:val="001402C1"/>
    <w:rsid w:val="0014040C"/>
    <w:rsid w:val="00143BC9"/>
    <w:rsid w:val="00146333"/>
    <w:rsid w:val="00146397"/>
    <w:rsid w:val="001478A4"/>
    <w:rsid w:val="001512C4"/>
    <w:rsid w:val="001521B0"/>
    <w:rsid w:val="00153FF3"/>
    <w:rsid w:val="00154902"/>
    <w:rsid w:val="00157970"/>
    <w:rsid w:val="001607D2"/>
    <w:rsid w:val="00161C99"/>
    <w:rsid w:val="00165BD3"/>
    <w:rsid w:val="00166064"/>
    <w:rsid w:val="00166468"/>
    <w:rsid w:val="00166F0A"/>
    <w:rsid w:val="00170746"/>
    <w:rsid w:val="001707F8"/>
    <w:rsid w:val="00172A27"/>
    <w:rsid w:val="0017478C"/>
    <w:rsid w:val="00174A5D"/>
    <w:rsid w:val="001761AF"/>
    <w:rsid w:val="0017704F"/>
    <w:rsid w:val="0017766B"/>
    <w:rsid w:val="00181CF0"/>
    <w:rsid w:val="00183538"/>
    <w:rsid w:val="00184197"/>
    <w:rsid w:val="00184830"/>
    <w:rsid w:val="001849E3"/>
    <w:rsid w:val="00184FB1"/>
    <w:rsid w:val="00185C1F"/>
    <w:rsid w:val="00186C1F"/>
    <w:rsid w:val="00190392"/>
    <w:rsid w:val="001904FF"/>
    <w:rsid w:val="00190C55"/>
    <w:rsid w:val="001918C4"/>
    <w:rsid w:val="00191AB2"/>
    <w:rsid w:val="00192983"/>
    <w:rsid w:val="0019583C"/>
    <w:rsid w:val="001A26B7"/>
    <w:rsid w:val="001A585B"/>
    <w:rsid w:val="001A5F64"/>
    <w:rsid w:val="001B082F"/>
    <w:rsid w:val="001B12F5"/>
    <w:rsid w:val="001B2680"/>
    <w:rsid w:val="001B26B6"/>
    <w:rsid w:val="001B313C"/>
    <w:rsid w:val="001B33F8"/>
    <w:rsid w:val="001B37D6"/>
    <w:rsid w:val="001B7681"/>
    <w:rsid w:val="001C01A8"/>
    <w:rsid w:val="001C09E8"/>
    <w:rsid w:val="001C2C7D"/>
    <w:rsid w:val="001C5BAD"/>
    <w:rsid w:val="001C6F5B"/>
    <w:rsid w:val="001C74E0"/>
    <w:rsid w:val="001C79D4"/>
    <w:rsid w:val="001D2035"/>
    <w:rsid w:val="001D2794"/>
    <w:rsid w:val="001D3072"/>
    <w:rsid w:val="001D36EC"/>
    <w:rsid w:val="001D4124"/>
    <w:rsid w:val="001D5651"/>
    <w:rsid w:val="001D79C2"/>
    <w:rsid w:val="001D7ACF"/>
    <w:rsid w:val="001E3816"/>
    <w:rsid w:val="001E4A56"/>
    <w:rsid w:val="001E4ECA"/>
    <w:rsid w:val="001E7BCA"/>
    <w:rsid w:val="001F0DF0"/>
    <w:rsid w:val="001F1D16"/>
    <w:rsid w:val="001F3044"/>
    <w:rsid w:val="001F3807"/>
    <w:rsid w:val="001F49E5"/>
    <w:rsid w:val="001F702F"/>
    <w:rsid w:val="001F7DAD"/>
    <w:rsid w:val="00200247"/>
    <w:rsid w:val="0020060D"/>
    <w:rsid w:val="00200EA0"/>
    <w:rsid w:val="00203DDE"/>
    <w:rsid w:val="0020771C"/>
    <w:rsid w:val="00207D25"/>
    <w:rsid w:val="00210C6C"/>
    <w:rsid w:val="002129B5"/>
    <w:rsid w:val="00213243"/>
    <w:rsid w:val="0021441A"/>
    <w:rsid w:val="00215D26"/>
    <w:rsid w:val="00216036"/>
    <w:rsid w:val="0021656D"/>
    <w:rsid w:val="00216E93"/>
    <w:rsid w:val="002179D2"/>
    <w:rsid w:val="0022052E"/>
    <w:rsid w:val="00220CC1"/>
    <w:rsid w:val="0022173F"/>
    <w:rsid w:val="002218A3"/>
    <w:rsid w:val="00224806"/>
    <w:rsid w:val="00225B25"/>
    <w:rsid w:val="002264BF"/>
    <w:rsid w:val="00230376"/>
    <w:rsid w:val="0023080B"/>
    <w:rsid w:val="002337D9"/>
    <w:rsid w:val="0023496E"/>
    <w:rsid w:val="00234DED"/>
    <w:rsid w:val="0023666D"/>
    <w:rsid w:val="00236B69"/>
    <w:rsid w:val="00236C27"/>
    <w:rsid w:val="00240251"/>
    <w:rsid w:val="00242859"/>
    <w:rsid w:val="00244652"/>
    <w:rsid w:val="00244901"/>
    <w:rsid w:val="00244DC8"/>
    <w:rsid w:val="0024687C"/>
    <w:rsid w:val="0024691F"/>
    <w:rsid w:val="002504F8"/>
    <w:rsid w:val="002528BB"/>
    <w:rsid w:val="00255FF0"/>
    <w:rsid w:val="00256449"/>
    <w:rsid w:val="00256924"/>
    <w:rsid w:val="00260A84"/>
    <w:rsid w:val="00260C67"/>
    <w:rsid w:val="00261976"/>
    <w:rsid w:val="00263F61"/>
    <w:rsid w:val="00266497"/>
    <w:rsid w:val="002705CD"/>
    <w:rsid w:val="00273135"/>
    <w:rsid w:val="00273300"/>
    <w:rsid w:val="0027346E"/>
    <w:rsid w:val="00275C45"/>
    <w:rsid w:val="00280EB9"/>
    <w:rsid w:val="00281E1E"/>
    <w:rsid w:val="002855B0"/>
    <w:rsid w:val="00286B60"/>
    <w:rsid w:val="00290D94"/>
    <w:rsid w:val="00292307"/>
    <w:rsid w:val="002925BD"/>
    <w:rsid w:val="00293465"/>
    <w:rsid w:val="002945A4"/>
    <w:rsid w:val="00294EE8"/>
    <w:rsid w:val="00295380"/>
    <w:rsid w:val="00297F4E"/>
    <w:rsid w:val="002A0295"/>
    <w:rsid w:val="002A1570"/>
    <w:rsid w:val="002A221F"/>
    <w:rsid w:val="002A501B"/>
    <w:rsid w:val="002A577C"/>
    <w:rsid w:val="002A5F41"/>
    <w:rsid w:val="002A64B0"/>
    <w:rsid w:val="002B0AE0"/>
    <w:rsid w:val="002B1015"/>
    <w:rsid w:val="002B1AFD"/>
    <w:rsid w:val="002B2ED2"/>
    <w:rsid w:val="002B536B"/>
    <w:rsid w:val="002B59B8"/>
    <w:rsid w:val="002B5E39"/>
    <w:rsid w:val="002B7260"/>
    <w:rsid w:val="002C1056"/>
    <w:rsid w:val="002C3255"/>
    <w:rsid w:val="002C3678"/>
    <w:rsid w:val="002C4901"/>
    <w:rsid w:val="002C6462"/>
    <w:rsid w:val="002C77E8"/>
    <w:rsid w:val="002D05C3"/>
    <w:rsid w:val="002D2B06"/>
    <w:rsid w:val="002D5498"/>
    <w:rsid w:val="002D7B0C"/>
    <w:rsid w:val="002E1EBA"/>
    <w:rsid w:val="002E2226"/>
    <w:rsid w:val="002E2408"/>
    <w:rsid w:val="002E5869"/>
    <w:rsid w:val="002E5AC7"/>
    <w:rsid w:val="002F095A"/>
    <w:rsid w:val="002F0F93"/>
    <w:rsid w:val="002F1404"/>
    <w:rsid w:val="002F24E4"/>
    <w:rsid w:val="002F43BE"/>
    <w:rsid w:val="002F5485"/>
    <w:rsid w:val="002F6C63"/>
    <w:rsid w:val="002F7123"/>
    <w:rsid w:val="002F7B69"/>
    <w:rsid w:val="003014C8"/>
    <w:rsid w:val="003017D8"/>
    <w:rsid w:val="00301C6C"/>
    <w:rsid w:val="0030302B"/>
    <w:rsid w:val="003031D8"/>
    <w:rsid w:val="00303654"/>
    <w:rsid w:val="00303E48"/>
    <w:rsid w:val="003052AC"/>
    <w:rsid w:val="00306398"/>
    <w:rsid w:val="003078BD"/>
    <w:rsid w:val="00307B01"/>
    <w:rsid w:val="003109AE"/>
    <w:rsid w:val="00311DAF"/>
    <w:rsid w:val="00312730"/>
    <w:rsid w:val="0031364E"/>
    <w:rsid w:val="0031368C"/>
    <w:rsid w:val="00317D5C"/>
    <w:rsid w:val="00317DD9"/>
    <w:rsid w:val="00320C59"/>
    <w:rsid w:val="00321380"/>
    <w:rsid w:val="0032372D"/>
    <w:rsid w:val="0032384F"/>
    <w:rsid w:val="00324462"/>
    <w:rsid w:val="00324AB4"/>
    <w:rsid w:val="00326010"/>
    <w:rsid w:val="00326423"/>
    <w:rsid w:val="003268A6"/>
    <w:rsid w:val="00326D94"/>
    <w:rsid w:val="00331477"/>
    <w:rsid w:val="00331CCB"/>
    <w:rsid w:val="00333572"/>
    <w:rsid w:val="0033378F"/>
    <w:rsid w:val="0033471A"/>
    <w:rsid w:val="0033618A"/>
    <w:rsid w:val="00337253"/>
    <w:rsid w:val="003407FD"/>
    <w:rsid w:val="00342191"/>
    <w:rsid w:val="0034431F"/>
    <w:rsid w:val="00345372"/>
    <w:rsid w:val="003477E9"/>
    <w:rsid w:val="00353977"/>
    <w:rsid w:val="00355F72"/>
    <w:rsid w:val="003573B1"/>
    <w:rsid w:val="003612A1"/>
    <w:rsid w:val="00361BF7"/>
    <w:rsid w:val="00361FD6"/>
    <w:rsid w:val="00362BF6"/>
    <w:rsid w:val="00363DE3"/>
    <w:rsid w:val="00364868"/>
    <w:rsid w:val="00365FBE"/>
    <w:rsid w:val="00366C07"/>
    <w:rsid w:val="00366CCD"/>
    <w:rsid w:val="00367366"/>
    <w:rsid w:val="0036776C"/>
    <w:rsid w:val="00367C8C"/>
    <w:rsid w:val="00372DC5"/>
    <w:rsid w:val="00375A93"/>
    <w:rsid w:val="00376C09"/>
    <w:rsid w:val="00376FC3"/>
    <w:rsid w:val="00381D85"/>
    <w:rsid w:val="0038532B"/>
    <w:rsid w:val="00385A4D"/>
    <w:rsid w:val="00386812"/>
    <w:rsid w:val="0039106C"/>
    <w:rsid w:val="00393542"/>
    <w:rsid w:val="003942FD"/>
    <w:rsid w:val="0039437B"/>
    <w:rsid w:val="0039461F"/>
    <w:rsid w:val="003946DA"/>
    <w:rsid w:val="00395074"/>
    <w:rsid w:val="00396580"/>
    <w:rsid w:val="003972BB"/>
    <w:rsid w:val="00397504"/>
    <w:rsid w:val="003A1FED"/>
    <w:rsid w:val="003A348F"/>
    <w:rsid w:val="003A44E1"/>
    <w:rsid w:val="003A5692"/>
    <w:rsid w:val="003A64AE"/>
    <w:rsid w:val="003B0195"/>
    <w:rsid w:val="003B1D82"/>
    <w:rsid w:val="003B3455"/>
    <w:rsid w:val="003B3DAE"/>
    <w:rsid w:val="003B4394"/>
    <w:rsid w:val="003B5328"/>
    <w:rsid w:val="003B6187"/>
    <w:rsid w:val="003B6FFB"/>
    <w:rsid w:val="003B7203"/>
    <w:rsid w:val="003C388E"/>
    <w:rsid w:val="003C398F"/>
    <w:rsid w:val="003C3BA4"/>
    <w:rsid w:val="003C4966"/>
    <w:rsid w:val="003C4E95"/>
    <w:rsid w:val="003C4FAA"/>
    <w:rsid w:val="003C551F"/>
    <w:rsid w:val="003C5603"/>
    <w:rsid w:val="003C7E50"/>
    <w:rsid w:val="003D1752"/>
    <w:rsid w:val="003D18D6"/>
    <w:rsid w:val="003D318C"/>
    <w:rsid w:val="003D413B"/>
    <w:rsid w:val="003E0680"/>
    <w:rsid w:val="003E5958"/>
    <w:rsid w:val="003E66EC"/>
    <w:rsid w:val="003E6BA5"/>
    <w:rsid w:val="003E7CB2"/>
    <w:rsid w:val="003F022C"/>
    <w:rsid w:val="003F19DB"/>
    <w:rsid w:val="003F1A13"/>
    <w:rsid w:val="003F2C50"/>
    <w:rsid w:val="003F3455"/>
    <w:rsid w:val="003F35E0"/>
    <w:rsid w:val="003F3D6B"/>
    <w:rsid w:val="003F4BB7"/>
    <w:rsid w:val="003F5114"/>
    <w:rsid w:val="003F5B8B"/>
    <w:rsid w:val="003F6B05"/>
    <w:rsid w:val="00401765"/>
    <w:rsid w:val="00401FD6"/>
    <w:rsid w:val="004045C8"/>
    <w:rsid w:val="004054D7"/>
    <w:rsid w:val="00405595"/>
    <w:rsid w:val="0040684A"/>
    <w:rsid w:val="00406B6C"/>
    <w:rsid w:val="0040717A"/>
    <w:rsid w:val="00411B9B"/>
    <w:rsid w:val="0041240C"/>
    <w:rsid w:val="00412898"/>
    <w:rsid w:val="004129A1"/>
    <w:rsid w:val="00416D06"/>
    <w:rsid w:val="0042013C"/>
    <w:rsid w:val="00422173"/>
    <w:rsid w:val="00422712"/>
    <w:rsid w:val="00424F03"/>
    <w:rsid w:val="004264A9"/>
    <w:rsid w:val="0042706E"/>
    <w:rsid w:val="00427206"/>
    <w:rsid w:val="00431E0F"/>
    <w:rsid w:val="00433474"/>
    <w:rsid w:val="004343C2"/>
    <w:rsid w:val="00436423"/>
    <w:rsid w:val="004375B4"/>
    <w:rsid w:val="00437CBE"/>
    <w:rsid w:val="00440472"/>
    <w:rsid w:val="00440D38"/>
    <w:rsid w:val="00440EA1"/>
    <w:rsid w:val="00442143"/>
    <w:rsid w:val="00443607"/>
    <w:rsid w:val="00443822"/>
    <w:rsid w:val="00444237"/>
    <w:rsid w:val="00444B49"/>
    <w:rsid w:val="004464FB"/>
    <w:rsid w:val="00451A7F"/>
    <w:rsid w:val="00452216"/>
    <w:rsid w:val="00452695"/>
    <w:rsid w:val="004527A5"/>
    <w:rsid w:val="0045307D"/>
    <w:rsid w:val="004562B1"/>
    <w:rsid w:val="00456730"/>
    <w:rsid w:val="00457947"/>
    <w:rsid w:val="00461F15"/>
    <w:rsid w:val="004626D3"/>
    <w:rsid w:val="00463E8C"/>
    <w:rsid w:val="00464409"/>
    <w:rsid w:val="00465AA7"/>
    <w:rsid w:val="00466DD0"/>
    <w:rsid w:val="0046715F"/>
    <w:rsid w:val="004703F8"/>
    <w:rsid w:val="004718CE"/>
    <w:rsid w:val="0047430B"/>
    <w:rsid w:val="00474D78"/>
    <w:rsid w:val="00475ED2"/>
    <w:rsid w:val="00476EE8"/>
    <w:rsid w:val="004800BB"/>
    <w:rsid w:val="00483EDE"/>
    <w:rsid w:val="00483F7C"/>
    <w:rsid w:val="004853B4"/>
    <w:rsid w:val="004858AF"/>
    <w:rsid w:val="00485CAA"/>
    <w:rsid w:val="00485FD2"/>
    <w:rsid w:val="00491379"/>
    <w:rsid w:val="00491B5B"/>
    <w:rsid w:val="00491D2F"/>
    <w:rsid w:val="00496FED"/>
    <w:rsid w:val="00497340"/>
    <w:rsid w:val="004A0098"/>
    <w:rsid w:val="004A0539"/>
    <w:rsid w:val="004A1CD8"/>
    <w:rsid w:val="004A1FBD"/>
    <w:rsid w:val="004A2F60"/>
    <w:rsid w:val="004A3877"/>
    <w:rsid w:val="004A3CAB"/>
    <w:rsid w:val="004A42CC"/>
    <w:rsid w:val="004B7517"/>
    <w:rsid w:val="004C050E"/>
    <w:rsid w:val="004C310D"/>
    <w:rsid w:val="004C3D69"/>
    <w:rsid w:val="004C3DC7"/>
    <w:rsid w:val="004C4990"/>
    <w:rsid w:val="004C5593"/>
    <w:rsid w:val="004C5A80"/>
    <w:rsid w:val="004C73F7"/>
    <w:rsid w:val="004C7501"/>
    <w:rsid w:val="004D08E2"/>
    <w:rsid w:val="004D1D05"/>
    <w:rsid w:val="004D2233"/>
    <w:rsid w:val="004D2814"/>
    <w:rsid w:val="004D2DC4"/>
    <w:rsid w:val="004D43E8"/>
    <w:rsid w:val="004D46F3"/>
    <w:rsid w:val="004D47C6"/>
    <w:rsid w:val="004D47CC"/>
    <w:rsid w:val="004D74A2"/>
    <w:rsid w:val="004E150A"/>
    <w:rsid w:val="004E15A9"/>
    <w:rsid w:val="004E3F7D"/>
    <w:rsid w:val="004E686B"/>
    <w:rsid w:val="004E6B24"/>
    <w:rsid w:val="004F001A"/>
    <w:rsid w:val="004F0538"/>
    <w:rsid w:val="004F1440"/>
    <w:rsid w:val="004F150D"/>
    <w:rsid w:val="004F256A"/>
    <w:rsid w:val="004F2D69"/>
    <w:rsid w:val="004F30DB"/>
    <w:rsid w:val="004F3237"/>
    <w:rsid w:val="00500EC3"/>
    <w:rsid w:val="00501497"/>
    <w:rsid w:val="005018D8"/>
    <w:rsid w:val="00501EAD"/>
    <w:rsid w:val="005024AE"/>
    <w:rsid w:val="00504062"/>
    <w:rsid w:val="005054D9"/>
    <w:rsid w:val="00510F39"/>
    <w:rsid w:val="00515B45"/>
    <w:rsid w:val="00515BA7"/>
    <w:rsid w:val="0051669B"/>
    <w:rsid w:val="005167B6"/>
    <w:rsid w:val="00516CFF"/>
    <w:rsid w:val="00516F5E"/>
    <w:rsid w:val="00520C82"/>
    <w:rsid w:val="005262B5"/>
    <w:rsid w:val="0052637A"/>
    <w:rsid w:val="00531106"/>
    <w:rsid w:val="00532F5E"/>
    <w:rsid w:val="00533411"/>
    <w:rsid w:val="005343B0"/>
    <w:rsid w:val="00535CA6"/>
    <w:rsid w:val="0054086A"/>
    <w:rsid w:val="00540922"/>
    <w:rsid w:val="00542B18"/>
    <w:rsid w:val="00544015"/>
    <w:rsid w:val="00545176"/>
    <w:rsid w:val="005455D4"/>
    <w:rsid w:val="00545B35"/>
    <w:rsid w:val="005508FE"/>
    <w:rsid w:val="00555416"/>
    <w:rsid w:val="0055545B"/>
    <w:rsid w:val="005554EA"/>
    <w:rsid w:val="00563318"/>
    <w:rsid w:val="00564A81"/>
    <w:rsid w:val="00564DDA"/>
    <w:rsid w:val="00565714"/>
    <w:rsid w:val="00565D31"/>
    <w:rsid w:val="005666F4"/>
    <w:rsid w:val="00570099"/>
    <w:rsid w:val="00571141"/>
    <w:rsid w:val="005713F2"/>
    <w:rsid w:val="00571E52"/>
    <w:rsid w:val="00571E91"/>
    <w:rsid w:val="005736ED"/>
    <w:rsid w:val="00574318"/>
    <w:rsid w:val="00576925"/>
    <w:rsid w:val="005808F5"/>
    <w:rsid w:val="00582496"/>
    <w:rsid w:val="00582FF3"/>
    <w:rsid w:val="00584345"/>
    <w:rsid w:val="00585221"/>
    <w:rsid w:val="005871FB"/>
    <w:rsid w:val="00587484"/>
    <w:rsid w:val="00591D1F"/>
    <w:rsid w:val="00594313"/>
    <w:rsid w:val="00595285"/>
    <w:rsid w:val="005A1E85"/>
    <w:rsid w:val="005A2729"/>
    <w:rsid w:val="005A3742"/>
    <w:rsid w:val="005A45A2"/>
    <w:rsid w:val="005A720B"/>
    <w:rsid w:val="005A7CF1"/>
    <w:rsid w:val="005B2CA1"/>
    <w:rsid w:val="005B33EF"/>
    <w:rsid w:val="005B39D4"/>
    <w:rsid w:val="005B5CE2"/>
    <w:rsid w:val="005B65E9"/>
    <w:rsid w:val="005B7E52"/>
    <w:rsid w:val="005C14C4"/>
    <w:rsid w:val="005C218C"/>
    <w:rsid w:val="005C2E74"/>
    <w:rsid w:val="005C3171"/>
    <w:rsid w:val="005C3260"/>
    <w:rsid w:val="005C7953"/>
    <w:rsid w:val="005D1068"/>
    <w:rsid w:val="005D10B7"/>
    <w:rsid w:val="005D15E7"/>
    <w:rsid w:val="005D3E53"/>
    <w:rsid w:val="005D5118"/>
    <w:rsid w:val="005D6420"/>
    <w:rsid w:val="005D68EC"/>
    <w:rsid w:val="005D7478"/>
    <w:rsid w:val="005E0110"/>
    <w:rsid w:val="005E17A6"/>
    <w:rsid w:val="005E29E7"/>
    <w:rsid w:val="005E3418"/>
    <w:rsid w:val="005E6364"/>
    <w:rsid w:val="005F554E"/>
    <w:rsid w:val="005F614E"/>
    <w:rsid w:val="005F7898"/>
    <w:rsid w:val="0060249C"/>
    <w:rsid w:val="0060257E"/>
    <w:rsid w:val="006031B2"/>
    <w:rsid w:val="00605147"/>
    <w:rsid w:val="00605D00"/>
    <w:rsid w:val="00606882"/>
    <w:rsid w:val="00607B52"/>
    <w:rsid w:val="00612F7D"/>
    <w:rsid w:val="00616DCE"/>
    <w:rsid w:val="00617BF1"/>
    <w:rsid w:val="00617F9C"/>
    <w:rsid w:val="00620DEA"/>
    <w:rsid w:val="00621E42"/>
    <w:rsid w:val="00623C09"/>
    <w:rsid w:val="00624490"/>
    <w:rsid w:val="00624602"/>
    <w:rsid w:val="00625ED0"/>
    <w:rsid w:val="00627020"/>
    <w:rsid w:val="00630CB4"/>
    <w:rsid w:val="0063170C"/>
    <w:rsid w:val="006323FE"/>
    <w:rsid w:val="0063379B"/>
    <w:rsid w:val="006347E1"/>
    <w:rsid w:val="006347F3"/>
    <w:rsid w:val="006369DB"/>
    <w:rsid w:val="00640485"/>
    <w:rsid w:val="00640AE6"/>
    <w:rsid w:val="00646047"/>
    <w:rsid w:val="0065202F"/>
    <w:rsid w:val="0065225A"/>
    <w:rsid w:val="0065343E"/>
    <w:rsid w:val="006537F9"/>
    <w:rsid w:val="006543B4"/>
    <w:rsid w:val="00654D1B"/>
    <w:rsid w:val="00655F64"/>
    <w:rsid w:val="00656992"/>
    <w:rsid w:val="00656B58"/>
    <w:rsid w:val="00657EB2"/>
    <w:rsid w:val="00661C5C"/>
    <w:rsid w:val="0066243B"/>
    <w:rsid w:val="00663BC5"/>
    <w:rsid w:val="00663C20"/>
    <w:rsid w:val="00665347"/>
    <w:rsid w:val="006659E7"/>
    <w:rsid w:val="006659F7"/>
    <w:rsid w:val="00665E7B"/>
    <w:rsid w:val="00666886"/>
    <w:rsid w:val="006670B0"/>
    <w:rsid w:val="00670E4D"/>
    <w:rsid w:val="0067135E"/>
    <w:rsid w:val="006728EC"/>
    <w:rsid w:val="00673F6B"/>
    <w:rsid w:val="0067699B"/>
    <w:rsid w:val="00677E37"/>
    <w:rsid w:val="0068108C"/>
    <w:rsid w:val="00683140"/>
    <w:rsid w:val="00683AAD"/>
    <w:rsid w:val="00683C8E"/>
    <w:rsid w:val="006844BF"/>
    <w:rsid w:val="0068500A"/>
    <w:rsid w:val="006912C7"/>
    <w:rsid w:val="00692C4F"/>
    <w:rsid w:val="006937F0"/>
    <w:rsid w:val="00696B2E"/>
    <w:rsid w:val="006973D6"/>
    <w:rsid w:val="006A11C3"/>
    <w:rsid w:val="006A12A3"/>
    <w:rsid w:val="006A53BD"/>
    <w:rsid w:val="006A6182"/>
    <w:rsid w:val="006B0CC5"/>
    <w:rsid w:val="006B1D6D"/>
    <w:rsid w:val="006B3304"/>
    <w:rsid w:val="006B42D6"/>
    <w:rsid w:val="006B4ECD"/>
    <w:rsid w:val="006B64C6"/>
    <w:rsid w:val="006B6B84"/>
    <w:rsid w:val="006B70E2"/>
    <w:rsid w:val="006B78CD"/>
    <w:rsid w:val="006C1522"/>
    <w:rsid w:val="006C48AA"/>
    <w:rsid w:val="006C48EB"/>
    <w:rsid w:val="006C512E"/>
    <w:rsid w:val="006C6F15"/>
    <w:rsid w:val="006C77ED"/>
    <w:rsid w:val="006D02D9"/>
    <w:rsid w:val="006D56BE"/>
    <w:rsid w:val="006D75BA"/>
    <w:rsid w:val="006D7AEB"/>
    <w:rsid w:val="006D7BAC"/>
    <w:rsid w:val="006E04AA"/>
    <w:rsid w:val="006E166C"/>
    <w:rsid w:val="006E24DF"/>
    <w:rsid w:val="006E41D0"/>
    <w:rsid w:val="006E5A1E"/>
    <w:rsid w:val="006E6767"/>
    <w:rsid w:val="006F0563"/>
    <w:rsid w:val="006F0591"/>
    <w:rsid w:val="006F1FBA"/>
    <w:rsid w:val="006F3D9A"/>
    <w:rsid w:val="006F552B"/>
    <w:rsid w:val="006F5A91"/>
    <w:rsid w:val="006F5EC6"/>
    <w:rsid w:val="006F6930"/>
    <w:rsid w:val="0070037B"/>
    <w:rsid w:val="007003C1"/>
    <w:rsid w:val="007024BE"/>
    <w:rsid w:val="0070322D"/>
    <w:rsid w:val="007102B0"/>
    <w:rsid w:val="007104B6"/>
    <w:rsid w:val="00711EEA"/>
    <w:rsid w:val="0071283E"/>
    <w:rsid w:val="00714A3F"/>
    <w:rsid w:val="00714B78"/>
    <w:rsid w:val="00715605"/>
    <w:rsid w:val="00716031"/>
    <w:rsid w:val="007209B8"/>
    <w:rsid w:val="00721C7C"/>
    <w:rsid w:val="00723852"/>
    <w:rsid w:val="007238F7"/>
    <w:rsid w:val="00724169"/>
    <w:rsid w:val="00724E74"/>
    <w:rsid w:val="007259BC"/>
    <w:rsid w:val="00731FAF"/>
    <w:rsid w:val="007336E9"/>
    <w:rsid w:val="00734477"/>
    <w:rsid w:val="007348BC"/>
    <w:rsid w:val="007348F7"/>
    <w:rsid w:val="007357FA"/>
    <w:rsid w:val="00736331"/>
    <w:rsid w:val="00736D7F"/>
    <w:rsid w:val="007371C7"/>
    <w:rsid w:val="00741639"/>
    <w:rsid w:val="00743C85"/>
    <w:rsid w:val="007440CD"/>
    <w:rsid w:val="007452A7"/>
    <w:rsid w:val="00745417"/>
    <w:rsid w:val="00746690"/>
    <w:rsid w:val="00747CD5"/>
    <w:rsid w:val="00753073"/>
    <w:rsid w:val="00754387"/>
    <w:rsid w:val="00757456"/>
    <w:rsid w:val="0075770D"/>
    <w:rsid w:val="00762AEC"/>
    <w:rsid w:val="0076417D"/>
    <w:rsid w:val="00765CEE"/>
    <w:rsid w:val="00771AE7"/>
    <w:rsid w:val="007724AE"/>
    <w:rsid w:val="00773221"/>
    <w:rsid w:val="00774AC6"/>
    <w:rsid w:val="00775B11"/>
    <w:rsid w:val="00781B0E"/>
    <w:rsid w:val="0078345D"/>
    <w:rsid w:val="00784B1F"/>
    <w:rsid w:val="00786644"/>
    <w:rsid w:val="007875D8"/>
    <w:rsid w:val="00790478"/>
    <w:rsid w:val="00790C99"/>
    <w:rsid w:val="0079318D"/>
    <w:rsid w:val="007938A9"/>
    <w:rsid w:val="0079458A"/>
    <w:rsid w:val="00794A8A"/>
    <w:rsid w:val="00794B14"/>
    <w:rsid w:val="007A247B"/>
    <w:rsid w:val="007A3669"/>
    <w:rsid w:val="007A4315"/>
    <w:rsid w:val="007A5824"/>
    <w:rsid w:val="007A72CD"/>
    <w:rsid w:val="007B0DAE"/>
    <w:rsid w:val="007B1DE3"/>
    <w:rsid w:val="007B25A4"/>
    <w:rsid w:val="007B3D9A"/>
    <w:rsid w:val="007B7BB1"/>
    <w:rsid w:val="007C2453"/>
    <w:rsid w:val="007C28A3"/>
    <w:rsid w:val="007C477D"/>
    <w:rsid w:val="007C5432"/>
    <w:rsid w:val="007C5446"/>
    <w:rsid w:val="007C5BBF"/>
    <w:rsid w:val="007D1CC2"/>
    <w:rsid w:val="007D1E9E"/>
    <w:rsid w:val="007D219D"/>
    <w:rsid w:val="007D2AFB"/>
    <w:rsid w:val="007D3400"/>
    <w:rsid w:val="007E1B97"/>
    <w:rsid w:val="007E229C"/>
    <w:rsid w:val="007E49B4"/>
    <w:rsid w:val="007E5069"/>
    <w:rsid w:val="007E5723"/>
    <w:rsid w:val="007E5771"/>
    <w:rsid w:val="007E6CDF"/>
    <w:rsid w:val="007E7DF7"/>
    <w:rsid w:val="007F0FB6"/>
    <w:rsid w:val="007F1BFA"/>
    <w:rsid w:val="007F2E3B"/>
    <w:rsid w:val="007F3035"/>
    <w:rsid w:val="007F4BD7"/>
    <w:rsid w:val="007F4D8B"/>
    <w:rsid w:val="007F5124"/>
    <w:rsid w:val="007F6191"/>
    <w:rsid w:val="007F63F6"/>
    <w:rsid w:val="00801B49"/>
    <w:rsid w:val="00802322"/>
    <w:rsid w:val="008027DE"/>
    <w:rsid w:val="008045CF"/>
    <w:rsid w:val="00804757"/>
    <w:rsid w:val="008056FD"/>
    <w:rsid w:val="008117B1"/>
    <w:rsid w:val="008130DA"/>
    <w:rsid w:val="00814828"/>
    <w:rsid w:val="00814D84"/>
    <w:rsid w:val="00814E9E"/>
    <w:rsid w:val="00815813"/>
    <w:rsid w:val="0081581F"/>
    <w:rsid w:val="00816373"/>
    <w:rsid w:val="00817498"/>
    <w:rsid w:val="00820B60"/>
    <w:rsid w:val="00821C23"/>
    <w:rsid w:val="008239EB"/>
    <w:rsid w:val="00824DE7"/>
    <w:rsid w:val="00826203"/>
    <w:rsid w:val="00827174"/>
    <w:rsid w:val="008275D7"/>
    <w:rsid w:val="00830E5C"/>
    <w:rsid w:val="00832372"/>
    <w:rsid w:val="00833B6D"/>
    <w:rsid w:val="00833C91"/>
    <w:rsid w:val="00834738"/>
    <w:rsid w:val="00834811"/>
    <w:rsid w:val="00835D5A"/>
    <w:rsid w:val="00837882"/>
    <w:rsid w:val="00840DF8"/>
    <w:rsid w:val="00841AB3"/>
    <w:rsid w:val="00841AD7"/>
    <w:rsid w:val="00842B5C"/>
    <w:rsid w:val="00843096"/>
    <w:rsid w:val="008437F1"/>
    <w:rsid w:val="008438BF"/>
    <w:rsid w:val="00845BA1"/>
    <w:rsid w:val="0084748E"/>
    <w:rsid w:val="00847D8B"/>
    <w:rsid w:val="00850DE7"/>
    <w:rsid w:val="00851298"/>
    <w:rsid w:val="00851AB2"/>
    <w:rsid w:val="00853827"/>
    <w:rsid w:val="00856B00"/>
    <w:rsid w:val="00861421"/>
    <w:rsid w:val="008700E4"/>
    <w:rsid w:val="0087210E"/>
    <w:rsid w:val="008738ED"/>
    <w:rsid w:val="00876720"/>
    <w:rsid w:val="00880A55"/>
    <w:rsid w:val="00880AFE"/>
    <w:rsid w:val="00881E5F"/>
    <w:rsid w:val="00884A6C"/>
    <w:rsid w:val="008853E6"/>
    <w:rsid w:val="0089022D"/>
    <w:rsid w:val="0089117D"/>
    <w:rsid w:val="00891181"/>
    <w:rsid w:val="00892758"/>
    <w:rsid w:val="00892F46"/>
    <w:rsid w:val="00897273"/>
    <w:rsid w:val="008A0236"/>
    <w:rsid w:val="008A08AB"/>
    <w:rsid w:val="008A33CD"/>
    <w:rsid w:val="008A5B4C"/>
    <w:rsid w:val="008A6FF0"/>
    <w:rsid w:val="008A7434"/>
    <w:rsid w:val="008B00E7"/>
    <w:rsid w:val="008B4002"/>
    <w:rsid w:val="008B4C2E"/>
    <w:rsid w:val="008B4E25"/>
    <w:rsid w:val="008B5D46"/>
    <w:rsid w:val="008B5EC0"/>
    <w:rsid w:val="008B68BD"/>
    <w:rsid w:val="008B7982"/>
    <w:rsid w:val="008B7E5B"/>
    <w:rsid w:val="008C0C1B"/>
    <w:rsid w:val="008C2113"/>
    <w:rsid w:val="008C3E98"/>
    <w:rsid w:val="008C4863"/>
    <w:rsid w:val="008C5048"/>
    <w:rsid w:val="008C539F"/>
    <w:rsid w:val="008C72E9"/>
    <w:rsid w:val="008C7835"/>
    <w:rsid w:val="008C7D79"/>
    <w:rsid w:val="008D04F3"/>
    <w:rsid w:val="008D25C6"/>
    <w:rsid w:val="008D2A52"/>
    <w:rsid w:val="008D3317"/>
    <w:rsid w:val="008D4D0A"/>
    <w:rsid w:val="008D4F27"/>
    <w:rsid w:val="008D5E46"/>
    <w:rsid w:val="008E3F77"/>
    <w:rsid w:val="008E50A8"/>
    <w:rsid w:val="008E5257"/>
    <w:rsid w:val="008E59CA"/>
    <w:rsid w:val="008E5D93"/>
    <w:rsid w:val="008E6BF3"/>
    <w:rsid w:val="008E6D95"/>
    <w:rsid w:val="008E7233"/>
    <w:rsid w:val="008F103F"/>
    <w:rsid w:val="008F10FE"/>
    <w:rsid w:val="008F16D4"/>
    <w:rsid w:val="008F2EAE"/>
    <w:rsid w:val="008F3083"/>
    <w:rsid w:val="008F367A"/>
    <w:rsid w:val="008F5C5D"/>
    <w:rsid w:val="008F6049"/>
    <w:rsid w:val="008F71C3"/>
    <w:rsid w:val="008F71E3"/>
    <w:rsid w:val="00900B97"/>
    <w:rsid w:val="00902753"/>
    <w:rsid w:val="009048EC"/>
    <w:rsid w:val="009051F8"/>
    <w:rsid w:val="009065AD"/>
    <w:rsid w:val="0090704D"/>
    <w:rsid w:val="00907911"/>
    <w:rsid w:val="00910A5D"/>
    <w:rsid w:val="00912344"/>
    <w:rsid w:val="00914505"/>
    <w:rsid w:val="009163DE"/>
    <w:rsid w:val="0091695B"/>
    <w:rsid w:val="00920CCB"/>
    <w:rsid w:val="0092788B"/>
    <w:rsid w:val="009326A9"/>
    <w:rsid w:val="00934C1D"/>
    <w:rsid w:val="00935CF3"/>
    <w:rsid w:val="0093675C"/>
    <w:rsid w:val="00937832"/>
    <w:rsid w:val="009415AA"/>
    <w:rsid w:val="00942C58"/>
    <w:rsid w:val="00943856"/>
    <w:rsid w:val="00947D00"/>
    <w:rsid w:val="00951DAC"/>
    <w:rsid w:val="009538C8"/>
    <w:rsid w:val="00953963"/>
    <w:rsid w:val="009548E5"/>
    <w:rsid w:val="009549FA"/>
    <w:rsid w:val="00954AA4"/>
    <w:rsid w:val="0095694D"/>
    <w:rsid w:val="009575D6"/>
    <w:rsid w:val="00957D94"/>
    <w:rsid w:val="00961B82"/>
    <w:rsid w:val="00961CEB"/>
    <w:rsid w:val="009624AC"/>
    <w:rsid w:val="009648CC"/>
    <w:rsid w:val="00965880"/>
    <w:rsid w:val="00972000"/>
    <w:rsid w:val="00972EE1"/>
    <w:rsid w:val="00973E8A"/>
    <w:rsid w:val="00973F87"/>
    <w:rsid w:val="00973FAE"/>
    <w:rsid w:val="00974FE0"/>
    <w:rsid w:val="009757DD"/>
    <w:rsid w:val="00976AA2"/>
    <w:rsid w:val="00980269"/>
    <w:rsid w:val="00980CEC"/>
    <w:rsid w:val="009811F3"/>
    <w:rsid w:val="00981295"/>
    <w:rsid w:val="00981F30"/>
    <w:rsid w:val="009828AB"/>
    <w:rsid w:val="00984283"/>
    <w:rsid w:val="00991AA8"/>
    <w:rsid w:val="00992F5F"/>
    <w:rsid w:val="0099385C"/>
    <w:rsid w:val="00995303"/>
    <w:rsid w:val="009957A5"/>
    <w:rsid w:val="00995852"/>
    <w:rsid w:val="00995EAC"/>
    <w:rsid w:val="0099649A"/>
    <w:rsid w:val="00997114"/>
    <w:rsid w:val="009A097B"/>
    <w:rsid w:val="009A1F2A"/>
    <w:rsid w:val="009A35CB"/>
    <w:rsid w:val="009A3D18"/>
    <w:rsid w:val="009A5F54"/>
    <w:rsid w:val="009A7CD2"/>
    <w:rsid w:val="009B3E94"/>
    <w:rsid w:val="009B6090"/>
    <w:rsid w:val="009B7C38"/>
    <w:rsid w:val="009B7D2B"/>
    <w:rsid w:val="009B7D71"/>
    <w:rsid w:val="009C24DE"/>
    <w:rsid w:val="009C2D24"/>
    <w:rsid w:val="009C2DD1"/>
    <w:rsid w:val="009C2E13"/>
    <w:rsid w:val="009C3422"/>
    <w:rsid w:val="009C5F1A"/>
    <w:rsid w:val="009C6B97"/>
    <w:rsid w:val="009C7B19"/>
    <w:rsid w:val="009D01DD"/>
    <w:rsid w:val="009D0ADA"/>
    <w:rsid w:val="009D0FAA"/>
    <w:rsid w:val="009D1095"/>
    <w:rsid w:val="009D1B9D"/>
    <w:rsid w:val="009D23C6"/>
    <w:rsid w:val="009D346D"/>
    <w:rsid w:val="009D3CE4"/>
    <w:rsid w:val="009D3DEB"/>
    <w:rsid w:val="009D4B9F"/>
    <w:rsid w:val="009D5848"/>
    <w:rsid w:val="009D584F"/>
    <w:rsid w:val="009D624B"/>
    <w:rsid w:val="009D77D1"/>
    <w:rsid w:val="009E0993"/>
    <w:rsid w:val="009E1638"/>
    <w:rsid w:val="009E1ACD"/>
    <w:rsid w:val="009E3649"/>
    <w:rsid w:val="009E4A60"/>
    <w:rsid w:val="009E5669"/>
    <w:rsid w:val="009E569F"/>
    <w:rsid w:val="009F6821"/>
    <w:rsid w:val="009F6A5C"/>
    <w:rsid w:val="009F7770"/>
    <w:rsid w:val="009F796A"/>
    <w:rsid w:val="00A002EA"/>
    <w:rsid w:val="00A0092E"/>
    <w:rsid w:val="00A01940"/>
    <w:rsid w:val="00A01D1F"/>
    <w:rsid w:val="00A022A6"/>
    <w:rsid w:val="00A02954"/>
    <w:rsid w:val="00A03455"/>
    <w:rsid w:val="00A047C8"/>
    <w:rsid w:val="00A057B7"/>
    <w:rsid w:val="00A05D0F"/>
    <w:rsid w:val="00A05F75"/>
    <w:rsid w:val="00A06A55"/>
    <w:rsid w:val="00A07A08"/>
    <w:rsid w:val="00A07FBC"/>
    <w:rsid w:val="00A10448"/>
    <w:rsid w:val="00A12CD6"/>
    <w:rsid w:val="00A12EDF"/>
    <w:rsid w:val="00A12FBC"/>
    <w:rsid w:val="00A13DB5"/>
    <w:rsid w:val="00A143EB"/>
    <w:rsid w:val="00A15474"/>
    <w:rsid w:val="00A20E34"/>
    <w:rsid w:val="00A24733"/>
    <w:rsid w:val="00A32DFA"/>
    <w:rsid w:val="00A33444"/>
    <w:rsid w:val="00A34704"/>
    <w:rsid w:val="00A34D21"/>
    <w:rsid w:val="00A357A7"/>
    <w:rsid w:val="00A36473"/>
    <w:rsid w:val="00A370F6"/>
    <w:rsid w:val="00A37413"/>
    <w:rsid w:val="00A43EAB"/>
    <w:rsid w:val="00A44F50"/>
    <w:rsid w:val="00A45525"/>
    <w:rsid w:val="00A46074"/>
    <w:rsid w:val="00A47E63"/>
    <w:rsid w:val="00A50253"/>
    <w:rsid w:val="00A519F7"/>
    <w:rsid w:val="00A52B85"/>
    <w:rsid w:val="00A55384"/>
    <w:rsid w:val="00A56482"/>
    <w:rsid w:val="00A56C47"/>
    <w:rsid w:val="00A570A2"/>
    <w:rsid w:val="00A63C16"/>
    <w:rsid w:val="00A64144"/>
    <w:rsid w:val="00A650F5"/>
    <w:rsid w:val="00A659EA"/>
    <w:rsid w:val="00A65B33"/>
    <w:rsid w:val="00A65D44"/>
    <w:rsid w:val="00A6753F"/>
    <w:rsid w:val="00A678A9"/>
    <w:rsid w:val="00A71AE4"/>
    <w:rsid w:val="00A722B0"/>
    <w:rsid w:val="00A7275C"/>
    <w:rsid w:val="00A72CD2"/>
    <w:rsid w:val="00A730A0"/>
    <w:rsid w:val="00A73E7B"/>
    <w:rsid w:val="00A75D0E"/>
    <w:rsid w:val="00A76F21"/>
    <w:rsid w:val="00A7764D"/>
    <w:rsid w:val="00A77C03"/>
    <w:rsid w:val="00A801FB"/>
    <w:rsid w:val="00A809E4"/>
    <w:rsid w:val="00A817D7"/>
    <w:rsid w:val="00A81D37"/>
    <w:rsid w:val="00A830F0"/>
    <w:rsid w:val="00A83CD0"/>
    <w:rsid w:val="00A84B40"/>
    <w:rsid w:val="00A857EF"/>
    <w:rsid w:val="00A8674E"/>
    <w:rsid w:val="00A92374"/>
    <w:rsid w:val="00A92ED0"/>
    <w:rsid w:val="00A95113"/>
    <w:rsid w:val="00A97745"/>
    <w:rsid w:val="00AA0AA1"/>
    <w:rsid w:val="00AA0E00"/>
    <w:rsid w:val="00AA126C"/>
    <w:rsid w:val="00AA16AF"/>
    <w:rsid w:val="00AA179F"/>
    <w:rsid w:val="00AA4057"/>
    <w:rsid w:val="00AB16E9"/>
    <w:rsid w:val="00AB2180"/>
    <w:rsid w:val="00AB31F9"/>
    <w:rsid w:val="00AC0FB6"/>
    <w:rsid w:val="00AC1400"/>
    <w:rsid w:val="00AC2CE9"/>
    <w:rsid w:val="00AC5BBB"/>
    <w:rsid w:val="00AC6775"/>
    <w:rsid w:val="00AC6CE5"/>
    <w:rsid w:val="00AD0450"/>
    <w:rsid w:val="00AD09FE"/>
    <w:rsid w:val="00AD0F73"/>
    <w:rsid w:val="00AD11F0"/>
    <w:rsid w:val="00AE0138"/>
    <w:rsid w:val="00AE3127"/>
    <w:rsid w:val="00AE4D02"/>
    <w:rsid w:val="00AE5700"/>
    <w:rsid w:val="00AE605C"/>
    <w:rsid w:val="00AE7620"/>
    <w:rsid w:val="00AE77ED"/>
    <w:rsid w:val="00AE7AF0"/>
    <w:rsid w:val="00AF161B"/>
    <w:rsid w:val="00AF44D4"/>
    <w:rsid w:val="00AF4C0E"/>
    <w:rsid w:val="00AF4D4D"/>
    <w:rsid w:val="00AF6951"/>
    <w:rsid w:val="00AF6AB2"/>
    <w:rsid w:val="00AF727A"/>
    <w:rsid w:val="00B04157"/>
    <w:rsid w:val="00B0559E"/>
    <w:rsid w:val="00B05F74"/>
    <w:rsid w:val="00B06440"/>
    <w:rsid w:val="00B06C95"/>
    <w:rsid w:val="00B10CFB"/>
    <w:rsid w:val="00B130BF"/>
    <w:rsid w:val="00B13AFF"/>
    <w:rsid w:val="00B13C62"/>
    <w:rsid w:val="00B13FAE"/>
    <w:rsid w:val="00B20084"/>
    <w:rsid w:val="00B2037E"/>
    <w:rsid w:val="00B20422"/>
    <w:rsid w:val="00B21643"/>
    <w:rsid w:val="00B223B6"/>
    <w:rsid w:val="00B22E09"/>
    <w:rsid w:val="00B23969"/>
    <w:rsid w:val="00B2561E"/>
    <w:rsid w:val="00B27E47"/>
    <w:rsid w:val="00B30A34"/>
    <w:rsid w:val="00B3100B"/>
    <w:rsid w:val="00B32186"/>
    <w:rsid w:val="00B32752"/>
    <w:rsid w:val="00B3371A"/>
    <w:rsid w:val="00B3471A"/>
    <w:rsid w:val="00B3584A"/>
    <w:rsid w:val="00B36D70"/>
    <w:rsid w:val="00B375AC"/>
    <w:rsid w:val="00B40339"/>
    <w:rsid w:val="00B43B87"/>
    <w:rsid w:val="00B44785"/>
    <w:rsid w:val="00B44EC8"/>
    <w:rsid w:val="00B4516F"/>
    <w:rsid w:val="00B470D0"/>
    <w:rsid w:val="00B508D5"/>
    <w:rsid w:val="00B52CD7"/>
    <w:rsid w:val="00B54636"/>
    <w:rsid w:val="00B555A4"/>
    <w:rsid w:val="00B569BC"/>
    <w:rsid w:val="00B56E0A"/>
    <w:rsid w:val="00B578AB"/>
    <w:rsid w:val="00B57D5A"/>
    <w:rsid w:val="00B6350E"/>
    <w:rsid w:val="00B64389"/>
    <w:rsid w:val="00B6518D"/>
    <w:rsid w:val="00B655B5"/>
    <w:rsid w:val="00B66136"/>
    <w:rsid w:val="00B67C2A"/>
    <w:rsid w:val="00B70E7D"/>
    <w:rsid w:val="00B71783"/>
    <w:rsid w:val="00B71F01"/>
    <w:rsid w:val="00B73BE2"/>
    <w:rsid w:val="00B75386"/>
    <w:rsid w:val="00B75619"/>
    <w:rsid w:val="00B7662D"/>
    <w:rsid w:val="00B76F04"/>
    <w:rsid w:val="00B7771B"/>
    <w:rsid w:val="00B77EA5"/>
    <w:rsid w:val="00B8177C"/>
    <w:rsid w:val="00B820F2"/>
    <w:rsid w:val="00B824D3"/>
    <w:rsid w:val="00B83765"/>
    <w:rsid w:val="00B8672F"/>
    <w:rsid w:val="00B90D54"/>
    <w:rsid w:val="00B93476"/>
    <w:rsid w:val="00B93BBC"/>
    <w:rsid w:val="00B95003"/>
    <w:rsid w:val="00B95478"/>
    <w:rsid w:val="00BA1DC4"/>
    <w:rsid w:val="00BA26A6"/>
    <w:rsid w:val="00BA4B62"/>
    <w:rsid w:val="00BA4E4E"/>
    <w:rsid w:val="00BA4FAE"/>
    <w:rsid w:val="00BB0002"/>
    <w:rsid w:val="00BB0EA2"/>
    <w:rsid w:val="00BB1326"/>
    <w:rsid w:val="00BB3B9F"/>
    <w:rsid w:val="00BB4942"/>
    <w:rsid w:val="00BB56FC"/>
    <w:rsid w:val="00BB63E5"/>
    <w:rsid w:val="00BC03D7"/>
    <w:rsid w:val="00BC0482"/>
    <w:rsid w:val="00BC1704"/>
    <w:rsid w:val="00BC46F2"/>
    <w:rsid w:val="00BD04F2"/>
    <w:rsid w:val="00BD0566"/>
    <w:rsid w:val="00BD19A9"/>
    <w:rsid w:val="00BD693B"/>
    <w:rsid w:val="00BD7080"/>
    <w:rsid w:val="00BD73F8"/>
    <w:rsid w:val="00BE02A4"/>
    <w:rsid w:val="00BE05A7"/>
    <w:rsid w:val="00BE1DFD"/>
    <w:rsid w:val="00BE2444"/>
    <w:rsid w:val="00BE3364"/>
    <w:rsid w:val="00BE70BC"/>
    <w:rsid w:val="00BF012C"/>
    <w:rsid w:val="00BF1A0B"/>
    <w:rsid w:val="00BF262F"/>
    <w:rsid w:val="00BF3442"/>
    <w:rsid w:val="00BF4B87"/>
    <w:rsid w:val="00BF539B"/>
    <w:rsid w:val="00BF678A"/>
    <w:rsid w:val="00BF67BA"/>
    <w:rsid w:val="00BF6E2E"/>
    <w:rsid w:val="00C0229D"/>
    <w:rsid w:val="00C056FF"/>
    <w:rsid w:val="00C062EB"/>
    <w:rsid w:val="00C066B1"/>
    <w:rsid w:val="00C07B67"/>
    <w:rsid w:val="00C07E78"/>
    <w:rsid w:val="00C119B7"/>
    <w:rsid w:val="00C123BD"/>
    <w:rsid w:val="00C146E3"/>
    <w:rsid w:val="00C17B52"/>
    <w:rsid w:val="00C22E0E"/>
    <w:rsid w:val="00C23131"/>
    <w:rsid w:val="00C23879"/>
    <w:rsid w:val="00C23A83"/>
    <w:rsid w:val="00C23B34"/>
    <w:rsid w:val="00C24A47"/>
    <w:rsid w:val="00C263A6"/>
    <w:rsid w:val="00C26ECA"/>
    <w:rsid w:val="00C27DD0"/>
    <w:rsid w:val="00C3120E"/>
    <w:rsid w:val="00C32627"/>
    <w:rsid w:val="00C3286D"/>
    <w:rsid w:val="00C3699A"/>
    <w:rsid w:val="00C370FE"/>
    <w:rsid w:val="00C421D4"/>
    <w:rsid w:val="00C43C26"/>
    <w:rsid w:val="00C45218"/>
    <w:rsid w:val="00C46406"/>
    <w:rsid w:val="00C4732B"/>
    <w:rsid w:val="00C50168"/>
    <w:rsid w:val="00C50B14"/>
    <w:rsid w:val="00C519C4"/>
    <w:rsid w:val="00C560FD"/>
    <w:rsid w:val="00C577F6"/>
    <w:rsid w:val="00C623CB"/>
    <w:rsid w:val="00C630D2"/>
    <w:rsid w:val="00C642A6"/>
    <w:rsid w:val="00C64FC3"/>
    <w:rsid w:val="00C67A38"/>
    <w:rsid w:val="00C67FD5"/>
    <w:rsid w:val="00C70592"/>
    <w:rsid w:val="00C70CD3"/>
    <w:rsid w:val="00C72E8E"/>
    <w:rsid w:val="00C741B1"/>
    <w:rsid w:val="00C74937"/>
    <w:rsid w:val="00C74D13"/>
    <w:rsid w:val="00C7697F"/>
    <w:rsid w:val="00C806A1"/>
    <w:rsid w:val="00C84752"/>
    <w:rsid w:val="00C86B22"/>
    <w:rsid w:val="00C86D2D"/>
    <w:rsid w:val="00C900E8"/>
    <w:rsid w:val="00C901F7"/>
    <w:rsid w:val="00C9042B"/>
    <w:rsid w:val="00C90482"/>
    <w:rsid w:val="00C90A41"/>
    <w:rsid w:val="00C924DE"/>
    <w:rsid w:val="00C92BD4"/>
    <w:rsid w:val="00C94449"/>
    <w:rsid w:val="00C94596"/>
    <w:rsid w:val="00C9476C"/>
    <w:rsid w:val="00C94FB6"/>
    <w:rsid w:val="00CA37EA"/>
    <w:rsid w:val="00CA46BC"/>
    <w:rsid w:val="00CA5DF6"/>
    <w:rsid w:val="00CB078E"/>
    <w:rsid w:val="00CB0E15"/>
    <w:rsid w:val="00CB1CEB"/>
    <w:rsid w:val="00CB20CE"/>
    <w:rsid w:val="00CB2262"/>
    <w:rsid w:val="00CB2663"/>
    <w:rsid w:val="00CB42B5"/>
    <w:rsid w:val="00CB4A6D"/>
    <w:rsid w:val="00CB4FED"/>
    <w:rsid w:val="00CB54ED"/>
    <w:rsid w:val="00CB6A6C"/>
    <w:rsid w:val="00CC1925"/>
    <w:rsid w:val="00CC3971"/>
    <w:rsid w:val="00CC4593"/>
    <w:rsid w:val="00CC4805"/>
    <w:rsid w:val="00CC49AC"/>
    <w:rsid w:val="00CC6503"/>
    <w:rsid w:val="00CC69E7"/>
    <w:rsid w:val="00CC69F5"/>
    <w:rsid w:val="00CC7323"/>
    <w:rsid w:val="00CD3913"/>
    <w:rsid w:val="00CD5F30"/>
    <w:rsid w:val="00CD7225"/>
    <w:rsid w:val="00CD7AEC"/>
    <w:rsid w:val="00CD7C93"/>
    <w:rsid w:val="00CE1EBF"/>
    <w:rsid w:val="00CE21BB"/>
    <w:rsid w:val="00CE2701"/>
    <w:rsid w:val="00CE2FA7"/>
    <w:rsid w:val="00CE4EE8"/>
    <w:rsid w:val="00CE60CC"/>
    <w:rsid w:val="00CE75C1"/>
    <w:rsid w:val="00CF04E0"/>
    <w:rsid w:val="00CF0D09"/>
    <w:rsid w:val="00CF13D9"/>
    <w:rsid w:val="00CF186E"/>
    <w:rsid w:val="00CF1A02"/>
    <w:rsid w:val="00CF334F"/>
    <w:rsid w:val="00CF39FA"/>
    <w:rsid w:val="00CF3B19"/>
    <w:rsid w:val="00CF5FDE"/>
    <w:rsid w:val="00D0048F"/>
    <w:rsid w:val="00D02834"/>
    <w:rsid w:val="00D04D8D"/>
    <w:rsid w:val="00D0631B"/>
    <w:rsid w:val="00D0773E"/>
    <w:rsid w:val="00D1049C"/>
    <w:rsid w:val="00D11BAD"/>
    <w:rsid w:val="00D12D11"/>
    <w:rsid w:val="00D13729"/>
    <w:rsid w:val="00D1422D"/>
    <w:rsid w:val="00D1654A"/>
    <w:rsid w:val="00D17D61"/>
    <w:rsid w:val="00D2118D"/>
    <w:rsid w:val="00D219CD"/>
    <w:rsid w:val="00D2499A"/>
    <w:rsid w:val="00D25FDC"/>
    <w:rsid w:val="00D31779"/>
    <w:rsid w:val="00D32ACB"/>
    <w:rsid w:val="00D32D20"/>
    <w:rsid w:val="00D32D27"/>
    <w:rsid w:val="00D33308"/>
    <w:rsid w:val="00D36C63"/>
    <w:rsid w:val="00D40459"/>
    <w:rsid w:val="00D42F80"/>
    <w:rsid w:val="00D43ADE"/>
    <w:rsid w:val="00D44191"/>
    <w:rsid w:val="00D44AC8"/>
    <w:rsid w:val="00D459F5"/>
    <w:rsid w:val="00D475E3"/>
    <w:rsid w:val="00D47804"/>
    <w:rsid w:val="00D502B5"/>
    <w:rsid w:val="00D511CF"/>
    <w:rsid w:val="00D51635"/>
    <w:rsid w:val="00D54B7B"/>
    <w:rsid w:val="00D54D0F"/>
    <w:rsid w:val="00D60FF7"/>
    <w:rsid w:val="00D63197"/>
    <w:rsid w:val="00D63CB7"/>
    <w:rsid w:val="00D66296"/>
    <w:rsid w:val="00D66C35"/>
    <w:rsid w:val="00D6791D"/>
    <w:rsid w:val="00D71190"/>
    <w:rsid w:val="00D74200"/>
    <w:rsid w:val="00D74B40"/>
    <w:rsid w:val="00D755F7"/>
    <w:rsid w:val="00D80A31"/>
    <w:rsid w:val="00D8149E"/>
    <w:rsid w:val="00D85ECD"/>
    <w:rsid w:val="00D87AFB"/>
    <w:rsid w:val="00D87F26"/>
    <w:rsid w:val="00D90BB2"/>
    <w:rsid w:val="00D90EAD"/>
    <w:rsid w:val="00D9100C"/>
    <w:rsid w:val="00D95D9A"/>
    <w:rsid w:val="00D9672F"/>
    <w:rsid w:val="00D96D09"/>
    <w:rsid w:val="00D9735C"/>
    <w:rsid w:val="00D97F2F"/>
    <w:rsid w:val="00DA2538"/>
    <w:rsid w:val="00DA27C6"/>
    <w:rsid w:val="00DA2EE5"/>
    <w:rsid w:val="00DA31B2"/>
    <w:rsid w:val="00DA33C4"/>
    <w:rsid w:val="00DA5724"/>
    <w:rsid w:val="00DA6D02"/>
    <w:rsid w:val="00DB1D25"/>
    <w:rsid w:val="00DB3339"/>
    <w:rsid w:val="00DB4707"/>
    <w:rsid w:val="00DB4BFE"/>
    <w:rsid w:val="00DB5DDB"/>
    <w:rsid w:val="00DB6B2E"/>
    <w:rsid w:val="00DB6BAA"/>
    <w:rsid w:val="00DB7A85"/>
    <w:rsid w:val="00DC1325"/>
    <w:rsid w:val="00DC17D4"/>
    <w:rsid w:val="00DC1E87"/>
    <w:rsid w:val="00DC217A"/>
    <w:rsid w:val="00DC417B"/>
    <w:rsid w:val="00DD111E"/>
    <w:rsid w:val="00DD4A94"/>
    <w:rsid w:val="00DD6DCE"/>
    <w:rsid w:val="00DD71BF"/>
    <w:rsid w:val="00DD7A96"/>
    <w:rsid w:val="00DE4E99"/>
    <w:rsid w:val="00DE6FCD"/>
    <w:rsid w:val="00DE7ECF"/>
    <w:rsid w:val="00DF088E"/>
    <w:rsid w:val="00DF124B"/>
    <w:rsid w:val="00DF1A83"/>
    <w:rsid w:val="00DF2B81"/>
    <w:rsid w:val="00DF3B34"/>
    <w:rsid w:val="00DF62AC"/>
    <w:rsid w:val="00DF67C4"/>
    <w:rsid w:val="00E00B43"/>
    <w:rsid w:val="00E021CF"/>
    <w:rsid w:val="00E026A4"/>
    <w:rsid w:val="00E06A87"/>
    <w:rsid w:val="00E1011F"/>
    <w:rsid w:val="00E109B8"/>
    <w:rsid w:val="00E11BC9"/>
    <w:rsid w:val="00E12079"/>
    <w:rsid w:val="00E126A9"/>
    <w:rsid w:val="00E14E35"/>
    <w:rsid w:val="00E14E58"/>
    <w:rsid w:val="00E1562C"/>
    <w:rsid w:val="00E16A43"/>
    <w:rsid w:val="00E17434"/>
    <w:rsid w:val="00E17858"/>
    <w:rsid w:val="00E1789D"/>
    <w:rsid w:val="00E178F9"/>
    <w:rsid w:val="00E17E76"/>
    <w:rsid w:val="00E2005B"/>
    <w:rsid w:val="00E22F39"/>
    <w:rsid w:val="00E23722"/>
    <w:rsid w:val="00E2663D"/>
    <w:rsid w:val="00E311E4"/>
    <w:rsid w:val="00E3146E"/>
    <w:rsid w:val="00E31F06"/>
    <w:rsid w:val="00E32531"/>
    <w:rsid w:val="00E332A9"/>
    <w:rsid w:val="00E33FEA"/>
    <w:rsid w:val="00E342E3"/>
    <w:rsid w:val="00E346A7"/>
    <w:rsid w:val="00E4381D"/>
    <w:rsid w:val="00E43CB1"/>
    <w:rsid w:val="00E44DCB"/>
    <w:rsid w:val="00E458C8"/>
    <w:rsid w:val="00E47A08"/>
    <w:rsid w:val="00E52B48"/>
    <w:rsid w:val="00E5512E"/>
    <w:rsid w:val="00E55270"/>
    <w:rsid w:val="00E55843"/>
    <w:rsid w:val="00E610C0"/>
    <w:rsid w:val="00E61C0A"/>
    <w:rsid w:val="00E6244A"/>
    <w:rsid w:val="00E655DC"/>
    <w:rsid w:val="00E65F44"/>
    <w:rsid w:val="00E67EC8"/>
    <w:rsid w:val="00E710AF"/>
    <w:rsid w:val="00E72295"/>
    <w:rsid w:val="00E76597"/>
    <w:rsid w:val="00E83930"/>
    <w:rsid w:val="00E83E73"/>
    <w:rsid w:val="00E85EDE"/>
    <w:rsid w:val="00E90597"/>
    <w:rsid w:val="00E91A25"/>
    <w:rsid w:val="00E92BAC"/>
    <w:rsid w:val="00E94702"/>
    <w:rsid w:val="00E948B3"/>
    <w:rsid w:val="00EA1814"/>
    <w:rsid w:val="00EA26F4"/>
    <w:rsid w:val="00EA36E4"/>
    <w:rsid w:val="00EA3DF3"/>
    <w:rsid w:val="00EA41AF"/>
    <w:rsid w:val="00EA6A22"/>
    <w:rsid w:val="00EB1636"/>
    <w:rsid w:val="00EB28FB"/>
    <w:rsid w:val="00EC088B"/>
    <w:rsid w:val="00EC11D1"/>
    <w:rsid w:val="00EC1475"/>
    <w:rsid w:val="00EC3A80"/>
    <w:rsid w:val="00EC5C57"/>
    <w:rsid w:val="00EC757E"/>
    <w:rsid w:val="00ED17B1"/>
    <w:rsid w:val="00ED654C"/>
    <w:rsid w:val="00ED6714"/>
    <w:rsid w:val="00ED7835"/>
    <w:rsid w:val="00EE213A"/>
    <w:rsid w:val="00EE25A9"/>
    <w:rsid w:val="00EE2F8E"/>
    <w:rsid w:val="00EE38E5"/>
    <w:rsid w:val="00EE3BF6"/>
    <w:rsid w:val="00EE42AF"/>
    <w:rsid w:val="00EE4C5B"/>
    <w:rsid w:val="00EF092F"/>
    <w:rsid w:val="00EF686E"/>
    <w:rsid w:val="00EF6AD8"/>
    <w:rsid w:val="00EF6F0B"/>
    <w:rsid w:val="00F004DD"/>
    <w:rsid w:val="00F00F10"/>
    <w:rsid w:val="00F0118C"/>
    <w:rsid w:val="00F017AD"/>
    <w:rsid w:val="00F03F8A"/>
    <w:rsid w:val="00F055DE"/>
    <w:rsid w:val="00F06160"/>
    <w:rsid w:val="00F0740D"/>
    <w:rsid w:val="00F10E6A"/>
    <w:rsid w:val="00F112D8"/>
    <w:rsid w:val="00F13F79"/>
    <w:rsid w:val="00F16422"/>
    <w:rsid w:val="00F17CB3"/>
    <w:rsid w:val="00F2016C"/>
    <w:rsid w:val="00F20891"/>
    <w:rsid w:val="00F20D18"/>
    <w:rsid w:val="00F215D7"/>
    <w:rsid w:val="00F21E91"/>
    <w:rsid w:val="00F22F32"/>
    <w:rsid w:val="00F24413"/>
    <w:rsid w:val="00F25814"/>
    <w:rsid w:val="00F2633F"/>
    <w:rsid w:val="00F27044"/>
    <w:rsid w:val="00F278E9"/>
    <w:rsid w:val="00F3000F"/>
    <w:rsid w:val="00F31D0A"/>
    <w:rsid w:val="00F3204B"/>
    <w:rsid w:val="00F344A0"/>
    <w:rsid w:val="00F3524A"/>
    <w:rsid w:val="00F354C1"/>
    <w:rsid w:val="00F36A30"/>
    <w:rsid w:val="00F4081D"/>
    <w:rsid w:val="00F4195D"/>
    <w:rsid w:val="00F41C33"/>
    <w:rsid w:val="00F41F90"/>
    <w:rsid w:val="00F42BFC"/>
    <w:rsid w:val="00F4363B"/>
    <w:rsid w:val="00F46772"/>
    <w:rsid w:val="00F468CE"/>
    <w:rsid w:val="00F504E0"/>
    <w:rsid w:val="00F505A5"/>
    <w:rsid w:val="00F51737"/>
    <w:rsid w:val="00F5588D"/>
    <w:rsid w:val="00F55C65"/>
    <w:rsid w:val="00F56B92"/>
    <w:rsid w:val="00F63494"/>
    <w:rsid w:val="00F63923"/>
    <w:rsid w:val="00F6430E"/>
    <w:rsid w:val="00F66566"/>
    <w:rsid w:val="00F703A2"/>
    <w:rsid w:val="00F70735"/>
    <w:rsid w:val="00F71E19"/>
    <w:rsid w:val="00F72C5F"/>
    <w:rsid w:val="00F7308E"/>
    <w:rsid w:val="00F75281"/>
    <w:rsid w:val="00F756E3"/>
    <w:rsid w:val="00F7705A"/>
    <w:rsid w:val="00F775DD"/>
    <w:rsid w:val="00F7762E"/>
    <w:rsid w:val="00F777E2"/>
    <w:rsid w:val="00F82A35"/>
    <w:rsid w:val="00F83E29"/>
    <w:rsid w:val="00F84F2C"/>
    <w:rsid w:val="00F860D0"/>
    <w:rsid w:val="00F96431"/>
    <w:rsid w:val="00F96C6C"/>
    <w:rsid w:val="00F977E8"/>
    <w:rsid w:val="00FA0182"/>
    <w:rsid w:val="00FA0AF1"/>
    <w:rsid w:val="00FA0B20"/>
    <w:rsid w:val="00FA291C"/>
    <w:rsid w:val="00FA2B0D"/>
    <w:rsid w:val="00FA5BC0"/>
    <w:rsid w:val="00FA6035"/>
    <w:rsid w:val="00FA6E9A"/>
    <w:rsid w:val="00FB07C7"/>
    <w:rsid w:val="00FB0C8F"/>
    <w:rsid w:val="00FB222C"/>
    <w:rsid w:val="00FB2E84"/>
    <w:rsid w:val="00FB3B90"/>
    <w:rsid w:val="00FB40D8"/>
    <w:rsid w:val="00FC054F"/>
    <w:rsid w:val="00FC2EFA"/>
    <w:rsid w:val="00FC499B"/>
    <w:rsid w:val="00FC5450"/>
    <w:rsid w:val="00FC7A81"/>
    <w:rsid w:val="00FD1260"/>
    <w:rsid w:val="00FD166F"/>
    <w:rsid w:val="00FD17F7"/>
    <w:rsid w:val="00FD219C"/>
    <w:rsid w:val="00FD281C"/>
    <w:rsid w:val="00FD40E2"/>
    <w:rsid w:val="00FD4832"/>
    <w:rsid w:val="00FD4F51"/>
    <w:rsid w:val="00FE03B8"/>
    <w:rsid w:val="00FE1784"/>
    <w:rsid w:val="00FE4DD7"/>
    <w:rsid w:val="00FE68B7"/>
    <w:rsid w:val="00FE7B98"/>
    <w:rsid w:val="00FF1694"/>
    <w:rsid w:val="00FF2BB9"/>
    <w:rsid w:val="00FF408D"/>
    <w:rsid w:val="00FF4644"/>
    <w:rsid w:val="00FF48F9"/>
    <w:rsid w:val="00FF514B"/>
    <w:rsid w:val="00FF6E76"/>
    <w:rsid w:val="00FF7D0C"/>
    <w:rsid w:val="010D6F3E"/>
    <w:rsid w:val="011E8969"/>
    <w:rsid w:val="01275CAC"/>
    <w:rsid w:val="013629A5"/>
    <w:rsid w:val="014F24A4"/>
    <w:rsid w:val="014FF426"/>
    <w:rsid w:val="016C7AE2"/>
    <w:rsid w:val="0180993D"/>
    <w:rsid w:val="01EF15B8"/>
    <w:rsid w:val="02286AC5"/>
    <w:rsid w:val="024C164F"/>
    <w:rsid w:val="028A063C"/>
    <w:rsid w:val="029CA1E8"/>
    <w:rsid w:val="02A140EC"/>
    <w:rsid w:val="02E8D3AC"/>
    <w:rsid w:val="03086AD3"/>
    <w:rsid w:val="0380155A"/>
    <w:rsid w:val="0392EAA3"/>
    <w:rsid w:val="03CB4D44"/>
    <w:rsid w:val="03FC4043"/>
    <w:rsid w:val="0415F143"/>
    <w:rsid w:val="044D45F2"/>
    <w:rsid w:val="04589A6C"/>
    <w:rsid w:val="04806F23"/>
    <w:rsid w:val="048E5CBD"/>
    <w:rsid w:val="04B016E1"/>
    <w:rsid w:val="04C40F1A"/>
    <w:rsid w:val="04E07538"/>
    <w:rsid w:val="04E117A3"/>
    <w:rsid w:val="04E17686"/>
    <w:rsid w:val="05163932"/>
    <w:rsid w:val="0530271A"/>
    <w:rsid w:val="05357F6B"/>
    <w:rsid w:val="05555266"/>
    <w:rsid w:val="0560706F"/>
    <w:rsid w:val="05931D61"/>
    <w:rsid w:val="05A554E7"/>
    <w:rsid w:val="05BF0396"/>
    <w:rsid w:val="05DB0CB4"/>
    <w:rsid w:val="05EA0690"/>
    <w:rsid w:val="05EB67BB"/>
    <w:rsid w:val="06241C2E"/>
    <w:rsid w:val="063579DD"/>
    <w:rsid w:val="06444C20"/>
    <w:rsid w:val="064E590D"/>
    <w:rsid w:val="06585F0D"/>
    <w:rsid w:val="06ACD756"/>
    <w:rsid w:val="06B0421B"/>
    <w:rsid w:val="06FD3B77"/>
    <w:rsid w:val="0719239D"/>
    <w:rsid w:val="07485C86"/>
    <w:rsid w:val="075069AC"/>
    <w:rsid w:val="07BCDE2E"/>
    <w:rsid w:val="07C85911"/>
    <w:rsid w:val="08566235"/>
    <w:rsid w:val="08B99ABE"/>
    <w:rsid w:val="08D127E0"/>
    <w:rsid w:val="092516FE"/>
    <w:rsid w:val="093158C8"/>
    <w:rsid w:val="095E4720"/>
    <w:rsid w:val="096E338F"/>
    <w:rsid w:val="0998574A"/>
    <w:rsid w:val="09BA4B54"/>
    <w:rsid w:val="09CC9BF8"/>
    <w:rsid w:val="0A514815"/>
    <w:rsid w:val="0A951882"/>
    <w:rsid w:val="0A980C7D"/>
    <w:rsid w:val="0A9B85E0"/>
    <w:rsid w:val="0AC1B991"/>
    <w:rsid w:val="0B016828"/>
    <w:rsid w:val="0B06AE49"/>
    <w:rsid w:val="0B093509"/>
    <w:rsid w:val="0BA9A20D"/>
    <w:rsid w:val="0C43364E"/>
    <w:rsid w:val="0C4A6F2D"/>
    <w:rsid w:val="0C72607F"/>
    <w:rsid w:val="0C8F7AED"/>
    <w:rsid w:val="0CAC7947"/>
    <w:rsid w:val="0CC77FD1"/>
    <w:rsid w:val="0D207295"/>
    <w:rsid w:val="0D2C6894"/>
    <w:rsid w:val="0DB5033E"/>
    <w:rsid w:val="0DB55AB9"/>
    <w:rsid w:val="0DBE51E9"/>
    <w:rsid w:val="0DD9243E"/>
    <w:rsid w:val="0E9E3FB3"/>
    <w:rsid w:val="0E9F450F"/>
    <w:rsid w:val="0EED79A8"/>
    <w:rsid w:val="0EF55DFB"/>
    <w:rsid w:val="0F0953F7"/>
    <w:rsid w:val="0F3E1AFA"/>
    <w:rsid w:val="0F4461EF"/>
    <w:rsid w:val="0F8C79E3"/>
    <w:rsid w:val="0F910E68"/>
    <w:rsid w:val="0F9D214D"/>
    <w:rsid w:val="0FC7059E"/>
    <w:rsid w:val="1008DFA3"/>
    <w:rsid w:val="100F399F"/>
    <w:rsid w:val="10B06A92"/>
    <w:rsid w:val="10B709A2"/>
    <w:rsid w:val="11641669"/>
    <w:rsid w:val="117D403E"/>
    <w:rsid w:val="1196716D"/>
    <w:rsid w:val="11A61B83"/>
    <w:rsid w:val="11B8C765"/>
    <w:rsid w:val="11D212D4"/>
    <w:rsid w:val="12235A71"/>
    <w:rsid w:val="123BFD3E"/>
    <w:rsid w:val="126360FB"/>
    <w:rsid w:val="12690DF3"/>
    <w:rsid w:val="12765298"/>
    <w:rsid w:val="12956BF0"/>
    <w:rsid w:val="12AD2314"/>
    <w:rsid w:val="12AF620F"/>
    <w:rsid w:val="12B5E007"/>
    <w:rsid w:val="12F76BEB"/>
    <w:rsid w:val="12FB6C33"/>
    <w:rsid w:val="13591EB9"/>
    <w:rsid w:val="13BB96D1"/>
    <w:rsid w:val="140E3FF2"/>
    <w:rsid w:val="14446D3E"/>
    <w:rsid w:val="14974984"/>
    <w:rsid w:val="158B1E06"/>
    <w:rsid w:val="15B20C64"/>
    <w:rsid w:val="15BA13F7"/>
    <w:rsid w:val="15DF2BD6"/>
    <w:rsid w:val="15EB1279"/>
    <w:rsid w:val="15F354A3"/>
    <w:rsid w:val="16017EDF"/>
    <w:rsid w:val="16A3C7DC"/>
    <w:rsid w:val="16A772C5"/>
    <w:rsid w:val="16B63671"/>
    <w:rsid w:val="1703304A"/>
    <w:rsid w:val="17440822"/>
    <w:rsid w:val="177436B6"/>
    <w:rsid w:val="17BD298B"/>
    <w:rsid w:val="17DC01E7"/>
    <w:rsid w:val="17DE0354"/>
    <w:rsid w:val="18222E75"/>
    <w:rsid w:val="18292B27"/>
    <w:rsid w:val="187E84E6"/>
    <w:rsid w:val="18CF4A83"/>
    <w:rsid w:val="18EC1A03"/>
    <w:rsid w:val="191D4B13"/>
    <w:rsid w:val="192F2087"/>
    <w:rsid w:val="196721AC"/>
    <w:rsid w:val="1976092D"/>
    <w:rsid w:val="19A42062"/>
    <w:rsid w:val="19C943DC"/>
    <w:rsid w:val="19F83EBE"/>
    <w:rsid w:val="1A0066A2"/>
    <w:rsid w:val="1A1C4E30"/>
    <w:rsid w:val="1A305BE5"/>
    <w:rsid w:val="1A3C03FE"/>
    <w:rsid w:val="1A427F20"/>
    <w:rsid w:val="1A665B4C"/>
    <w:rsid w:val="1A8B2338"/>
    <w:rsid w:val="1AB39D0E"/>
    <w:rsid w:val="1AD56EBD"/>
    <w:rsid w:val="1AFF7912"/>
    <w:rsid w:val="1B077F5C"/>
    <w:rsid w:val="1B30CD5B"/>
    <w:rsid w:val="1B3C1215"/>
    <w:rsid w:val="1C1E37D5"/>
    <w:rsid w:val="1C440A1B"/>
    <w:rsid w:val="1C47336B"/>
    <w:rsid w:val="1C4A70DD"/>
    <w:rsid w:val="1C8C1BF5"/>
    <w:rsid w:val="1CB46907"/>
    <w:rsid w:val="1CBB3493"/>
    <w:rsid w:val="1D174307"/>
    <w:rsid w:val="1D3F7654"/>
    <w:rsid w:val="1D9011CD"/>
    <w:rsid w:val="1DCA11DF"/>
    <w:rsid w:val="1E5833F7"/>
    <w:rsid w:val="1E75A5B8"/>
    <w:rsid w:val="1E7F01C1"/>
    <w:rsid w:val="1EF84472"/>
    <w:rsid w:val="1F25E309"/>
    <w:rsid w:val="1F2A5730"/>
    <w:rsid w:val="1F4706C3"/>
    <w:rsid w:val="1FEC0DC8"/>
    <w:rsid w:val="20132FE2"/>
    <w:rsid w:val="201DE2DB"/>
    <w:rsid w:val="20561096"/>
    <w:rsid w:val="20563C79"/>
    <w:rsid w:val="20902661"/>
    <w:rsid w:val="20D1729E"/>
    <w:rsid w:val="20E67A34"/>
    <w:rsid w:val="20E8BA20"/>
    <w:rsid w:val="2131C1AC"/>
    <w:rsid w:val="21561E30"/>
    <w:rsid w:val="219C3C7A"/>
    <w:rsid w:val="21FC7C7E"/>
    <w:rsid w:val="22432FD4"/>
    <w:rsid w:val="22622ECA"/>
    <w:rsid w:val="226B40F6"/>
    <w:rsid w:val="22953759"/>
    <w:rsid w:val="22C53B55"/>
    <w:rsid w:val="22DB5488"/>
    <w:rsid w:val="22E651DD"/>
    <w:rsid w:val="22F34E51"/>
    <w:rsid w:val="22F56440"/>
    <w:rsid w:val="23063A09"/>
    <w:rsid w:val="23345A8D"/>
    <w:rsid w:val="2342B545"/>
    <w:rsid w:val="2352B970"/>
    <w:rsid w:val="2370127F"/>
    <w:rsid w:val="23739895"/>
    <w:rsid w:val="238DBE7E"/>
    <w:rsid w:val="2409042B"/>
    <w:rsid w:val="247C38F6"/>
    <w:rsid w:val="247F6F37"/>
    <w:rsid w:val="24B2A519"/>
    <w:rsid w:val="24DF2B65"/>
    <w:rsid w:val="2523485D"/>
    <w:rsid w:val="2534A2CB"/>
    <w:rsid w:val="25447736"/>
    <w:rsid w:val="25516A32"/>
    <w:rsid w:val="255B38A7"/>
    <w:rsid w:val="259148D3"/>
    <w:rsid w:val="25F47CA0"/>
    <w:rsid w:val="25F52AC9"/>
    <w:rsid w:val="2604358C"/>
    <w:rsid w:val="261C3909"/>
    <w:rsid w:val="26796232"/>
    <w:rsid w:val="267B0836"/>
    <w:rsid w:val="26887CF9"/>
    <w:rsid w:val="269933DE"/>
    <w:rsid w:val="269B1902"/>
    <w:rsid w:val="26BD324A"/>
    <w:rsid w:val="26E54436"/>
    <w:rsid w:val="26ED4103"/>
    <w:rsid w:val="26F22FFC"/>
    <w:rsid w:val="271741D6"/>
    <w:rsid w:val="274078D3"/>
    <w:rsid w:val="2745525D"/>
    <w:rsid w:val="277A3A6A"/>
    <w:rsid w:val="27C871C9"/>
    <w:rsid w:val="27F60460"/>
    <w:rsid w:val="28365058"/>
    <w:rsid w:val="28393D28"/>
    <w:rsid w:val="283A7C07"/>
    <w:rsid w:val="28C62029"/>
    <w:rsid w:val="28C95F48"/>
    <w:rsid w:val="28D22120"/>
    <w:rsid w:val="28F5F81D"/>
    <w:rsid w:val="28FA6A5D"/>
    <w:rsid w:val="2916433D"/>
    <w:rsid w:val="291A73F1"/>
    <w:rsid w:val="29271A2B"/>
    <w:rsid w:val="29CC6561"/>
    <w:rsid w:val="29E56595"/>
    <w:rsid w:val="29EB4644"/>
    <w:rsid w:val="29EF00D1"/>
    <w:rsid w:val="2A0E2B79"/>
    <w:rsid w:val="2A172328"/>
    <w:rsid w:val="2A7026F3"/>
    <w:rsid w:val="2A8360F9"/>
    <w:rsid w:val="2A96157C"/>
    <w:rsid w:val="2ABB7152"/>
    <w:rsid w:val="2B073965"/>
    <w:rsid w:val="2B0B2B48"/>
    <w:rsid w:val="2B2767AB"/>
    <w:rsid w:val="2B4236F8"/>
    <w:rsid w:val="2B44191D"/>
    <w:rsid w:val="2B507011"/>
    <w:rsid w:val="2B514A13"/>
    <w:rsid w:val="2B580BC8"/>
    <w:rsid w:val="2B607708"/>
    <w:rsid w:val="2BD220E6"/>
    <w:rsid w:val="2BD4541D"/>
    <w:rsid w:val="2C0E015F"/>
    <w:rsid w:val="2C383264"/>
    <w:rsid w:val="2C976AAF"/>
    <w:rsid w:val="2CAE3CE6"/>
    <w:rsid w:val="2CDD3A7D"/>
    <w:rsid w:val="2D116613"/>
    <w:rsid w:val="2D223103"/>
    <w:rsid w:val="2D521B8F"/>
    <w:rsid w:val="2D702E31"/>
    <w:rsid w:val="2D7D4F49"/>
    <w:rsid w:val="2D934038"/>
    <w:rsid w:val="2DC7EEAB"/>
    <w:rsid w:val="2DC9FB12"/>
    <w:rsid w:val="2DCE6204"/>
    <w:rsid w:val="2DDA5CB5"/>
    <w:rsid w:val="2DFC6C8A"/>
    <w:rsid w:val="2E2D6C88"/>
    <w:rsid w:val="2E3E5ADA"/>
    <w:rsid w:val="2E5E0C59"/>
    <w:rsid w:val="2E6A74CA"/>
    <w:rsid w:val="2E743DF4"/>
    <w:rsid w:val="2EC05859"/>
    <w:rsid w:val="2F270406"/>
    <w:rsid w:val="2F5BC655"/>
    <w:rsid w:val="2F6830B4"/>
    <w:rsid w:val="2F940477"/>
    <w:rsid w:val="2FD74C1C"/>
    <w:rsid w:val="2FF13870"/>
    <w:rsid w:val="30155F3F"/>
    <w:rsid w:val="303076BA"/>
    <w:rsid w:val="30464F43"/>
    <w:rsid w:val="30672DCD"/>
    <w:rsid w:val="308265CD"/>
    <w:rsid w:val="309C2224"/>
    <w:rsid w:val="30B9D446"/>
    <w:rsid w:val="30DE38D7"/>
    <w:rsid w:val="30F1358C"/>
    <w:rsid w:val="314B4DAA"/>
    <w:rsid w:val="31651FFA"/>
    <w:rsid w:val="31723B02"/>
    <w:rsid w:val="31B65FB0"/>
    <w:rsid w:val="321355A6"/>
    <w:rsid w:val="32AAFDE6"/>
    <w:rsid w:val="32C8784F"/>
    <w:rsid w:val="32CD4CFB"/>
    <w:rsid w:val="32D43BA8"/>
    <w:rsid w:val="32DA503A"/>
    <w:rsid w:val="32EB4339"/>
    <w:rsid w:val="32FA0CFC"/>
    <w:rsid w:val="32FE1669"/>
    <w:rsid w:val="33630CEF"/>
    <w:rsid w:val="336E6E29"/>
    <w:rsid w:val="338372B9"/>
    <w:rsid w:val="33B14A64"/>
    <w:rsid w:val="33B57A5F"/>
    <w:rsid w:val="33BB5BC2"/>
    <w:rsid w:val="34333052"/>
    <w:rsid w:val="343F6EFD"/>
    <w:rsid w:val="3444EC2B"/>
    <w:rsid w:val="345E6166"/>
    <w:rsid w:val="3464CDC1"/>
    <w:rsid w:val="347A1E0C"/>
    <w:rsid w:val="347B1D6D"/>
    <w:rsid w:val="34AE7623"/>
    <w:rsid w:val="34B72D1C"/>
    <w:rsid w:val="35012D5D"/>
    <w:rsid w:val="350B7273"/>
    <w:rsid w:val="358A2A1C"/>
    <w:rsid w:val="358CE1B2"/>
    <w:rsid w:val="35F874B6"/>
    <w:rsid w:val="362CC84A"/>
    <w:rsid w:val="362D11E6"/>
    <w:rsid w:val="363E20B1"/>
    <w:rsid w:val="365FC1FE"/>
    <w:rsid w:val="369A722F"/>
    <w:rsid w:val="36CDA26A"/>
    <w:rsid w:val="36F65436"/>
    <w:rsid w:val="36FE5809"/>
    <w:rsid w:val="37067784"/>
    <w:rsid w:val="37A04FC3"/>
    <w:rsid w:val="37A91D64"/>
    <w:rsid w:val="37C31538"/>
    <w:rsid w:val="37F3059F"/>
    <w:rsid w:val="383D18FC"/>
    <w:rsid w:val="3889A3E1"/>
    <w:rsid w:val="389A77E7"/>
    <w:rsid w:val="38F00223"/>
    <w:rsid w:val="38F2614E"/>
    <w:rsid w:val="38F67C76"/>
    <w:rsid w:val="39069BA8"/>
    <w:rsid w:val="396730C1"/>
    <w:rsid w:val="39A409D9"/>
    <w:rsid w:val="39AE060B"/>
    <w:rsid w:val="39D61581"/>
    <w:rsid w:val="3A0E7E51"/>
    <w:rsid w:val="3A20CA0F"/>
    <w:rsid w:val="3A58601E"/>
    <w:rsid w:val="3A6058D6"/>
    <w:rsid w:val="3A6CE34F"/>
    <w:rsid w:val="3A7F3A67"/>
    <w:rsid w:val="3ABC7AB1"/>
    <w:rsid w:val="3AED3A1E"/>
    <w:rsid w:val="3AEF8BC1"/>
    <w:rsid w:val="3AF55A77"/>
    <w:rsid w:val="3B034621"/>
    <w:rsid w:val="3B0F6F35"/>
    <w:rsid w:val="3B736697"/>
    <w:rsid w:val="3B839F14"/>
    <w:rsid w:val="3BB31AB5"/>
    <w:rsid w:val="3BD97E78"/>
    <w:rsid w:val="3C0A51FD"/>
    <w:rsid w:val="3C3C5CF5"/>
    <w:rsid w:val="3C5939AE"/>
    <w:rsid w:val="3CFC53FE"/>
    <w:rsid w:val="3D0C3095"/>
    <w:rsid w:val="3D4011E5"/>
    <w:rsid w:val="3D5F4C75"/>
    <w:rsid w:val="3D715BB8"/>
    <w:rsid w:val="3DA40FEC"/>
    <w:rsid w:val="3DC5130F"/>
    <w:rsid w:val="3E1944EB"/>
    <w:rsid w:val="3E25B144"/>
    <w:rsid w:val="3E583561"/>
    <w:rsid w:val="3E586961"/>
    <w:rsid w:val="3EB35388"/>
    <w:rsid w:val="3EB53A8D"/>
    <w:rsid w:val="3EC647CA"/>
    <w:rsid w:val="3EE52BE6"/>
    <w:rsid w:val="3F36F492"/>
    <w:rsid w:val="3FA7319D"/>
    <w:rsid w:val="3FEB1E9A"/>
    <w:rsid w:val="403A49D1"/>
    <w:rsid w:val="4083D64C"/>
    <w:rsid w:val="40866A85"/>
    <w:rsid w:val="40B91CB2"/>
    <w:rsid w:val="414415E0"/>
    <w:rsid w:val="415F31C6"/>
    <w:rsid w:val="41AC7531"/>
    <w:rsid w:val="41C31B33"/>
    <w:rsid w:val="42092ACF"/>
    <w:rsid w:val="422B5A9B"/>
    <w:rsid w:val="425B6C9B"/>
    <w:rsid w:val="426042E3"/>
    <w:rsid w:val="42AC1908"/>
    <w:rsid w:val="43290341"/>
    <w:rsid w:val="43C54527"/>
    <w:rsid w:val="43F40BD0"/>
    <w:rsid w:val="4419A09A"/>
    <w:rsid w:val="44201963"/>
    <w:rsid w:val="442B8CA7"/>
    <w:rsid w:val="44455BB7"/>
    <w:rsid w:val="448E65D0"/>
    <w:rsid w:val="4491232C"/>
    <w:rsid w:val="44B14D53"/>
    <w:rsid w:val="44E24B71"/>
    <w:rsid w:val="44F49885"/>
    <w:rsid w:val="456875EB"/>
    <w:rsid w:val="456D576A"/>
    <w:rsid w:val="457494DE"/>
    <w:rsid w:val="458783CA"/>
    <w:rsid w:val="4592305A"/>
    <w:rsid w:val="45A90C56"/>
    <w:rsid w:val="45E62A4E"/>
    <w:rsid w:val="45E6784A"/>
    <w:rsid w:val="462C5186"/>
    <w:rsid w:val="4650656A"/>
    <w:rsid w:val="46CB4775"/>
    <w:rsid w:val="46F11671"/>
    <w:rsid w:val="470052A1"/>
    <w:rsid w:val="47272A02"/>
    <w:rsid w:val="47E85775"/>
    <w:rsid w:val="47EF04E0"/>
    <w:rsid w:val="47F21DB8"/>
    <w:rsid w:val="488A38DB"/>
    <w:rsid w:val="488B0DB2"/>
    <w:rsid w:val="4923474B"/>
    <w:rsid w:val="494C75ED"/>
    <w:rsid w:val="497179F9"/>
    <w:rsid w:val="49B533DE"/>
    <w:rsid w:val="49F3593F"/>
    <w:rsid w:val="49F9FCCA"/>
    <w:rsid w:val="4A3003CC"/>
    <w:rsid w:val="4A7C2216"/>
    <w:rsid w:val="4A841142"/>
    <w:rsid w:val="4AAD665E"/>
    <w:rsid w:val="4ABC1F4E"/>
    <w:rsid w:val="4ADF4C33"/>
    <w:rsid w:val="4B115230"/>
    <w:rsid w:val="4B5B686F"/>
    <w:rsid w:val="4B8C5EAC"/>
    <w:rsid w:val="4B9F0C49"/>
    <w:rsid w:val="4BC27984"/>
    <w:rsid w:val="4C0F03E4"/>
    <w:rsid w:val="4C1C222F"/>
    <w:rsid w:val="4C47B8F1"/>
    <w:rsid w:val="4C78CA15"/>
    <w:rsid w:val="4CD67BCA"/>
    <w:rsid w:val="4CD8D064"/>
    <w:rsid w:val="4CD9AB94"/>
    <w:rsid w:val="4D057864"/>
    <w:rsid w:val="4D29780F"/>
    <w:rsid w:val="4D4F00A6"/>
    <w:rsid w:val="4D5329F7"/>
    <w:rsid w:val="4D63F14F"/>
    <w:rsid w:val="4D744610"/>
    <w:rsid w:val="4D7C7A88"/>
    <w:rsid w:val="4DA35D09"/>
    <w:rsid w:val="4DB45BE8"/>
    <w:rsid w:val="4DB79A3D"/>
    <w:rsid w:val="4DE020E2"/>
    <w:rsid w:val="4E1B0DFB"/>
    <w:rsid w:val="4E330192"/>
    <w:rsid w:val="4E526A91"/>
    <w:rsid w:val="4E8B4C8A"/>
    <w:rsid w:val="4E8B6E96"/>
    <w:rsid w:val="4E947583"/>
    <w:rsid w:val="4EEF2C09"/>
    <w:rsid w:val="4F439264"/>
    <w:rsid w:val="4F5DF33F"/>
    <w:rsid w:val="4F647B85"/>
    <w:rsid w:val="4F7619BB"/>
    <w:rsid w:val="4F7DBE22"/>
    <w:rsid w:val="4F821323"/>
    <w:rsid w:val="4FA016C3"/>
    <w:rsid w:val="4FD115F4"/>
    <w:rsid w:val="4FE91978"/>
    <w:rsid w:val="502F3C8D"/>
    <w:rsid w:val="505E407F"/>
    <w:rsid w:val="50BD7266"/>
    <w:rsid w:val="50D71F77"/>
    <w:rsid w:val="5111611D"/>
    <w:rsid w:val="514F53F3"/>
    <w:rsid w:val="518856A0"/>
    <w:rsid w:val="518E97F7"/>
    <w:rsid w:val="51C75038"/>
    <w:rsid w:val="51C96DD6"/>
    <w:rsid w:val="51DC3CE6"/>
    <w:rsid w:val="51DF2696"/>
    <w:rsid w:val="523138B3"/>
    <w:rsid w:val="52540369"/>
    <w:rsid w:val="5273D635"/>
    <w:rsid w:val="52AF10B8"/>
    <w:rsid w:val="52B10B74"/>
    <w:rsid w:val="52BA6595"/>
    <w:rsid w:val="52D02F58"/>
    <w:rsid w:val="530BF8E3"/>
    <w:rsid w:val="5310DAFF"/>
    <w:rsid w:val="5356285D"/>
    <w:rsid w:val="53DF5D95"/>
    <w:rsid w:val="543D540F"/>
    <w:rsid w:val="544B5D2F"/>
    <w:rsid w:val="544C01DA"/>
    <w:rsid w:val="54544299"/>
    <w:rsid w:val="545F2D1C"/>
    <w:rsid w:val="5465F4D8"/>
    <w:rsid w:val="54741968"/>
    <w:rsid w:val="548C25D6"/>
    <w:rsid w:val="549A1EFB"/>
    <w:rsid w:val="54CA18B3"/>
    <w:rsid w:val="54F025D4"/>
    <w:rsid w:val="54F1DDF4"/>
    <w:rsid w:val="55140723"/>
    <w:rsid w:val="554F0BC1"/>
    <w:rsid w:val="55717C23"/>
    <w:rsid w:val="55786D5B"/>
    <w:rsid w:val="56411322"/>
    <w:rsid w:val="567A7ED5"/>
    <w:rsid w:val="56B4F792"/>
    <w:rsid w:val="56B6C632"/>
    <w:rsid w:val="56FA23C1"/>
    <w:rsid w:val="5724550F"/>
    <w:rsid w:val="57528100"/>
    <w:rsid w:val="577C37C5"/>
    <w:rsid w:val="57902FA1"/>
    <w:rsid w:val="57CC199D"/>
    <w:rsid w:val="581723DE"/>
    <w:rsid w:val="581F0BE8"/>
    <w:rsid w:val="58242EF2"/>
    <w:rsid w:val="58282EC6"/>
    <w:rsid w:val="5839427F"/>
    <w:rsid w:val="584B15F2"/>
    <w:rsid w:val="5859C92A"/>
    <w:rsid w:val="58FE3E94"/>
    <w:rsid w:val="59377E59"/>
    <w:rsid w:val="594A18D6"/>
    <w:rsid w:val="596432CB"/>
    <w:rsid w:val="59AA0BC3"/>
    <w:rsid w:val="59B04821"/>
    <w:rsid w:val="5A82AE85"/>
    <w:rsid w:val="5AA80549"/>
    <w:rsid w:val="5ADF2497"/>
    <w:rsid w:val="5AEC544A"/>
    <w:rsid w:val="5AF43C12"/>
    <w:rsid w:val="5B3181DD"/>
    <w:rsid w:val="5B487620"/>
    <w:rsid w:val="5B722463"/>
    <w:rsid w:val="5B8A2220"/>
    <w:rsid w:val="5B986256"/>
    <w:rsid w:val="5BE34692"/>
    <w:rsid w:val="5C0D62C7"/>
    <w:rsid w:val="5C0DDB7D"/>
    <w:rsid w:val="5C3533B9"/>
    <w:rsid w:val="5C6A4F67"/>
    <w:rsid w:val="5CA172B6"/>
    <w:rsid w:val="5CAE47D0"/>
    <w:rsid w:val="5CC76415"/>
    <w:rsid w:val="5CEC0954"/>
    <w:rsid w:val="5D16B90E"/>
    <w:rsid w:val="5D193356"/>
    <w:rsid w:val="5D4E36B8"/>
    <w:rsid w:val="5D80B301"/>
    <w:rsid w:val="5D830267"/>
    <w:rsid w:val="5E832F7D"/>
    <w:rsid w:val="5E8C91C9"/>
    <w:rsid w:val="5E9BDFDC"/>
    <w:rsid w:val="5EA81194"/>
    <w:rsid w:val="5EB64681"/>
    <w:rsid w:val="5EDA6260"/>
    <w:rsid w:val="5F1B7AF2"/>
    <w:rsid w:val="5F641613"/>
    <w:rsid w:val="5F6E2D4C"/>
    <w:rsid w:val="5F7313DB"/>
    <w:rsid w:val="5FC82AE6"/>
    <w:rsid w:val="5FD0084A"/>
    <w:rsid w:val="5FDB29AB"/>
    <w:rsid w:val="5FE2EA60"/>
    <w:rsid w:val="5FF651EE"/>
    <w:rsid w:val="5FFB8582"/>
    <w:rsid w:val="600B58D9"/>
    <w:rsid w:val="6020E74A"/>
    <w:rsid w:val="607229A3"/>
    <w:rsid w:val="60894C14"/>
    <w:rsid w:val="60AA6062"/>
    <w:rsid w:val="60AA7D58"/>
    <w:rsid w:val="60F448D9"/>
    <w:rsid w:val="60F73E45"/>
    <w:rsid w:val="612A7F42"/>
    <w:rsid w:val="61AA605D"/>
    <w:rsid w:val="61AA784D"/>
    <w:rsid w:val="61E729DB"/>
    <w:rsid w:val="622F1FE5"/>
    <w:rsid w:val="62507CD7"/>
    <w:rsid w:val="6278D10E"/>
    <w:rsid w:val="62B40352"/>
    <w:rsid w:val="62C4CAC4"/>
    <w:rsid w:val="62E476FB"/>
    <w:rsid w:val="62F029E2"/>
    <w:rsid w:val="630C221B"/>
    <w:rsid w:val="63BE4BFE"/>
    <w:rsid w:val="63F8D955"/>
    <w:rsid w:val="6402D3B4"/>
    <w:rsid w:val="644575D6"/>
    <w:rsid w:val="64615E52"/>
    <w:rsid w:val="646D133E"/>
    <w:rsid w:val="6494BA29"/>
    <w:rsid w:val="64BD5649"/>
    <w:rsid w:val="64ED11A3"/>
    <w:rsid w:val="64F638DB"/>
    <w:rsid w:val="65135A86"/>
    <w:rsid w:val="65FD46BB"/>
    <w:rsid w:val="66041402"/>
    <w:rsid w:val="6618721D"/>
    <w:rsid w:val="6630A1FF"/>
    <w:rsid w:val="665230AE"/>
    <w:rsid w:val="669731BC"/>
    <w:rsid w:val="66B24DDD"/>
    <w:rsid w:val="66CCED69"/>
    <w:rsid w:val="671433F8"/>
    <w:rsid w:val="674C0478"/>
    <w:rsid w:val="67786E35"/>
    <w:rsid w:val="678C5930"/>
    <w:rsid w:val="67DC6EDB"/>
    <w:rsid w:val="67FB46A9"/>
    <w:rsid w:val="681718DE"/>
    <w:rsid w:val="6857D71E"/>
    <w:rsid w:val="68B2A38C"/>
    <w:rsid w:val="68ED4203"/>
    <w:rsid w:val="68EF23ED"/>
    <w:rsid w:val="69671CBC"/>
    <w:rsid w:val="696D05EE"/>
    <w:rsid w:val="69AA3132"/>
    <w:rsid w:val="69BA3653"/>
    <w:rsid w:val="69BC3A7F"/>
    <w:rsid w:val="6A3C664A"/>
    <w:rsid w:val="6A814936"/>
    <w:rsid w:val="6A9EB425"/>
    <w:rsid w:val="6ACB2F71"/>
    <w:rsid w:val="6AEC7B5D"/>
    <w:rsid w:val="6AEF7370"/>
    <w:rsid w:val="6B0A7473"/>
    <w:rsid w:val="6B2913B7"/>
    <w:rsid w:val="6B957C2C"/>
    <w:rsid w:val="6BA53403"/>
    <w:rsid w:val="6BB04833"/>
    <w:rsid w:val="6C1034C3"/>
    <w:rsid w:val="6C157962"/>
    <w:rsid w:val="6C1D6F5B"/>
    <w:rsid w:val="6C7757D7"/>
    <w:rsid w:val="6D74035E"/>
    <w:rsid w:val="6DDC48B5"/>
    <w:rsid w:val="6DE22CCB"/>
    <w:rsid w:val="6DE619F5"/>
    <w:rsid w:val="6E2039C5"/>
    <w:rsid w:val="6E55675D"/>
    <w:rsid w:val="6E57B134"/>
    <w:rsid w:val="6E86273B"/>
    <w:rsid w:val="6EB4451A"/>
    <w:rsid w:val="6EBF88F3"/>
    <w:rsid w:val="6EC73465"/>
    <w:rsid w:val="6EDE7BBB"/>
    <w:rsid w:val="6EEA2BF4"/>
    <w:rsid w:val="6F0A3450"/>
    <w:rsid w:val="6F437432"/>
    <w:rsid w:val="6FF819F1"/>
    <w:rsid w:val="7003B01F"/>
    <w:rsid w:val="700EC59E"/>
    <w:rsid w:val="7015753C"/>
    <w:rsid w:val="7038C350"/>
    <w:rsid w:val="705602EA"/>
    <w:rsid w:val="707E2654"/>
    <w:rsid w:val="708435A4"/>
    <w:rsid w:val="7168FE9A"/>
    <w:rsid w:val="71F554BA"/>
    <w:rsid w:val="726171ED"/>
    <w:rsid w:val="72F1379C"/>
    <w:rsid w:val="73253A2D"/>
    <w:rsid w:val="7331665D"/>
    <w:rsid w:val="733AB17A"/>
    <w:rsid w:val="736316FE"/>
    <w:rsid w:val="7373C480"/>
    <w:rsid w:val="739873B2"/>
    <w:rsid w:val="73E263C4"/>
    <w:rsid w:val="740D6871"/>
    <w:rsid w:val="743F6A0C"/>
    <w:rsid w:val="747C7F51"/>
    <w:rsid w:val="74ADA05D"/>
    <w:rsid w:val="753263AE"/>
    <w:rsid w:val="754F470F"/>
    <w:rsid w:val="75822BC4"/>
    <w:rsid w:val="75965F83"/>
    <w:rsid w:val="75C74220"/>
    <w:rsid w:val="75E1B012"/>
    <w:rsid w:val="761E0BEE"/>
    <w:rsid w:val="764E5B95"/>
    <w:rsid w:val="766C29DC"/>
    <w:rsid w:val="769352AD"/>
    <w:rsid w:val="769B9E38"/>
    <w:rsid w:val="76A11E73"/>
    <w:rsid w:val="76D34B6C"/>
    <w:rsid w:val="76D418B2"/>
    <w:rsid w:val="76EF64B3"/>
    <w:rsid w:val="76F845C2"/>
    <w:rsid w:val="77110045"/>
    <w:rsid w:val="77686661"/>
    <w:rsid w:val="77A86428"/>
    <w:rsid w:val="77E100F6"/>
    <w:rsid w:val="781ABEBB"/>
    <w:rsid w:val="783C544E"/>
    <w:rsid w:val="78804AB8"/>
    <w:rsid w:val="78907D92"/>
    <w:rsid w:val="78A4412B"/>
    <w:rsid w:val="793E6B91"/>
    <w:rsid w:val="795955D6"/>
    <w:rsid w:val="797727D1"/>
    <w:rsid w:val="797A8B71"/>
    <w:rsid w:val="7986589E"/>
    <w:rsid w:val="79ED17B0"/>
    <w:rsid w:val="7A26D958"/>
    <w:rsid w:val="7A4314CB"/>
    <w:rsid w:val="7A464E62"/>
    <w:rsid w:val="7A65851D"/>
    <w:rsid w:val="7A764C43"/>
    <w:rsid w:val="7AE96072"/>
    <w:rsid w:val="7B174BBF"/>
    <w:rsid w:val="7B243A5A"/>
    <w:rsid w:val="7B9D45EF"/>
    <w:rsid w:val="7BB402ED"/>
    <w:rsid w:val="7BC413E7"/>
    <w:rsid w:val="7C116A65"/>
    <w:rsid w:val="7C1A5229"/>
    <w:rsid w:val="7C847D95"/>
    <w:rsid w:val="7C903F8F"/>
    <w:rsid w:val="7CC608DC"/>
    <w:rsid w:val="7D98F144"/>
    <w:rsid w:val="7DBD5CB1"/>
    <w:rsid w:val="7DC1296F"/>
    <w:rsid w:val="7DD25891"/>
    <w:rsid w:val="7DDF6C8B"/>
    <w:rsid w:val="7DE1498A"/>
    <w:rsid w:val="7E21218A"/>
    <w:rsid w:val="7E761553"/>
    <w:rsid w:val="7E88CF06"/>
    <w:rsid w:val="7E8F276F"/>
    <w:rsid w:val="7ECF6948"/>
    <w:rsid w:val="7ED4E1D9"/>
    <w:rsid w:val="7F170444"/>
    <w:rsid w:val="7F36F2EF"/>
    <w:rsid w:val="7F5328D2"/>
    <w:rsid w:val="7F7839E4"/>
    <w:rsid w:val="7FA5105C"/>
    <w:rsid w:val="7FAB1884"/>
    <w:rsid w:val="816610C5"/>
    <w:rsid w:val="819E1BE0"/>
    <w:rsid w:val="81B73350"/>
    <w:rsid w:val="82413F9B"/>
    <w:rsid w:val="82983B34"/>
    <w:rsid w:val="8353AF73"/>
    <w:rsid w:val="83B09A17"/>
    <w:rsid w:val="843451E8"/>
    <w:rsid w:val="844A2A10"/>
    <w:rsid w:val="84C56A56"/>
    <w:rsid w:val="84E32736"/>
    <w:rsid w:val="85130955"/>
    <w:rsid w:val="8557C92F"/>
    <w:rsid w:val="862F62C7"/>
    <w:rsid w:val="864B10E0"/>
    <w:rsid w:val="864CC94F"/>
    <w:rsid w:val="866999F8"/>
    <w:rsid w:val="8735C72F"/>
    <w:rsid w:val="876AE996"/>
    <w:rsid w:val="8774CBB4"/>
    <w:rsid w:val="882922CB"/>
    <w:rsid w:val="88BB33E5"/>
    <w:rsid w:val="88F38446"/>
    <w:rsid w:val="893400D4"/>
    <w:rsid w:val="8A5C95A2"/>
    <w:rsid w:val="8A681C40"/>
    <w:rsid w:val="8A8C555F"/>
    <w:rsid w:val="8AE15D75"/>
    <w:rsid w:val="8BBD0777"/>
    <w:rsid w:val="8C6C957F"/>
    <w:rsid w:val="8D4658AF"/>
    <w:rsid w:val="8D954F62"/>
    <w:rsid w:val="8F180F8E"/>
    <w:rsid w:val="8F8176CE"/>
    <w:rsid w:val="8FE9F823"/>
    <w:rsid w:val="90CBAAC1"/>
    <w:rsid w:val="91C1AABC"/>
    <w:rsid w:val="91C9F0D1"/>
    <w:rsid w:val="91EF785D"/>
    <w:rsid w:val="92E56D47"/>
    <w:rsid w:val="936AA7F0"/>
    <w:rsid w:val="938332AE"/>
    <w:rsid w:val="93AB2256"/>
    <w:rsid w:val="93E57B12"/>
    <w:rsid w:val="9402A108"/>
    <w:rsid w:val="941FA68D"/>
    <w:rsid w:val="94690113"/>
    <w:rsid w:val="94FB0AAF"/>
    <w:rsid w:val="953A7266"/>
    <w:rsid w:val="95F92F4B"/>
    <w:rsid w:val="9615C34C"/>
    <w:rsid w:val="961B025A"/>
    <w:rsid w:val="966A1BE1"/>
    <w:rsid w:val="96D83830"/>
    <w:rsid w:val="97690BD5"/>
    <w:rsid w:val="97BD1849"/>
    <w:rsid w:val="97CE8024"/>
    <w:rsid w:val="99E14756"/>
    <w:rsid w:val="99FF5FE5"/>
    <w:rsid w:val="9A10B280"/>
    <w:rsid w:val="9A15BBF6"/>
    <w:rsid w:val="9B729E9C"/>
    <w:rsid w:val="9C4BD64E"/>
    <w:rsid w:val="9CEE89AD"/>
    <w:rsid w:val="9D5C14C4"/>
    <w:rsid w:val="9DFD44DF"/>
    <w:rsid w:val="9E50686A"/>
    <w:rsid w:val="9E899AA8"/>
    <w:rsid w:val="9EB87BE2"/>
    <w:rsid w:val="9F6F6D94"/>
    <w:rsid w:val="9FED5AF4"/>
    <w:rsid w:val="A0FC8C30"/>
    <w:rsid w:val="A120525C"/>
    <w:rsid w:val="A1944A62"/>
    <w:rsid w:val="A1A4435C"/>
    <w:rsid w:val="A1AFFED9"/>
    <w:rsid w:val="A208C564"/>
    <w:rsid w:val="A23436C6"/>
    <w:rsid w:val="A318B38A"/>
    <w:rsid w:val="A36DC3D9"/>
    <w:rsid w:val="A3D8F92A"/>
    <w:rsid w:val="A466405E"/>
    <w:rsid w:val="A5371571"/>
    <w:rsid w:val="A54CB582"/>
    <w:rsid w:val="A618B3F9"/>
    <w:rsid w:val="A634359F"/>
    <w:rsid w:val="A63AC8C1"/>
    <w:rsid w:val="A6439EC1"/>
    <w:rsid w:val="A70809E3"/>
    <w:rsid w:val="A7946594"/>
    <w:rsid w:val="A8188A36"/>
    <w:rsid w:val="A8298424"/>
    <w:rsid w:val="A8B50D76"/>
    <w:rsid w:val="A9590468"/>
    <w:rsid w:val="A9731C7E"/>
    <w:rsid w:val="A98BA397"/>
    <w:rsid w:val="AA17E7E4"/>
    <w:rsid w:val="AA68B184"/>
    <w:rsid w:val="AA750E99"/>
    <w:rsid w:val="AB01EBF5"/>
    <w:rsid w:val="AB4D46C1"/>
    <w:rsid w:val="AB85618F"/>
    <w:rsid w:val="AB8E51A2"/>
    <w:rsid w:val="AB933616"/>
    <w:rsid w:val="ABB7FCDA"/>
    <w:rsid w:val="ABC384E3"/>
    <w:rsid w:val="ACE99E0A"/>
    <w:rsid w:val="ADC1D650"/>
    <w:rsid w:val="ADF51E75"/>
    <w:rsid w:val="AE687DB7"/>
    <w:rsid w:val="B0720ECE"/>
    <w:rsid w:val="B1253AF0"/>
    <w:rsid w:val="B26A2F0D"/>
    <w:rsid w:val="B2F3D5A3"/>
    <w:rsid w:val="B4ED3E01"/>
    <w:rsid w:val="B5439A5C"/>
    <w:rsid w:val="B55AA52D"/>
    <w:rsid w:val="B574C1DD"/>
    <w:rsid w:val="B5C41A21"/>
    <w:rsid w:val="B5CC4F31"/>
    <w:rsid w:val="B624C6A0"/>
    <w:rsid w:val="B6B387C0"/>
    <w:rsid w:val="B6E6D520"/>
    <w:rsid w:val="B79C696A"/>
    <w:rsid w:val="B7A5ACD8"/>
    <w:rsid w:val="B7AD7DD6"/>
    <w:rsid w:val="B872EF4D"/>
    <w:rsid w:val="B8C8AFF6"/>
    <w:rsid w:val="B8FAD7FC"/>
    <w:rsid w:val="B9E8A3E7"/>
    <w:rsid w:val="BADF87B6"/>
    <w:rsid w:val="BAE1DABB"/>
    <w:rsid w:val="BB64975C"/>
    <w:rsid w:val="BCC86A55"/>
    <w:rsid w:val="BCE0E122"/>
    <w:rsid w:val="BCE70066"/>
    <w:rsid w:val="BD11288D"/>
    <w:rsid w:val="BD34D332"/>
    <w:rsid w:val="BDAD41BB"/>
    <w:rsid w:val="BE15CEB7"/>
    <w:rsid w:val="BE938D1A"/>
    <w:rsid w:val="BEBC4DCA"/>
    <w:rsid w:val="BECDC5CC"/>
    <w:rsid w:val="BF00ACCB"/>
    <w:rsid w:val="BFEF9BFB"/>
    <w:rsid w:val="C1365298"/>
    <w:rsid w:val="C19C6A94"/>
    <w:rsid w:val="C1AA6348"/>
    <w:rsid w:val="C28EFE3E"/>
    <w:rsid w:val="C2A4334F"/>
    <w:rsid w:val="C3D170B2"/>
    <w:rsid w:val="C49E1F26"/>
    <w:rsid w:val="C4A9C493"/>
    <w:rsid w:val="C4C98940"/>
    <w:rsid w:val="C4CD79B6"/>
    <w:rsid w:val="C5072240"/>
    <w:rsid w:val="C528B088"/>
    <w:rsid w:val="C6103D56"/>
    <w:rsid w:val="C6588282"/>
    <w:rsid w:val="C753C327"/>
    <w:rsid w:val="CA5BACE2"/>
    <w:rsid w:val="CAA82F5E"/>
    <w:rsid w:val="CC54EFF5"/>
    <w:rsid w:val="CC863262"/>
    <w:rsid w:val="CCEE517B"/>
    <w:rsid w:val="CDAF6D5F"/>
    <w:rsid w:val="CE1FFDA6"/>
    <w:rsid w:val="CE308869"/>
    <w:rsid w:val="CE358B94"/>
    <w:rsid w:val="CE6DD634"/>
    <w:rsid w:val="CEA043DB"/>
    <w:rsid w:val="CF789EDA"/>
    <w:rsid w:val="CFA40D3E"/>
    <w:rsid w:val="D0013AD8"/>
    <w:rsid w:val="D00CA4FC"/>
    <w:rsid w:val="D13AB31D"/>
    <w:rsid w:val="D187B9A7"/>
    <w:rsid w:val="D24D69AC"/>
    <w:rsid w:val="D2A5A0BB"/>
    <w:rsid w:val="D2F16DAC"/>
    <w:rsid w:val="D327B4EB"/>
    <w:rsid w:val="D44898AC"/>
    <w:rsid w:val="D45B84B5"/>
    <w:rsid w:val="D4BC3F0B"/>
    <w:rsid w:val="D4DC7C70"/>
    <w:rsid w:val="D566A404"/>
    <w:rsid w:val="D575A4F6"/>
    <w:rsid w:val="D5766A34"/>
    <w:rsid w:val="D57D39E4"/>
    <w:rsid w:val="D61DA10A"/>
    <w:rsid w:val="D672A9AC"/>
    <w:rsid w:val="D68770CC"/>
    <w:rsid w:val="D6E3BAC4"/>
    <w:rsid w:val="D77E340B"/>
    <w:rsid w:val="D7CE082C"/>
    <w:rsid w:val="D9040BC6"/>
    <w:rsid w:val="D989015F"/>
    <w:rsid w:val="D9E5A4C8"/>
    <w:rsid w:val="DA6A9D85"/>
    <w:rsid w:val="DA94E273"/>
    <w:rsid w:val="DAD5D996"/>
    <w:rsid w:val="DD4543D8"/>
    <w:rsid w:val="DE0730EE"/>
    <w:rsid w:val="DF8A876D"/>
    <w:rsid w:val="DF95BFF2"/>
    <w:rsid w:val="E0086E44"/>
    <w:rsid w:val="E00BFEAE"/>
    <w:rsid w:val="E0814DDC"/>
    <w:rsid w:val="E194D373"/>
    <w:rsid w:val="E1E8A5B9"/>
    <w:rsid w:val="E3939E13"/>
    <w:rsid w:val="E4975CAE"/>
    <w:rsid w:val="E58352F1"/>
    <w:rsid w:val="E6FFADF5"/>
    <w:rsid w:val="E7BF5EED"/>
    <w:rsid w:val="E7C67D5A"/>
    <w:rsid w:val="E8042F66"/>
    <w:rsid w:val="E86B7F05"/>
    <w:rsid w:val="E8D6B684"/>
    <w:rsid w:val="E952E7EE"/>
    <w:rsid w:val="EB8CD522"/>
    <w:rsid w:val="EBE1E471"/>
    <w:rsid w:val="EC1221FA"/>
    <w:rsid w:val="ECC55FDD"/>
    <w:rsid w:val="ED14445C"/>
    <w:rsid w:val="ED72CEB8"/>
    <w:rsid w:val="EE25A1B5"/>
    <w:rsid w:val="EE3B108C"/>
    <w:rsid w:val="EEA0271D"/>
    <w:rsid w:val="EF8DC6EC"/>
    <w:rsid w:val="F0119D97"/>
    <w:rsid w:val="F0EED538"/>
    <w:rsid w:val="F2521A55"/>
    <w:rsid w:val="F2811D99"/>
    <w:rsid w:val="F2AC7C25"/>
    <w:rsid w:val="F2AF0316"/>
    <w:rsid w:val="F32DD20F"/>
    <w:rsid w:val="F399A20C"/>
    <w:rsid w:val="F3F138EA"/>
    <w:rsid w:val="F40862BD"/>
    <w:rsid w:val="F42588FC"/>
    <w:rsid w:val="F483445E"/>
    <w:rsid w:val="F4E5C257"/>
    <w:rsid w:val="F5483A28"/>
    <w:rsid w:val="F671D25D"/>
    <w:rsid w:val="F78F8AB5"/>
    <w:rsid w:val="F7D84897"/>
    <w:rsid w:val="F992D709"/>
    <w:rsid w:val="F9E6AE45"/>
    <w:rsid w:val="FA483EE4"/>
    <w:rsid w:val="FA8C07CC"/>
    <w:rsid w:val="FAD7DB57"/>
    <w:rsid w:val="FBC0267D"/>
    <w:rsid w:val="FC371B3F"/>
    <w:rsid w:val="FE1BBDAC"/>
    <w:rsid w:val="FED63076"/>
    <w:rsid w:val="FED88208"/>
    <w:rsid w:val="FF5DF7D4"/>
    <w:rsid w:val="FF6AF464"/>
    <w:rsid w:val="FFB37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pPr>
    <w:rPr>
      <w:rFonts w:ascii="Times New Roman" w:hAnsi="Times New Roman" w:eastAsia="仿宋_GB2312" w:cs="Times New Roman"/>
      <w:sz w:val="32"/>
      <w:lang w:val="en-US" w:eastAsia="zh-CN" w:bidi="ar-SA"/>
    </w:rPr>
  </w:style>
  <w:style w:type="paragraph" w:styleId="3">
    <w:name w:val="heading 1"/>
    <w:basedOn w:val="4"/>
    <w:next w:val="1"/>
    <w:link w:val="66"/>
    <w:qFormat/>
    <w:uiPriority w:val="0"/>
    <w:pPr>
      <w:keepNext/>
      <w:keepLines/>
      <w:adjustRightInd/>
      <w:spacing w:before="340" w:after="330" w:line="578" w:lineRule="auto"/>
      <w:ind w:firstLine="200" w:firstLineChars="200"/>
      <w:jc w:val="both"/>
    </w:pPr>
    <w:rPr>
      <w:rFonts w:ascii="仿宋_GB2312" w:hAnsi="仿宋_GB2312"/>
      <w:b w:val="0"/>
      <w:bCs/>
      <w:kern w:val="44"/>
      <w:sz w:val="44"/>
      <w:szCs w:val="44"/>
    </w:rPr>
  </w:style>
  <w:style w:type="paragraph" w:styleId="5">
    <w:name w:val="heading 2"/>
    <w:basedOn w:val="1"/>
    <w:next w:val="1"/>
    <w:link w:val="64"/>
    <w:qFormat/>
    <w:uiPriority w:val="0"/>
    <w:pPr>
      <w:keepNext/>
      <w:keepLines/>
      <w:adjustRightInd/>
      <w:spacing w:before="260" w:after="260" w:line="416" w:lineRule="auto"/>
      <w:ind w:firstLine="200" w:firstLineChars="200"/>
      <w:jc w:val="both"/>
      <w:outlineLvl w:val="1"/>
    </w:pPr>
    <w:rPr>
      <w:rFonts w:ascii="Arial" w:hAnsi="Arial" w:eastAsia="黑体"/>
      <w:b/>
      <w:bCs/>
      <w:kern w:val="2"/>
      <w:szCs w:val="32"/>
    </w:rPr>
  </w:style>
  <w:style w:type="paragraph" w:styleId="6">
    <w:name w:val="heading 3"/>
    <w:basedOn w:val="1"/>
    <w:next w:val="1"/>
    <w:link w:val="67"/>
    <w:qFormat/>
    <w:uiPriority w:val="0"/>
    <w:pPr>
      <w:keepNext/>
      <w:keepLines/>
      <w:adjustRightInd/>
      <w:spacing w:before="260" w:after="260" w:line="416" w:lineRule="auto"/>
      <w:ind w:firstLine="200" w:firstLineChars="200"/>
      <w:jc w:val="both"/>
      <w:outlineLvl w:val="2"/>
    </w:pPr>
    <w:rPr>
      <w:rFonts w:ascii="仿宋_GB2312" w:hAnsi="仿宋_GB2312" w:eastAsia="宋体"/>
      <w:b/>
      <w:bCs/>
      <w:kern w:val="2"/>
      <w:szCs w:val="32"/>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0"/>
    </w:rPr>
  </w:style>
  <w:style w:type="paragraph" w:styleId="4">
    <w:name w:val="Title"/>
    <w:basedOn w:val="1"/>
    <w:qFormat/>
    <w:uiPriority w:val="0"/>
    <w:pPr>
      <w:spacing w:before="240" w:after="60"/>
      <w:jc w:val="center"/>
      <w:outlineLvl w:val="0"/>
    </w:pPr>
    <w:rPr>
      <w:rFonts w:ascii="Arial" w:hAnsi="Arial" w:eastAsia="宋体"/>
      <w:b/>
    </w:rPr>
  </w:style>
  <w:style w:type="paragraph" w:styleId="7">
    <w:name w:val="Document Map"/>
    <w:basedOn w:val="1"/>
    <w:link w:val="71"/>
    <w:qFormat/>
    <w:uiPriority w:val="0"/>
    <w:pPr>
      <w:shd w:val="clear" w:color="auto" w:fill="000080"/>
    </w:pPr>
    <w:rPr>
      <w:rFonts w:ascii="Verdana" w:hAnsi="Verdana" w:eastAsia="宋体"/>
      <w:b/>
      <w:szCs w:val="24"/>
    </w:rPr>
  </w:style>
  <w:style w:type="paragraph" w:styleId="8">
    <w:name w:val="annotation text"/>
    <w:basedOn w:val="1"/>
    <w:link w:val="68"/>
    <w:qFormat/>
    <w:uiPriority w:val="0"/>
    <w:pPr>
      <w:adjustRightInd/>
      <w:spacing w:line="360" w:lineRule="auto"/>
      <w:ind w:firstLine="200" w:firstLineChars="200"/>
    </w:pPr>
    <w:rPr>
      <w:rFonts w:ascii="仿宋_GB2312" w:hAnsi="仿宋_GB2312" w:eastAsia="宋体"/>
      <w:b/>
      <w:kern w:val="2"/>
      <w:sz w:val="30"/>
      <w:szCs w:val="24"/>
    </w:rPr>
  </w:style>
  <w:style w:type="paragraph" w:styleId="9">
    <w:name w:val="Body Text"/>
    <w:basedOn w:val="1"/>
    <w:next w:val="1"/>
    <w:link w:val="79"/>
    <w:qFormat/>
    <w:uiPriority w:val="0"/>
    <w:pPr>
      <w:adjustRightInd/>
      <w:spacing w:after="120" w:line="240" w:lineRule="auto"/>
      <w:jc w:val="both"/>
    </w:pPr>
    <w:rPr>
      <w:rFonts w:eastAsia="宋体"/>
      <w:kern w:val="2"/>
      <w:szCs w:val="32"/>
    </w:rPr>
  </w:style>
  <w:style w:type="paragraph" w:styleId="10">
    <w:name w:val="Body Text Indent"/>
    <w:basedOn w:val="1"/>
    <w:link w:val="65"/>
    <w:qFormat/>
    <w:uiPriority w:val="0"/>
    <w:pPr>
      <w:spacing w:line="430" w:lineRule="atLeast"/>
      <w:ind w:firstLine="600"/>
      <w:jc w:val="both"/>
    </w:pPr>
    <w:rPr>
      <w:rFonts w:ascii="Verdana" w:hAnsi="Verdana" w:eastAsia="宋体"/>
      <w:b/>
      <w:sz w:val="28"/>
      <w:szCs w:val="24"/>
    </w:rPr>
  </w:style>
  <w:style w:type="paragraph" w:styleId="11">
    <w:name w:val="toc 3"/>
    <w:basedOn w:val="1"/>
    <w:next w:val="1"/>
    <w:qFormat/>
    <w:uiPriority w:val="39"/>
    <w:pPr>
      <w:tabs>
        <w:tab w:val="right" w:leader="dot" w:pos="8296"/>
      </w:tabs>
      <w:adjustRightInd/>
      <w:snapToGrid w:val="0"/>
      <w:spacing w:line="600" w:lineRule="exact"/>
      <w:ind w:left="908" w:leftChars="175" w:hanging="348" w:hangingChars="116"/>
      <w:jc w:val="both"/>
    </w:pPr>
    <w:rPr>
      <w:rFonts w:eastAsia="宋体"/>
      <w:color w:val="000000"/>
      <w:kern w:val="2"/>
      <w:sz w:val="30"/>
      <w:szCs w:val="30"/>
    </w:rPr>
  </w:style>
  <w:style w:type="paragraph" w:styleId="12">
    <w:name w:val="Plain Text"/>
    <w:basedOn w:val="1"/>
    <w:link w:val="74"/>
    <w:qFormat/>
    <w:uiPriority w:val="0"/>
    <w:pPr>
      <w:adjustRightInd/>
      <w:spacing w:line="240" w:lineRule="auto"/>
      <w:jc w:val="both"/>
    </w:pPr>
    <w:rPr>
      <w:rFonts w:ascii="宋体" w:hAnsi="Courier New"/>
      <w:sz w:val="24"/>
      <w:szCs w:val="21"/>
    </w:rPr>
  </w:style>
  <w:style w:type="paragraph" w:styleId="13">
    <w:name w:val="Date"/>
    <w:basedOn w:val="1"/>
    <w:next w:val="1"/>
    <w:qFormat/>
    <w:uiPriority w:val="0"/>
    <w:pPr>
      <w:ind w:left="100" w:leftChars="2500"/>
    </w:pPr>
    <w:rPr>
      <w:rFonts w:eastAsia="宋体"/>
    </w:rPr>
  </w:style>
  <w:style w:type="paragraph" w:styleId="14">
    <w:name w:val="Body Text Indent 2"/>
    <w:basedOn w:val="1"/>
    <w:qFormat/>
    <w:uiPriority w:val="0"/>
    <w:pPr>
      <w:ind w:firstLine="600"/>
    </w:pPr>
    <w:rPr>
      <w:rFonts w:ascii="宋体" w:eastAsia="宋体"/>
      <w:sz w:val="28"/>
    </w:rPr>
  </w:style>
  <w:style w:type="paragraph" w:styleId="15">
    <w:name w:val="Balloon Text"/>
    <w:basedOn w:val="1"/>
    <w:link w:val="77"/>
    <w:qFormat/>
    <w:uiPriority w:val="0"/>
    <w:pPr>
      <w:adjustRightInd/>
      <w:spacing w:line="240" w:lineRule="auto"/>
      <w:ind w:firstLine="200" w:firstLineChars="200"/>
      <w:jc w:val="both"/>
    </w:pPr>
    <w:rPr>
      <w:rFonts w:ascii="仿宋_GB2312" w:hAnsi="仿宋_GB2312" w:eastAsia="宋体"/>
      <w:b/>
      <w:kern w:val="2"/>
      <w:sz w:val="18"/>
      <w:szCs w:val="18"/>
    </w:rPr>
  </w:style>
  <w:style w:type="paragraph" w:styleId="16">
    <w:name w:val="footer"/>
    <w:basedOn w:val="1"/>
    <w:link w:val="69"/>
    <w:qFormat/>
    <w:uiPriority w:val="0"/>
    <w:pPr>
      <w:tabs>
        <w:tab w:val="center" w:pos="4140"/>
        <w:tab w:val="right" w:pos="8300"/>
      </w:tabs>
      <w:snapToGrid w:val="0"/>
      <w:spacing w:line="240" w:lineRule="atLeast"/>
    </w:pPr>
    <w:rPr>
      <w:rFonts w:ascii="Verdana" w:hAnsi="Verdana"/>
      <w:b/>
      <w:bCs/>
      <w:sz w:val="18"/>
      <w:szCs w:val="18"/>
    </w:rPr>
  </w:style>
  <w:style w:type="paragraph" w:styleId="17">
    <w:name w:val="header"/>
    <w:basedOn w:val="1"/>
    <w:link w:val="72"/>
    <w:qFormat/>
    <w:uiPriority w:val="0"/>
    <w:pPr>
      <w:pBdr>
        <w:bottom w:val="single" w:color="000000" w:sz="6" w:space="1"/>
      </w:pBdr>
      <w:tabs>
        <w:tab w:val="center" w:pos="4140"/>
        <w:tab w:val="right" w:pos="8300"/>
      </w:tabs>
      <w:snapToGrid w:val="0"/>
      <w:spacing w:line="240" w:lineRule="atLeast"/>
      <w:jc w:val="center"/>
    </w:pPr>
    <w:rPr>
      <w:rFonts w:ascii="Verdana" w:hAnsi="Verdana"/>
      <w:b/>
      <w:bCs/>
      <w:sz w:val="18"/>
      <w:szCs w:val="18"/>
    </w:rPr>
  </w:style>
  <w:style w:type="paragraph" w:styleId="18">
    <w:name w:val="toc 1"/>
    <w:basedOn w:val="1"/>
    <w:next w:val="1"/>
    <w:qFormat/>
    <w:uiPriority w:val="39"/>
    <w:pPr>
      <w:tabs>
        <w:tab w:val="left" w:pos="142"/>
        <w:tab w:val="right" w:leader="dot" w:pos="8296"/>
      </w:tabs>
      <w:adjustRightInd/>
      <w:snapToGrid w:val="0"/>
      <w:spacing w:line="600" w:lineRule="exact"/>
      <w:ind w:left="-150" w:leftChars="-47" w:firstLine="172" w:firstLineChars="43"/>
      <w:jc w:val="center"/>
    </w:pPr>
    <w:rPr>
      <w:rFonts w:ascii="方正小标宋简体" w:eastAsia="方正小标宋简体"/>
      <w:snapToGrid w:val="0"/>
      <w:color w:val="000000"/>
      <w:sz w:val="40"/>
      <w:szCs w:val="40"/>
    </w:rPr>
  </w:style>
  <w:style w:type="paragraph" w:styleId="19">
    <w:name w:val="footnote text"/>
    <w:basedOn w:val="1"/>
    <w:qFormat/>
    <w:uiPriority w:val="0"/>
    <w:pPr>
      <w:snapToGrid w:val="0"/>
    </w:pPr>
    <w:rPr>
      <w:sz w:val="18"/>
    </w:rPr>
  </w:style>
  <w:style w:type="paragraph" w:styleId="20">
    <w:name w:val="Body Text Indent 3"/>
    <w:basedOn w:val="1"/>
    <w:qFormat/>
    <w:uiPriority w:val="0"/>
    <w:pPr>
      <w:spacing w:after="120"/>
      <w:ind w:left="420" w:leftChars="200"/>
    </w:pPr>
    <w:rPr>
      <w:rFonts w:eastAsia="宋体"/>
      <w:sz w:val="16"/>
      <w:szCs w:val="16"/>
    </w:rPr>
  </w:style>
  <w:style w:type="paragraph" w:styleId="21">
    <w:name w:val="index 9"/>
    <w:basedOn w:val="1"/>
    <w:next w:val="1"/>
    <w:qFormat/>
    <w:uiPriority w:val="0"/>
    <w:pPr>
      <w:ind w:left="1600" w:leftChars="1600"/>
    </w:pPr>
  </w:style>
  <w:style w:type="paragraph" w:styleId="22">
    <w:name w:val="toc 2"/>
    <w:basedOn w:val="1"/>
    <w:next w:val="1"/>
    <w:qFormat/>
    <w:uiPriority w:val="39"/>
    <w:pPr>
      <w:tabs>
        <w:tab w:val="right" w:leader="dot" w:pos="8296"/>
      </w:tabs>
      <w:adjustRightInd/>
      <w:snapToGrid w:val="0"/>
      <w:spacing w:line="600" w:lineRule="exact"/>
      <w:ind w:left="619" w:leftChars="95" w:hanging="315" w:hangingChars="105"/>
      <w:jc w:val="both"/>
    </w:pPr>
    <w:rPr>
      <w:rFonts w:eastAsia="宋体"/>
      <w:color w:val="000000"/>
      <w:kern w:val="2"/>
      <w:sz w:val="30"/>
      <w:szCs w:val="30"/>
    </w:rPr>
  </w:style>
  <w:style w:type="paragraph" w:styleId="23">
    <w:name w:val="Body Text 2"/>
    <w:basedOn w:val="1"/>
    <w:link w:val="73"/>
    <w:qFormat/>
    <w:uiPriority w:val="0"/>
    <w:pPr>
      <w:spacing w:after="120" w:line="480" w:lineRule="auto"/>
    </w:pPr>
    <w:rPr>
      <w:rFonts w:eastAsia="宋体"/>
    </w:rPr>
  </w:style>
  <w:style w:type="paragraph" w:styleId="24">
    <w:name w:val="Normal (Web)"/>
    <w:basedOn w:val="1"/>
    <w:qFormat/>
    <w:uiPriority w:val="99"/>
    <w:pPr>
      <w:widowControl/>
      <w:adjustRightInd/>
      <w:spacing w:before="100" w:beforeAutospacing="1" w:after="100" w:afterAutospacing="1" w:line="240" w:lineRule="auto"/>
    </w:pPr>
    <w:rPr>
      <w:rFonts w:ascii="宋体" w:hAnsi="宋体" w:eastAsia="宋体"/>
      <w:sz w:val="24"/>
    </w:rPr>
  </w:style>
  <w:style w:type="paragraph" w:styleId="25">
    <w:name w:val="index 1"/>
    <w:basedOn w:val="1"/>
    <w:next w:val="1"/>
    <w:qFormat/>
    <w:uiPriority w:val="0"/>
  </w:style>
  <w:style w:type="paragraph" w:styleId="26">
    <w:name w:val="annotation subject"/>
    <w:basedOn w:val="8"/>
    <w:next w:val="8"/>
    <w:link w:val="70"/>
    <w:qFormat/>
    <w:uiPriority w:val="0"/>
    <w:rPr>
      <w:rFonts w:ascii="Times New Roman" w:hAnsi="Times New Roman"/>
      <w:bCs/>
    </w:rPr>
  </w:style>
  <w:style w:type="paragraph" w:styleId="27">
    <w:name w:val="Body Text First Indent 2"/>
    <w:basedOn w:val="10"/>
    <w:unhideWhenUsed/>
    <w:qFormat/>
    <w:uiPriority w:val="99"/>
    <w:pPr>
      <w:ind w:firstLine="420" w:firstLineChars="200"/>
    </w:pPr>
    <w:rPr>
      <w:rFonts w:ascii="Times New Roman" w:hAnsi="Times New Roman"/>
      <w:szCs w:val="20"/>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1">
    <w:name w:val="Strong"/>
    <w:basedOn w:val="30"/>
    <w:qFormat/>
    <w:uiPriority w:val="22"/>
    <w:rPr>
      <w:rFonts w:ascii="Times New Roman" w:hAnsi="Times New Roman" w:eastAsia="宋体" w:cs="Times New Roman"/>
    </w:rPr>
  </w:style>
  <w:style w:type="character" w:styleId="32">
    <w:name w:val="page number"/>
    <w:basedOn w:val="30"/>
    <w:qFormat/>
    <w:uiPriority w:val="0"/>
    <w:rPr>
      <w:rFonts w:ascii="Verdana" w:hAnsi="Verdana" w:eastAsia="仿宋_GB2312" w:cs="Times New Roman"/>
      <w:sz w:val="24"/>
      <w:szCs w:val="24"/>
      <w:lang w:val="en-US" w:eastAsia="en-US" w:bidi="ar-SA"/>
    </w:rPr>
  </w:style>
  <w:style w:type="character" w:styleId="33">
    <w:name w:val="FollowedHyperlink"/>
    <w:basedOn w:val="30"/>
    <w:qFormat/>
    <w:uiPriority w:val="0"/>
    <w:rPr>
      <w:color w:val="800080"/>
      <w:u w:val="none"/>
    </w:rPr>
  </w:style>
  <w:style w:type="character" w:styleId="34">
    <w:name w:val="Emphasis"/>
    <w:basedOn w:val="30"/>
    <w:qFormat/>
    <w:uiPriority w:val="0"/>
  </w:style>
  <w:style w:type="character" w:styleId="35">
    <w:name w:val="HTML Definition"/>
    <w:basedOn w:val="30"/>
    <w:qFormat/>
    <w:uiPriority w:val="0"/>
    <w:rPr>
      <w:i/>
    </w:rPr>
  </w:style>
  <w:style w:type="character" w:styleId="36">
    <w:name w:val="Hyperlink"/>
    <w:qFormat/>
    <w:uiPriority w:val="99"/>
    <w:rPr>
      <w:rFonts w:ascii="Verdana" w:hAnsi="Verdana" w:eastAsia="仿宋_GB2312" w:cs="Times New Roman"/>
      <w:b/>
      <w:color w:val="0000FF"/>
      <w:sz w:val="24"/>
      <w:szCs w:val="24"/>
      <w:u w:val="single"/>
      <w:lang w:val="en-US" w:eastAsia="en-US" w:bidi="ar-SA"/>
    </w:rPr>
  </w:style>
  <w:style w:type="character" w:styleId="37">
    <w:name w:val="HTML Code"/>
    <w:basedOn w:val="30"/>
    <w:qFormat/>
    <w:uiPriority w:val="0"/>
    <w:rPr>
      <w:rFonts w:hint="default" w:ascii="Consolas" w:hAnsi="Consolas" w:eastAsia="Consolas" w:cs="Consolas"/>
      <w:color w:val="C7254E"/>
      <w:sz w:val="21"/>
      <w:szCs w:val="21"/>
      <w:shd w:val="clear" w:color="auto" w:fill="F9F2F4"/>
    </w:rPr>
  </w:style>
  <w:style w:type="character" w:styleId="38">
    <w:name w:val="annotation reference"/>
    <w:qFormat/>
    <w:uiPriority w:val="0"/>
    <w:rPr>
      <w:rFonts w:ascii="Verdana" w:hAnsi="Verdana" w:eastAsia="仿宋_GB2312" w:cs="Times New Roman"/>
      <w:b/>
      <w:sz w:val="21"/>
      <w:szCs w:val="21"/>
      <w:lang w:val="en-US" w:eastAsia="en-US" w:bidi="ar-SA"/>
    </w:rPr>
  </w:style>
  <w:style w:type="character" w:styleId="39">
    <w:name w:val="HTML Cite"/>
    <w:basedOn w:val="30"/>
    <w:qFormat/>
    <w:uiPriority w:val="0"/>
    <w:rPr>
      <w:color w:val="008000"/>
    </w:rPr>
  </w:style>
  <w:style w:type="character" w:styleId="40">
    <w:name w:val="footnote reference"/>
    <w:basedOn w:val="30"/>
    <w:qFormat/>
    <w:uiPriority w:val="0"/>
    <w:rPr>
      <w:vertAlign w:val="superscript"/>
    </w:rPr>
  </w:style>
  <w:style w:type="character" w:styleId="41">
    <w:name w:val="HTML Keyboard"/>
    <w:basedOn w:val="30"/>
    <w:qFormat/>
    <w:uiPriority w:val="0"/>
    <w:rPr>
      <w:rFonts w:hint="default" w:ascii="Consolas" w:hAnsi="Consolas" w:eastAsia="Consolas" w:cs="Consolas"/>
      <w:color w:val="FFFFFF"/>
      <w:sz w:val="21"/>
      <w:szCs w:val="21"/>
      <w:shd w:val="clear" w:color="auto" w:fill="333333"/>
    </w:rPr>
  </w:style>
  <w:style w:type="character" w:styleId="42">
    <w:name w:val="HTML Sample"/>
    <w:basedOn w:val="30"/>
    <w:qFormat/>
    <w:uiPriority w:val="0"/>
    <w:rPr>
      <w:rFonts w:ascii="Consolas" w:hAnsi="Consolas" w:eastAsia="Consolas" w:cs="Consolas"/>
      <w:sz w:val="21"/>
      <w:szCs w:val="21"/>
    </w:rPr>
  </w:style>
  <w:style w:type="paragraph" w:customStyle="1" w:styleId="43">
    <w:name w:val="pic-info"/>
    <w:basedOn w:val="1"/>
    <w:qFormat/>
    <w:uiPriority w:val="0"/>
    <w:pPr>
      <w:widowControl/>
      <w:adjustRightInd/>
      <w:spacing w:before="100" w:beforeAutospacing="1" w:after="100" w:afterAutospacing="1" w:line="240" w:lineRule="auto"/>
    </w:pPr>
    <w:rPr>
      <w:rFonts w:ascii="宋体" w:hAnsi="宋体" w:eastAsia="宋体" w:cs="宋体"/>
      <w:sz w:val="24"/>
      <w:szCs w:val="24"/>
    </w:rPr>
  </w:style>
  <w:style w:type="paragraph" w:customStyle="1" w:styleId="44">
    <w:name w:val="Char Char7"/>
    <w:basedOn w:val="1"/>
    <w:qFormat/>
    <w:uiPriority w:val="0"/>
    <w:pPr>
      <w:widowControl/>
      <w:tabs>
        <w:tab w:val="left" w:pos="432"/>
      </w:tabs>
      <w:adjustRightInd/>
      <w:spacing w:after="160" w:line="240" w:lineRule="exact"/>
      <w:ind w:left="432" w:hanging="432"/>
    </w:pPr>
    <w:rPr>
      <w:rFonts w:ascii="Verdana" w:hAnsi="Verdana" w:eastAsia="宋体"/>
      <w:b/>
      <w:sz w:val="24"/>
      <w:szCs w:val="24"/>
      <w:lang w:eastAsia="en-US"/>
    </w:rPr>
  </w:style>
  <w:style w:type="paragraph" w:customStyle="1" w:styleId="45">
    <w:name w:val="Char Char Char Char1"/>
    <w:basedOn w:val="1"/>
    <w:qFormat/>
    <w:uiPriority w:val="0"/>
    <w:pPr>
      <w:spacing w:line="360" w:lineRule="auto"/>
      <w:jc w:val="both"/>
    </w:pPr>
    <w:rPr>
      <w:rFonts w:ascii="Calibri" w:hAnsi="Calibri" w:eastAsia="宋体" w:cs="黑体"/>
      <w:sz w:val="24"/>
    </w:rPr>
  </w:style>
  <w:style w:type="paragraph" w:customStyle="1" w:styleId="46">
    <w:name w:val="Char"/>
    <w:basedOn w:val="1"/>
    <w:qFormat/>
    <w:uiPriority w:val="0"/>
    <w:pPr>
      <w:adjustRightInd/>
      <w:spacing w:line="240" w:lineRule="auto"/>
      <w:jc w:val="both"/>
    </w:pPr>
    <w:rPr>
      <w:rFonts w:ascii="宋体" w:hAnsi="宋体" w:eastAsia="宋体" w:cs="Courier New"/>
      <w:kern w:val="2"/>
      <w:szCs w:val="32"/>
    </w:rPr>
  </w:style>
  <w:style w:type="paragraph" w:customStyle="1" w:styleId="47">
    <w:name w:val="Char Char5 Char Char"/>
    <w:basedOn w:val="7"/>
    <w:qFormat/>
    <w:uiPriority w:val="0"/>
    <w:pPr>
      <w:spacing w:line="436" w:lineRule="exact"/>
      <w:ind w:left="357"/>
      <w:outlineLvl w:val="3"/>
    </w:pPr>
    <w:rPr>
      <w:rFonts w:ascii="Tahoma" w:hAnsi="Tahoma"/>
      <w:b w:val="0"/>
      <w:kern w:val="2"/>
      <w:sz w:val="24"/>
    </w:rPr>
  </w:style>
  <w:style w:type="paragraph" w:customStyle="1" w:styleId="48">
    <w:name w:val="p0"/>
    <w:basedOn w:val="1"/>
    <w:qFormat/>
    <w:uiPriority w:val="0"/>
    <w:pPr>
      <w:widowControl/>
      <w:adjustRightInd/>
      <w:spacing w:line="240" w:lineRule="auto"/>
      <w:jc w:val="both"/>
    </w:pPr>
    <w:rPr>
      <w:rFonts w:eastAsia="宋体"/>
      <w:sz w:val="21"/>
      <w:szCs w:val="21"/>
    </w:rPr>
  </w:style>
  <w:style w:type="paragraph" w:customStyle="1" w:styleId="49">
    <w:name w:val="正文 A"/>
    <w:qFormat/>
    <w:uiPriority w:val="0"/>
    <w:pPr>
      <w:widowControl w:val="0"/>
      <w:jc w:val="both"/>
    </w:pPr>
    <w:rPr>
      <w:rFonts w:ascii="Lucida Grande" w:hAnsi="Lucida Grande" w:eastAsia="ヒラギノ角ゴ Pro W3" w:cs="Times New Roman"/>
      <w:color w:val="000000"/>
      <w:kern w:val="2"/>
      <w:sz w:val="21"/>
      <w:lang w:val="en-US" w:eastAsia="zh-CN" w:bidi="ar-SA"/>
    </w:rPr>
  </w:style>
  <w:style w:type="paragraph" w:customStyle="1" w:styleId="50">
    <w:name w:val="Char Char Char Char Char Char Char Char Char Char Char Char Char Char Char Char Char Char Char"/>
    <w:basedOn w:val="1"/>
    <w:qFormat/>
    <w:uiPriority w:val="0"/>
    <w:pPr>
      <w:widowControl/>
      <w:adjustRightInd/>
      <w:spacing w:after="160" w:line="240" w:lineRule="exact"/>
    </w:pPr>
    <w:rPr>
      <w:rFonts w:ascii="Verdana" w:hAnsi="Verdana" w:eastAsia="黑体"/>
      <w:sz w:val="24"/>
      <w:lang w:eastAsia="en-US"/>
    </w:rPr>
  </w:style>
  <w:style w:type="paragraph" w:customStyle="1" w:styleId="51">
    <w:name w:val="_Style 1"/>
    <w:basedOn w:val="1"/>
    <w:next w:val="14"/>
    <w:qFormat/>
    <w:uiPriority w:val="0"/>
    <w:pPr>
      <w:adjustRightInd/>
      <w:spacing w:line="240" w:lineRule="auto"/>
      <w:ind w:firstLine="640" w:firstLineChars="200"/>
      <w:jc w:val="both"/>
    </w:pPr>
    <w:rPr>
      <w:rFonts w:eastAsia="宋体"/>
      <w:kern w:val="2"/>
    </w:rPr>
  </w:style>
  <w:style w:type="paragraph" w:customStyle="1" w:styleId="52">
    <w:name w:val="Char Char Char Char Char Char Char Char Char1 Char"/>
    <w:basedOn w:val="1"/>
    <w:qFormat/>
    <w:uiPriority w:val="0"/>
    <w:pPr>
      <w:adjustRightInd/>
      <w:spacing w:line="240" w:lineRule="auto"/>
      <w:jc w:val="both"/>
    </w:pPr>
    <w:rPr>
      <w:rFonts w:ascii="Verdana" w:hAnsi="Verdana" w:eastAsia="宋体"/>
      <w:b/>
      <w:sz w:val="24"/>
      <w:szCs w:val="24"/>
      <w:lang w:eastAsia="en-US"/>
    </w:rPr>
  </w:style>
  <w:style w:type="paragraph" w:customStyle="1" w:styleId="53">
    <w:name w:val="Char11"/>
    <w:basedOn w:val="1"/>
    <w:qFormat/>
    <w:uiPriority w:val="0"/>
    <w:pPr>
      <w:widowControl/>
      <w:tabs>
        <w:tab w:val="left" w:pos="432"/>
      </w:tabs>
      <w:adjustRightInd/>
      <w:spacing w:after="160" w:line="240" w:lineRule="exact"/>
    </w:pPr>
    <w:rPr>
      <w:rFonts w:ascii="Verdana" w:hAnsi="Verdana" w:eastAsia="宋体"/>
      <w:b/>
      <w:sz w:val="24"/>
      <w:szCs w:val="24"/>
      <w:lang w:eastAsia="en-US"/>
    </w:rPr>
  </w:style>
  <w:style w:type="paragraph" w:customStyle="1" w:styleId="54">
    <w:name w:val="content5"/>
    <w:basedOn w:val="1"/>
    <w:qFormat/>
    <w:uiPriority w:val="0"/>
    <w:pPr>
      <w:widowControl/>
      <w:adjustRightInd/>
      <w:spacing w:before="100" w:beforeAutospacing="1" w:after="100" w:afterAutospacing="1" w:line="240" w:lineRule="auto"/>
    </w:pPr>
    <w:rPr>
      <w:rFonts w:ascii="宋体" w:hAnsi="宋体" w:eastAsia="宋体" w:cs="宋体"/>
      <w:color w:val="000000"/>
      <w:sz w:val="24"/>
      <w:szCs w:val="24"/>
    </w:rPr>
  </w:style>
  <w:style w:type="paragraph" w:customStyle="1" w:styleId="55">
    <w:name w:val="_Style 43"/>
    <w:link w:val="75"/>
    <w:qFormat/>
    <w:uiPriority w:val="0"/>
    <w:rPr>
      <w:rFonts w:ascii="Calibri" w:hAnsi="Calibri" w:eastAsia="宋体" w:cs="Times New Roman"/>
      <w:sz w:val="22"/>
      <w:szCs w:val="22"/>
      <w:lang w:val="en-US" w:eastAsia="zh-CN" w:bidi="ar-SA"/>
    </w:rPr>
  </w:style>
  <w:style w:type="paragraph" w:customStyle="1" w:styleId="56">
    <w:name w:val="Char Char Char Char Char Char Char"/>
    <w:basedOn w:val="1"/>
    <w:qFormat/>
    <w:uiPriority w:val="0"/>
    <w:pPr>
      <w:widowControl/>
      <w:adjustRightInd/>
      <w:spacing w:after="160" w:line="240" w:lineRule="exact"/>
    </w:pPr>
    <w:rPr>
      <w:rFonts w:eastAsia="宋体"/>
      <w:kern w:val="2"/>
      <w:sz w:val="21"/>
    </w:rPr>
  </w:style>
  <w:style w:type="paragraph" w:customStyle="1" w:styleId="57">
    <w:name w:val="Char1"/>
    <w:basedOn w:val="7"/>
    <w:qFormat/>
    <w:uiPriority w:val="0"/>
    <w:pPr>
      <w:spacing w:line="436" w:lineRule="exact"/>
      <w:ind w:left="357"/>
      <w:outlineLvl w:val="3"/>
    </w:pPr>
    <w:rPr>
      <w:rFonts w:ascii="Times New Roman" w:hAnsi="Times New Roman"/>
      <w:kern w:val="2"/>
      <w:sz w:val="21"/>
    </w:rPr>
  </w:style>
  <w:style w:type="paragraph" w:customStyle="1" w:styleId="58">
    <w:name w:val="Char Char Char Char"/>
    <w:basedOn w:val="7"/>
    <w:qFormat/>
    <w:uiPriority w:val="0"/>
    <w:pPr>
      <w:spacing w:line="436" w:lineRule="exact"/>
      <w:ind w:left="357"/>
      <w:outlineLvl w:val="3"/>
    </w:pPr>
    <w:rPr>
      <w:rFonts w:ascii="Tahoma" w:hAnsi="Tahoma"/>
      <w:b w:val="0"/>
      <w:kern w:val="2"/>
      <w:sz w:val="24"/>
    </w:rPr>
  </w:style>
  <w:style w:type="paragraph" w:customStyle="1" w:styleId="59">
    <w:name w:val="_Style 31"/>
    <w:basedOn w:val="1"/>
    <w:qFormat/>
    <w:uiPriority w:val="0"/>
    <w:pPr>
      <w:widowControl/>
      <w:numPr>
        <w:ilvl w:val="0"/>
        <w:numId w:val="1"/>
      </w:numPr>
      <w:tabs>
        <w:tab w:val="left" w:pos="432"/>
      </w:tabs>
      <w:adjustRightInd/>
      <w:spacing w:after="160" w:line="240" w:lineRule="exact"/>
    </w:pPr>
    <w:rPr>
      <w:rFonts w:ascii="Verdana" w:hAnsi="Verdana" w:eastAsia="宋体"/>
      <w:b/>
      <w:sz w:val="24"/>
      <w:szCs w:val="24"/>
      <w:lang w:eastAsia="en-US"/>
    </w:rPr>
  </w:style>
  <w:style w:type="paragraph" w:customStyle="1" w:styleId="60">
    <w:name w:val="_Style 4"/>
    <w:basedOn w:val="1"/>
    <w:qFormat/>
    <w:uiPriority w:val="0"/>
    <w:pPr>
      <w:adjustRightInd/>
      <w:spacing w:line="240" w:lineRule="auto"/>
      <w:jc w:val="both"/>
    </w:pPr>
    <w:rPr>
      <w:rFonts w:eastAsia="宋体"/>
      <w:kern w:val="2"/>
      <w:sz w:val="21"/>
      <w:szCs w:val="24"/>
    </w:rPr>
  </w:style>
  <w:style w:type="paragraph" w:customStyle="1" w:styleId="61">
    <w:name w:val="Char Char1 Char Char Char Char Char Char"/>
    <w:basedOn w:val="1"/>
    <w:qFormat/>
    <w:uiPriority w:val="0"/>
    <w:pPr>
      <w:widowControl/>
      <w:numPr>
        <w:ilvl w:val="0"/>
        <w:numId w:val="2"/>
      </w:numPr>
      <w:adjustRightInd/>
      <w:spacing w:after="160" w:line="240" w:lineRule="exact"/>
    </w:pPr>
    <w:rPr>
      <w:rFonts w:ascii="Verdana" w:hAnsi="Verdana" w:eastAsia="宋体"/>
      <w:b/>
      <w:sz w:val="24"/>
      <w:szCs w:val="24"/>
      <w:lang w:eastAsia="en-US"/>
    </w:rPr>
  </w:style>
  <w:style w:type="paragraph" w:customStyle="1" w:styleId="62">
    <w:name w:val="Char Char Char Char Char1 Char"/>
    <w:basedOn w:val="1"/>
    <w:qFormat/>
    <w:uiPriority w:val="0"/>
    <w:pPr>
      <w:adjustRightInd/>
      <w:spacing w:after="160" w:line="240" w:lineRule="exact"/>
    </w:pPr>
    <w:rPr>
      <w:rFonts w:eastAsia="宋体"/>
      <w:kern w:val="2"/>
      <w:sz w:val="24"/>
      <w:szCs w:val="24"/>
      <w:lang w:eastAsia="en-US"/>
    </w:rPr>
  </w:style>
  <w:style w:type="paragraph" w:customStyle="1" w:styleId="63">
    <w:name w:val="Char1 Char Char Char"/>
    <w:basedOn w:val="1"/>
    <w:qFormat/>
    <w:uiPriority w:val="0"/>
    <w:pPr>
      <w:adjustRightInd/>
      <w:spacing w:line="240" w:lineRule="auto"/>
      <w:jc w:val="both"/>
    </w:pPr>
    <w:rPr>
      <w:rFonts w:eastAsia="宋体"/>
      <w:kern w:val="2"/>
      <w:sz w:val="21"/>
    </w:rPr>
  </w:style>
  <w:style w:type="character" w:customStyle="1" w:styleId="64">
    <w:name w:val="标题 2 字符"/>
    <w:link w:val="5"/>
    <w:qFormat/>
    <w:uiPriority w:val="0"/>
    <w:rPr>
      <w:rFonts w:ascii="Arial" w:hAnsi="Arial" w:eastAsia="黑体" w:cs="Times New Roman"/>
      <w:b/>
      <w:bCs/>
      <w:kern w:val="2"/>
      <w:sz w:val="32"/>
      <w:szCs w:val="32"/>
      <w:lang w:val="en-US" w:eastAsia="zh-CN" w:bidi="ar-SA"/>
    </w:rPr>
  </w:style>
  <w:style w:type="character" w:customStyle="1" w:styleId="65">
    <w:name w:val="正文文本缩进 字符"/>
    <w:link w:val="10"/>
    <w:qFormat/>
    <w:uiPriority w:val="0"/>
    <w:rPr>
      <w:rFonts w:ascii="Verdana" w:hAnsi="Verdana" w:eastAsia="仿宋_GB2312" w:cs="Times New Roman"/>
      <w:b/>
      <w:sz w:val="28"/>
      <w:szCs w:val="24"/>
      <w:lang w:val="en-US" w:eastAsia="zh-CN" w:bidi="ar-SA"/>
    </w:rPr>
  </w:style>
  <w:style w:type="character" w:customStyle="1" w:styleId="66">
    <w:name w:val="标题 1 字符"/>
    <w:link w:val="3"/>
    <w:qFormat/>
    <w:uiPriority w:val="0"/>
    <w:rPr>
      <w:rFonts w:ascii="仿宋_GB2312" w:hAnsi="仿宋_GB2312" w:eastAsia="仿宋_GB2312" w:cs="Times New Roman"/>
      <w:b/>
      <w:bCs/>
      <w:kern w:val="44"/>
      <w:sz w:val="44"/>
      <w:szCs w:val="44"/>
      <w:lang w:val="en-US" w:eastAsia="zh-CN" w:bidi="ar-SA"/>
    </w:rPr>
  </w:style>
  <w:style w:type="character" w:customStyle="1" w:styleId="67">
    <w:name w:val="标题 3 字符"/>
    <w:link w:val="6"/>
    <w:qFormat/>
    <w:uiPriority w:val="0"/>
    <w:rPr>
      <w:rFonts w:ascii="仿宋_GB2312" w:hAnsi="仿宋_GB2312" w:eastAsia="仿宋_GB2312" w:cs="Times New Roman"/>
      <w:b/>
      <w:bCs/>
      <w:kern w:val="2"/>
      <w:sz w:val="32"/>
      <w:szCs w:val="32"/>
      <w:lang w:val="en-US" w:eastAsia="zh-CN" w:bidi="ar-SA"/>
    </w:rPr>
  </w:style>
  <w:style w:type="character" w:customStyle="1" w:styleId="68">
    <w:name w:val="批注文字 字符"/>
    <w:link w:val="8"/>
    <w:qFormat/>
    <w:uiPriority w:val="0"/>
    <w:rPr>
      <w:rFonts w:ascii="仿宋_GB2312" w:hAnsi="仿宋_GB2312" w:eastAsia="仿宋_GB2312" w:cs="Times New Roman"/>
      <w:b/>
      <w:kern w:val="2"/>
      <w:sz w:val="30"/>
      <w:szCs w:val="24"/>
      <w:lang w:val="en-US" w:eastAsia="zh-CN" w:bidi="ar-SA"/>
    </w:rPr>
  </w:style>
  <w:style w:type="character" w:customStyle="1" w:styleId="69">
    <w:name w:val="页脚 字符"/>
    <w:link w:val="16"/>
    <w:qFormat/>
    <w:uiPriority w:val="0"/>
    <w:rPr>
      <w:rFonts w:ascii="Verdana" w:hAnsi="Verdana" w:eastAsia="仿宋_GB2312" w:cs="Times New Roman"/>
      <w:b/>
      <w:sz w:val="18"/>
      <w:szCs w:val="18"/>
      <w:lang w:val="en-US" w:eastAsia="zh-CN" w:bidi="ar-SA"/>
    </w:rPr>
  </w:style>
  <w:style w:type="character" w:customStyle="1" w:styleId="70">
    <w:name w:val="批注主题 字符"/>
    <w:link w:val="26"/>
    <w:qFormat/>
    <w:uiPriority w:val="0"/>
    <w:rPr>
      <w:rFonts w:ascii="仿宋_GB2312" w:hAnsi="仿宋_GB2312" w:eastAsia="仿宋_GB2312" w:cs="Times New Roman"/>
      <w:b/>
      <w:bCs/>
      <w:kern w:val="2"/>
      <w:sz w:val="30"/>
      <w:szCs w:val="24"/>
      <w:lang w:val="en-US" w:eastAsia="zh-CN" w:bidi="ar-SA"/>
    </w:rPr>
  </w:style>
  <w:style w:type="character" w:customStyle="1" w:styleId="71">
    <w:name w:val="文档结构图 字符"/>
    <w:link w:val="7"/>
    <w:qFormat/>
    <w:uiPriority w:val="0"/>
    <w:rPr>
      <w:rFonts w:ascii="Verdana" w:hAnsi="Verdana" w:eastAsia="仿宋_GB2312" w:cs="Times New Roman"/>
      <w:b/>
      <w:sz w:val="32"/>
      <w:szCs w:val="24"/>
      <w:lang w:val="en-US" w:eastAsia="zh-CN" w:bidi="ar-SA"/>
    </w:rPr>
  </w:style>
  <w:style w:type="character" w:customStyle="1" w:styleId="72">
    <w:name w:val="页眉 字符"/>
    <w:link w:val="17"/>
    <w:qFormat/>
    <w:uiPriority w:val="0"/>
    <w:rPr>
      <w:rFonts w:ascii="Verdana" w:hAnsi="Verdana" w:eastAsia="仿宋_GB2312" w:cs="Times New Roman"/>
      <w:b/>
      <w:sz w:val="18"/>
      <w:szCs w:val="18"/>
      <w:lang w:val="en-US" w:eastAsia="zh-CN" w:bidi="ar-SA"/>
    </w:rPr>
  </w:style>
  <w:style w:type="character" w:customStyle="1" w:styleId="73">
    <w:name w:val="正文文本 2 字符"/>
    <w:link w:val="23"/>
    <w:qFormat/>
    <w:uiPriority w:val="0"/>
    <w:rPr>
      <w:rFonts w:ascii="Times New Roman" w:hAnsi="Times New Roman" w:eastAsia="仿宋_GB2312" w:cs="Times New Roman"/>
      <w:sz w:val="32"/>
    </w:rPr>
  </w:style>
  <w:style w:type="character" w:customStyle="1" w:styleId="74">
    <w:name w:val="纯文本 字符"/>
    <w:link w:val="12"/>
    <w:qFormat/>
    <w:uiPriority w:val="0"/>
    <w:rPr>
      <w:rFonts w:ascii="宋体" w:hAnsi="Courier New" w:eastAsia="仿宋_GB2312" w:cs="Times New Roman"/>
      <w:sz w:val="24"/>
      <w:szCs w:val="21"/>
      <w:lang w:bidi="ar-SA"/>
    </w:rPr>
  </w:style>
  <w:style w:type="character" w:customStyle="1" w:styleId="75">
    <w:name w:val="无间隔 Char"/>
    <w:link w:val="55"/>
    <w:qFormat/>
    <w:uiPriority w:val="0"/>
    <w:rPr>
      <w:rFonts w:ascii="Calibri" w:hAnsi="Calibri" w:eastAsia="宋体" w:cs="Times New Roman"/>
      <w:sz w:val="22"/>
      <w:szCs w:val="22"/>
      <w:lang w:val="en-US" w:eastAsia="zh-CN" w:bidi="ar-SA"/>
    </w:rPr>
  </w:style>
  <w:style w:type="character" w:customStyle="1" w:styleId="76">
    <w:name w:val="apple-style-span"/>
    <w:basedOn w:val="30"/>
    <w:qFormat/>
    <w:uiPriority w:val="0"/>
    <w:rPr>
      <w:rFonts w:ascii="Times New Roman" w:hAnsi="Times New Roman" w:eastAsia="宋体" w:cs="Times New Roman"/>
    </w:rPr>
  </w:style>
  <w:style w:type="character" w:customStyle="1" w:styleId="77">
    <w:name w:val="批注框文本 字符"/>
    <w:link w:val="15"/>
    <w:qFormat/>
    <w:uiPriority w:val="0"/>
    <w:rPr>
      <w:rFonts w:ascii="仿宋_GB2312" w:hAnsi="仿宋_GB2312" w:eastAsia="仿宋_GB2312" w:cs="Times New Roman"/>
      <w:b/>
      <w:kern w:val="2"/>
      <w:sz w:val="18"/>
      <w:szCs w:val="18"/>
      <w:lang w:val="en-US" w:eastAsia="zh-CN" w:bidi="ar-SA"/>
    </w:rPr>
  </w:style>
  <w:style w:type="character" w:customStyle="1" w:styleId="78">
    <w:name w:val="content11"/>
    <w:qFormat/>
    <w:uiPriority w:val="0"/>
    <w:rPr>
      <w:rFonts w:hint="eastAsia" w:ascii="宋体" w:hAnsi="宋体" w:eastAsia="宋体" w:cs="Times New Roman"/>
      <w:b/>
      <w:color w:val="333333"/>
      <w:sz w:val="21"/>
      <w:szCs w:val="21"/>
      <w:u w:val="none"/>
      <w:lang w:val="en-US" w:eastAsia="en-US" w:bidi="ar-SA"/>
    </w:rPr>
  </w:style>
  <w:style w:type="character" w:customStyle="1" w:styleId="79">
    <w:name w:val="正文文本 字符"/>
    <w:link w:val="9"/>
    <w:qFormat/>
    <w:uiPriority w:val="0"/>
    <w:rPr>
      <w:rFonts w:ascii="Times New Roman" w:hAnsi="Times New Roman" w:eastAsia="仿宋_GB2312" w:cs="Times New Roman"/>
      <w:kern w:val="2"/>
      <w:sz w:val="32"/>
      <w:szCs w:val="32"/>
    </w:rPr>
  </w:style>
  <w:style w:type="character" w:customStyle="1" w:styleId="80">
    <w:name w:val="fontstyle01"/>
    <w:basedOn w:val="30"/>
    <w:qFormat/>
    <w:uiPriority w:val="0"/>
    <w:rPr>
      <w:rFonts w:ascii="仿宋_GB2312" w:hAnsi="仿宋_GB2312" w:eastAsia="仿宋_GB2312" w:cs="仿宋_GB2312"/>
      <w:color w:val="000000"/>
      <w:sz w:val="32"/>
      <w:szCs w:val="32"/>
    </w:rPr>
  </w:style>
  <w:style w:type="paragraph" w:customStyle="1" w:styleId="81">
    <w:name w:val="我的正文"/>
    <w:basedOn w:val="1"/>
    <w:qFormat/>
    <w:uiPriority w:val="0"/>
    <w:pPr>
      <w:spacing w:line="560" w:lineRule="exact"/>
      <w:ind w:firstLine="200" w:firstLineChars="200"/>
      <w:jc w:val="both"/>
    </w:pPr>
  </w:style>
  <w:style w:type="character" w:customStyle="1" w:styleId="82">
    <w:name w:val="index-module_accountauthentication_3bwix"/>
    <w:basedOn w:val="30"/>
    <w:qFormat/>
    <w:uiPriority w:val="0"/>
  </w:style>
  <w:style w:type="character" w:customStyle="1" w:styleId="83">
    <w:name w:val="c-icon28"/>
    <w:basedOn w:val="30"/>
    <w:qFormat/>
    <w:uiPriority w:val="0"/>
  </w:style>
  <w:style w:type="character" w:customStyle="1" w:styleId="84">
    <w:name w:val="hover29"/>
    <w:basedOn w:val="30"/>
    <w:qFormat/>
    <w:uiPriority w:val="0"/>
  </w:style>
  <w:style w:type="character" w:customStyle="1" w:styleId="85">
    <w:name w:val="hover30"/>
    <w:basedOn w:val="30"/>
    <w:qFormat/>
    <w:uiPriority w:val="0"/>
    <w:rPr>
      <w:color w:val="315EFB"/>
    </w:rPr>
  </w:style>
  <w:style w:type="character" w:customStyle="1" w:styleId="86">
    <w:name w:val="icon_video"/>
    <w:basedOn w:val="30"/>
    <w:qFormat/>
    <w:uiPriority w:val="0"/>
  </w:style>
  <w:style w:type="character" w:customStyle="1" w:styleId="87">
    <w:name w:val="one"/>
    <w:basedOn w:val="30"/>
    <w:qFormat/>
    <w:uiPriority w:val="0"/>
    <w:rPr>
      <w:color w:val="003366"/>
    </w:rPr>
  </w:style>
  <w:style w:type="character" w:customStyle="1" w:styleId="88">
    <w:name w:val="after"/>
    <w:basedOn w:val="30"/>
    <w:qFormat/>
    <w:uiPriority w:val="0"/>
    <w:rPr>
      <w:bdr w:val="single" w:color="auto" w:sz="2" w:space="0"/>
    </w:rPr>
  </w:style>
  <w:style w:type="character" w:customStyle="1" w:styleId="89">
    <w:name w:val="nth-child(2)"/>
    <w:basedOn w:val="30"/>
    <w:qFormat/>
    <w:uiPriority w:val="0"/>
    <w:rPr>
      <w:color w:val="333333"/>
      <w:sz w:val="14"/>
      <w:szCs w:val="14"/>
    </w:rPr>
  </w:style>
  <w:style w:type="character" w:customStyle="1" w:styleId="90">
    <w:name w:val="nth-child(1)"/>
    <w:basedOn w:val="30"/>
    <w:qFormat/>
    <w:uiPriority w:val="0"/>
    <w:rPr>
      <w:color w:val="333333"/>
      <w:sz w:val="14"/>
      <w:szCs w:val="14"/>
    </w:rPr>
  </w:style>
  <w:style w:type="character" w:customStyle="1" w:styleId="91">
    <w:name w:val="time"/>
    <w:basedOn w:val="30"/>
    <w:qFormat/>
    <w:uiPriority w:val="0"/>
    <w:rPr>
      <w:rFonts w:ascii="Arial" w:hAnsi="Arial" w:cs="Arial"/>
    </w:rPr>
  </w:style>
  <w:style w:type="character" w:customStyle="1" w:styleId="92">
    <w:name w:val="select2-selection__rendered"/>
    <w:basedOn w:val="30"/>
    <w:qFormat/>
    <w:uiPriority w:val="0"/>
    <w:rPr>
      <w:sz w:val="14"/>
      <w:szCs w:val="14"/>
    </w:rPr>
  </w:style>
  <w:style w:type="character" w:customStyle="1" w:styleId="93">
    <w:name w:val="after7"/>
    <w:basedOn w:val="30"/>
    <w:qFormat/>
    <w:uiPriority w:val="0"/>
    <w:rPr>
      <w:bdr w:val="single" w:color="auto" w:sz="2" w:space="0"/>
    </w:rPr>
  </w:style>
  <w:style w:type="character" w:customStyle="1" w:styleId="94">
    <w:name w:val="nth-child(2)1"/>
    <w:basedOn w:val="30"/>
    <w:qFormat/>
    <w:uiPriority w:val="0"/>
    <w:rPr>
      <w:color w:val="333333"/>
      <w:sz w:val="14"/>
      <w:szCs w:val="14"/>
    </w:rPr>
  </w:style>
  <w:style w:type="character" w:customStyle="1" w:styleId="95">
    <w:name w:val="nth-child(1)1"/>
    <w:basedOn w:val="30"/>
    <w:qFormat/>
    <w:uiPriority w:val="0"/>
    <w:rPr>
      <w:color w:val="333333"/>
      <w:sz w:val="14"/>
      <w:szCs w:val="14"/>
    </w:rPr>
  </w:style>
  <w:style w:type="character" w:customStyle="1" w:styleId="96">
    <w:name w:val="tybh"/>
    <w:basedOn w:val="30"/>
    <w:qFormat/>
    <w:uiPriority w:val="0"/>
    <w:rPr>
      <w:color w:val="DB140C"/>
      <w:sz w:val="19"/>
      <w:szCs w:val="19"/>
    </w:rPr>
  </w:style>
  <w:style w:type="character" w:customStyle="1" w:styleId="97">
    <w:name w:val="oh_cont_zwgk_fl_onebox_fl_zfld_box_qz_span_tit"/>
    <w:basedOn w:val="30"/>
    <w:qFormat/>
    <w:uiPriority w:val="0"/>
    <w:rPr>
      <w:color w:val="3F93DD"/>
      <w:sz w:val="16"/>
      <w:szCs w:val="16"/>
    </w:rPr>
  </w:style>
  <w:style w:type="paragraph" w:styleId="98">
    <w:name w:val="List Paragraph"/>
    <w:basedOn w:val="1"/>
    <w:qFormat/>
    <w:uiPriority w:val="99"/>
    <w:pPr>
      <w:ind w:firstLine="420" w:firstLineChars="200"/>
    </w:pPr>
  </w:style>
  <w:style w:type="paragraph" w:customStyle="1" w:styleId="99">
    <w:name w:val="TOC 标题1"/>
    <w:basedOn w:val="3"/>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BB3C53-8D82-4F54-A75A-14670DEBFC76}">
  <ds:schemaRefs/>
</ds:datastoreItem>
</file>

<file path=docProps/app.xml><?xml version="1.0" encoding="utf-8"?>
<Properties xmlns="http://schemas.openxmlformats.org/officeDocument/2006/extended-properties" xmlns:vt="http://schemas.openxmlformats.org/officeDocument/2006/docPropsVTypes">
  <Template>Normal.dotm</Template>
  <Company>天盟科技开发公司-http://www.tmli.net</Company>
  <Pages>16</Pages>
  <Words>1539</Words>
  <Characters>8773</Characters>
  <Lines>73</Lines>
  <Paragraphs>20</Paragraphs>
  <TotalTime>0</TotalTime>
  <ScaleCrop>false</ScaleCrop>
  <LinksUpToDate>false</LinksUpToDate>
  <CharactersWithSpaces>10292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2018-11-20T07:44:00Z</dcterms:created>
  <dc:creator>李天盟(tml@qq.com)</dc:creator>
  <cp:lastModifiedBy>永动</cp:lastModifiedBy>
  <cp:lastPrinted>2021-11-19T03:50:00Z</cp:lastPrinted>
  <dcterms:modified xsi:type="dcterms:W3CDTF">2021-11-19T07:51:55Z</dcterms:modified>
  <dc:title>东  发 〔2007〕 22 号</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2E4D0675F39F4CECA7A5BC3A927C02DE</vt:lpwstr>
  </property>
</Properties>
</file>