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40" w:lineRule="exact"/>
        <w:jc w:val="center"/>
        <w:rPr>
          <w:rFonts w:ascii="宋体" w:hAnsi="宋体"/>
          <w:b w:val="0"/>
          <w:bCs/>
          <w:sz w:val="44"/>
          <w:szCs w:val="44"/>
        </w:rPr>
      </w:pPr>
      <w:r>
        <w:rPr>
          <w:rFonts w:hint="eastAsia" w:ascii="宋体" w:hAnsi="宋体"/>
          <w:b w:val="0"/>
          <w:bCs/>
          <w:sz w:val="44"/>
          <w:szCs w:val="44"/>
        </w:rPr>
        <w:t>北京市</w:t>
      </w:r>
      <w:r>
        <w:rPr>
          <w:rFonts w:hint="eastAsia" w:ascii="宋体" w:hAnsi="宋体"/>
          <w:b w:val="0"/>
          <w:bCs/>
          <w:sz w:val="44"/>
          <w:szCs w:val="44"/>
          <w:lang w:eastAsia="zh-CN"/>
        </w:rPr>
        <w:t>门头沟</w:t>
      </w:r>
      <w:r>
        <w:rPr>
          <w:rFonts w:hint="eastAsia" w:ascii="宋体" w:hAnsi="宋体"/>
          <w:b w:val="0"/>
          <w:bCs/>
          <w:sz w:val="44"/>
          <w:szCs w:val="44"/>
        </w:rPr>
        <w:t>区</w:t>
      </w:r>
      <w:r>
        <w:rPr>
          <w:rFonts w:hint="eastAsia" w:ascii="宋体" w:hAnsi="宋体"/>
          <w:b w:val="0"/>
          <w:bCs/>
          <w:sz w:val="44"/>
          <w:szCs w:val="44"/>
          <w:lang w:eastAsia="zh-CN"/>
        </w:rPr>
        <w:t>人民防空工程</w:t>
      </w:r>
    </w:p>
    <w:p>
      <w:pPr>
        <w:spacing w:line="740" w:lineRule="exact"/>
        <w:jc w:val="center"/>
        <w:rPr>
          <w:rFonts w:ascii="宋体" w:hAnsi="宋体"/>
          <w:b w:val="0"/>
          <w:bCs/>
          <w:sz w:val="44"/>
          <w:szCs w:val="44"/>
        </w:rPr>
      </w:pPr>
      <w:r>
        <w:rPr>
          <w:rFonts w:hint="eastAsia" w:ascii="宋体" w:hAnsi="宋体"/>
          <w:b w:val="0"/>
          <w:bCs/>
          <w:sz w:val="44"/>
          <w:szCs w:val="44"/>
          <w:lang w:eastAsia="zh-CN"/>
        </w:rPr>
        <w:t>平时</w:t>
      </w:r>
      <w:r>
        <w:rPr>
          <w:rFonts w:hint="eastAsia" w:ascii="宋体" w:hAnsi="宋体"/>
          <w:b w:val="0"/>
          <w:bCs/>
          <w:sz w:val="44"/>
          <w:szCs w:val="44"/>
        </w:rPr>
        <w:t>使用收费</w:t>
      </w:r>
      <w:r>
        <w:rPr>
          <w:rFonts w:hint="eastAsia" w:ascii="宋体" w:hAnsi="宋体"/>
          <w:b w:val="0"/>
          <w:bCs/>
          <w:sz w:val="44"/>
          <w:szCs w:val="44"/>
          <w:lang w:eastAsia="zh-CN"/>
        </w:rPr>
        <w:t>管理规定</w:t>
      </w:r>
    </w:p>
    <w:p>
      <w:pPr>
        <w:spacing w:line="520" w:lineRule="exact"/>
        <w:jc w:val="center"/>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(征求意见稿）</w:t>
      </w:r>
    </w:p>
    <w:p>
      <w:pPr>
        <w:spacing w:line="520" w:lineRule="exact"/>
        <w:ind w:firstLine="640" w:firstLineChars="200"/>
        <w:rPr>
          <w:rFonts w:ascii="仿宋_GB2312" w:hAnsi="仿宋" w:eastAsia="仿宋_GB2312"/>
          <w:sz w:val="32"/>
          <w:szCs w:val="32"/>
        </w:rPr>
      </w:pP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为规范门头沟区公用人防工程（以下简称人防工程）使用收费管理，</w:t>
      </w:r>
      <w:r>
        <w:rPr>
          <w:rFonts w:hint="eastAsia" w:ascii="仿宋_GB2312" w:hAnsi="仿宋" w:eastAsia="仿宋_GB2312"/>
          <w:sz w:val="32"/>
          <w:szCs w:val="32"/>
        </w:rPr>
        <w:t>依据</w:t>
      </w:r>
      <w:r>
        <w:rPr>
          <w:rFonts w:hint="eastAsia" w:ascii="仿宋_GB2312" w:hAnsi="仿宋" w:eastAsia="仿宋_GB2312"/>
          <w:sz w:val="32"/>
          <w:szCs w:val="32"/>
          <w:lang w:eastAsia="zh-CN"/>
        </w:rPr>
        <w:t>《中华人民共和国人民防空法》、《北京市人民防空条例》、《北京市人民防空工程建设与使用管理规定》、</w:t>
      </w:r>
      <w:r>
        <w:rPr>
          <w:rFonts w:hint="eastAsia" w:ascii="仿宋_GB2312" w:hAnsi="仿宋" w:eastAsia="仿宋_GB2312"/>
          <w:sz w:val="32"/>
          <w:szCs w:val="32"/>
        </w:rPr>
        <w:t>《关于规范公用人防工程使用管理的通知》（</w:t>
      </w:r>
      <w:r>
        <w:rPr>
          <w:rFonts w:hint="eastAsia" w:ascii="仿宋_GB2312" w:hAnsi="宋体" w:eastAsia="仿宋_GB2312"/>
          <w:sz w:val="32"/>
        </w:rPr>
        <w:t>京民防发〔2017〕87号</w:t>
      </w:r>
      <w:r>
        <w:rPr>
          <w:rFonts w:hint="eastAsia" w:ascii="仿宋_GB2312" w:hAnsi="仿宋" w:eastAsia="仿宋_GB2312"/>
          <w:sz w:val="32"/>
          <w:szCs w:val="32"/>
        </w:rPr>
        <w:t>）、</w:t>
      </w:r>
      <w:r>
        <w:rPr>
          <w:rFonts w:hint="eastAsia" w:ascii="仿宋_GB2312" w:hAnsi="仿宋" w:eastAsia="仿宋_GB2312"/>
          <w:sz w:val="32"/>
          <w:szCs w:val="32"/>
          <w:lang w:eastAsia="zh-CN"/>
        </w:rPr>
        <w:t>《用于居住停车的防空地下室管理办法》（京人防发</w:t>
      </w:r>
      <w:r>
        <w:rPr>
          <w:rFonts w:hint="eastAsia" w:ascii="仿宋_GB2312" w:hAnsi="仿宋" w:eastAsia="仿宋_GB2312"/>
          <w:sz w:val="32"/>
          <w:szCs w:val="32"/>
          <w:lang w:val="en-US" w:eastAsia="zh-CN"/>
        </w:rPr>
        <w:t>[2019]57号</w:t>
      </w:r>
      <w:r>
        <w:rPr>
          <w:rFonts w:hint="eastAsia" w:ascii="仿宋_GB2312" w:hAnsi="仿宋" w:eastAsia="仿宋_GB2312"/>
          <w:sz w:val="32"/>
          <w:szCs w:val="32"/>
          <w:lang w:eastAsia="zh-CN"/>
        </w:rPr>
        <w:t>）等相关法律法规和文件精神，</w:t>
      </w:r>
      <w:r>
        <w:rPr>
          <w:rFonts w:hint="eastAsia" w:ascii="仿宋_GB2312" w:hAnsi="仿宋" w:eastAsia="仿宋_GB2312"/>
          <w:sz w:val="32"/>
          <w:szCs w:val="32"/>
        </w:rPr>
        <w:t>结合</w:t>
      </w:r>
      <w:r>
        <w:rPr>
          <w:rFonts w:hint="eastAsia" w:ascii="仿宋_GB2312" w:hAnsi="仿宋" w:eastAsia="仿宋_GB2312"/>
          <w:sz w:val="32"/>
          <w:szCs w:val="32"/>
          <w:lang w:eastAsia="zh-CN"/>
        </w:rPr>
        <w:t>本</w:t>
      </w:r>
      <w:r>
        <w:rPr>
          <w:rFonts w:hint="eastAsia" w:ascii="仿宋_GB2312" w:hAnsi="仿宋" w:eastAsia="仿宋_GB2312"/>
          <w:sz w:val="32"/>
          <w:szCs w:val="32"/>
        </w:rPr>
        <w:t>区实际情况制定本办法。</w:t>
      </w:r>
    </w:p>
    <w:p>
      <w:pPr>
        <w:spacing w:line="520" w:lineRule="exact"/>
        <w:ind w:firstLine="643" w:firstLineChars="200"/>
        <w:rPr>
          <w:rFonts w:ascii="仿宋_GB2312" w:hAnsi="仿宋" w:eastAsia="仿宋_GB2312"/>
          <w:color w:val="auto"/>
          <w:sz w:val="32"/>
          <w:szCs w:val="32"/>
        </w:rPr>
      </w:pPr>
      <w:r>
        <w:rPr>
          <w:rFonts w:hint="eastAsia" w:ascii="仿宋_GB2312" w:hAnsi="仿宋" w:eastAsia="仿宋_GB2312"/>
          <w:b/>
          <w:bCs/>
          <w:color w:val="auto"/>
          <w:sz w:val="32"/>
          <w:szCs w:val="32"/>
        </w:rPr>
        <w:t>第一条</w:t>
      </w:r>
      <w:r>
        <w:rPr>
          <w:rFonts w:hint="eastAsia" w:ascii="仿宋_GB2312" w:hAnsi="仿宋" w:eastAsia="仿宋_GB2312"/>
          <w:color w:val="auto"/>
          <w:sz w:val="32"/>
          <w:szCs w:val="32"/>
        </w:rPr>
        <w:t xml:space="preserve"> 人防工程按照用途法定的原则，坚持平战结合使用。人防工程使用</w:t>
      </w:r>
      <w:r>
        <w:rPr>
          <w:rFonts w:hint="eastAsia" w:ascii="仿宋_GB2312" w:hAnsi="仿宋" w:eastAsia="仿宋_GB2312"/>
          <w:color w:val="auto"/>
          <w:sz w:val="32"/>
          <w:szCs w:val="32"/>
          <w:lang w:eastAsia="zh-CN"/>
        </w:rPr>
        <w:t>单位落实“谁管理、谁负责；谁使用、谁负责”的原则，对使用的人防工程进行维护管理，使其保持战备功能和良好的安全使用状态。</w:t>
      </w:r>
    </w:p>
    <w:p>
      <w:pPr>
        <w:spacing w:line="520" w:lineRule="exact"/>
        <w:ind w:firstLine="643" w:firstLineChars="200"/>
        <w:rPr>
          <w:rFonts w:hint="eastAsia" w:ascii="仿宋" w:hAnsi="仿宋" w:eastAsia="仿宋" w:cs="仿宋"/>
          <w:color w:val="auto"/>
          <w:sz w:val="30"/>
          <w:szCs w:val="30"/>
        </w:rPr>
      </w:pPr>
      <w:r>
        <w:rPr>
          <w:rFonts w:hint="eastAsia" w:ascii="仿宋_GB2312" w:hAnsi="仿宋" w:eastAsia="仿宋_GB2312"/>
          <w:b/>
          <w:bCs/>
          <w:color w:val="auto"/>
          <w:sz w:val="32"/>
          <w:szCs w:val="32"/>
        </w:rPr>
        <w:t>第二条</w:t>
      </w:r>
      <w:r>
        <w:rPr>
          <w:rFonts w:hint="eastAsia" w:ascii="仿宋_GB2312" w:hAnsi="仿宋" w:eastAsia="仿宋_GB2312"/>
          <w:color w:val="auto"/>
          <w:sz w:val="32"/>
          <w:szCs w:val="32"/>
        </w:rPr>
        <w:t xml:space="preserve"> </w:t>
      </w:r>
      <w:r>
        <w:rPr>
          <w:rFonts w:hint="eastAsia" w:ascii="仿宋" w:hAnsi="仿宋" w:eastAsia="仿宋" w:cs="仿宋"/>
          <w:color w:val="auto"/>
          <w:sz w:val="30"/>
          <w:szCs w:val="30"/>
        </w:rPr>
        <w:t>平时使用人防工程，应符合人防工程使用规划，必须经过区人民防空主管部门行政许可，取得《人防工程使用证》</w:t>
      </w:r>
      <w:r>
        <w:rPr>
          <w:rFonts w:hint="eastAsia" w:ascii="仿宋" w:hAnsi="仿宋" w:eastAsia="仿宋" w:cs="仿宋"/>
          <w:color w:val="auto"/>
          <w:sz w:val="30"/>
          <w:szCs w:val="30"/>
          <w:lang w:eastAsia="zh-CN"/>
        </w:rPr>
        <w:t>后方可使用</w:t>
      </w:r>
      <w:r>
        <w:rPr>
          <w:rFonts w:hint="eastAsia" w:ascii="仿宋" w:hAnsi="仿宋" w:eastAsia="仿宋" w:cs="仿宋"/>
          <w:color w:val="auto"/>
          <w:sz w:val="30"/>
          <w:szCs w:val="30"/>
        </w:rPr>
        <w:t>。</w:t>
      </w:r>
    </w:p>
    <w:p>
      <w:pPr>
        <w:spacing w:line="520" w:lineRule="exact"/>
        <w:ind w:firstLine="600" w:firstLineChars="200"/>
        <w:rPr>
          <w:rFonts w:ascii="仿宋_GB2312" w:hAnsi="仿宋" w:eastAsia="仿宋_GB2312"/>
          <w:color w:val="auto"/>
          <w:sz w:val="32"/>
          <w:szCs w:val="32"/>
        </w:rPr>
      </w:pPr>
      <w:r>
        <w:rPr>
          <w:rFonts w:hint="eastAsia" w:ascii="仿宋" w:hAnsi="仿宋" w:eastAsia="仿宋" w:cs="仿宋"/>
          <w:color w:val="auto"/>
          <w:sz w:val="30"/>
          <w:szCs w:val="30"/>
        </w:rPr>
        <w:t>人防工程使用</w:t>
      </w:r>
      <w:r>
        <w:rPr>
          <w:rFonts w:hint="eastAsia" w:ascii="仿宋" w:hAnsi="仿宋" w:eastAsia="仿宋" w:cs="仿宋"/>
          <w:color w:val="auto"/>
          <w:sz w:val="30"/>
          <w:szCs w:val="30"/>
          <w:lang w:eastAsia="zh-CN"/>
        </w:rPr>
        <w:t>单位应当依据法律、法规及相关规定取得人防工程使用权</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人防工程使用前，使用单位应当与区人民防空工程事务中心签订书面使用协议。</w:t>
      </w:r>
    </w:p>
    <w:p>
      <w:pPr>
        <w:spacing w:line="520" w:lineRule="exact"/>
        <w:ind w:firstLine="643" w:firstLineChars="200"/>
        <w:rPr>
          <w:rFonts w:ascii="仿宋_GB2312" w:hAnsi="仿宋" w:eastAsia="仿宋_GB2312"/>
          <w:color w:val="auto"/>
          <w:sz w:val="32"/>
          <w:szCs w:val="32"/>
        </w:rPr>
      </w:pPr>
      <w:r>
        <w:rPr>
          <w:rFonts w:hint="eastAsia" w:ascii="仿宋_GB2312" w:hAnsi="仿宋" w:eastAsia="仿宋_GB2312"/>
          <w:b/>
          <w:bCs/>
          <w:color w:val="auto"/>
          <w:sz w:val="32"/>
          <w:szCs w:val="32"/>
        </w:rPr>
        <w:t>第三条</w:t>
      </w:r>
      <w:r>
        <w:rPr>
          <w:rFonts w:hint="eastAsia" w:ascii="仿宋_GB2312" w:hAnsi="仿宋" w:eastAsia="仿宋_GB2312"/>
          <w:color w:val="auto"/>
          <w:sz w:val="32"/>
          <w:szCs w:val="32"/>
        </w:rPr>
        <w:t xml:space="preserve"> </w:t>
      </w:r>
      <w:r>
        <w:rPr>
          <w:rFonts w:hint="eastAsia" w:ascii="仿宋_GB2312" w:hAnsi="仿宋" w:eastAsia="仿宋_GB2312"/>
          <w:color w:val="auto"/>
          <w:sz w:val="32"/>
          <w:szCs w:val="32"/>
          <w:lang w:eastAsia="zh-CN"/>
        </w:rPr>
        <w:t>区人民防空办公室（以下简称区人防办）负责人防工程平时利用的监督管理工作，发展改革、公安、消防、住建、城市管理、卫生健康、应急、市场监管等部门及属地镇街，依据各自职责加强对人防工程使用单位的监督管理工作</w:t>
      </w:r>
      <w:r>
        <w:rPr>
          <w:rFonts w:hint="eastAsia" w:ascii="仿宋_GB2312" w:hAnsi="仿宋" w:eastAsia="仿宋_GB2312"/>
          <w:color w:val="auto"/>
          <w:sz w:val="32"/>
          <w:szCs w:val="32"/>
        </w:rPr>
        <w:t>。</w:t>
      </w:r>
    </w:p>
    <w:p>
      <w:pPr>
        <w:spacing w:line="520" w:lineRule="exact"/>
        <w:ind w:firstLine="643" w:firstLineChars="200"/>
        <w:rPr>
          <w:rFonts w:ascii="仿宋_GB2312" w:hAnsi="仿宋" w:eastAsia="仿宋_GB2312"/>
          <w:color w:val="auto"/>
          <w:sz w:val="32"/>
          <w:szCs w:val="32"/>
        </w:rPr>
      </w:pPr>
      <w:r>
        <w:rPr>
          <w:rFonts w:hint="eastAsia" w:ascii="仿宋_GB2312" w:hAnsi="仿宋" w:eastAsia="仿宋_GB2312"/>
          <w:b/>
          <w:bCs/>
          <w:color w:val="auto"/>
          <w:sz w:val="32"/>
          <w:szCs w:val="32"/>
        </w:rPr>
        <w:t>第四</w:t>
      </w:r>
      <w:r>
        <w:rPr>
          <w:rFonts w:hint="eastAsia" w:ascii="仿宋_GB2312" w:hAnsi="仿宋" w:eastAsia="仿宋_GB2312"/>
          <w:b/>
          <w:bCs/>
          <w:color w:val="auto"/>
          <w:sz w:val="32"/>
          <w:szCs w:val="32"/>
          <w:lang w:eastAsia="zh-CN"/>
        </w:rPr>
        <w:t>条</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人</w:t>
      </w:r>
      <w:r>
        <w:rPr>
          <w:rFonts w:hint="eastAsia" w:ascii="仿宋_GB2312" w:hAnsi="仿宋" w:eastAsia="仿宋_GB2312"/>
          <w:color w:val="auto"/>
          <w:sz w:val="32"/>
          <w:szCs w:val="32"/>
          <w:lang w:eastAsia="zh-CN"/>
        </w:rPr>
        <w:t>防工程使用单位应当落实主体责任，严格按照批准的使用用途使用，不得转租经营，不得进行违法建设、违法经营和违规使用，保障人防工程设备设施功能和安全使用。使用单位违规使用人防工程且限期不整改的，区人防办有权撤销人防工程平时使用许可并限制其申请延期或再次取得被许可人资格</w:t>
      </w:r>
      <w:r>
        <w:rPr>
          <w:rFonts w:hint="eastAsia" w:ascii="仿宋_GB2312" w:hAnsi="仿宋" w:eastAsia="仿宋_GB2312"/>
          <w:color w:val="auto"/>
          <w:sz w:val="32"/>
          <w:szCs w:val="32"/>
        </w:rPr>
        <w:t>。</w:t>
      </w:r>
    </w:p>
    <w:p>
      <w:pPr>
        <w:spacing w:line="520" w:lineRule="exact"/>
        <w:ind w:firstLine="643" w:firstLineChars="200"/>
        <w:rPr>
          <w:rFonts w:ascii="仿宋_GB2312" w:hAnsi="仿宋" w:eastAsia="仿宋_GB2312"/>
          <w:color w:val="auto"/>
          <w:sz w:val="32"/>
          <w:szCs w:val="32"/>
        </w:rPr>
      </w:pPr>
      <w:r>
        <w:rPr>
          <w:rFonts w:hint="eastAsia" w:ascii="仿宋_GB2312" w:hAnsi="仿宋" w:eastAsia="仿宋_GB2312"/>
          <w:b/>
          <w:bCs/>
          <w:color w:val="auto"/>
          <w:sz w:val="32"/>
          <w:szCs w:val="32"/>
        </w:rPr>
        <w:t>第五条</w:t>
      </w:r>
      <w:r>
        <w:rPr>
          <w:rFonts w:hint="eastAsia" w:ascii="仿宋_GB2312" w:hAnsi="仿宋" w:eastAsia="仿宋_GB2312"/>
          <w:color w:val="auto"/>
          <w:sz w:val="32"/>
          <w:szCs w:val="32"/>
        </w:rPr>
        <w:t xml:space="preserve"> 使用人防工程的单位，</w:t>
      </w:r>
      <w:r>
        <w:rPr>
          <w:rFonts w:hint="eastAsia" w:ascii="仿宋" w:hAnsi="仿宋" w:eastAsia="仿宋" w:cs="仿宋"/>
          <w:bCs/>
          <w:color w:val="auto"/>
          <w:sz w:val="30"/>
          <w:szCs w:val="30"/>
        </w:rPr>
        <w:t>必须签订符合相关法律、法规规定的《人防工程使用权租赁协议》。</w:t>
      </w:r>
    </w:p>
    <w:p>
      <w:pPr>
        <w:spacing w:line="52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人防工程使用权租赁协议</w:t>
      </w:r>
      <w:r>
        <w:rPr>
          <w:rFonts w:hint="eastAsia" w:ascii="仿宋_GB2312" w:hAnsi="仿宋" w:eastAsia="仿宋_GB2312"/>
          <w:color w:val="auto"/>
          <w:sz w:val="32"/>
          <w:szCs w:val="32"/>
        </w:rPr>
        <w:t>》一般应具备以下内容：</w:t>
      </w:r>
    </w:p>
    <w:p>
      <w:pPr>
        <w:numPr>
          <w:ilvl w:val="0"/>
          <w:numId w:val="0"/>
        </w:numPr>
        <w:spacing w:line="520" w:lineRule="exact"/>
        <w:ind w:left="640" w:leftChars="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1.</w:t>
      </w:r>
      <w:r>
        <w:rPr>
          <w:rFonts w:hint="eastAsia" w:ascii="仿宋_GB2312" w:hAnsi="仿宋" w:eastAsia="仿宋_GB2312"/>
          <w:color w:val="auto"/>
          <w:sz w:val="32"/>
          <w:szCs w:val="32"/>
        </w:rPr>
        <w:t>出租单位的名称、住所</w:t>
      </w:r>
      <w:r>
        <w:rPr>
          <w:rFonts w:hint="eastAsia" w:ascii="仿宋_GB2312" w:hAnsi="仿宋" w:eastAsia="仿宋_GB2312"/>
          <w:color w:val="auto"/>
          <w:sz w:val="32"/>
          <w:szCs w:val="32"/>
          <w:lang w:eastAsia="zh-CN"/>
        </w:rPr>
        <w:t>；</w:t>
      </w:r>
    </w:p>
    <w:p>
      <w:pPr>
        <w:numPr>
          <w:ilvl w:val="0"/>
          <w:numId w:val="0"/>
        </w:numPr>
        <w:spacing w:line="520" w:lineRule="exact"/>
        <w:ind w:left="640" w:leftChars="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承租单位的名称、住所</w:t>
      </w:r>
      <w:r>
        <w:rPr>
          <w:rFonts w:hint="eastAsia" w:ascii="仿宋_GB2312" w:hAnsi="仿宋" w:eastAsia="仿宋_GB2312"/>
          <w:color w:val="auto"/>
          <w:sz w:val="32"/>
          <w:szCs w:val="32"/>
          <w:lang w:eastAsia="zh-CN"/>
        </w:rPr>
        <w:t>；</w:t>
      </w:r>
    </w:p>
    <w:p>
      <w:pPr>
        <w:numPr>
          <w:ilvl w:val="0"/>
          <w:numId w:val="0"/>
        </w:numPr>
        <w:spacing w:line="520" w:lineRule="exact"/>
        <w:ind w:left="640" w:leftChars="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公用人防工程标的</w:t>
      </w:r>
      <w:r>
        <w:rPr>
          <w:rFonts w:hint="eastAsia" w:ascii="仿宋_GB2312" w:hAnsi="仿宋" w:eastAsia="仿宋_GB2312"/>
          <w:color w:val="auto"/>
          <w:sz w:val="32"/>
          <w:szCs w:val="32"/>
          <w:lang w:eastAsia="zh-CN"/>
        </w:rPr>
        <w:t>；</w:t>
      </w:r>
    </w:p>
    <w:p>
      <w:pPr>
        <w:numPr>
          <w:ilvl w:val="0"/>
          <w:numId w:val="0"/>
        </w:numPr>
        <w:spacing w:line="520" w:lineRule="exact"/>
        <w:ind w:left="640" w:leftChars="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出借或出租期限</w:t>
      </w:r>
      <w:r>
        <w:rPr>
          <w:rFonts w:hint="eastAsia" w:ascii="仿宋_GB2312" w:hAnsi="仿宋" w:eastAsia="仿宋_GB2312"/>
          <w:color w:val="auto"/>
          <w:sz w:val="32"/>
          <w:szCs w:val="32"/>
          <w:lang w:eastAsia="zh-CN"/>
        </w:rPr>
        <w:t>为</w:t>
      </w:r>
      <w:r>
        <w:rPr>
          <w:rFonts w:hint="eastAsia" w:ascii="仿宋_GB2312" w:hAnsi="仿宋" w:eastAsia="仿宋_GB2312"/>
          <w:color w:val="auto"/>
          <w:sz w:val="32"/>
          <w:szCs w:val="32"/>
          <w:lang w:val="en-US" w:eastAsia="zh-CN"/>
        </w:rPr>
        <w:t>1年；</w:t>
      </w:r>
    </w:p>
    <w:p>
      <w:pPr>
        <w:numPr>
          <w:ilvl w:val="0"/>
          <w:numId w:val="0"/>
        </w:numPr>
        <w:spacing w:line="520" w:lineRule="exact"/>
        <w:ind w:left="640" w:leftChars="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rPr>
        <w:t>有偿使用费用</w:t>
      </w:r>
      <w:r>
        <w:rPr>
          <w:rFonts w:hint="eastAsia" w:ascii="仿宋_GB2312" w:hAnsi="仿宋" w:eastAsia="仿宋_GB2312"/>
          <w:color w:val="auto"/>
          <w:sz w:val="32"/>
          <w:szCs w:val="32"/>
          <w:lang w:eastAsia="zh-CN"/>
        </w:rPr>
        <w:t>；</w:t>
      </w:r>
    </w:p>
    <w:p>
      <w:pPr>
        <w:numPr>
          <w:ilvl w:val="0"/>
          <w:numId w:val="0"/>
        </w:numPr>
        <w:spacing w:line="520" w:lineRule="exact"/>
        <w:ind w:left="640" w:leftChars="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6.</w:t>
      </w:r>
      <w:r>
        <w:rPr>
          <w:rFonts w:hint="eastAsia" w:ascii="仿宋_GB2312" w:hAnsi="仿宋" w:eastAsia="仿宋_GB2312"/>
          <w:color w:val="auto"/>
          <w:sz w:val="32"/>
          <w:szCs w:val="32"/>
        </w:rPr>
        <w:t>工程维保的要求</w:t>
      </w:r>
      <w:r>
        <w:rPr>
          <w:rFonts w:hint="eastAsia" w:ascii="仿宋_GB2312" w:hAnsi="仿宋" w:eastAsia="仿宋_GB2312"/>
          <w:color w:val="auto"/>
          <w:sz w:val="32"/>
          <w:szCs w:val="32"/>
          <w:lang w:eastAsia="zh-CN"/>
        </w:rPr>
        <w:t>；</w:t>
      </w:r>
    </w:p>
    <w:p>
      <w:pPr>
        <w:numPr>
          <w:ilvl w:val="0"/>
          <w:numId w:val="0"/>
        </w:numPr>
        <w:spacing w:line="520" w:lineRule="exact"/>
        <w:ind w:left="640" w:leftChars="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7.</w:t>
      </w:r>
      <w:r>
        <w:rPr>
          <w:rFonts w:hint="eastAsia" w:ascii="仿宋_GB2312" w:hAnsi="仿宋" w:eastAsia="仿宋_GB2312"/>
          <w:color w:val="auto"/>
          <w:sz w:val="32"/>
          <w:szCs w:val="32"/>
        </w:rPr>
        <w:t>安全责任</w:t>
      </w:r>
      <w:r>
        <w:rPr>
          <w:rFonts w:hint="eastAsia" w:ascii="仿宋_GB2312" w:hAnsi="仿宋" w:eastAsia="仿宋_GB2312"/>
          <w:color w:val="auto"/>
          <w:sz w:val="32"/>
          <w:szCs w:val="32"/>
          <w:lang w:eastAsia="zh-CN"/>
        </w:rPr>
        <w:t>；</w:t>
      </w:r>
    </w:p>
    <w:p>
      <w:pPr>
        <w:numPr>
          <w:ilvl w:val="0"/>
          <w:numId w:val="0"/>
        </w:numPr>
        <w:spacing w:line="520" w:lineRule="exact"/>
        <w:ind w:left="640" w:leftChars="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8.</w:t>
      </w:r>
      <w:r>
        <w:rPr>
          <w:rFonts w:hint="eastAsia" w:ascii="仿宋_GB2312" w:hAnsi="仿宋" w:eastAsia="仿宋_GB2312"/>
          <w:color w:val="auto"/>
          <w:sz w:val="32"/>
          <w:szCs w:val="32"/>
        </w:rPr>
        <w:t>违约责任</w:t>
      </w:r>
      <w:r>
        <w:rPr>
          <w:rFonts w:hint="eastAsia" w:ascii="仿宋_GB2312" w:hAnsi="仿宋" w:eastAsia="仿宋_GB2312"/>
          <w:color w:val="auto"/>
          <w:sz w:val="32"/>
          <w:szCs w:val="32"/>
          <w:lang w:eastAsia="zh-CN"/>
        </w:rPr>
        <w:t>；</w:t>
      </w:r>
    </w:p>
    <w:p>
      <w:pPr>
        <w:numPr>
          <w:ilvl w:val="0"/>
          <w:numId w:val="0"/>
        </w:numPr>
        <w:spacing w:line="520" w:lineRule="exact"/>
        <w:ind w:left="640" w:leftChars="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9.</w:t>
      </w:r>
      <w:r>
        <w:rPr>
          <w:rFonts w:hint="eastAsia" w:ascii="仿宋_GB2312" w:hAnsi="仿宋" w:eastAsia="仿宋_GB2312"/>
          <w:color w:val="auto"/>
          <w:sz w:val="32"/>
          <w:szCs w:val="32"/>
        </w:rPr>
        <w:t>解决争议方式</w:t>
      </w:r>
      <w:r>
        <w:rPr>
          <w:rFonts w:hint="eastAsia" w:ascii="仿宋_GB2312" w:hAnsi="仿宋" w:eastAsia="仿宋_GB2312"/>
          <w:color w:val="auto"/>
          <w:sz w:val="32"/>
          <w:szCs w:val="32"/>
          <w:lang w:eastAsia="zh-CN"/>
        </w:rPr>
        <w:t>。</w:t>
      </w:r>
    </w:p>
    <w:p>
      <w:pPr>
        <w:numPr>
          <w:ilvl w:val="0"/>
          <w:numId w:val="0"/>
        </w:numPr>
        <w:spacing w:line="520" w:lineRule="exact"/>
        <w:ind w:firstLine="643" w:firstLineChars="200"/>
        <w:jc w:val="left"/>
        <w:rPr>
          <w:rFonts w:hint="eastAsia" w:ascii="仿宋_GB2312" w:hAnsi="仿宋" w:eastAsia="仿宋_GB2312"/>
          <w:color w:val="auto"/>
          <w:sz w:val="32"/>
          <w:szCs w:val="32"/>
        </w:rPr>
      </w:pPr>
      <w:r>
        <w:rPr>
          <w:rFonts w:hint="eastAsia" w:ascii="仿宋_GB2312" w:hAnsi="仿宋" w:eastAsia="仿宋_GB2312"/>
          <w:b/>
          <w:bCs/>
          <w:color w:val="auto"/>
          <w:sz w:val="32"/>
          <w:szCs w:val="32"/>
        </w:rPr>
        <w:t>第六条</w:t>
      </w:r>
      <w:r>
        <w:rPr>
          <w:rFonts w:hint="eastAsia" w:ascii="仿宋_GB2312" w:hAnsi="仿宋" w:eastAsia="仿宋_GB2312"/>
          <w:color w:val="auto"/>
          <w:sz w:val="32"/>
          <w:szCs w:val="32"/>
        </w:rPr>
        <w:t xml:space="preserve"> </w:t>
      </w:r>
      <w:r>
        <w:rPr>
          <w:rFonts w:hint="eastAsia" w:ascii="仿宋_GB2312" w:hAnsi="仿宋" w:eastAsia="仿宋_GB2312"/>
          <w:color w:val="auto"/>
          <w:sz w:val="32"/>
          <w:szCs w:val="32"/>
          <w:lang w:eastAsia="zh-CN"/>
        </w:rPr>
        <w:t>平时使用人防工程符合下列条件之一的</w:t>
      </w:r>
      <w:r>
        <w:rPr>
          <w:rFonts w:hint="eastAsia" w:ascii="仿宋_GB2312" w:hAnsi="仿宋" w:eastAsia="仿宋_GB2312"/>
          <w:color w:val="auto"/>
          <w:sz w:val="32"/>
          <w:szCs w:val="32"/>
        </w:rPr>
        <w:t>，免收人防工程使用费。</w:t>
      </w:r>
    </w:p>
    <w:p>
      <w:pPr>
        <w:numPr>
          <w:ilvl w:val="0"/>
          <w:numId w:val="0"/>
        </w:numPr>
        <w:spacing w:line="52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eastAsia="zh-CN"/>
        </w:rPr>
        <w:t>（一）</w:t>
      </w:r>
      <w:r>
        <w:rPr>
          <w:rFonts w:hint="eastAsia" w:ascii="仿宋_GB2312" w:hAnsi="仿宋" w:eastAsia="仿宋_GB2312"/>
          <w:color w:val="auto"/>
          <w:sz w:val="32"/>
          <w:szCs w:val="32"/>
        </w:rPr>
        <w:t>街道、社区</w:t>
      </w:r>
      <w:r>
        <w:rPr>
          <w:rFonts w:hint="eastAsia" w:ascii="仿宋_GB2312" w:hAnsi="仿宋" w:eastAsia="仿宋_GB2312"/>
          <w:color w:val="auto"/>
          <w:sz w:val="32"/>
          <w:szCs w:val="32"/>
          <w:lang w:eastAsia="zh-CN"/>
        </w:rPr>
        <w:t>和公益组织</w:t>
      </w:r>
      <w:r>
        <w:rPr>
          <w:rFonts w:hint="eastAsia" w:ascii="仿宋_GB2312" w:hAnsi="仿宋" w:eastAsia="仿宋_GB2312"/>
          <w:color w:val="auto"/>
          <w:sz w:val="32"/>
          <w:szCs w:val="32"/>
        </w:rPr>
        <w:t>利用公用人防工程建设无偿为社区和百姓提供公共服务</w:t>
      </w:r>
      <w:r>
        <w:rPr>
          <w:rFonts w:hint="eastAsia" w:ascii="仿宋_GB2312" w:hAnsi="仿宋" w:eastAsia="仿宋_GB2312"/>
          <w:color w:val="auto"/>
          <w:sz w:val="32"/>
          <w:szCs w:val="32"/>
          <w:lang w:eastAsia="zh-CN"/>
        </w:rPr>
        <w:t>和公益服务</w:t>
      </w:r>
      <w:r>
        <w:rPr>
          <w:rFonts w:hint="eastAsia" w:ascii="仿宋_GB2312" w:hAnsi="仿宋" w:eastAsia="仿宋_GB2312"/>
          <w:color w:val="auto"/>
          <w:sz w:val="32"/>
          <w:szCs w:val="32"/>
        </w:rPr>
        <w:t>的场所；</w:t>
      </w:r>
    </w:p>
    <w:p>
      <w:pPr>
        <w:numPr>
          <w:ilvl w:val="0"/>
          <w:numId w:val="0"/>
        </w:numPr>
        <w:spacing w:line="52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eastAsia="zh-CN"/>
        </w:rPr>
        <w:t>（二）</w:t>
      </w:r>
      <w:r>
        <w:rPr>
          <w:rFonts w:hint="eastAsia" w:ascii="仿宋_GB2312" w:hAnsi="仿宋" w:eastAsia="仿宋_GB2312"/>
          <w:color w:val="auto"/>
          <w:sz w:val="32"/>
          <w:szCs w:val="32"/>
        </w:rPr>
        <w:t>无偿提供给</w:t>
      </w:r>
      <w:r>
        <w:rPr>
          <w:rFonts w:hint="eastAsia" w:ascii="仿宋_GB2312" w:hAnsi="仿宋" w:eastAsia="仿宋_GB2312"/>
          <w:color w:val="auto"/>
          <w:sz w:val="32"/>
          <w:szCs w:val="32"/>
          <w:lang w:eastAsia="zh-CN"/>
        </w:rPr>
        <w:t>居民（</w:t>
      </w:r>
      <w:r>
        <w:rPr>
          <w:rFonts w:hint="eastAsia" w:ascii="仿宋_GB2312" w:hAnsi="仿宋" w:eastAsia="仿宋_GB2312"/>
          <w:color w:val="auto"/>
          <w:sz w:val="32"/>
          <w:szCs w:val="32"/>
        </w:rPr>
        <w:t>村民</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使用的自行车库</w:t>
      </w:r>
      <w:r>
        <w:rPr>
          <w:rFonts w:hint="eastAsia" w:ascii="仿宋_GB2312" w:hAnsi="仿宋" w:eastAsia="仿宋_GB2312"/>
          <w:color w:val="auto"/>
          <w:sz w:val="32"/>
          <w:szCs w:val="32"/>
          <w:lang w:eastAsia="zh-CN"/>
        </w:rPr>
        <w:t>（电动自行车禁止停放）；</w:t>
      </w:r>
    </w:p>
    <w:p>
      <w:pPr>
        <w:numPr>
          <w:ilvl w:val="0"/>
          <w:numId w:val="0"/>
        </w:numPr>
        <w:spacing w:line="52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eastAsia="zh-CN"/>
        </w:rPr>
        <w:t>（三）</w:t>
      </w:r>
      <w:r>
        <w:rPr>
          <w:rFonts w:hint="eastAsia" w:ascii="仿宋_GB2312" w:hAnsi="仿宋" w:eastAsia="仿宋_GB2312"/>
          <w:color w:val="auto"/>
          <w:sz w:val="32"/>
          <w:szCs w:val="32"/>
        </w:rPr>
        <w:t>政府部门利用公用人防工程建设指挥所、宣教中心</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应急物资储备库</w:t>
      </w:r>
      <w:r>
        <w:rPr>
          <w:rFonts w:hint="eastAsia" w:ascii="仿宋_GB2312" w:hAnsi="仿宋" w:eastAsia="仿宋_GB2312"/>
          <w:color w:val="auto"/>
          <w:sz w:val="32"/>
          <w:szCs w:val="32"/>
          <w:lang w:eastAsia="zh-CN"/>
        </w:rPr>
        <w:t>和</w:t>
      </w:r>
      <w:r>
        <w:rPr>
          <w:rFonts w:hint="eastAsia" w:ascii="仿宋_GB2312" w:hAnsi="仿宋" w:eastAsia="仿宋_GB2312"/>
          <w:color w:val="auto"/>
          <w:sz w:val="32"/>
          <w:szCs w:val="32"/>
        </w:rPr>
        <w:t>其他公益场所。</w:t>
      </w:r>
    </w:p>
    <w:p>
      <w:pPr>
        <w:numPr>
          <w:ilvl w:val="0"/>
          <w:numId w:val="0"/>
        </w:numPr>
        <w:spacing w:line="520" w:lineRule="exact"/>
        <w:ind w:firstLine="640" w:firstLineChars="20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（四）政府规定其他免收人防工程使用费的情形。</w:t>
      </w:r>
    </w:p>
    <w:p>
      <w:pPr>
        <w:numPr>
          <w:ilvl w:val="0"/>
          <w:numId w:val="0"/>
        </w:numPr>
        <w:spacing w:line="520" w:lineRule="exact"/>
        <w:ind w:firstLine="643" w:firstLineChars="200"/>
        <w:rPr>
          <w:rFonts w:hint="eastAsia" w:ascii="仿宋_GB2312" w:hAnsi="仿宋" w:eastAsia="仿宋_GB2312"/>
          <w:color w:val="auto"/>
          <w:sz w:val="32"/>
          <w:szCs w:val="32"/>
        </w:rPr>
      </w:pPr>
      <w:r>
        <w:rPr>
          <w:rFonts w:hint="eastAsia" w:ascii="仿宋_GB2312" w:hAnsi="仿宋" w:eastAsia="仿宋_GB2312"/>
          <w:b/>
          <w:bCs/>
          <w:color w:val="auto"/>
          <w:sz w:val="32"/>
          <w:szCs w:val="32"/>
        </w:rPr>
        <w:t>第七条</w:t>
      </w:r>
      <w:r>
        <w:rPr>
          <w:rFonts w:hint="eastAsia" w:ascii="仿宋_GB2312" w:hAnsi="仿宋" w:eastAsia="仿宋_GB2312"/>
          <w:color w:val="auto"/>
          <w:sz w:val="32"/>
          <w:szCs w:val="32"/>
        </w:rPr>
        <w:t xml:space="preserve"> </w:t>
      </w:r>
      <w:r>
        <w:rPr>
          <w:rFonts w:hint="eastAsia" w:ascii="仿宋_GB2312" w:hAnsi="仿宋" w:eastAsia="仿宋_GB2312"/>
          <w:color w:val="auto"/>
          <w:sz w:val="32"/>
          <w:szCs w:val="32"/>
          <w:lang w:eastAsia="zh-CN"/>
        </w:rPr>
        <w:t>平时使用人防工程坚持有偿使用的原则</w:t>
      </w:r>
      <w:r>
        <w:rPr>
          <w:rFonts w:hint="eastAsia" w:ascii="仿宋_GB2312" w:hAnsi="仿宋" w:eastAsia="仿宋_GB2312"/>
          <w:color w:val="auto"/>
          <w:sz w:val="32"/>
          <w:szCs w:val="32"/>
        </w:rPr>
        <w:t>。</w:t>
      </w:r>
    </w:p>
    <w:p>
      <w:pPr>
        <w:numPr>
          <w:ilvl w:val="0"/>
          <w:numId w:val="0"/>
        </w:numPr>
        <w:spacing w:line="520" w:lineRule="exact"/>
        <w:ind w:firstLine="640" w:firstLineChars="20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（一）收费形式：使用费收费标准按照人防工程档案建筑面积计算，缴费方式为“年付”。</w:t>
      </w:r>
    </w:p>
    <w:p>
      <w:pPr>
        <w:numPr>
          <w:ilvl w:val="0"/>
          <w:numId w:val="0"/>
        </w:numPr>
        <w:spacing w:line="520" w:lineRule="exact"/>
        <w:ind w:firstLine="640" w:firstLineChars="20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（二）收费标准：</w:t>
      </w:r>
    </w:p>
    <w:p>
      <w:pPr>
        <w:numPr>
          <w:ilvl w:val="0"/>
          <w:numId w:val="0"/>
        </w:numPr>
        <w:spacing w:line="52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1</w:t>
      </w:r>
      <w:r>
        <w:rPr>
          <w:rFonts w:hint="eastAsia" w:ascii="仿宋_GB2312" w:hAnsi="仿宋" w:eastAsia="仿宋_GB2312"/>
          <w:color w:val="auto"/>
          <w:sz w:val="32"/>
          <w:szCs w:val="32"/>
          <w:lang w:val="en-US" w:eastAsia="zh-CN"/>
        </w:rPr>
        <w:t>.</w:t>
      </w:r>
      <w:r>
        <w:rPr>
          <w:rFonts w:hint="eastAsia" w:ascii="仿宋_GB2312" w:hAnsi="仿宋" w:eastAsia="仿宋_GB2312"/>
          <w:color w:val="auto"/>
          <w:sz w:val="32"/>
          <w:szCs w:val="32"/>
        </w:rPr>
        <w:t>住宅</w:t>
      </w:r>
      <w:r>
        <w:rPr>
          <w:rFonts w:hint="eastAsia" w:ascii="仿宋_GB2312" w:hAnsi="仿宋" w:eastAsia="仿宋_GB2312"/>
          <w:color w:val="auto"/>
          <w:sz w:val="32"/>
          <w:szCs w:val="32"/>
          <w:lang w:eastAsia="zh-CN"/>
        </w:rPr>
        <w:t>小区配建的人防工程，平时用于</w:t>
      </w:r>
      <w:r>
        <w:rPr>
          <w:rFonts w:hint="eastAsia" w:ascii="仿宋_GB2312" w:hAnsi="仿宋" w:eastAsia="仿宋_GB2312"/>
          <w:color w:val="auto"/>
          <w:sz w:val="32"/>
          <w:szCs w:val="32"/>
        </w:rPr>
        <w:t>汽车车库的，</w:t>
      </w:r>
      <w:r>
        <w:rPr>
          <w:rFonts w:hint="eastAsia" w:ascii="仿宋_GB2312" w:hAnsi="仿宋" w:eastAsia="仿宋_GB2312"/>
          <w:color w:val="auto"/>
          <w:sz w:val="32"/>
          <w:szCs w:val="32"/>
          <w:lang w:val="en-US" w:eastAsia="zh-CN"/>
        </w:rPr>
        <w:t>0.30元/平方米/月</w:t>
      </w:r>
      <w:r>
        <w:rPr>
          <w:rFonts w:hint="eastAsia" w:ascii="仿宋_GB2312" w:hAnsi="仿宋" w:eastAsia="仿宋_GB2312"/>
          <w:color w:val="auto"/>
          <w:sz w:val="32"/>
          <w:szCs w:val="32"/>
        </w:rPr>
        <w:t>；</w:t>
      </w:r>
    </w:p>
    <w:p>
      <w:pPr>
        <w:numPr>
          <w:ilvl w:val="0"/>
          <w:numId w:val="0"/>
        </w:numPr>
        <w:spacing w:line="52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2</w:t>
      </w:r>
      <w:r>
        <w:rPr>
          <w:rFonts w:hint="eastAsia" w:ascii="仿宋_GB2312" w:hAnsi="仿宋" w:eastAsia="仿宋_GB2312"/>
          <w:color w:val="auto"/>
          <w:sz w:val="32"/>
          <w:szCs w:val="32"/>
          <w:lang w:val="en-US" w:eastAsia="zh-CN"/>
        </w:rPr>
        <w:t>.</w:t>
      </w:r>
      <w:r>
        <w:rPr>
          <w:rFonts w:hint="eastAsia" w:ascii="仿宋_GB2312" w:hAnsi="仿宋" w:eastAsia="仿宋_GB2312"/>
          <w:color w:val="auto"/>
          <w:sz w:val="32"/>
          <w:szCs w:val="32"/>
        </w:rPr>
        <w:t>写字楼、商业用房</w:t>
      </w:r>
      <w:r>
        <w:rPr>
          <w:rFonts w:hint="eastAsia" w:ascii="仿宋_GB2312" w:hAnsi="仿宋" w:eastAsia="仿宋_GB2312"/>
          <w:color w:val="auto"/>
          <w:sz w:val="32"/>
          <w:szCs w:val="32"/>
          <w:lang w:eastAsia="zh-CN"/>
        </w:rPr>
        <w:t>等配建的人防工程，平时用于</w:t>
      </w:r>
      <w:r>
        <w:rPr>
          <w:rFonts w:hint="eastAsia" w:ascii="仿宋_GB2312" w:hAnsi="仿宋" w:eastAsia="仿宋_GB2312"/>
          <w:color w:val="auto"/>
          <w:sz w:val="32"/>
          <w:szCs w:val="32"/>
        </w:rPr>
        <w:t>汽车车库的，</w:t>
      </w:r>
      <w:r>
        <w:rPr>
          <w:rFonts w:hint="eastAsia" w:ascii="仿宋_GB2312" w:hAnsi="仿宋" w:eastAsia="仿宋_GB2312"/>
          <w:color w:val="auto"/>
          <w:sz w:val="32"/>
          <w:szCs w:val="32"/>
          <w:lang w:val="en-US" w:eastAsia="zh-CN"/>
        </w:rPr>
        <w:t>2元/平方米/月</w:t>
      </w:r>
      <w:r>
        <w:rPr>
          <w:rFonts w:hint="eastAsia" w:ascii="仿宋_GB2312" w:hAnsi="仿宋" w:eastAsia="仿宋_GB2312"/>
          <w:color w:val="auto"/>
          <w:sz w:val="32"/>
          <w:szCs w:val="32"/>
        </w:rPr>
        <w:t>；</w:t>
      </w:r>
    </w:p>
    <w:p>
      <w:pPr>
        <w:numPr>
          <w:ilvl w:val="0"/>
          <w:numId w:val="0"/>
        </w:numPr>
        <w:spacing w:line="520" w:lineRule="exact"/>
        <w:ind w:firstLine="640" w:firstLineChars="200"/>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3.配建的人防工程，平时用于</w:t>
      </w:r>
      <w:r>
        <w:rPr>
          <w:rFonts w:hint="eastAsia" w:ascii="仿宋_GB2312" w:hAnsi="仿宋" w:eastAsia="仿宋_GB2312"/>
          <w:color w:val="auto"/>
          <w:sz w:val="32"/>
          <w:szCs w:val="32"/>
        </w:rPr>
        <w:t>仓库</w:t>
      </w:r>
      <w:r>
        <w:rPr>
          <w:rFonts w:hint="eastAsia" w:ascii="仿宋_GB2312" w:hAnsi="仿宋" w:eastAsia="仿宋_GB2312"/>
          <w:color w:val="auto"/>
          <w:sz w:val="32"/>
          <w:szCs w:val="32"/>
          <w:lang w:eastAsia="zh-CN"/>
        </w:rPr>
        <w:t>、办公的，</w:t>
      </w:r>
      <w:r>
        <w:rPr>
          <w:rFonts w:hint="eastAsia" w:ascii="仿宋_GB2312" w:hAnsi="仿宋" w:eastAsia="仿宋_GB2312"/>
          <w:color w:val="auto"/>
          <w:sz w:val="32"/>
          <w:szCs w:val="32"/>
          <w:lang w:val="en-US" w:eastAsia="zh-CN"/>
        </w:rPr>
        <w:t>2元/平方米/月。</w:t>
      </w:r>
    </w:p>
    <w:p>
      <w:pPr>
        <w:numPr>
          <w:ilvl w:val="0"/>
          <w:numId w:val="0"/>
        </w:numPr>
        <w:spacing w:line="520" w:lineRule="exact"/>
        <w:ind w:firstLine="640" w:firstLineChars="200"/>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4.遇有不确定情形的，由区人防办牵头，区发改、区财政、区审计、区司法等相关部门参加的联席会议研究确定。</w:t>
      </w:r>
    </w:p>
    <w:p>
      <w:pPr>
        <w:spacing w:line="520" w:lineRule="exact"/>
        <w:ind w:firstLine="643" w:firstLineChars="200"/>
        <w:rPr>
          <w:rFonts w:ascii="仿宋_GB2312" w:hAnsi="仿宋" w:eastAsia="仿宋_GB2312"/>
          <w:color w:val="auto"/>
          <w:sz w:val="32"/>
          <w:szCs w:val="32"/>
        </w:rPr>
      </w:pPr>
      <w:r>
        <w:rPr>
          <w:rFonts w:hint="eastAsia" w:ascii="仿宋_GB2312" w:hAnsi="仿宋" w:eastAsia="仿宋_GB2312"/>
          <w:b/>
          <w:bCs/>
          <w:color w:val="auto"/>
          <w:sz w:val="32"/>
          <w:szCs w:val="32"/>
        </w:rPr>
        <w:t>第</w:t>
      </w:r>
      <w:r>
        <w:rPr>
          <w:rFonts w:hint="eastAsia" w:ascii="仿宋_GB2312" w:hAnsi="仿宋" w:eastAsia="仿宋_GB2312"/>
          <w:b/>
          <w:bCs/>
          <w:color w:val="auto"/>
          <w:sz w:val="32"/>
          <w:szCs w:val="32"/>
          <w:lang w:eastAsia="zh-CN"/>
        </w:rPr>
        <w:t>八</w:t>
      </w:r>
      <w:r>
        <w:rPr>
          <w:rFonts w:hint="eastAsia" w:ascii="仿宋_GB2312" w:hAnsi="仿宋" w:eastAsia="仿宋_GB2312"/>
          <w:b/>
          <w:bCs/>
          <w:color w:val="auto"/>
          <w:sz w:val="32"/>
          <w:szCs w:val="32"/>
        </w:rPr>
        <w:t>条</w:t>
      </w:r>
      <w:r>
        <w:rPr>
          <w:rFonts w:hint="eastAsia" w:ascii="仿宋_GB2312" w:hAnsi="仿宋" w:eastAsia="仿宋_GB2312"/>
          <w:color w:val="auto"/>
          <w:sz w:val="32"/>
          <w:szCs w:val="32"/>
        </w:rPr>
        <w:t xml:space="preserve"> 公用人防工程出租收入执行本级财政部门规定，采取收支两条线，全额纳入</w:t>
      </w:r>
      <w:r>
        <w:rPr>
          <w:rFonts w:hint="eastAsia" w:ascii="仿宋_GB2312" w:hAnsi="仿宋" w:eastAsia="仿宋_GB2312"/>
          <w:color w:val="auto"/>
          <w:sz w:val="32"/>
          <w:szCs w:val="32"/>
          <w:lang w:eastAsia="zh-CN"/>
        </w:rPr>
        <w:t>区级</w:t>
      </w:r>
      <w:r>
        <w:rPr>
          <w:rFonts w:hint="eastAsia" w:ascii="仿宋_GB2312" w:hAnsi="仿宋" w:eastAsia="仿宋_GB2312"/>
          <w:color w:val="auto"/>
          <w:sz w:val="32"/>
          <w:szCs w:val="32"/>
        </w:rPr>
        <w:t>财政预算管理。</w:t>
      </w:r>
    </w:p>
    <w:p>
      <w:pPr>
        <w:spacing w:line="520" w:lineRule="exact"/>
        <w:ind w:firstLine="643" w:firstLineChars="200"/>
        <w:rPr>
          <w:rFonts w:ascii="仿宋_GB2312" w:hAnsi="仿宋" w:eastAsia="仿宋_GB2312"/>
          <w:color w:val="auto"/>
          <w:sz w:val="32"/>
          <w:szCs w:val="32"/>
        </w:rPr>
      </w:pPr>
      <w:r>
        <w:rPr>
          <w:rFonts w:hint="eastAsia" w:ascii="仿宋_GB2312" w:hAnsi="仿宋" w:eastAsia="仿宋_GB2312"/>
          <w:b/>
          <w:bCs/>
          <w:color w:val="auto"/>
          <w:sz w:val="32"/>
          <w:szCs w:val="32"/>
          <w:lang w:eastAsia="zh-CN"/>
        </w:rPr>
        <w:t>第九条</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本</w:t>
      </w:r>
      <w:r>
        <w:rPr>
          <w:rFonts w:hint="eastAsia" w:ascii="仿宋_GB2312" w:hAnsi="仿宋" w:eastAsia="仿宋_GB2312"/>
          <w:color w:val="auto"/>
          <w:sz w:val="32"/>
          <w:szCs w:val="32"/>
          <w:lang w:eastAsia="zh-CN"/>
        </w:rPr>
        <w:t>规定自</w:t>
      </w:r>
      <w:r>
        <w:rPr>
          <w:rFonts w:hint="eastAsia" w:ascii="仿宋_GB2312" w:hAnsi="仿宋" w:eastAsia="仿宋_GB2312"/>
          <w:color w:val="auto"/>
          <w:sz w:val="32"/>
          <w:szCs w:val="32"/>
          <w:lang w:val="en-US" w:eastAsia="zh-CN"/>
        </w:rPr>
        <w:t>2022年10月1日起执行</w:t>
      </w:r>
      <w:r>
        <w:rPr>
          <w:rFonts w:hint="eastAsia" w:ascii="仿宋_GB2312" w:hAnsi="仿宋" w:eastAsia="仿宋_GB2312"/>
          <w:color w:val="auto"/>
          <w:sz w:val="32"/>
          <w:szCs w:val="32"/>
          <w:lang w:eastAsia="zh-CN"/>
        </w:rPr>
        <w:t>，有效期</w:t>
      </w:r>
      <w:r>
        <w:rPr>
          <w:rFonts w:hint="eastAsia" w:ascii="仿宋_GB2312" w:hAnsi="仿宋" w:eastAsia="仿宋_GB2312"/>
          <w:color w:val="auto"/>
          <w:sz w:val="32"/>
          <w:szCs w:val="32"/>
          <w:lang w:val="en-US" w:eastAsia="zh-CN"/>
        </w:rPr>
        <w:t>5年，</w:t>
      </w:r>
      <w:r>
        <w:rPr>
          <w:rFonts w:hint="eastAsia" w:ascii="仿宋_GB2312" w:hAnsi="黑体" w:eastAsia="仿宋_GB2312"/>
          <w:color w:val="auto"/>
          <w:kern w:val="0"/>
          <w:sz w:val="32"/>
          <w:szCs w:val="32"/>
        </w:rPr>
        <w:t>由</w:t>
      </w:r>
      <w:r>
        <w:rPr>
          <w:rFonts w:hint="eastAsia" w:ascii="仿宋_GB2312" w:hAnsi="黑体" w:eastAsia="仿宋_GB2312"/>
          <w:color w:val="auto"/>
          <w:kern w:val="0"/>
          <w:sz w:val="32"/>
          <w:szCs w:val="32"/>
          <w:lang w:eastAsia="zh-CN"/>
        </w:rPr>
        <w:t>北京市门头沟</w:t>
      </w:r>
      <w:r>
        <w:rPr>
          <w:rFonts w:hint="eastAsia" w:ascii="仿宋_GB2312" w:hAnsi="黑体" w:eastAsia="仿宋_GB2312"/>
          <w:color w:val="auto"/>
          <w:kern w:val="0"/>
          <w:sz w:val="32"/>
          <w:szCs w:val="32"/>
        </w:rPr>
        <w:t>区人民防空办公室解释。</w:t>
      </w:r>
      <w:bookmarkStart w:id="0" w:name="_GoBack"/>
      <w:bookmarkEnd w:id="0"/>
    </w:p>
    <w:p>
      <w:pPr>
        <w:spacing w:line="540" w:lineRule="exact"/>
        <w:ind w:firstLine="800" w:firstLineChars="250"/>
        <w:rPr>
          <w:rFonts w:ascii="仿宋_GB2312" w:eastAsia="仿宋_GB2312"/>
          <w:color w:val="auto"/>
          <w:sz w:val="32"/>
          <w:szCs w:val="32"/>
        </w:rPr>
      </w:pPr>
      <w:r>
        <w:rPr>
          <w:rFonts w:hint="eastAsia" w:ascii="仿宋_GB2312" w:eastAsia="仿宋_GB2312"/>
          <w:color w:val="auto"/>
          <w:sz w:val="32"/>
          <w:szCs w:val="32"/>
        </w:rPr>
        <w:t xml:space="preserve"> </w:t>
      </w:r>
    </w:p>
    <w:p>
      <w:pPr>
        <w:spacing w:line="540" w:lineRule="exact"/>
        <w:ind w:firstLine="800" w:firstLineChars="250"/>
        <w:rPr>
          <w:rFonts w:ascii="仿宋_GB2312" w:eastAsia="仿宋_GB2312"/>
          <w:sz w:val="32"/>
          <w:szCs w:val="32"/>
        </w:rPr>
      </w:pPr>
      <w:r>
        <w:rPr>
          <w:rFonts w:hint="eastAsia" w:ascii="仿宋_GB2312" w:eastAsia="仿宋_GB2312"/>
          <w:sz w:val="32"/>
          <w:szCs w:val="32"/>
        </w:rPr>
        <w:t xml:space="preserve"> </w:t>
      </w:r>
    </w:p>
    <w:p>
      <w:pPr>
        <w:jc w:val="right"/>
        <w:rPr>
          <w:rFonts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文星标宋">
    <w:altName w:val="微软雅黑"/>
    <w:panose1 w:val="02010604000101010101"/>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altName w:val="微软雅黑"/>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AMGDT">
    <w:altName w:val="Segoe UI Semilight"/>
    <w:panose1 w:val="020004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PingFang SC Regular">
    <w:altName w:val="宋体"/>
    <w:panose1 w:val="00000000000000000000"/>
    <w:charset w:val="86"/>
    <w:family w:val="auto"/>
    <w:pitch w:val="default"/>
    <w:sig w:usb0="00000000" w:usb1="00000000" w:usb2="00000016" w:usb3="00000000" w:csb0="00140001" w:csb1="00000000"/>
  </w:font>
  <w:font w:name="长城小标宋体">
    <w:altName w:val="宋体"/>
    <w:panose1 w:val="02010609010101010101"/>
    <w:charset w:val="86"/>
    <w:family w:val="moder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方正小标宋_GBK">
    <w:altName w:val="宋体"/>
    <w:panose1 w:val="03000509000000000000"/>
    <w:charset w:val="86"/>
    <w:family w:val="script"/>
    <w:pitch w:val="default"/>
    <w:sig w:usb0="00000000" w:usb1="00000000" w:usb2="00000010" w:usb3="00000000" w:csb0="00040000" w:csb1="00000000"/>
  </w:font>
  <w:font w:name="方正仿宋_GBK">
    <w:altName w:val="宋体"/>
    <w:panose1 w:val="03000509000000000000"/>
    <w:charset w:val="86"/>
    <w:family w:val="script"/>
    <w:pitch w:val="default"/>
    <w:sig w:usb0="00000000" w:usb1="00000000" w:usb2="00000010" w:usb3="00000000" w:csb0="003C0041" w:csb1="00000000"/>
  </w:font>
  <w:font w:name="Arial">
    <w:panose1 w:val="020B0604020202020204"/>
    <w:charset w:val="00"/>
    <w:family w:val="swiss"/>
    <w:pitch w:val="default"/>
    <w:sig w:usb0="E0002EFF" w:usb1="C000785B" w:usb2="00000009" w:usb3="00000000" w:csb0="400001FF" w:csb1="FFFF0000"/>
  </w:font>
  <w:font w:name="Consolas">
    <w:panose1 w:val="020B0609020204030204"/>
    <w:charset w:val="00"/>
    <w:family w:val="auto"/>
    <w:pitch w:val="default"/>
    <w:sig w:usb0="E00006FF" w:usb1="0000FCFF" w:usb2="00000001" w:usb3="00000000" w:csb0="6000019F" w:csb1="DFD70000"/>
  </w:font>
  <w:font w:name="Vrinda">
    <w:altName w:val="Segoe UI Symbol"/>
    <w:panose1 w:val="020B0502040204020203"/>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
    <w:altName w:val="Lucida Sans Unicode"/>
    <w:panose1 w:val="00000000000000000000"/>
    <w:charset w:val="00"/>
    <w:family w:val="roman"/>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603F01FF" w:csb1="FFFF0000"/>
  </w:font>
  <w:font w:name="Lucida Sans Unicode">
    <w:panose1 w:val="020B0602030504020204"/>
    <w:charset w:val="00"/>
    <w:family w:val="auto"/>
    <w:pitch w:val="default"/>
    <w:sig w:usb0="80001AFF" w:usb1="0000396B" w:usb2="00000000" w:usb3="00000000" w:csb0="200000BF" w:csb1="D7F70000"/>
  </w:font>
  <w:font w:name="Droid Sans">
    <w:altName w:val="微软雅黑"/>
    <w:panose1 w:val="00000000000000000000"/>
    <w:charset w:val="00"/>
    <w:family w:val="auto"/>
    <w:pitch w:val="default"/>
    <w:sig w:usb0="00000000" w:usb1="00000000" w:usb2="00000000" w:usb3="00000000" w:csb0="00040001" w:csb1="00000000"/>
  </w:font>
  <w:font w:name="Eras Light ITC">
    <w:altName w:val="Yu Gothic UI Semilight"/>
    <w:panose1 w:val="020B0402030504020804"/>
    <w:charset w:val="00"/>
    <w:family w:val="auto"/>
    <w:pitch w:val="default"/>
    <w:sig w:usb0="00000000" w:usb1="00000000" w:usb2="00000000" w:usb3="00000000" w:csb0="20000001" w:csb1="00000000"/>
  </w:font>
  <w:font w:name="Heiti SC Medium">
    <w:altName w:val="Malgun Gothic Semilight"/>
    <w:panose1 w:val="00000000000000000000"/>
    <w:charset w:val="80"/>
    <w:family w:val="auto"/>
    <w:pitch w:val="default"/>
    <w:sig w:usb0="00000000" w:usb1="00000000" w:usb2="00000010" w:usb3="00000000" w:csb0="003E0001" w:csb1="00000000"/>
  </w:font>
  <w:font w:name="hakuyoxingshu7000">
    <w:altName w:val="宋体"/>
    <w:panose1 w:val="02000600000000000000"/>
    <w:charset w:val="86"/>
    <w:family w:val="auto"/>
    <w:pitch w:val="default"/>
    <w:sig w:usb0="00000000" w:usb1="00000000" w:usb2="0000003F" w:usb3="00000000" w:csb0="603F00FF" w:csb1="FFFF0000"/>
  </w:font>
  <w:font w:name="hakuyoxingshu7000">
    <w:altName w:val="Malgun Gothic Semilight"/>
    <w:panose1 w:val="02000600000000000000"/>
    <w:charset w:val="80"/>
    <w:family w:val="auto"/>
    <w:pitch w:val="default"/>
    <w:sig w:usb0="00000000" w:usb1="00000000" w:usb2="0000003F" w:usb3="00000000" w:csb0="603F00FF" w:csb1="FFFF0000"/>
  </w:font>
  <w:font w:name="Helvetica">
    <w:altName w:val="Arial"/>
    <w:panose1 w:val="00000000000000000000"/>
    <w:charset w:val="00"/>
    <w:family w:val="auto"/>
    <w:pitch w:val="default"/>
    <w:sig w:usb0="00000000" w:usb1="00000000" w:usb2="00000000" w:usb3="00000000" w:csb0="00000000" w:csb1="00000000"/>
  </w:font>
  <w:font w:name="Segoe UI Semilight">
    <w:panose1 w:val="020B0402040204020203"/>
    <w:charset w:val="00"/>
    <w:family w:val="auto"/>
    <w:pitch w:val="default"/>
    <w:sig w:usb0="E4002EFF" w:usb1="C000E47F" w:usb2="00000009" w:usb3="00000000" w:csb0="200001FF" w:csb1="00000000"/>
  </w:font>
  <w:font w:name="Segoe UI Symbol">
    <w:panose1 w:val="020B0502040204020203"/>
    <w:charset w:val="00"/>
    <w:family w:val="auto"/>
    <w:pitch w:val="default"/>
    <w:sig w:usb0="800001E3" w:usb1="1200FFEF" w:usb2="00040000" w:usb3="04000000" w:csb0="00000001" w:csb1="40000000"/>
  </w:font>
  <w:font w:name="Yu Gothic UI Semilight">
    <w:panose1 w:val="020B0400000000000000"/>
    <w:charset w:val="80"/>
    <w:family w:val="auto"/>
    <w:pitch w:val="default"/>
    <w:sig w:usb0="E00002FF" w:usb1="2AC7FDFF" w:usb2="00000016" w:usb3="00000000" w:csb0="2002009F" w:csb1="00000000"/>
  </w:font>
  <w:font w:name="Malgun Gothic Semilight">
    <w:panose1 w:val="020B0502040204020203"/>
    <w:charset w:val="86"/>
    <w:family w:val="auto"/>
    <w:pitch w:val="default"/>
    <w:sig w:usb0="900002AF" w:usb1="01D77CFB" w:usb2="00000012" w:usb3="00000000" w:csb0="203E01BD"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0A"/>
    <w:rsid w:val="000A740A"/>
    <w:rsid w:val="00173E96"/>
    <w:rsid w:val="00255E73"/>
    <w:rsid w:val="00312C0B"/>
    <w:rsid w:val="003636C4"/>
    <w:rsid w:val="00482FA4"/>
    <w:rsid w:val="00586C40"/>
    <w:rsid w:val="005C1E4E"/>
    <w:rsid w:val="005C7AF8"/>
    <w:rsid w:val="0061412B"/>
    <w:rsid w:val="008E60B0"/>
    <w:rsid w:val="00BF0345"/>
    <w:rsid w:val="00BF53AB"/>
    <w:rsid w:val="00C00F50"/>
    <w:rsid w:val="00DA447D"/>
    <w:rsid w:val="00DA68C5"/>
    <w:rsid w:val="00DF658E"/>
    <w:rsid w:val="00E53F28"/>
    <w:rsid w:val="00FF0770"/>
    <w:rsid w:val="00FF0AFD"/>
    <w:rsid w:val="06915FA6"/>
    <w:rsid w:val="0E0145BF"/>
    <w:rsid w:val="0E1F5355"/>
    <w:rsid w:val="0E385569"/>
    <w:rsid w:val="2491243D"/>
    <w:rsid w:val="28ED377C"/>
    <w:rsid w:val="29E56EDA"/>
    <w:rsid w:val="2AA01B40"/>
    <w:rsid w:val="313623E2"/>
    <w:rsid w:val="320A6821"/>
    <w:rsid w:val="3A295FBF"/>
    <w:rsid w:val="4CA67B19"/>
    <w:rsid w:val="4F2647C8"/>
    <w:rsid w:val="54453E3E"/>
    <w:rsid w:val="54FA4C04"/>
    <w:rsid w:val="56C45FB8"/>
    <w:rsid w:val="58E26B24"/>
    <w:rsid w:val="66A06A93"/>
    <w:rsid w:val="682A7130"/>
    <w:rsid w:val="6A1D63F6"/>
    <w:rsid w:val="6B1305AA"/>
    <w:rsid w:val="74000A29"/>
    <w:rsid w:val="77F9579D"/>
    <w:rsid w:val="7EA451EE"/>
    <w:rsid w:val="7ECE3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Pages>
  <Words>187</Words>
  <Characters>1069</Characters>
  <Lines>8</Lines>
  <Paragraphs>2</Paragraphs>
  <ScaleCrop>false</ScaleCrop>
  <LinksUpToDate>false</LinksUpToDate>
  <CharactersWithSpaces>1254</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2018-04-10T09:25:00Z</dcterms:created>
  <dc:creator>user</dc:creator>
  <cp:lastModifiedBy>MRX</cp:lastModifiedBy>
  <cp:lastPrinted>2021-01-26T07:03:00Z</cp:lastPrinted>
  <dcterms:modified xsi:type="dcterms:W3CDTF">2022-04-13T06:46:54Z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