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门头沟区市场监管局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2019年“双随机、一公开”工作报告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跨部门“双随机、一公开”工作开展情况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一是研究制定工作方案。按照市局工作要求，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门头沟区市场监督管理局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牵头制定，并由门头沟区政府办公室印发门政办发【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48号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《门头沟区关于在市场监管领域全面推行部门联合“双随机、一公开”监管的实施方案》。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二是建立联席会议制度，门头沟区根据方案精神，</w:t>
      </w:r>
      <w:r>
        <w:rPr>
          <w:rFonts w:hint="eastAsia" w:ascii="仿宋_GB2312" w:hAnsi="华文中宋" w:eastAsia="仿宋_GB2312"/>
          <w:sz w:val="32"/>
          <w:szCs w:val="32"/>
        </w:rPr>
        <w:t>建立门头沟区市场监管领域部门联合“双随机、一公开”监管工作联席会议制度，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并对照各部门抽查事项清单和相关主体库明确抽查内容，实现部门联合“双随机、一公开”的监管常态化。并于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2019年11月召门头沟区部门联合“双随机 一公开”监管工作联席会第一次会议。区市场监督管理局、区编办、区发改委、区教委、区科信局等18个单位的主管领导参加了会议，部署了相关工作。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三是于2019年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10月门头沟区市场监督管理局联合区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住建委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依托门头沟区市场主体信用协同监管平台，开展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房地产经纪机构及住房租赁企业双随机联合执法检查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行动，共检查房地产经纪机构及住房租赁企业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户次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门头沟区“双随机、一公开”工作开展情况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门头沟区市场监管局年初计划开展“双随机、一公开”抽查17批次，检查市场经营主体2344户次；截至2019年11月19日，已开展“双随机、一公开”抽查25批次，检查市场经营主体2674户次，检查结果已向社会公示，5批次仍在检查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2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42B6"/>
    <w:multiLevelType w:val="singleLevel"/>
    <w:tmpl w:val="5DD342B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5DBE"/>
    <w:rsid w:val="0B5D6FC1"/>
    <w:rsid w:val="115F4441"/>
    <w:rsid w:val="1FAF0E88"/>
    <w:rsid w:val="39A03498"/>
    <w:rsid w:val="3B9F36FD"/>
    <w:rsid w:val="3C0C7DBE"/>
    <w:rsid w:val="4CA15DBE"/>
    <w:rsid w:val="56F37786"/>
    <w:rsid w:val="7CCA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2019-11-19T01:09:00Z</dcterms:created>
  <dc:creator>Administrator</dc:creator>
  <cp:lastModifiedBy>管理人员</cp:lastModifiedBy>
  <cp:lastPrinted>2019-11-20T02:55:00Z</cp:lastPrinted>
  <dcterms:modified xsi:type="dcterms:W3CDTF">2020-06-08T08:40:46Z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