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1F" w:rsidRDefault="001A23F1">
      <w:pPr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 w:rsidRPr="00B1601F">
        <w:rPr>
          <w:rFonts w:ascii="华文中宋" w:eastAsia="华文中宋" w:hAnsi="华文中宋" w:hint="eastAsia"/>
          <w:b/>
          <w:sz w:val="32"/>
          <w:szCs w:val="32"/>
        </w:rPr>
        <w:t>区发展改革委课题研究、投资咨询评估、项目管理核查、</w:t>
      </w:r>
    </w:p>
    <w:p w:rsidR="00B1601F" w:rsidRPr="00B1601F" w:rsidRDefault="001A23F1">
      <w:pPr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 w:rsidRPr="00B1601F">
        <w:rPr>
          <w:rFonts w:ascii="华文中宋" w:eastAsia="华文中宋" w:hAnsi="华文中宋" w:hint="eastAsia"/>
          <w:b/>
          <w:sz w:val="32"/>
          <w:szCs w:val="32"/>
        </w:rPr>
        <w:t>后评价等工作经费项目</w:t>
      </w:r>
    </w:p>
    <w:p w:rsidR="001D0797" w:rsidRPr="00B1601F" w:rsidRDefault="001A23F1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B1601F">
        <w:rPr>
          <w:rFonts w:ascii="华文中宋" w:eastAsia="华文中宋" w:hAnsi="华文中宋" w:hint="eastAsia"/>
          <w:b/>
          <w:sz w:val="32"/>
          <w:szCs w:val="32"/>
        </w:rPr>
        <w:t>20</w:t>
      </w:r>
      <w:r w:rsidRPr="00B1601F">
        <w:rPr>
          <w:rFonts w:ascii="华文中宋" w:eastAsia="华文中宋" w:hAnsi="华文中宋"/>
          <w:b/>
          <w:sz w:val="32"/>
          <w:szCs w:val="32"/>
        </w:rPr>
        <w:t>21</w:t>
      </w:r>
      <w:r w:rsidRPr="00B1601F">
        <w:rPr>
          <w:rFonts w:ascii="华文中宋" w:eastAsia="华文中宋" w:hAnsi="华文中宋" w:hint="eastAsia"/>
          <w:b/>
          <w:sz w:val="32"/>
          <w:szCs w:val="32"/>
        </w:rPr>
        <w:t>年度</w:t>
      </w:r>
      <w:r w:rsidRPr="00B1601F">
        <w:rPr>
          <w:rFonts w:ascii="华文中宋" w:eastAsia="华文中宋" w:hAnsi="华文中宋"/>
          <w:b/>
          <w:sz w:val="32"/>
          <w:szCs w:val="32"/>
        </w:rPr>
        <w:t>绩效自评报告</w:t>
      </w:r>
    </w:p>
    <w:p w:rsidR="001D0797" w:rsidRDefault="001A23F1">
      <w:pPr>
        <w:spacing w:line="52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一、基本情况</w:t>
      </w:r>
    </w:p>
    <w:p w:rsidR="001D0797" w:rsidRDefault="001A23F1">
      <w:p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（一）项目概况</w:t>
      </w:r>
    </w:p>
    <w:p w:rsidR="001D0797" w:rsidRDefault="001A23F1">
      <w:pPr>
        <w:spacing w:line="520" w:lineRule="exact"/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根据区发展改革委工作职责，在项目审批、核准或开展节能审查等过程中，委托具有甲级资信（资质）工程（造价）咨询机构对项目单位提交的项目建议书、可行性研究报告、初步设计概算开展第三方评估评审，并根据评审报告，出具项目批复书；在项目事中事后监管过程中，</w:t>
      </w:r>
      <w:r>
        <w:rPr>
          <w:rFonts w:ascii="仿宋_GB2312" w:eastAsia="仿宋_GB2312"/>
          <w:color w:val="000000"/>
          <w:sz w:val="32"/>
          <w:szCs w:val="32"/>
        </w:rPr>
        <w:t>委托第三方机构开展现场核查</w:t>
      </w:r>
      <w:r>
        <w:rPr>
          <w:rFonts w:ascii="仿宋_GB2312" w:eastAsia="仿宋_GB2312" w:hint="eastAsia"/>
          <w:color w:val="000000"/>
          <w:sz w:val="32"/>
          <w:szCs w:val="32"/>
        </w:rPr>
        <w:t>及政府投资项目后评价等工作；开展有关项目、课题的调研、编制等工作，并保障区委、区政府临时交办课题性研究及相关材料宣传制作等工作内容。</w:t>
      </w:r>
    </w:p>
    <w:p w:rsidR="001D0797" w:rsidRDefault="001A23F1">
      <w:p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（二）项目资金到位及执行情况</w:t>
      </w:r>
    </w:p>
    <w:p w:rsidR="001D0797" w:rsidRDefault="001A23F1">
      <w:pPr>
        <w:spacing w:line="520" w:lineRule="exact"/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本项目2021年度预算金额为96.63万元，其中：当年财政拨款96.63万元，其他资金0.00万元。截止到20</w:t>
      </w:r>
      <w:r>
        <w:rPr>
          <w:rFonts w:ascii="仿宋_GB2312" w:eastAsia="仿宋_GB2312"/>
          <w:color w:val="000000"/>
          <w:sz w:val="32"/>
          <w:szCs w:val="32"/>
        </w:rPr>
        <w:t>21</w:t>
      </w:r>
      <w:r>
        <w:rPr>
          <w:rFonts w:ascii="仿宋_GB2312" w:eastAsia="仿宋_GB2312" w:hint="eastAsia"/>
          <w:color w:val="000000"/>
          <w:sz w:val="32"/>
          <w:szCs w:val="32"/>
        </w:rPr>
        <w:t>年12月底，本项目共支出96.63万元，其中：财政拨款96.63万元，其他资金0.00万元。</w:t>
      </w:r>
    </w:p>
    <w:p w:rsidR="001D0797" w:rsidRDefault="001A23F1">
      <w:p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（三）项目绩效目标、绩效指标设定情况</w:t>
      </w:r>
    </w:p>
    <w:p w:rsidR="001D0797" w:rsidRDefault="001A23F1">
      <w:pPr>
        <w:spacing w:line="520" w:lineRule="exact"/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加强项目审批管理，把控项目投资成本，提高政府性投资项目投资效益，规范投资行为，加强成本管控。促进固定资产投资项目科学合理利用能源,提高能源利用率,加强能源消费总量管理。</w:t>
      </w:r>
    </w:p>
    <w:p w:rsidR="001D0797" w:rsidRDefault="001A23F1">
      <w:p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（四）项目资金管理情况分析</w:t>
      </w:r>
    </w:p>
    <w:p w:rsidR="001D0797" w:rsidRDefault="001A23F1">
      <w:pPr>
        <w:spacing w:line="520" w:lineRule="exact"/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在项目资金使用过程中，严格按照《北京市门头沟区发展和改革委员会预算管理办法》、《北京市门头沟区发展和改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革委员会收入支出管理办法》等进行资金支付，且在预算执行过程中，严格按照“三重一大”要求进行上会，资金拨付时有完整的审批程序和手续，不存在截留、挤占、挪用、虚列支出等情况。</w:t>
      </w:r>
    </w:p>
    <w:p w:rsidR="001D0797" w:rsidRDefault="001A23F1">
      <w:pPr>
        <w:spacing w:line="52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二、绩效自评结论</w:t>
      </w:r>
    </w:p>
    <w:p w:rsidR="001D0797" w:rsidRDefault="001A23F1">
      <w:pPr>
        <w:spacing w:line="520" w:lineRule="exact"/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ascii="仿宋_GB2312" w:eastAsia="仿宋_GB2312" w:hAnsi="黑体" w:cs="黑体" w:hint="eastAsia"/>
          <w:bCs/>
          <w:sz w:val="32"/>
          <w:szCs w:val="32"/>
        </w:rPr>
        <w:t>绩效自评总分：100分</w:t>
      </w:r>
    </w:p>
    <w:p w:rsidR="001D0797" w:rsidRDefault="001A23F1">
      <w:pPr>
        <w:spacing w:line="520" w:lineRule="exact"/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ascii="仿宋_GB2312" w:eastAsia="仿宋_GB2312" w:hAnsi="黑体" w:cs="黑体" w:hint="eastAsia"/>
          <w:bCs/>
          <w:sz w:val="32"/>
          <w:szCs w:val="32"/>
        </w:rPr>
        <w:t>绩效自评等级：优秀</w:t>
      </w:r>
    </w:p>
    <w:p w:rsidR="001D0797" w:rsidRDefault="001A23F1">
      <w:pPr>
        <w:spacing w:line="52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三、绩效目标完成情况分析</w:t>
      </w:r>
    </w:p>
    <w:p w:rsidR="001D0797" w:rsidRDefault="001A23F1">
      <w:p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（一）总体绩效目标完成情况分析</w:t>
      </w:r>
    </w:p>
    <w:p w:rsidR="001D0797" w:rsidRDefault="001A23F1">
      <w:pPr>
        <w:spacing w:line="520" w:lineRule="exact"/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黑体" w:cs="黑体" w:hint="eastAsia"/>
          <w:bCs/>
          <w:sz w:val="32"/>
          <w:szCs w:val="32"/>
        </w:rPr>
        <w:t>严格按照国家及北京市文件规定，加强项目审批管理，依法依规批复项目。2021年度通过使用该项目资金96.63万元，完成了27个项目的咨询评审工作，提高了政府性投资项目投资效益，规范投资行为，加强成本管控，</w:t>
      </w:r>
      <w:r>
        <w:rPr>
          <w:rFonts w:ascii="仿宋_GB2312" w:eastAsia="仿宋_GB2312" w:hint="eastAsia"/>
          <w:color w:val="000000"/>
          <w:sz w:val="32"/>
          <w:szCs w:val="32"/>
        </w:rPr>
        <w:t>促进固定资产投资项目科学合理利用能源,提高能源利用率,加强能源消费总量管理。</w:t>
      </w:r>
    </w:p>
    <w:p w:rsidR="001D0797" w:rsidRDefault="001A23F1">
      <w:p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（二）项目绩效指标完成情况分析</w:t>
      </w:r>
    </w:p>
    <w:p w:rsidR="001D0797" w:rsidRDefault="001A23F1">
      <w:pPr>
        <w:spacing w:line="520" w:lineRule="exact"/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ascii="仿宋_GB2312" w:eastAsia="仿宋_GB2312" w:hAnsi="黑体" w:cs="黑体" w:hint="eastAsia"/>
          <w:bCs/>
          <w:sz w:val="32"/>
          <w:szCs w:val="32"/>
        </w:rPr>
        <w:t>1.产出指标完成情况分析。</w:t>
      </w:r>
    </w:p>
    <w:p w:rsidR="001D0797" w:rsidRDefault="001A23F1">
      <w:pPr>
        <w:spacing w:line="520" w:lineRule="exact"/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ascii="仿宋_GB2312" w:eastAsia="仿宋_GB2312" w:hAnsi="黑体" w:cs="黑体" w:hint="eastAsia"/>
          <w:bCs/>
          <w:sz w:val="32"/>
          <w:szCs w:val="32"/>
        </w:rPr>
        <w:t>（1）数量指标。2021年度,根据本区项目单位申报情况,完成27个项目评审工作，并支付评审费。</w:t>
      </w:r>
    </w:p>
    <w:p w:rsidR="001D0797" w:rsidRDefault="001A23F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（2）质量指标：按照国家有关规定及政策，完成委托项目的评审报告编制工作。</w:t>
      </w:r>
    </w:p>
    <w:p w:rsidR="001D0797" w:rsidRDefault="001A23F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（3）进度指标：根据主管业务科室出具委托评审</w:t>
      </w:r>
      <w:proofErr w:type="gramStart"/>
      <w:r>
        <w:rPr>
          <w:rFonts w:ascii="仿宋_GB2312" w:eastAsia="仿宋_GB2312" w:hint="eastAsia"/>
          <w:sz w:val="32"/>
          <w:szCs w:val="32"/>
        </w:rPr>
        <w:t>函以及</w:t>
      </w:r>
      <w:proofErr w:type="gramEnd"/>
      <w:r>
        <w:rPr>
          <w:rFonts w:ascii="仿宋_GB2312" w:eastAsia="仿宋_GB2312" w:hint="eastAsia"/>
          <w:sz w:val="32"/>
          <w:szCs w:val="32"/>
        </w:rPr>
        <w:t>项目单位提供相关资料时间为准。</w:t>
      </w:r>
    </w:p>
    <w:p w:rsidR="001D0797" w:rsidRDefault="001A23F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（4）成本指标：96.63万元。</w:t>
      </w:r>
    </w:p>
    <w:p w:rsidR="001D0797" w:rsidRDefault="001A23F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2.效益指标完成情况分析。</w:t>
      </w:r>
    </w:p>
    <w:p w:rsidR="001D0797" w:rsidRDefault="001A23F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（1）经济效益：不涉及</w:t>
      </w:r>
    </w:p>
    <w:p w:rsidR="001D0797" w:rsidRDefault="001A23F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（2）社会效益：</w:t>
      </w:r>
      <w:r>
        <w:rPr>
          <w:rFonts w:ascii="仿宋_GB2312" w:eastAsia="仿宋_GB2312" w:hAnsi="黑体" w:cs="黑体" w:hint="eastAsia"/>
          <w:bCs/>
          <w:sz w:val="32"/>
          <w:szCs w:val="32"/>
        </w:rPr>
        <w:t>加强项目审批管理，依法依规批复项</w:t>
      </w:r>
      <w:r>
        <w:rPr>
          <w:rFonts w:ascii="仿宋_GB2312" w:eastAsia="仿宋_GB2312" w:hAnsi="黑体" w:cs="黑体" w:hint="eastAsia"/>
          <w:bCs/>
          <w:sz w:val="32"/>
          <w:szCs w:val="32"/>
        </w:rPr>
        <w:lastRenderedPageBreak/>
        <w:t>目。</w:t>
      </w:r>
    </w:p>
    <w:p w:rsidR="001D0797" w:rsidRDefault="001A23F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（3）生态效益：不涉及</w:t>
      </w:r>
    </w:p>
    <w:p w:rsidR="001D0797" w:rsidRDefault="001A23F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（4）可持续影响：不涉及</w:t>
      </w:r>
    </w:p>
    <w:p w:rsidR="001D0797" w:rsidRDefault="001A23F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3.满意度指标完成情况分析：满意</w:t>
      </w:r>
    </w:p>
    <w:p w:rsidR="001D0797" w:rsidRDefault="001A23F1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四、发现的主要问题和改进措施</w:t>
      </w:r>
    </w:p>
    <w:p w:rsidR="001D0797" w:rsidRPr="00C07857" w:rsidRDefault="001A23F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7857">
        <w:rPr>
          <w:rFonts w:ascii="仿宋_GB2312" w:eastAsia="仿宋_GB2312" w:hint="eastAsia"/>
          <w:sz w:val="32"/>
          <w:szCs w:val="32"/>
        </w:rPr>
        <w:t>执行过程中，项目评审工作</w:t>
      </w:r>
      <w:proofErr w:type="gramStart"/>
      <w:r w:rsidRPr="00C07857">
        <w:rPr>
          <w:rFonts w:ascii="仿宋_GB2312" w:eastAsia="仿宋_GB2312" w:hint="eastAsia"/>
          <w:sz w:val="32"/>
          <w:szCs w:val="32"/>
        </w:rPr>
        <w:t>需项目</w:t>
      </w:r>
      <w:proofErr w:type="gramEnd"/>
      <w:r w:rsidRPr="00C07857">
        <w:rPr>
          <w:rFonts w:ascii="仿宋_GB2312" w:eastAsia="仿宋_GB2312" w:hint="eastAsia"/>
          <w:sz w:val="32"/>
          <w:szCs w:val="32"/>
        </w:rPr>
        <w:t>建设单位上报资料后方可根据项目具体情况进行评审，项目评审时间、个数及金额均存在不确定性；课题研究也存在临时承接</w:t>
      </w:r>
      <w:r w:rsidR="00B1601F">
        <w:rPr>
          <w:rFonts w:ascii="仿宋_GB2312" w:eastAsia="仿宋_GB2312" w:hint="eastAsia"/>
          <w:sz w:val="32"/>
          <w:szCs w:val="32"/>
        </w:rPr>
        <w:t>区委区政府</w:t>
      </w:r>
      <w:r w:rsidRPr="00C07857">
        <w:rPr>
          <w:rFonts w:ascii="仿宋_GB2312" w:eastAsia="仿宋_GB2312" w:hint="eastAsia"/>
          <w:sz w:val="32"/>
          <w:szCs w:val="32"/>
        </w:rPr>
        <w:t>交派课题的情况，故导致年初预算无法精准。</w:t>
      </w:r>
      <w:bookmarkStart w:id="0" w:name="_GoBack"/>
      <w:bookmarkEnd w:id="0"/>
    </w:p>
    <w:p w:rsidR="001D0797" w:rsidRDefault="001A23F1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五、有关</w:t>
      </w:r>
      <w:r>
        <w:rPr>
          <w:rFonts w:ascii="黑体" w:eastAsia="黑体" w:hAnsi="黑体"/>
          <w:sz w:val="32"/>
          <w:szCs w:val="32"/>
        </w:rPr>
        <w:t>建议及</w:t>
      </w:r>
      <w:r>
        <w:rPr>
          <w:rFonts w:ascii="黑体" w:eastAsia="黑体" w:hAnsi="黑体" w:hint="eastAsia"/>
          <w:sz w:val="32"/>
          <w:szCs w:val="32"/>
        </w:rPr>
        <w:t>其他需要说明的情况</w:t>
      </w:r>
    </w:p>
    <w:p w:rsidR="001D0797" w:rsidRDefault="001A23F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无。</w:t>
      </w:r>
    </w:p>
    <w:p w:rsidR="001D0797" w:rsidRDefault="001D079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D0797" w:rsidRDefault="001A23F1">
      <w:pPr>
        <w:spacing w:line="520" w:lineRule="exact"/>
        <w:ind w:leftChars="200" w:left="6660" w:hangingChars="1950" w:hanging="6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       单位公章</w:t>
      </w:r>
    </w:p>
    <w:p w:rsidR="001D0797" w:rsidRDefault="00C07857" w:rsidP="00C07857"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</w:t>
      </w:r>
      <w:r w:rsidR="001A23F1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2</w:t>
      </w:r>
      <w:r w:rsidR="001A23F1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24 </w:t>
      </w:r>
      <w:r w:rsidR="001A23F1">
        <w:rPr>
          <w:rFonts w:ascii="仿宋_GB2312" w:eastAsia="仿宋_GB2312" w:hint="eastAsia"/>
          <w:sz w:val="32"/>
          <w:szCs w:val="32"/>
        </w:rPr>
        <w:t>日</w:t>
      </w:r>
    </w:p>
    <w:sectPr w:rsidR="001D0797" w:rsidSect="001D0797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04B" w:rsidRDefault="008E704B" w:rsidP="00C07857">
      <w:r>
        <w:separator/>
      </w:r>
    </w:p>
  </w:endnote>
  <w:endnote w:type="continuationSeparator" w:id="0">
    <w:p w:rsidR="008E704B" w:rsidRDefault="008E704B" w:rsidP="00C07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04B" w:rsidRDefault="008E704B" w:rsidP="00C07857">
      <w:r>
        <w:separator/>
      </w:r>
    </w:p>
  </w:footnote>
  <w:footnote w:type="continuationSeparator" w:id="0">
    <w:p w:rsidR="008E704B" w:rsidRDefault="008E704B" w:rsidP="00C07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B17"/>
    <w:rsid w:val="00013E3D"/>
    <w:rsid w:val="000269DC"/>
    <w:rsid w:val="00047DC0"/>
    <w:rsid w:val="000A23F6"/>
    <w:rsid w:val="001451E0"/>
    <w:rsid w:val="001A23F1"/>
    <w:rsid w:val="001A3712"/>
    <w:rsid w:val="001D0797"/>
    <w:rsid w:val="001F4635"/>
    <w:rsid w:val="00203391"/>
    <w:rsid w:val="00210B4C"/>
    <w:rsid w:val="002140C0"/>
    <w:rsid w:val="00253979"/>
    <w:rsid w:val="00311303"/>
    <w:rsid w:val="0031524F"/>
    <w:rsid w:val="00330537"/>
    <w:rsid w:val="003727E8"/>
    <w:rsid w:val="003B3B58"/>
    <w:rsid w:val="003C42FF"/>
    <w:rsid w:val="003E57D3"/>
    <w:rsid w:val="004503E3"/>
    <w:rsid w:val="004A6501"/>
    <w:rsid w:val="004B7FE1"/>
    <w:rsid w:val="004F49B9"/>
    <w:rsid w:val="0054688F"/>
    <w:rsid w:val="00546ADE"/>
    <w:rsid w:val="00565DE2"/>
    <w:rsid w:val="00581148"/>
    <w:rsid w:val="005D4ED9"/>
    <w:rsid w:val="005E6415"/>
    <w:rsid w:val="00611E84"/>
    <w:rsid w:val="006305D3"/>
    <w:rsid w:val="00635A98"/>
    <w:rsid w:val="0064412D"/>
    <w:rsid w:val="00676705"/>
    <w:rsid w:val="006D4D7E"/>
    <w:rsid w:val="006E7F4B"/>
    <w:rsid w:val="007C3E7C"/>
    <w:rsid w:val="007D661E"/>
    <w:rsid w:val="00845359"/>
    <w:rsid w:val="00851994"/>
    <w:rsid w:val="008577AE"/>
    <w:rsid w:val="00867313"/>
    <w:rsid w:val="008728BA"/>
    <w:rsid w:val="008B6584"/>
    <w:rsid w:val="008E10AE"/>
    <w:rsid w:val="008E704B"/>
    <w:rsid w:val="009127C3"/>
    <w:rsid w:val="009976F0"/>
    <w:rsid w:val="009B27A6"/>
    <w:rsid w:val="009B4111"/>
    <w:rsid w:val="00A127E4"/>
    <w:rsid w:val="00A4171D"/>
    <w:rsid w:val="00A52489"/>
    <w:rsid w:val="00A61FC1"/>
    <w:rsid w:val="00B03C22"/>
    <w:rsid w:val="00B1601F"/>
    <w:rsid w:val="00BB44BC"/>
    <w:rsid w:val="00BD5780"/>
    <w:rsid w:val="00C01D2B"/>
    <w:rsid w:val="00C07857"/>
    <w:rsid w:val="00C12F72"/>
    <w:rsid w:val="00C8361D"/>
    <w:rsid w:val="00CA1FA9"/>
    <w:rsid w:val="00CA72AB"/>
    <w:rsid w:val="00CD1D34"/>
    <w:rsid w:val="00D374F7"/>
    <w:rsid w:val="00D50DEF"/>
    <w:rsid w:val="00D60B17"/>
    <w:rsid w:val="00DD5C2B"/>
    <w:rsid w:val="00E67831"/>
    <w:rsid w:val="00E84B1F"/>
    <w:rsid w:val="00EB6DEB"/>
    <w:rsid w:val="00EC6591"/>
    <w:rsid w:val="00F207A8"/>
    <w:rsid w:val="00F94088"/>
    <w:rsid w:val="00FF4BD6"/>
    <w:rsid w:val="63F6A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D0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D0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079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D07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196</Words>
  <Characters>1119</Characters>
  <Application>Microsoft Office Word</Application>
  <DocSecurity>0</DocSecurity>
  <Lines>9</Lines>
  <Paragraphs>2</Paragraphs>
  <ScaleCrop>false</ScaleCrop>
  <Company>Lenovo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井文胜</dc:creator>
  <cp:lastModifiedBy>lenovo</cp:lastModifiedBy>
  <cp:revision>35</cp:revision>
  <cp:lastPrinted>2022-02-17T01:31:00Z</cp:lastPrinted>
  <dcterms:created xsi:type="dcterms:W3CDTF">2020-04-14T19:36:00Z</dcterms:created>
  <dcterms:modified xsi:type="dcterms:W3CDTF">2022-02-17T01:35:00Z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