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951"/>
        <w:gridCol w:w="2235"/>
        <w:gridCol w:w="2175"/>
        <w:gridCol w:w="1590"/>
        <w:gridCol w:w="38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" w:eastAsia="zh-CN"/>
              </w:rPr>
              <w:t>序号</w:t>
            </w:r>
          </w:p>
        </w:tc>
        <w:tc>
          <w:tcPr>
            <w:tcW w:w="1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做出决定机关名称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决定书编号</w:t>
            </w: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执法对象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决定种类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决定主要内容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决定日期</w:t>
            </w:r>
          </w:p>
        </w:tc>
      </w:tr>
    </w:tbl>
    <w:tbl>
      <w:tblPr>
        <w:tblStyle w:val="4"/>
        <w:tblW w:w="142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950"/>
        <w:gridCol w:w="2234"/>
        <w:gridCol w:w="2174"/>
        <w:gridCol w:w="1589"/>
        <w:gridCol w:w="3838"/>
        <w:gridCol w:w="1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门头沟区文化和旅游局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门文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当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不罚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[202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]第0000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06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号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北京嘉禾麦芒文化发展有限公司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不予行政处罚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当场不予处罚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eastAsia="zh-CN"/>
              </w:rPr>
              <w:t>）</w:t>
            </w:r>
          </w:p>
        </w:tc>
        <w:tc>
          <w:tcPr>
            <w:tcW w:w="3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4"/>
                <w:szCs w:val="24"/>
                <w:u w:val="none"/>
              </w:rPr>
              <w:t>当事人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4"/>
                <w:szCs w:val="24"/>
                <w:u w:val="none"/>
                <w:lang w:val="en-US" w:eastAsia="zh-CN"/>
              </w:rPr>
              <w:t>未能当场提供在售的名为《超级龟兔》（共2册）的出版物发行进销货清单等有关非财务票据。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4"/>
                <w:szCs w:val="24"/>
                <w:u w:val="none"/>
              </w:rPr>
              <w:t>违反了《出版物市场管理规定》第二十三条第一款的规定，鉴于当事人系初次违法，危害后果轻微，并现场改正，依据《中华人民共和国行政处罚法》第三十三条第一款的规定，综合考虑违法事实、性质、情节以及社会危害程度，对当事人作出不予行政处罚决定。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202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13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40404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u w:val="none"/>
        </w:rPr>
        <w:t>备注：“行政相对人”一栏若涉及个人真实姓名应作技术处理。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1792A"/>
    <w:rsid w:val="0891792A"/>
    <w:rsid w:val="13F37354"/>
    <w:rsid w:val="2C890191"/>
    <w:rsid w:val="40716F3F"/>
    <w:rsid w:val="4688606B"/>
    <w:rsid w:val="5FBA4D14"/>
    <w:rsid w:val="7D1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区文化委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2023-04-25T01:41:00Z</dcterms:created>
  <dc:creator>whzf-2</dc:creator>
  <cp:lastModifiedBy>whzf-2</cp:lastModifiedBy>
  <dcterms:modified xsi:type="dcterms:W3CDTF">2023-07-20T08:39:50Z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