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北京市</w:t>
      </w:r>
      <w:r>
        <w:rPr>
          <w:rFonts w:hint="eastAsia" w:ascii="宋体" w:hAnsi="宋体" w:eastAsia="宋体" w:cs="宋体"/>
          <w:b/>
          <w:bCs/>
          <w:color w:val="333333"/>
          <w:kern w:val="0"/>
          <w:sz w:val="36"/>
          <w:szCs w:val="36"/>
          <w:lang w:eastAsia="zh-CN"/>
        </w:rPr>
        <w:t>门头沟区安全生产应急管理局</w:t>
      </w:r>
    </w:p>
    <w:p>
      <w:pPr>
        <w:widowControl/>
        <w:shd w:val="clear" w:color="auto" w:fill="FFFFFF"/>
        <w:spacing w:line="360" w:lineRule="auto"/>
        <w:jc w:val="center"/>
        <w:rPr>
          <w:rFonts w:hint="eastAsia" w:ascii="宋体" w:hAnsi="宋体" w:eastAsia="宋体" w:cs="宋体"/>
          <w:b/>
          <w:bCs/>
          <w:color w:val="333333"/>
          <w:kern w:val="0"/>
          <w:sz w:val="36"/>
          <w:szCs w:val="36"/>
        </w:rPr>
      </w:pPr>
      <w:r>
        <w:rPr>
          <w:rFonts w:hint="eastAsia" w:ascii="宋体" w:hAnsi="宋体" w:eastAsia="宋体" w:cs="宋体"/>
          <w:b/>
          <w:bCs/>
          <w:color w:val="333333"/>
          <w:kern w:val="0"/>
          <w:sz w:val="36"/>
          <w:szCs w:val="36"/>
        </w:rPr>
        <w:t>20</w:t>
      </w:r>
      <w:r>
        <w:rPr>
          <w:rFonts w:hint="eastAsia" w:ascii="宋体" w:hAnsi="宋体" w:eastAsia="宋体" w:cs="宋体"/>
          <w:b/>
          <w:bCs/>
          <w:color w:val="333333"/>
          <w:kern w:val="0"/>
          <w:sz w:val="36"/>
          <w:szCs w:val="36"/>
          <w:lang w:val="en-US" w:eastAsia="zh-CN"/>
        </w:rPr>
        <w:t>20</w:t>
      </w:r>
      <w:r>
        <w:rPr>
          <w:rFonts w:hint="eastAsia" w:ascii="宋体" w:hAnsi="宋体" w:eastAsia="宋体" w:cs="宋体"/>
          <w:b/>
          <w:bCs/>
          <w:color w:val="333333"/>
          <w:kern w:val="0"/>
          <w:sz w:val="36"/>
          <w:szCs w:val="36"/>
        </w:rPr>
        <w:t>年</w:t>
      </w:r>
      <w:bookmarkStart w:id="1" w:name="_GoBack"/>
      <w:bookmarkEnd w:id="1"/>
      <w:r>
        <w:rPr>
          <w:rFonts w:hint="eastAsia" w:ascii="宋体" w:hAnsi="宋体" w:eastAsia="宋体" w:cs="宋体"/>
          <w:b/>
          <w:bCs/>
          <w:color w:val="333333"/>
          <w:kern w:val="0"/>
          <w:sz w:val="36"/>
          <w:szCs w:val="36"/>
        </w:rPr>
        <w:t>政府信息公开工作年度报告</w:t>
      </w:r>
    </w:p>
    <w:p>
      <w:pPr>
        <w:widowControl/>
        <w:shd w:val="clear" w:color="auto" w:fill="FFFFFF"/>
        <w:spacing w:line="360" w:lineRule="auto"/>
        <w:ind w:firstLine="480"/>
        <w:rPr>
          <w:rFonts w:hint="eastAsia" w:ascii="宋体" w:hAnsi="宋体" w:eastAsia="宋体" w:cs="宋体"/>
          <w:b/>
          <w:bCs/>
          <w:color w:val="333333"/>
          <w:kern w:val="0"/>
          <w:sz w:val="24"/>
          <w:szCs w:val="24"/>
          <w:lang w:eastAsia="zh-CN"/>
        </w:rPr>
      </w:pPr>
    </w:p>
    <w:p>
      <w:pPr>
        <w:widowControl/>
        <w:spacing w:line="560" w:lineRule="exact"/>
        <w:ind w:firstLine="64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依据《中华人民共和国政府信息公开条例》第五十条之规定，制作本报告。</w:t>
      </w:r>
    </w:p>
    <w:p>
      <w:pPr>
        <w:widowControl/>
        <w:shd w:val="clear" w:color="auto" w:fill="FFFFFF"/>
        <w:spacing w:line="360"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widowControl/>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2020年我局</w:t>
      </w:r>
      <w:r>
        <w:rPr>
          <w:rFonts w:hint="eastAsia" w:ascii="仿宋_GB2312" w:hAnsi="仿宋_GB2312" w:eastAsia="仿宋_GB2312" w:cs="仿宋_GB2312"/>
          <w:kern w:val="0"/>
          <w:sz w:val="32"/>
          <w:szCs w:val="32"/>
        </w:rPr>
        <w:t>设有1个专门的信息申请受理点，即政府信息公开办公室，配备1名兼职工作人员，政府信息公开工作运行正常，政府信息公开咨询、申请以及答复工作得以顺利开展。</w:t>
      </w:r>
    </w:p>
    <w:p>
      <w:pPr>
        <w:widowControl/>
        <w:spacing w:line="560" w:lineRule="exact"/>
        <w:ind w:firstLine="640"/>
        <w:jc w:val="left"/>
        <w:rPr>
          <w:rFonts w:hint="eastAsia" w:ascii="仿宋_GB2312" w:hAnsi="仿宋_GB2312" w:eastAsia="仿宋_GB2312" w:cs="仿宋_GB2312"/>
          <w:kern w:val="0"/>
          <w:sz w:val="32"/>
          <w:szCs w:val="32"/>
        </w:rPr>
      </w:pPr>
      <w:bookmarkStart w:id="0" w:name="OLE_LINK1"/>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年，我局主动公开信息数量为</w:t>
      </w:r>
      <w:r>
        <w:rPr>
          <w:rFonts w:hint="eastAsia" w:ascii="仿宋_GB2312" w:hAnsi="仿宋_GB2312" w:eastAsia="仿宋_GB2312" w:cs="仿宋_GB2312"/>
          <w:kern w:val="0"/>
          <w:sz w:val="32"/>
          <w:szCs w:val="32"/>
          <w:lang w:val="en-US" w:eastAsia="zh-CN"/>
        </w:rPr>
        <w:t>760</w:t>
      </w:r>
      <w:r>
        <w:rPr>
          <w:rFonts w:hint="eastAsia" w:ascii="仿宋_GB2312" w:hAnsi="仿宋_GB2312" w:eastAsia="仿宋_GB2312" w:cs="仿宋_GB2312"/>
          <w:kern w:val="0"/>
          <w:sz w:val="32"/>
          <w:szCs w:val="32"/>
        </w:rPr>
        <w:t>条，其中公文类政府信息数量</w:t>
      </w:r>
      <w:r>
        <w:rPr>
          <w:rFonts w:hint="eastAsia" w:ascii="仿宋_GB2312" w:hAnsi="仿宋_GB2312" w:eastAsia="仿宋_GB2312" w:cs="仿宋_GB2312"/>
          <w:kern w:val="0"/>
          <w:sz w:val="32"/>
          <w:szCs w:val="32"/>
          <w:lang w:val="en-US" w:eastAsia="zh-CN"/>
        </w:rPr>
        <w:t>36</w:t>
      </w:r>
      <w:r>
        <w:rPr>
          <w:rFonts w:hint="eastAsia" w:ascii="仿宋_GB2312" w:hAnsi="仿宋_GB2312" w:eastAsia="仿宋_GB2312" w:cs="仿宋_GB2312"/>
          <w:kern w:val="0"/>
          <w:sz w:val="32"/>
          <w:szCs w:val="32"/>
        </w:rPr>
        <w:t>条，已按要求在网上公开并将纸制文本每件9份，共</w:t>
      </w:r>
      <w:r>
        <w:rPr>
          <w:rFonts w:hint="eastAsia" w:ascii="仿宋_GB2312" w:hAnsi="仿宋_GB2312" w:eastAsia="仿宋_GB2312" w:cs="仿宋_GB2312"/>
          <w:kern w:val="0"/>
          <w:sz w:val="32"/>
          <w:szCs w:val="32"/>
          <w:lang w:val="en-US" w:eastAsia="zh-CN"/>
        </w:rPr>
        <w:t>324</w:t>
      </w:r>
      <w:r>
        <w:rPr>
          <w:rFonts w:hint="eastAsia" w:ascii="仿宋_GB2312" w:hAnsi="仿宋_GB2312" w:eastAsia="仿宋_GB2312" w:cs="仿宋_GB2312"/>
          <w:kern w:val="0"/>
          <w:sz w:val="32"/>
          <w:szCs w:val="32"/>
        </w:rPr>
        <w:t>份文件移送到区档案局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区图书馆和区</w:t>
      </w:r>
      <w:r>
        <w:rPr>
          <w:rFonts w:hint="eastAsia" w:ascii="仿宋_GB2312" w:hAnsi="仿宋_GB2312" w:eastAsia="仿宋_GB2312" w:cs="仿宋_GB2312"/>
          <w:kern w:val="0"/>
          <w:sz w:val="32"/>
          <w:szCs w:val="32"/>
          <w:lang w:eastAsia="zh-CN"/>
        </w:rPr>
        <w:t>政务服务局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行政许可</w:t>
      </w:r>
      <w:r>
        <w:rPr>
          <w:rFonts w:hint="eastAsia" w:ascii="仿宋_GB2312" w:hAnsi="仿宋_GB2312" w:eastAsia="仿宋_GB2312" w:cs="仿宋_GB2312"/>
          <w:kern w:val="0"/>
          <w:sz w:val="32"/>
          <w:szCs w:val="32"/>
          <w:lang w:val="en-US" w:eastAsia="zh-CN"/>
        </w:rPr>
        <w:t>7条，行政处罚82条，行政执法检查1316条。</w:t>
      </w:r>
      <w:bookmarkEnd w:id="0"/>
    </w:p>
    <w:p>
      <w:pPr>
        <w:widowControl/>
        <w:shd w:val="clear" w:color="auto" w:fill="FFFFFF"/>
        <w:spacing w:after="240" w:line="360" w:lineRule="auto"/>
        <w:ind w:firstLine="480"/>
        <w:rPr>
          <w:rFonts w:hint="eastAsia" w:ascii="宋体" w:hAnsi="宋体" w:eastAsia="宋体" w:cs="宋体"/>
          <w:b/>
          <w:bCs/>
          <w:color w:val="333333"/>
          <w:kern w:val="0"/>
          <w:sz w:val="24"/>
          <w:szCs w:val="24"/>
        </w:rPr>
      </w:pPr>
    </w:p>
    <w:p>
      <w:pPr>
        <w:widowControl/>
        <w:shd w:val="clear" w:color="auto" w:fill="FFFFFF"/>
        <w:spacing w:after="240" w:line="360"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6"/>
        <w:tblpPr w:leftFromText="180" w:rightFromText="180" w:vertAnchor="text" w:horzAnchor="page" w:tblpX="987" w:tblpY="778"/>
        <w:tblOverlap w:val="never"/>
        <w:tblW w:w="9535" w:type="dxa"/>
        <w:tblInd w:w="0" w:type="dxa"/>
        <w:shd w:val="clear" w:color="auto" w:fill="auto"/>
        <w:tblLayout w:type="fixed"/>
        <w:tblCellMar>
          <w:top w:w="0" w:type="dxa"/>
          <w:left w:w="0" w:type="dxa"/>
          <w:bottom w:w="0" w:type="dxa"/>
          <w:right w:w="0" w:type="dxa"/>
        </w:tblCellMar>
      </w:tblPr>
      <w:tblGrid>
        <w:gridCol w:w="2698"/>
        <w:gridCol w:w="1099"/>
        <w:gridCol w:w="2018"/>
        <w:gridCol w:w="1740"/>
        <w:gridCol w:w="1980"/>
      </w:tblGrid>
      <w:tr>
        <w:tblPrEx>
          <w:shd w:val="clear" w:color="auto" w:fill="auto"/>
          <w:tblLayout w:type="fixed"/>
          <w:tblCellMar>
            <w:top w:w="0" w:type="dxa"/>
            <w:left w:w="0" w:type="dxa"/>
            <w:bottom w:w="0" w:type="dxa"/>
            <w:right w:w="0" w:type="dxa"/>
          </w:tblCellMar>
        </w:tblPrEx>
        <w:trPr>
          <w:trHeight w:val="630" w:hRule="atLeast"/>
        </w:trPr>
        <w:tc>
          <w:tcPr>
            <w:tcW w:w="9535"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第二十条第（一）项</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本年新制作数量</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本年新公开数量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对外公开总数量</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规章</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规范性文件</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630" w:hRule="atLeast"/>
        </w:trPr>
        <w:tc>
          <w:tcPr>
            <w:tcW w:w="9535"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第二十条第（五）项</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上一年项目数量</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本年增/减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处理决定数量</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630" w:hRule="atLeast"/>
        </w:trPr>
        <w:tc>
          <w:tcPr>
            <w:tcW w:w="2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其他对外管理服务事项</w:t>
            </w: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1316</w:t>
            </w:r>
          </w:p>
        </w:tc>
      </w:tr>
      <w:tr>
        <w:tblPrEx>
          <w:tblLayout w:type="fixed"/>
          <w:tblCellMar>
            <w:top w:w="0" w:type="dxa"/>
            <w:left w:w="0" w:type="dxa"/>
            <w:bottom w:w="0" w:type="dxa"/>
            <w:right w:w="0" w:type="dxa"/>
          </w:tblCellMar>
        </w:tblPrEx>
        <w:trPr>
          <w:trHeight w:val="630" w:hRule="atLeast"/>
        </w:trPr>
        <w:tc>
          <w:tcPr>
            <w:tcW w:w="2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630" w:hRule="atLeast"/>
        </w:trPr>
        <w:tc>
          <w:tcPr>
            <w:tcW w:w="9535"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第二十条第（六）项</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上一年项目数量</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本年增/减</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处理决定数量</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630" w:hRule="atLeast"/>
        </w:trPr>
        <w:tc>
          <w:tcPr>
            <w:tcW w:w="9535"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第二十条第（八）项</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上一年项目数量</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本年增/减</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行政事业性收费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Layout w:type="fixed"/>
          <w:tblCellMar>
            <w:top w:w="0" w:type="dxa"/>
            <w:left w:w="0" w:type="dxa"/>
            <w:bottom w:w="0" w:type="dxa"/>
            <w:right w:w="0" w:type="dxa"/>
          </w:tblCellMar>
        </w:tblPrEx>
        <w:trPr>
          <w:trHeight w:val="630" w:hRule="atLeast"/>
        </w:trPr>
        <w:tc>
          <w:tcPr>
            <w:tcW w:w="9535" w:type="dxa"/>
            <w:gridSpan w:val="5"/>
            <w:tcBorders>
              <w:top w:val="single" w:color="000000" w:sz="4" w:space="0"/>
              <w:left w:val="single" w:color="000000" w:sz="4" w:space="0"/>
              <w:bottom w:val="single" w:color="000000" w:sz="4" w:space="0"/>
              <w:right w:val="single" w:color="000000" w:sz="4" w:space="0"/>
            </w:tcBorders>
            <w:shd w:val="clear" w:color="auto" w:fill="C6D9F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第二十条第（九）项</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信息内容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采购项目数量</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采购总金额（万元，保留四位小数）</w:t>
            </w:r>
          </w:p>
        </w:tc>
      </w:tr>
      <w:tr>
        <w:tblPrEx>
          <w:tblLayout w:type="fixed"/>
          <w:tblCellMar>
            <w:top w:w="0" w:type="dxa"/>
            <w:left w:w="0" w:type="dxa"/>
            <w:bottom w:w="0" w:type="dxa"/>
            <w:right w:w="0" w:type="dxa"/>
          </w:tblCellMar>
        </w:tblPrEx>
        <w:trPr>
          <w:trHeight w:val="630" w:hRule="atLeast"/>
        </w:trPr>
        <w:tc>
          <w:tcPr>
            <w:tcW w:w="37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政府集中采购</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28.2398万元</w:t>
            </w:r>
          </w:p>
        </w:tc>
      </w:tr>
    </w:tbl>
    <w:p>
      <w:pPr>
        <w:widowControl/>
        <w:shd w:val="clear" w:color="auto" w:fill="FFFFFF"/>
        <w:ind w:firstLine="480"/>
        <w:rPr>
          <w:rFonts w:hint="eastAsia" w:ascii="宋体" w:hAnsi="宋体" w:eastAsia="宋体" w:cs="宋体"/>
          <w:color w:val="333333"/>
          <w:kern w:val="0"/>
          <w:sz w:val="24"/>
          <w:szCs w:val="24"/>
          <w:lang w:val="en-US" w:eastAsia="zh-CN"/>
        </w:rPr>
      </w:pPr>
    </w:p>
    <w:p>
      <w:pPr>
        <w:widowControl/>
        <w:shd w:val="clear" w:color="auto" w:fill="FFFFFF"/>
        <w:spacing w:after="240"/>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6"/>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楷体" w:cs="宋体"/>
                <w:kern w:val="0"/>
                <w:sz w:val="24"/>
                <w:szCs w:val="24"/>
                <w:lang w:val="en-US" w:eastAsia="zh-CN"/>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 xml:space="preserve">  0</w:t>
            </w:r>
          </w:p>
        </w:tc>
      </w:tr>
    </w:tbl>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ind w:firstLine="480"/>
        <w:rPr>
          <w:rFonts w:hint="eastAsia" w:ascii="宋体" w:hAnsi="宋体" w:eastAsia="宋体" w:cs="宋体"/>
          <w:color w:val="333333"/>
          <w:kern w:val="0"/>
          <w:sz w:val="24"/>
          <w:szCs w:val="24"/>
        </w:rPr>
      </w:pPr>
    </w:p>
    <w:tbl>
      <w:tblPr>
        <w:tblStyle w:val="6"/>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jc w:val="center"/>
        <w:rPr>
          <w:rFonts w:hint="eastAsia" w:ascii="宋体" w:hAnsi="宋体" w:eastAsia="宋体" w:cs="宋体"/>
          <w:color w:val="333333"/>
          <w:kern w:val="0"/>
          <w:sz w:val="24"/>
          <w:szCs w:val="24"/>
          <w:lang w:val="en-US" w:eastAsia="zh-CN"/>
        </w:rPr>
      </w:pPr>
    </w:p>
    <w:p>
      <w:pPr>
        <w:widowControl/>
        <w:shd w:val="clear" w:color="auto" w:fill="FFFFFF"/>
        <w:spacing w:line="360"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五、存在的主要问题及改进情况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年我局将继续完善政府信息公开、答复及电子处理程序工作，继续做好细化分工工作，确保我局政府信息公开文件顺利查询和政府信息公开工作的顺利开展。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40" w:firstLineChars="200"/>
        <w:jc w:val="both"/>
        <w:textAlignment w:val="auto"/>
        <w:rPr>
          <w:rFonts w:ascii="仿宋_GB2312" w:hAnsi="宋体" w:eastAsia="仿宋_GB2312" w:cs="仿宋_GB2312"/>
          <w:color w:val="404040"/>
          <w:kern w:val="2"/>
          <w:sz w:val="32"/>
          <w:szCs w:val="32"/>
          <w:shd w:val="clear" w:fill="FFFFFF"/>
          <w:lang w:val="en-US" w:eastAsia="zh-CN" w:bidi="ar"/>
        </w:rPr>
      </w:pPr>
      <w:r>
        <w:rPr>
          <w:rFonts w:hint="eastAsia" w:ascii="仿宋_GB2312" w:hAnsi="宋体" w:eastAsia="仿宋_GB2312" w:cs="仿宋_GB2312"/>
          <w:color w:val="404040"/>
          <w:kern w:val="2"/>
          <w:sz w:val="32"/>
          <w:szCs w:val="32"/>
          <w:shd w:val="clear" w:fill="FFFFFF"/>
          <w:lang w:val="en-US" w:eastAsia="zh-CN" w:bidi="ar"/>
        </w:rPr>
        <w:t>1、</w:t>
      </w:r>
      <w:r>
        <w:rPr>
          <w:rFonts w:ascii="仿宋_GB2312" w:hAnsi="宋体" w:eastAsia="仿宋_GB2312" w:cs="仿宋_GB2312"/>
          <w:color w:val="404040"/>
          <w:kern w:val="2"/>
          <w:sz w:val="32"/>
          <w:szCs w:val="32"/>
          <w:shd w:val="clear" w:fill="FFFFFF"/>
          <w:lang w:val="en-US" w:eastAsia="zh-CN" w:bidi="ar"/>
        </w:rPr>
        <w:t>加强宣传教育，提高各部门对政府信息公开工作重要性和必要性的认识，自觉支持、参与推进政府信息公开工作。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40" w:firstLineChars="200"/>
        <w:jc w:val="both"/>
        <w:textAlignment w:val="auto"/>
        <w:rPr>
          <w:sz w:val="32"/>
          <w:szCs w:val="32"/>
        </w:rPr>
      </w:pPr>
      <w:r>
        <w:rPr>
          <w:rFonts w:hint="eastAsia" w:ascii="仿宋_GB2312" w:hAnsi="仿宋" w:eastAsia="仿宋_GB2312" w:cs="仿宋_GB2312"/>
          <w:i w:val="0"/>
          <w:caps w:val="0"/>
          <w:color w:val="505050"/>
          <w:spacing w:val="0"/>
          <w:kern w:val="0"/>
          <w:sz w:val="32"/>
          <w:szCs w:val="32"/>
          <w:shd w:val="clear" w:fill="FFFFFF"/>
          <w:lang w:val="en-US" w:eastAsia="zh-CN"/>
        </w:rPr>
        <w:t>2、</w:t>
      </w:r>
      <w:r>
        <w:rPr>
          <w:rFonts w:hint="default" w:ascii="仿宋_GB2312" w:hAnsi="仿宋" w:eastAsia="仿宋_GB2312" w:cs="仿宋_GB2312"/>
          <w:i w:val="0"/>
          <w:caps w:val="0"/>
          <w:color w:val="505050"/>
          <w:spacing w:val="0"/>
          <w:kern w:val="0"/>
          <w:sz w:val="32"/>
          <w:szCs w:val="32"/>
          <w:shd w:val="clear" w:fill="FFFFFF"/>
        </w:rPr>
        <w:t>进一步规范信息发布。进一步完善办理流程,各部门在公开信息前,要依法依规按程序对拟公开信息进行保密审查。加强工作中的联动配合,提高工作效率。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firstLine="420"/>
        <w:jc w:val="both"/>
        <w:textAlignment w:val="auto"/>
        <w:outlineLvl w:val="9"/>
        <w:rPr>
          <w:sz w:val="32"/>
          <w:szCs w:val="32"/>
        </w:rPr>
      </w:pPr>
      <w:r>
        <w:rPr>
          <w:rFonts w:hint="eastAsia" w:ascii="仿宋_GB2312" w:hAnsi="仿宋" w:eastAsia="仿宋_GB2312" w:cs="仿宋_GB2312"/>
          <w:i w:val="0"/>
          <w:caps w:val="0"/>
          <w:color w:val="505050"/>
          <w:spacing w:val="0"/>
          <w:kern w:val="0"/>
          <w:sz w:val="32"/>
          <w:szCs w:val="32"/>
          <w:shd w:val="clear" w:fill="FFFFFF"/>
          <w:lang w:val="en-US" w:eastAsia="zh-CN"/>
        </w:rPr>
        <w:t>3、</w:t>
      </w:r>
      <w:r>
        <w:rPr>
          <w:rFonts w:hint="default" w:ascii="仿宋_GB2312" w:hAnsi="仿宋" w:eastAsia="仿宋_GB2312" w:cs="仿宋_GB2312"/>
          <w:i w:val="0"/>
          <w:caps w:val="0"/>
          <w:color w:val="505050"/>
          <w:spacing w:val="0"/>
          <w:kern w:val="0"/>
          <w:sz w:val="32"/>
          <w:szCs w:val="32"/>
          <w:shd w:val="clear" w:fill="FFFFFF"/>
        </w:rPr>
        <w:t>及时主动更新维护网站信息,在保量的同时保质完成网站更新维护任务。此外,及时与各部门做好沟通衔接,确保信息上传的时效性。</w:t>
      </w:r>
    </w:p>
    <w:p>
      <w:pPr>
        <w:widowControl/>
        <w:shd w:val="clear" w:color="auto" w:fill="FFFFFF"/>
        <w:spacing w:line="360" w:lineRule="auto"/>
        <w:ind w:firstLine="480"/>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widowControl/>
        <w:shd w:val="clear" w:color="auto" w:fill="FFFFFF"/>
        <w:spacing w:line="360" w:lineRule="auto"/>
        <w:ind w:firstLine="480"/>
      </w:pPr>
      <w:r>
        <w:rPr>
          <w:rFonts w:hint="eastAsia" w:ascii="仿宋_GB2312" w:hAnsi="仿宋_GB2312" w:eastAsia="仿宋_GB2312" w:cs="仿宋_GB2312"/>
          <w:kern w:val="0"/>
          <w:sz w:val="32"/>
          <w:szCs w:val="32"/>
        </w:rPr>
        <w:t>本报告中所列数据的统计期限自</w:t>
      </w:r>
      <w:r>
        <w:rPr>
          <w:rFonts w:hint="eastAsia" w:ascii="仿宋_GB2312" w:hAnsi="仿宋_GB2312" w:eastAsia="仿宋_GB2312" w:cs="仿宋_GB2312"/>
          <w:kern w:val="0"/>
          <w:sz w:val="32"/>
          <w:szCs w:val="32"/>
          <w:lang w:eastAsia="zh-CN"/>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年1月1日起，至</w:t>
      </w:r>
      <w:r>
        <w:rPr>
          <w:rFonts w:hint="eastAsia" w:ascii="仿宋_GB2312" w:hAnsi="仿宋_GB2312" w:eastAsia="仿宋_GB2312" w:cs="仿宋_GB2312"/>
          <w:kern w:val="0"/>
          <w:sz w:val="32"/>
          <w:szCs w:val="32"/>
          <w:lang w:eastAsia="zh-CN"/>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年12月31日止。</w:t>
      </w:r>
      <w:r>
        <w:rPr>
          <w:rFonts w:hint="eastAsia" w:ascii="仿宋_GB2312" w:hAnsi="仿宋_GB2312" w:eastAsia="仿宋_GB2312" w:cs="仿宋_GB2312"/>
          <w:color w:val="000000"/>
          <w:sz w:val="32"/>
          <w:szCs w:val="32"/>
        </w:rPr>
        <w:t>本报告的电子版可在门头沟区政府网站(http://www.bjmtg.gov.cn/)下载</w:t>
      </w:r>
      <w:r>
        <w:rPr>
          <w:rFonts w:hint="eastAsia" w:ascii="仿宋_GB2312" w:hAnsi="仿宋_GB2312" w:eastAsia="仿宋_GB2312" w:cs="仿宋_GB2312"/>
          <w:spacing w:val="-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5E34"/>
    <w:rsid w:val="028E2B72"/>
    <w:rsid w:val="0388196A"/>
    <w:rsid w:val="04075F89"/>
    <w:rsid w:val="0475613F"/>
    <w:rsid w:val="049D14FB"/>
    <w:rsid w:val="07580C41"/>
    <w:rsid w:val="07C15CD4"/>
    <w:rsid w:val="0AC40A52"/>
    <w:rsid w:val="0B0A4186"/>
    <w:rsid w:val="0D4E588C"/>
    <w:rsid w:val="0D526E1A"/>
    <w:rsid w:val="11A34251"/>
    <w:rsid w:val="132573DE"/>
    <w:rsid w:val="14CF5B85"/>
    <w:rsid w:val="15F1426B"/>
    <w:rsid w:val="1C5B1E58"/>
    <w:rsid w:val="1F7E2BCD"/>
    <w:rsid w:val="22E26204"/>
    <w:rsid w:val="260D2682"/>
    <w:rsid w:val="290412B7"/>
    <w:rsid w:val="2B75405F"/>
    <w:rsid w:val="2C155FE3"/>
    <w:rsid w:val="2D694012"/>
    <w:rsid w:val="307B6F13"/>
    <w:rsid w:val="3617236B"/>
    <w:rsid w:val="363F1A86"/>
    <w:rsid w:val="377012E8"/>
    <w:rsid w:val="3894699E"/>
    <w:rsid w:val="39615966"/>
    <w:rsid w:val="3EC94046"/>
    <w:rsid w:val="3F3B2BCF"/>
    <w:rsid w:val="3FC05A2E"/>
    <w:rsid w:val="40626CE1"/>
    <w:rsid w:val="4299217A"/>
    <w:rsid w:val="436552AE"/>
    <w:rsid w:val="445B4430"/>
    <w:rsid w:val="4E6A5064"/>
    <w:rsid w:val="4FEE25DB"/>
    <w:rsid w:val="517D325A"/>
    <w:rsid w:val="51A04B70"/>
    <w:rsid w:val="5A1F4479"/>
    <w:rsid w:val="5BB03E92"/>
    <w:rsid w:val="60A277AC"/>
    <w:rsid w:val="62263120"/>
    <w:rsid w:val="6377459F"/>
    <w:rsid w:val="67F53B9A"/>
    <w:rsid w:val="6B996851"/>
    <w:rsid w:val="71650433"/>
    <w:rsid w:val="72F94912"/>
    <w:rsid w:val="740006AB"/>
    <w:rsid w:val="76614386"/>
    <w:rsid w:val="79D41177"/>
    <w:rsid w:val="7DBA0CB6"/>
    <w:rsid w:val="7E597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Ken Hua</dc:creator>
  <cp:lastModifiedBy>MRX</cp:lastModifiedBy>
  <dcterms:modified xsi:type="dcterms:W3CDTF">2021-01-19T03:34:15Z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