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left"/>
        <w:outlineLvl w:val="0"/>
        <w:rPr>
          <w:rFonts w:ascii="Times New Roman" w:hAnsi="Times New Roman" w:eastAsia="仿宋_GB2312" w:cs="Times New Roman"/>
          <w:color w:val="000000" w:themeColor="text1"/>
          <w:spacing w:val="-6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 w:themeColor="text1"/>
          <w:spacing w:val="-6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p>
      <w:pPr>
        <w:spacing w:line="720" w:lineRule="exact"/>
        <w:ind w:firstLine="696" w:firstLineChars="200"/>
        <w:jc w:val="center"/>
        <w:rPr>
          <w:rFonts w:ascii="方正小标宋简体" w:hAnsi="黑体" w:eastAsia="方正小标宋简体"/>
          <w:bCs/>
          <w:color w:val="000000" w:themeColor="text1"/>
          <w:spacing w:val="-6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方正小标宋简体" w:hAnsi="黑体" w:eastAsia="方正小标宋简体"/>
          <w:bCs/>
          <w:color w:val="000000" w:themeColor="text1"/>
          <w:spacing w:val="-6"/>
          <w:sz w:val="36"/>
          <w:szCs w:val="36"/>
          <w14:textFill>
            <w14:solidFill>
              <w14:schemeClr w14:val="tx1"/>
            </w14:solidFill>
          </w14:textFill>
        </w:rPr>
        <w:t>本次检验项目</w:t>
      </w:r>
    </w:p>
    <w:p>
      <w:pPr>
        <w:numPr>
          <w:ilvl w:val="0"/>
          <w:numId w:val="0"/>
        </w:numPr>
        <w:spacing w:after="0"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本次抽检的普通食品包括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：粮食加工品、食用油、油脂及其制品、调味品、乳制品、饮料、酒类、淀粉及淀粉制品、食糖、蔬菜制品、糕点、蛋制品、餐饮食品、食用农产品13类。</w:t>
      </w:r>
    </w:p>
    <w:p>
      <w:pPr>
        <w:widowControl w:val="0"/>
        <w:numPr>
          <w:ilvl w:val="0"/>
          <w:numId w:val="1"/>
        </w:numPr>
        <w:spacing w:after="0" w:line="560" w:lineRule="exact"/>
        <w:ind w:firstLine="321" w:firstLineChars="100"/>
        <w:jc w:val="both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粮食加工品</w:t>
      </w:r>
    </w:p>
    <w:p>
      <w:pPr>
        <w:spacing w:line="720" w:lineRule="exact"/>
        <w:ind w:firstLine="616" w:firstLineChars="200"/>
        <w:rPr>
          <w:rFonts w:hint="eastAsia" w:ascii="仿宋" w:hAnsi="仿宋" w:eastAsia="仿宋" w:cs="仿宋"/>
          <w:bCs/>
          <w:spacing w:val="-6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6"/>
          <w:sz w:val="32"/>
          <w:szCs w:val="32"/>
        </w:rPr>
        <w:t>（一）抽检依据</w:t>
      </w:r>
    </w:p>
    <w:p>
      <w:pPr>
        <w:spacing w:line="720" w:lineRule="exact"/>
        <w:ind w:firstLine="616" w:firstLineChars="200"/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抽检依据是《食品安全国家标准 食品中真菌毒素限量》（GB 2761-2017）、《食品安全国家标准 食品中污染物限量》（GB 2762-2017）、《关于撤销食品添加剂过氧化苯甲酰、过氧化钙的公告》（卫生部公告[2011]第4号 卫生部等7部门）等标准及产品明示标准和指标的要求。</w:t>
      </w:r>
    </w:p>
    <w:p>
      <w:pPr>
        <w:spacing w:line="720" w:lineRule="exact"/>
        <w:ind w:firstLine="616" w:firstLineChars="200"/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粮食加工品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抽检项目包括苯并[a]芘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、镉(以Cd计)、过氧化苯甲酰、黄曲霉毒素B1、铅(以Pb计)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widowControl w:val="0"/>
        <w:numPr>
          <w:ilvl w:val="0"/>
          <w:numId w:val="1"/>
        </w:numPr>
        <w:spacing w:after="0" w:line="560" w:lineRule="exact"/>
        <w:ind w:firstLine="321" w:firstLineChars="100"/>
        <w:jc w:val="both"/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食用油、油脂及其制品</w:t>
      </w:r>
    </w:p>
    <w:p>
      <w:pPr>
        <w:spacing w:line="720" w:lineRule="exact"/>
        <w:ind w:firstLine="616" w:firstLineChars="200"/>
        <w:rPr>
          <w:rFonts w:hint="eastAsia" w:ascii="仿宋" w:hAnsi="仿宋" w:eastAsia="仿宋" w:cs="仿宋"/>
          <w:bCs/>
          <w:spacing w:val="-6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6"/>
          <w:sz w:val="32"/>
          <w:szCs w:val="32"/>
        </w:rPr>
        <w:t>（一）抽检依据</w:t>
      </w:r>
    </w:p>
    <w:p>
      <w:pPr>
        <w:spacing w:line="720" w:lineRule="exact"/>
        <w:ind w:firstLine="924" w:firstLineChars="300"/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抽检依据是《食品安全国家标准 植物油》(GB 2716-2018)、《食品安全国家标准 食品添加剂使用标准》(GB 2760-2014)、《食品安全国家标准 食品中污染物限量》(GB 2762-2017)、《芝麻油》(GB/T 8233-2018)等标准及产品明示标准和指标的要求。</w:t>
      </w:r>
    </w:p>
    <w:p>
      <w:pPr>
        <w:spacing w:line="720" w:lineRule="exact"/>
        <w:ind w:firstLine="616" w:firstLineChars="200"/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leftChars="200" w:firstLine="616" w:firstLineChars="200"/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食用油、油脂及其制品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苯并[a]芘、过氧化值、极性组分、溶剂残留量、酸价(以KOH计)、乙基麦芽酚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widowControl w:val="0"/>
        <w:numPr>
          <w:ilvl w:val="0"/>
          <w:numId w:val="1"/>
        </w:numPr>
        <w:spacing w:after="0" w:line="560" w:lineRule="exact"/>
        <w:ind w:firstLine="321" w:firstLineChars="100"/>
        <w:jc w:val="both"/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调味品</w:t>
      </w:r>
    </w:p>
    <w:p>
      <w:pPr>
        <w:spacing w:line="720" w:lineRule="exact"/>
        <w:ind w:firstLine="616" w:firstLineChars="200"/>
        <w:rPr>
          <w:rFonts w:hint="eastAsia" w:ascii="仿宋" w:hAnsi="仿宋" w:eastAsia="仿宋" w:cs="仿宋"/>
          <w:bCs/>
          <w:spacing w:val="-6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6"/>
          <w:sz w:val="32"/>
          <w:szCs w:val="32"/>
        </w:rPr>
        <w:t>（一）抽检依据</w:t>
      </w:r>
    </w:p>
    <w:p>
      <w:pPr>
        <w:spacing w:line="720" w:lineRule="exact"/>
        <w:ind w:firstLine="924" w:firstLineChars="300"/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抽检依据是《食品安全国家标准 食醋》（GB 2719-2018）、《食品安全国家标准 食用盐》（GB 2721-2015）、《食品安全国家标准 食品添加剂使用标准》（GB 2760-2014）、《食品安全国家标准 食品中污染物限量》（GB 2762-2017）、《酿造酱油》（GB/T 18186-2000）、《食品中可能违法添加的非食用物质和易滥用的食品添加剂品种名单(第五批)》（整顿办函[2011]1号）等标准及产品明示标准和指标的要求。</w:t>
      </w:r>
    </w:p>
    <w:p>
      <w:pPr>
        <w:spacing w:line="720" w:lineRule="exact"/>
        <w:ind w:firstLine="616" w:firstLineChars="200"/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leftChars="200" w:firstLine="616" w:firstLineChars="200"/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调味品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过氨基酸态氮(以氮计)、铵盐(以占氨基酸态氮的百分比计)、苯甲酸及其钠盐(以苯甲酸计)、镉(以Cd计)、过氧化值、菌落总数、氯化钠(以干基计)、铅(以Pb计)、山梨酸及其钾盐(以山梨酸计)、苏丹红Ⅰ、苏丹红Ⅱ、苏丹红Ⅲ、苏丹红Ⅳ、酸价(KOH)、糖精钠(以糖精计)、甜蜜素(以环己基氨基磺酸计)、脱氢乙酸及其钠盐(以脱氢乙酸计)、亚铁氰化钾/亚铁氰化钠(以亚铁氰根计)、总汞(以Hg计)、总砷(以As计)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widowControl w:val="0"/>
        <w:numPr>
          <w:ilvl w:val="0"/>
          <w:numId w:val="1"/>
        </w:numPr>
        <w:spacing w:after="0" w:line="560" w:lineRule="exact"/>
        <w:ind w:firstLine="321" w:firstLineChars="100"/>
        <w:jc w:val="both"/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乳制品</w:t>
      </w:r>
    </w:p>
    <w:p>
      <w:pPr>
        <w:spacing w:line="720" w:lineRule="exact"/>
        <w:ind w:firstLine="616" w:firstLineChars="200"/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</w:rPr>
        <w:t>（一）抽检依据</w:t>
      </w:r>
    </w:p>
    <w:p>
      <w:pPr>
        <w:spacing w:line="720" w:lineRule="exact"/>
        <w:ind w:firstLine="924" w:firstLineChars="300"/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抽检依据是《食品安全国家标准 灭菌乳》（GB 25190-2010）、《关于三聚氰胺在食品中的限量值的公告》（卫生部、工业和信息化部、农业部、工商总局、质检总局公告2011年第10号）等标准及产品明示标准和指标的要求。</w:t>
      </w:r>
    </w:p>
    <w:p>
      <w:pPr>
        <w:spacing w:line="720" w:lineRule="exact"/>
        <w:ind w:firstLine="616" w:firstLineChars="200"/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leftChars="200" w:firstLine="616" w:firstLineChars="200"/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乳制品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蛋白质、非脂乳固体、三聚氰胺、商业无菌、酸度、脂肪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个指标。</w:t>
      </w:r>
    </w:p>
    <w:p>
      <w:pPr>
        <w:widowControl w:val="0"/>
        <w:numPr>
          <w:ilvl w:val="0"/>
          <w:numId w:val="1"/>
        </w:numPr>
        <w:spacing w:after="0" w:line="560" w:lineRule="exact"/>
        <w:ind w:firstLine="321" w:firstLineChars="100"/>
        <w:jc w:val="both"/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饮料</w:t>
      </w:r>
    </w:p>
    <w:p>
      <w:pPr>
        <w:spacing w:line="720" w:lineRule="exact"/>
        <w:ind w:firstLine="616" w:firstLineChars="200"/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</w:rPr>
        <w:t>（一）抽检依据</w:t>
      </w:r>
    </w:p>
    <w:p>
      <w:pPr>
        <w:spacing w:line="720" w:lineRule="exact"/>
        <w:ind w:firstLine="924" w:firstLineChars="300"/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抽检依据是《食品安全国家标准 包装饮用水》（GB 19298-2014）、《食品安全国家标准 食品添加剂使用标准》（GB 2760-2014）、《食品安全国家标准 食品中污染物限量》（GB 2762-2017）、《食品安全国家标准 预包装食品中致病菌限量》（GB 29921-2021）、《食品安全国家标准 饮料》（GB 7101-2015）、《碳酸饮料（汽水）》（GB/T 10792-2008）等标准及产品明示标准和指标的要求。</w:t>
      </w:r>
    </w:p>
    <w:p>
      <w:pPr>
        <w:spacing w:line="720" w:lineRule="exact"/>
        <w:ind w:firstLine="616" w:firstLineChars="200"/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leftChars="200" w:firstLine="616" w:firstLineChars="200"/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饮料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苯甲酸及其钠盐(以苯甲酸计)、茶多酚、大肠菌群、二氧化碳气容量(20℃)、耗氧量(以O₂计)、菌落总数、咖啡因、沙门氏菌、山梨酸及其钾盐(以山梨酸计)、商业无菌、甜蜜素(以环己基氨基磺酸计)、铜绿假单胞菌、脱氢乙酸及其钠盐(以脱氢乙酸计)、溴酸盐、亚硝酸盐(以NO₂⁻计)、余氯(游离氯)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个指标。</w:t>
      </w:r>
    </w:p>
    <w:p>
      <w:pPr>
        <w:widowControl w:val="0"/>
        <w:numPr>
          <w:ilvl w:val="0"/>
          <w:numId w:val="1"/>
        </w:numPr>
        <w:spacing w:after="0" w:line="560" w:lineRule="exact"/>
        <w:ind w:firstLine="321" w:firstLineChars="100"/>
        <w:jc w:val="both"/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酒类</w:t>
      </w:r>
    </w:p>
    <w:p>
      <w:pPr>
        <w:spacing w:line="720" w:lineRule="exact"/>
        <w:ind w:firstLine="616" w:firstLineChars="200"/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</w:rPr>
        <w:t>（一）抽检依据</w:t>
      </w:r>
    </w:p>
    <w:p>
      <w:pPr>
        <w:spacing w:line="720" w:lineRule="exact"/>
        <w:ind w:firstLine="924" w:firstLineChars="300"/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抽检依据是《食品安全国家标准 蒸馏酒及其配制酒》（GB 2757-2012）、《食品安全国家标准 发酵酒及其配制酒》（GB 2758-2012）、《食品安全国家标准 食品添加剂使用标准》（GB 2760-2014）、《食品安全国家标准 食品中污染物限量》（GB 2762-2017）、《清香型白酒》（GB/T 10781.2-2006）、《固液法白酒》（GB/T 20822-2007）、《啤酒》（GB/T 4927-2008）等标准及产品明示标准和指标的要求。</w:t>
      </w:r>
    </w:p>
    <w:p>
      <w:pPr>
        <w:spacing w:line="720" w:lineRule="exact"/>
        <w:ind w:firstLine="616" w:firstLineChars="200"/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leftChars="200" w:firstLine="616" w:firstLineChars="200"/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酒类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苯甲酸及其钠盐(以苯甲酸计)、甲醇、甲醛、酒精度、铅(以Pb计)、氰化物(以HCN计)、山梨酸及其钾盐(以山梨酸计)、糖精钠(以糖精计)、甜蜜素(以环己基氨基磺酸计)、原麦汁浓度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个指标。</w:t>
      </w:r>
    </w:p>
    <w:p>
      <w:pPr>
        <w:widowControl w:val="0"/>
        <w:numPr>
          <w:ilvl w:val="0"/>
          <w:numId w:val="1"/>
        </w:numPr>
        <w:spacing w:after="0" w:line="560" w:lineRule="exact"/>
        <w:ind w:firstLine="321" w:firstLineChars="100"/>
        <w:jc w:val="both"/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淀粉及淀粉制品</w:t>
      </w:r>
    </w:p>
    <w:p>
      <w:pPr>
        <w:spacing w:line="720" w:lineRule="exact"/>
        <w:ind w:firstLine="616" w:firstLineChars="200"/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</w:rPr>
        <w:t>（一）抽检依据</w:t>
      </w:r>
    </w:p>
    <w:p>
      <w:pPr>
        <w:spacing w:line="720" w:lineRule="exact"/>
        <w:ind w:firstLine="924" w:firstLineChars="300"/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抽检依据是《食品安全国家标准 食品添加剂使用标准》（GB 2760-2014）、《食品安全国家标准 食品中污染物限量》（GB 2762-2017）、《食品安全国家标准 食用淀粉》（GB 31637-2016）等标准及产品明示标准和指标的要求。</w:t>
      </w:r>
    </w:p>
    <w:p>
      <w:pPr>
        <w:spacing w:line="720" w:lineRule="exact"/>
        <w:ind w:firstLine="616" w:firstLineChars="200"/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leftChars="200" w:firstLine="616" w:firstLineChars="200"/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淀粉及淀粉制品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苯甲酸及其钠盐(以苯甲酸计)、大肠菌群、二氧化硫残留量、菌落总数、铝的残留量(干样品,以Al计)、霉菌和酵母、铅(以Pb计)、山梨酸及其钾盐(以山梨酸计)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个指标。</w:t>
      </w:r>
    </w:p>
    <w:p>
      <w:pPr>
        <w:widowControl w:val="0"/>
        <w:numPr>
          <w:ilvl w:val="0"/>
          <w:numId w:val="1"/>
        </w:numPr>
        <w:spacing w:after="0" w:line="560" w:lineRule="exact"/>
        <w:ind w:firstLine="321" w:firstLineChars="100"/>
        <w:jc w:val="both"/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食糖</w:t>
      </w:r>
    </w:p>
    <w:p>
      <w:pPr>
        <w:spacing w:line="720" w:lineRule="exact"/>
        <w:ind w:firstLine="616" w:firstLineChars="200"/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</w:rPr>
        <w:t>（一）抽检依据</w:t>
      </w:r>
    </w:p>
    <w:p>
      <w:pPr>
        <w:spacing w:line="720" w:lineRule="exact"/>
        <w:ind w:firstLine="924" w:firstLineChars="300"/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抽检依据是《食品安全国家标准 食糖》（GB 13104-2014）、《食品安全国家标准 食品添加剂使用标准》（GB 2760-2014）、《绵白糖》（GB/T 1445-2018）等标准及产品明示标准和指标的要求。</w:t>
      </w:r>
    </w:p>
    <w:p>
      <w:pPr>
        <w:spacing w:line="720" w:lineRule="exact"/>
        <w:ind w:firstLine="616" w:firstLineChars="200"/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leftChars="200" w:firstLine="616" w:firstLineChars="200"/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食糖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二氧化硫残留量、干燥失重、还原糖分、螨、色值、总糖分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个指标。</w:t>
      </w:r>
    </w:p>
    <w:p>
      <w:pPr>
        <w:widowControl w:val="0"/>
        <w:numPr>
          <w:ilvl w:val="0"/>
          <w:numId w:val="1"/>
        </w:numPr>
        <w:spacing w:after="0" w:line="560" w:lineRule="exact"/>
        <w:ind w:firstLine="321" w:firstLineChars="100"/>
        <w:jc w:val="both"/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蔬菜制品</w:t>
      </w:r>
    </w:p>
    <w:p>
      <w:pPr>
        <w:spacing w:line="720" w:lineRule="exact"/>
        <w:ind w:firstLine="616" w:firstLineChars="200"/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</w:rPr>
        <w:t>（一）抽检依据</w:t>
      </w:r>
    </w:p>
    <w:p>
      <w:pPr>
        <w:spacing w:line="720" w:lineRule="exact"/>
        <w:ind w:firstLine="924" w:firstLineChars="300"/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spacing w:line="720" w:lineRule="exact"/>
        <w:ind w:firstLine="616" w:firstLineChars="200"/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leftChars="200" w:firstLine="616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蔬菜制品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苯甲酸及其钠盐(以苯甲酸计)、铅(以Pb计)、山梨酸及其钾盐(以山梨酸计)、糖精钠(以糖精计)、脱氢乙酸及其钠盐(以脱氢乙酸计)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个指标。</w:t>
      </w:r>
    </w:p>
    <w:p>
      <w:pPr>
        <w:widowControl w:val="0"/>
        <w:numPr>
          <w:ilvl w:val="0"/>
          <w:numId w:val="1"/>
        </w:numPr>
        <w:spacing w:after="0" w:line="560" w:lineRule="exact"/>
        <w:ind w:firstLine="321" w:firstLineChars="100"/>
        <w:jc w:val="both"/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糕点</w:t>
      </w:r>
    </w:p>
    <w:p>
      <w:pPr>
        <w:spacing w:line="720" w:lineRule="exact"/>
        <w:ind w:firstLine="616" w:firstLineChars="200"/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</w:rPr>
        <w:t>（一）抽检依据</w:t>
      </w:r>
    </w:p>
    <w:p>
      <w:pPr>
        <w:spacing w:line="720" w:lineRule="exact"/>
        <w:ind w:firstLine="924" w:firstLineChars="300"/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抽检依据是《食品安全国家标准 食品添加剂使用标准》（GB 2760-2014）、《食品安全国家标准 食品中污染物限量》（GB 2762-2017）、《食品安全国家标准 糕点、面包》（GB 7099-2015）等标准及产品明示标准和指标的要求。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bidi w:val="0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糕点</w:t>
      </w:r>
      <w:r>
        <w:rPr>
          <w:rFonts w:hint="eastAsia" w:ascii="仿宋" w:hAnsi="仿宋" w:eastAsia="仿宋" w:cs="仿宋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苯甲酸及其钠盐(以苯甲酸计)、过氧化值(以脂肪计)、铅(以Pb计)、山梨酸及其钾盐(以山梨酸计)、酸价(以脂肪计)(KOH)、糖精钠(以糖精计)</w:t>
      </w:r>
      <w:r>
        <w:rPr>
          <w:rFonts w:hint="eastAsia" w:ascii="仿宋" w:hAnsi="仿宋" w:eastAsia="仿宋" w:cs="仿宋"/>
          <w:sz w:val="32"/>
          <w:szCs w:val="32"/>
        </w:rPr>
        <w:t>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个指标。</w:t>
      </w:r>
    </w:p>
    <w:p>
      <w:pPr>
        <w:widowControl w:val="0"/>
        <w:numPr>
          <w:ilvl w:val="0"/>
          <w:numId w:val="1"/>
        </w:numPr>
        <w:spacing w:after="0" w:line="560" w:lineRule="exact"/>
        <w:ind w:firstLine="321" w:firstLineChars="100"/>
        <w:jc w:val="both"/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蛋制品</w:t>
      </w:r>
    </w:p>
    <w:p>
      <w:pPr>
        <w:spacing w:line="720" w:lineRule="exact"/>
        <w:ind w:firstLine="616" w:firstLineChars="200"/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</w:rPr>
        <w:t>（一）抽检依据</w:t>
      </w:r>
    </w:p>
    <w:p>
      <w:pPr>
        <w:spacing w:line="720" w:lineRule="exact"/>
        <w:ind w:firstLine="924" w:firstLineChars="300"/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bidi w:val="0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蛋制品</w:t>
      </w:r>
      <w:r>
        <w:rPr>
          <w:rFonts w:hint="eastAsia" w:ascii="仿宋" w:hAnsi="仿宋" w:eastAsia="仿宋" w:cs="仿宋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苯甲酸及其钠盐(以苯甲酸计)、铅(以Pb计)、山梨酸及其钾盐(以山梨酸计)</w:t>
      </w:r>
      <w:r>
        <w:rPr>
          <w:rFonts w:hint="eastAsia" w:ascii="仿宋" w:hAnsi="仿宋" w:eastAsia="仿宋" w:cs="仿宋"/>
          <w:sz w:val="32"/>
          <w:szCs w:val="32"/>
        </w:rPr>
        <w:t>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个指标。</w:t>
      </w:r>
    </w:p>
    <w:p>
      <w:pPr>
        <w:widowControl w:val="0"/>
        <w:numPr>
          <w:ilvl w:val="0"/>
          <w:numId w:val="1"/>
        </w:numPr>
        <w:spacing w:after="0" w:line="560" w:lineRule="exact"/>
        <w:ind w:firstLine="321" w:firstLineChars="100"/>
        <w:jc w:val="both"/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餐饮食品</w:t>
      </w:r>
    </w:p>
    <w:p>
      <w:pPr>
        <w:spacing w:line="720" w:lineRule="exact"/>
        <w:ind w:firstLine="616" w:firstLineChars="200"/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</w:rPr>
        <w:t>（一）抽检依据</w:t>
      </w:r>
    </w:p>
    <w:p>
      <w:pPr>
        <w:spacing w:line="720" w:lineRule="exact"/>
        <w:ind w:firstLine="924" w:firstLineChars="300"/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抽检依据是《食品安全国家标准 食品添加剂使用标准》（GB 2760-2014）等标准及产品明示标准和指标的要求。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bidi w:val="0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餐饮食品</w:t>
      </w:r>
      <w:r>
        <w:rPr>
          <w:rFonts w:hint="eastAsia" w:ascii="仿宋" w:hAnsi="仿宋" w:eastAsia="仿宋" w:cs="仿宋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苯甲酸及其钠盐(以苯甲酸计)、山梨酸及其钾盐(以山梨酸计)、糖精钠(以糖精计)</w:t>
      </w:r>
      <w:r>
        <w:rPr>
          <w:rFonts w:hint="eastAsia" w:ascii="仿宋" w:hAnsi="仿宋" w:eastAsia="仿宋" w:cs="仿宋"/>
          <w:sz w:val="32"/>
          <w:szCs w:val="32"/>
        </w:rPr>
        <w:t>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个指标。</w:t>
      </w:r>
    </w:p>
    <w:p>
      <w:pPr>
        <w:widowControl w:val="0"/>
        <w:numPr>
          <w:ilvl w:val="0"/>
          <w:numId w:val="1"/>
        </w:numPr>
        <w:spacing w:after="0" w:line="560" w:lineRule="exact"/>
        <w:ind w:firstLine="321" w:firstLineChars="100"/>
        <w:jc w:val="both"/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食用农产品</w:t>
      </w:r>
    </w:p>
    <w:p>
      <w:pPr>
        <w:spacing w:line="720" w:lineRule="exact"/>
        <w:ind w:firstLine="616" w:firstLineChars="200"/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</w:rPr>
        <w:t>（一）抽检依据</w:t>
      </w:r>
    </w:p>
    <w:p>
      <w:pPr>
        <w:spacing w:line="720" w:lineRule="exact"/>
        <w:ind w:firstLine="924" w:firstLineChars="300"/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抽检依据是《食品安全国家标准 食品中污染物限量》（GB 2762-2017）、《食品安全国家标准 食品中农药最大残留限量》（GB 2763-2021）、《食品安全国家标准 食品中兽药最大残留限量》（GB 31650-2019）、《食品动物中禁止使用的药品及其他化合物清单》（农业农村部公告 第250号）、《食品中可能违法添加的非食用物质和易滥用的食品添加剂品种名单(第四批)》（整顿办函[2010]50号）等标准及产品明示标准和指标的要求。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（按照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个细类分别列出）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.畜禽肉及副产品抽检项目包括恩诺沙星、呋喃妥因代谢物、呋喃唑酮代谢物、克伦特罗、莱克多巴胺、氯霉素、沙丁胺醇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等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个指标。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.蔬菜抽检项目包括吡虫啉、丙溴磷、敌百虫、敌敌畏、啶虫脒、毒死蜱、对硫磷、多菌灵、氟虫腈、腐霉利、镉(以Cd计)、铬(以Cr计)、甲胺磷、甲拌磷、甲基异柳磷、甲氰菊酯、久效磷、克百威、氯氟氰菊酯和高效氯氟氰菊酯、氯氰菊酯和高效氯氰菊酯、马拉硫磷、灭蝇胺、铅(以Pb计)、噻虫胺、噻虫嗪、水胺硫磷、涕灭威、氧乐果、总砷(以As计)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等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个指标。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.水果类抽检项目包括苯醚甲环唑、丙溴磷、敌敌畏、甲拌磷、克百威、联苯菊酯、氯氟氰菊酯和高效氯氟氰菊酯、三唑磷、水胺硫磷、氧乐果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等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个指标。</w:t>
      </w:r>
    </w:p>
    <w:p>
      <w:pPr>
        <w:bidi w:val="0"/>
        <w:ind w:firstLine="640" w:firstLineChars="200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4.鲜蛋抽检项目包括氟虫腈、甲硝唑、氯霉素等3个指标。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810F41D-0372-44E3-9D11-A6074DF79C1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23C3F661-841D-4857-ABA9-C7448E3FDE7E}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7E9795FF-4DD2-492E-9CE6-0EA811D4CC5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BB685C0-16EA-4CCF-9262-F8BBB98AE708}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043F87"/>
    <w:multiLevelType w:val="singleLevel"/>
    <w:tmpl w:val="BF043F8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kODkwNmUxNTdhMzQ0MmYzNzEzOGJhZmZmYjNiNjgifQ=="/>
  </w:docVars>
  <w:rsids>
    <w:rsidRoot w:val="00CE101E"/>
    <w:rsid w:val="000014DD"/>
    <w:rsid w:val="00007B2A"/>
    <w:rsid w:val="00042004"/>
    <w:rsid w:val="00055B74"/>
    <w:rsid w:val="0007646D"/>
    <w:rsid w:val="0009511B"/>
    <w:rsid w:val="000B285D"/>
    <w:rsid w:val="00160DA3"/>
    <w:rsid w:val="00166F06"/>
    <w:rsid w:val="001B6B86"/>
    <w:rsid w:val="001D5823"/>
    <w:rsid w:val="001F2556"/>
    <w:rsid w:val="00265DA2"/>
    <w:rsid w:val="00281629"/>
    <w:rsid w:val="002829BF"/>
    <w:rsid w:val="00290D58"/>
    <w:rsid w:val="002A022B"/>
    <w:rsid w:val="002C1C29"/>
    <w:rsid w:val="002D6C35"/>
    <w:rsid w:val="00311D1D"/>
    <w:rsid w:val="003760FB"/>
    <w:rsid w:val="003763C0"/>
    <w:rsid w:val="003966CC"/>
    <w:rsid w:val="003E5FC7"/>
    <w:rsid w:val="0045502F"/>
    <w:rsid w:val="004562E6"/>
    <w:rsid w:val="0046125E"/>
    <w:rsid w:val="004770E7"/>
    <w:rsid w:val="0048681C"/>
    <w:rsid w:val="005705D0"/>
    <w:rsid w:val="00571970"/>
    <w:rsid w:val="00582790"/>
    <w:rsid w:val="005A5FB7"/>
    <w:rsid w:val="006030F6"/>
    <w:rsid w:val="00603C30"/>
    <w:rsid w:val="00640B85"/>
    <w:rsid w:val="00641991"/>
    <w:rsid w:val="0068107E"/>
    <w:rsid w:val="006B7023"/>
    <w:rsid w:val="006D0F63"/>
    <w:rsid w:val="00750C11"/>
    <w:rsid w:val="007A5980"/>
    <w:rsid w:val="00857284"/>
    <w:rsid w:val="00867CC1"/>
    <w:rsid w:val="00904921"/>
    <w:rsid w:val="009778E9"/>
    <w:rsid w:val="009A6362"/>
    <w:rsid w:val="009B678B"/>
    <w:rsid w:val="00A30560"/>
    <w:rsid w:val="00A626C5"/>
    <w:rsid w:val="00A72131"/>
    <w:rsid w:val="00AA14BB"/>
    <w:rsid w:val="00B04055"/>
    <w:rsid w:val="00B241B8"/>
    <w:rsid w:val="00B27031"/>
    <w:rsid w:val="00B312C4"/>
    <w:rsid w:val="00B37A32"/>
    <w:rsid w:val="00B528B1"/>
    <w:rsid w:val="00B56E76"/>
    <w:rsid w:val="00B93295"/>
    <w:rsid w:val="00C139F9"/>
    <w:rsid w:val="00CB7CC6"/>
    <w:rsid w:val="00CE101E"/>
    <w:rsid w:val="00CF144A"/>
    <w:rsid w:val="00D25DEE"/>
    <w:rsid w:val="00D40A2E"/>
    <w:rsid w:val="00DB3A0A"/>
    <w:rsid w:val="00DD06BA"/>
    <w:rsid w:val="00E87532"/>
    <w:rsid w:val="00F368CF"/>
    <w:rsid w:val="00F657E7"/>
    <w:rsid w:val="00F80CCB"/>
    <w:rsid w:val="00F831CF"/>
    <w:rsid w:val="00F92BCC"/>
    <w:rsid w:val="00FC7EBA"/>
    <w:rsid w:val="103149B8"/>
    <w:rsid w:val="1B021BF3"/>
    <w:rsid w:val="1B2453AC"/>
    <w:rsid w:val="1D0B56BA"/>
    <w:rsid w:val="1DA70AC9"/>
    <w:rsid w:val="21614525"/>
    <w:rsid w:val="239C52BE"/>
    <w:rsid w:val="247632C9"/>
    <w:rsid w:val="24EA49C0"/>
    <w:rsid w:val="25665B84"/>
    <w:rsid w:val="28004118"/>
    <w:rsid w:val="2FB96CCA"/>
    <w:rsid w:val="32BF4784"/>
    <w:rsid w:val="35BA009A"/>
    <w:rsid w:val="36282FE3"/>
    <w:rsid w:val="36FD5201"/>
    <w:rsid w:val="409229ED"/>
    <w:rsid w:val="42A7520E"/>
    <w:rsid w:val="448314F8"/>
    <w:rsid w:val="45160299"/>
    <w:rsid w:val="47FB4D7B"/>
    <w:rsid w:val="4B792602"/>
    <w:rsid w:val="4CFA65C0"/>
    <w:rsid w:val="51D85FC1"/>
    <w:rsid w:val="52696DC1"/>
    <w:rsid w:val="537D0B55"/>
    <w:rsid w:val="559307A9"/>
    <w:rsid w:val="5B0B2106"/>
    <w:rsid w:val="60CF0CF8"/>
    <w:rsid w:val="6BED4862"/>
    <w:rsid w:val="709E2325"/>
    <w:rsid w:val="786C4819"/>
    <w:rsid w:val="7B614C24"/>
    <w:rsid w:val="7E6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unhideWhenUsed/>
    <w:qFormat/>
    <w:uiPriority w:val="99"/>
    <w:pPr>
      <w:ind w:left="100" w:leftChars="200" w:hanging="200" w:hanging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6"/>
    <w:link w:val="3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fontstyle01"/>
    <w:basedOn w:val="6"/>
    <w:qFormat/>
    <w:uiPriority w:val="0"/>
    <w:rPr>
      <w:rFonts w:hint="eastAsia" w:ascii="宋体" w:hAnsi="宋体" w:eastAsia="宋体"/>
      <w:color w:val="000000"/>
      <w:sz w:val="20"/>
      <w:szCs w:val="20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3">
    <w:name w:val="fontstyle11"/>
    <w:basedOn w:val="6"/>
    <w:qFormat/>
    <w:uiPriority w:val="0"/>
    <w:rPr>
      <w:rFonts w:hint="default" w:ascii="TimesNewRomanPSMT" w:hAnsi="TimesNewRomanPSMT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2414</Words>
  <Characters>2855</Characters>
  <Lines>59</Lines>
  <Paragraphs>16</Paragraphs>
  <TotalTime>0</TotalTime>
  <ScaleCrop>false</ScaleCrop>
  <LinksUpToDate>false</LinksUpToDate>
  <CharactersWithSpaces>2927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2019-10-14T02:26:00Z</dcterms:created>
  <dc:creator>user</dc:creator>
  <cp:lastModifiedBy>管理人员</cp:lastModifiedBy>
  <dcterms:modified xsi:type="dcterms:W3CDTF">2022-12-28T03:07:35Z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BF2F38A00E32493888742AEC47DB2848</vt:lpwstr>
  </property>
</Properties>
</file>