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hAnsi="Times New Roman" w:eastAsia="仿宋_GB2312" w:cs="Times New Roman"/>
          <w:b w:val="0"/>
          <w:bCs w:val="0"/>
          <w:kern w:val="2"/>
          <w:sz w:val="28"/>
          <w:szCs w:val="28"/>
          <w:lang w:val="en-US" w:eastAsia="zh-CN" w:bidi="ar-SA"/>
        </w:rPr>
      </w:pPr>
      <w:r>
        <w:rPr>
          <w:rFonts w:hint="eastAsia" w:ascii="仿宋_GB2312" w:hAnsi="Times New Roman" w:eastAsia="仿宋_GB2312" w:cs="Times New Roman"/>
          <w:b w:val="0"/>
          <w:bCs w:val="0"/>
          <w:kern w:val="2"/>
          <w:sz w:val="28"/>
          <w:szCs w:val="28"/>
          <w:lang w:val="en-US" w:eastAsia="zh-CN" w:bidi="ar-SA"/>
        </w:rPr>
        <w:t>一是贯彻落实国家、北京市关于农村合作经济经营管理工作的法律法规、政策等，牵头拟订本区农村合作经济经营管理相关政策并组织落实。</w:t>
      </w: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hAnsi="Times New Roman" w:eastAsia="仿宋_GB2312" w:cs="Times New Roman"/>
          <w:b w:val="0"/>
          <w:bCs w:val="0"/>
          <w:kern w:val="2"/>
          <w:sz w:val="28"/>
          <w:szCs w:val="28"/>
          <w:lang w:val="en-US" w:eastAsia="zh-CN" w:bidi="ar-SA"/>
        </w:rPr>
      </w:pPr>
      <w:r>
        <w:rPr>
          <w:rFonts w:hint="eastAsia" w:ascii="仿宋_GB2312" w:hAnsi="Times New Roman" w:eastAsia="仿宋_GB2312" w:cs="Times New Roman"/>
          <w:b w:val="0"/>
          <w:bCs w:val="0"/>
          <w:kern w:val="2"/>
          <w:sz w:val="28"/>
          <w:szCs w:val="28"/>
          <w:lang w:val="en-US" w:eastAsia="zh-CN" w:bidi="ar-SA"/>
        </w:rPr>
        <w:t>二是负责统筹农村集体资产与财务管理和财务公开工作。参与农村集体产权制度改革。</w:t>
      </w: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hAnsi="Times New Roman" w:eastAsia="仿宋_GB2312" w:cs="Times New Roman"/>
          <w:b w:val="0"/>
          <w:bCs w:val="0"/>
          <w:kern w:val="2"/>
          <w:sz w:val="28"/>
          <w:szCs w:val="28"/>
          <w:lang w:val="en-US" w:eastAsia="zh-CN" w:bidi="ar-SA"/>
        </w:rPr>
      </w:pPr>
      <w:r>
        <w:rPr>
          <w:rFonts w:hint="eastAsia" w:ascii="仿宋_GB2312" w:hAnsi="Times New Roman" w:eastAsia="仿宋_GB2312" w:cs="Times New Roman"/>
          <w:b w:val="0"/>
          <w:bCs w:val="0"/>
          <w:kern w:val="2"/>
          <w:sz w:val="28"/>
          <w:szCs w:val="28"/>
          <w:lang w:val="en-US" w:eastAsia="zh-CN" w:bidi="ar-SA"/>
        </w:rPr>
        <w:t>三是负责本区农村集体经济组织发展，承担农村集体经济组织登记等具体工作。</w:t>
      </w: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hAnsi="Times New Roman" w:eastAsia="仿宋_GB2312" w:cs="Times New Roman"/>
          <w:b w:val="0"/>
          <w:bCs w:val="0"/>
          <w:kern w:val="2"/>
          <w:sz w:val="28"/>
          <w:szCs w:val="28"/>
          <w:lang w:val="en-US" w:eastAsia="zh-CN" w:bidi="ar-SA"/>
        </w:rPr>
      </w:pPr>
      <w:r>
        <w:rPr>
          <w:rFonts w:hint="eastAsia" w:ascii="仿宋_GB2312" w:hAnsi="Times New Roman" w:eastAsia="仿宋_GB2312" w:cs="Times New Roman"/>
          <w:b w:val="0"/>
          <w:bCs w:val="0"/>
          <w:kern w:val="2"/>
          <w:sz w:val="28"/>
          <w:szCs w:val="28"/>
          <w:lang w:val="en-US" w:eastAsia="zh-CN" w:bidi="ar-SA"/>
        </w:rPr>
        <w:t>四是负责统筹本区农村土地承包及承包合同管理、农村土地承包经营权流转及流转合同管理、农村集体经济合同管理工作。组织开展农村土地承包经营纠纷调解和仲载工作。</w:t>
      </w: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hAnsi="Times New Roman" w:eastAsia="仿宋_GB2312" w:cs="Times New Roman"/>
          <w:b w:val="0"/>
          <w:bCs w:val="0"/>
          <w:kern w:val="2"/>
          <w:sz w:val="28"/>
          <w:szCs w:val="28"/>
          <w:lang w:val="en-US" w:eastAsia="zh-CN" w:bidi="ar-SA"/>
        </w:rPr>
      </w:pPr>
      <w:r>
        <w:rPr>
          <w:rFonts w:hint="eastAsia" w:ascii="仿宋_GB2312" w:hAnsi="Times New Roman" w:eastAsia="仿宋_GB2312" w:cs="Times New Roman"/>
          <w:b w:val="0"/>
          <w:bCs w:val="0"/>
          <w:kern w:val="2"/>
          <w:sz w:val="28"/>
          <w:szCs w:val="28"/>
          <w:lang w:val="en-US" w:eastAsia="zh-CN" w:bidi="ar-SA"/>
        </w:rPr>
        <w:t>五是负责农民专业合作社的规范化建设和服务工作。</w:t>
      </w: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hAnsi="Times New Roman" w:eastAsia="仿宋_GB2312" w:cs="Times New Roman"/>
          <w:b w:val="0"/>
          <w:bCs w:val="0"/>
          <w:kern w:val="2"/>
          <w:sz w:val="28"/>
          <w:szCs w:val="28"/>
          <w:lang w:val="en-US" w:eastAsia="zh-CN" w:bidi="ar-SA"/>
        </w:rPr>
      </w:pPr>
      <w:r>
        <w:rPr>
          <w:rFonts w:hint="eastAsia" w:ascii="仿宋_GB2312" w:hAnsi="Times New Roman" w:eastAsia="仿宋_GB2312" w:cs="Times New Roman"/>
          <w:b w:val="0"/>
          <w:bCs w:val="0"/>
          <w:kern w:val="2"/>
          <w:sz w:val="28"/>
          <w:szCs w:val="28"/>
          <w:lang w:val="en-US" w:eastAsia="zh-CN" w:bidi="ar-SA"/>
        </w:rPr>
        <w:t>六是组织开展本区农村集体经济统计工作，分析农村经济运行状况。</w:t>
      </w: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hAnsi="Times New Roman" w:eastAsia="仿宋_GB2312" w:cs="Times New Roman"/>
          <w:b w:val="0"/>
          <w:bCs w:val="0"/>
          <w:kern w:val="2"/>
          <w:sz w:val="28"/>
          <w:szCs w:val="28"/>
          <w:lang w:val="en-US" w:eastAsia="zh-CN" w:bidi="ar-SA"/>
        </w:rPr>
      </w:pPr>
      <w:r>
        <w:rPr>
          <w:rFonts w:hint="eastAsia" w:ascii="仿宋_GB2312" w:hAnsi="Times New Roman" w:eastAsia="仿宋_GB2312" w:cs="Times New Roman"/>
          <w:b w:val="0"/>
          <w:bCs w:val="0"/>
          <w:kern w:val="2"/>
          <w:sz w:val="28"/>
          <w:szCs w:val="28"/>
          <w:lang w:val="en-US" w:eastAsia="zh-CN" w:bidi="ar-SA"/>
        </w:rPr>
        <w:t>七负责农村产权交易指导和服务工作。</w:t>
      </w: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hAnsi="Times New Roman" w:eastAsia="仿宋_GB2312" w:cs="Times New Roman"/>
          <w:b w:val="0"/>
          <w:bCs w:val="0"/>
          <w:kern w:val="2"/>
          <w:sz w:val="28"/>
          <w:szCs w:val="28"/>
          <w:lang w:val="en-US" w:eastAsia="zh-CN" w:bidi="ar-SA"/>
        </w:rPr>
      </w:pPr>
      <w:r>
        <w:rPr>
          <w:rFonts w:hint="eastAsia" w:ascii="仿宋_GB2312" w:hAnsi="Times New Roman" w:eastAsia="仿宋_GB2312" w:cs="Times New Roman"/>
          <w:b w:val="0"/>
          <w:bCs w:val="0"/>
          <w:kern w:val="2"/>
          <w:sz w:val="28"/>
          <w:szCs w:val="28"/>
          <w:lang w:val="en-US" w:eastAsia="zh-CN" w:bidi="ar-SA"/>
        </w:rPr>
        <w:t>八是承担农村集体经济审计、减轻农民负担监督管理相关事务性工作。</w:t>
      </w: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hAnsi="Times New Roman" w:eastAsia="仿宋_GB2312" w:cs="Times New Roman"/>
          <w:b w:val="0"/>
          <w:bCs w:val="0"/>
          <w:kern w:val="2"/>
          <w:sz w:val="28"/>
          <w:szCs w:val="28"/>
          <w:lang w:val="en-US" w:eastAsia="zh-CN" w:bidi="ar-SA"/>
        </w:rPr>
      </w:pPr>
      <w:r>
        <w:rPr>
          <w:rFonts w:hint="eastAsia" w:ascii="仿宋_GB2312" w:hAnsi="Times New Roman" w:eastAsia="仿宋_GB2312" w:cs="Times New Roman"/>
          <w:b w:val="0"/>
          <w:bCs w:val="0"/>
          <w:kern w:val="2"/>
          <w:sz w:val="28"/>
          <w:szCs w:val="28"/>
          <w:lang w:val="en-US" w:eastAsia="zh-CN" w:bidi="ar-SA"/>
        </w:rPr>
        <w:t>九是负责农村管理信息化具体工作。负责基层农村合作经济经营管理相关人员的培训工作。</w:t>
      </w: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hAnsi="Times New Roman" w:eastAsia="仿宋_GB2312" w:cs="Times New Roman"/>
          <w:b w:val="0"/>
          <w:bCs w:val="0"/>
          <w:kern w:val="2"/>
          <w:sz w:val="28"/>
          <w:szCs w:val="28"/>
          <w:lang w:val="en-US" w:eastAsia="zh-CN" w:bidi="ar-SA"/>
        </w:rPr>
      </w:pPr>
      <w:r>
        <w:rPr>
          <w:rFonts w:hint="eastAsia" w:ascii="仿宋_GB2312" w:hAnsi="Times New Roman" w:eastAsia="仿宋_GB2312" w:cs="Times New Roman"/>
          <w:b w:val="0"/>
          <w:bCs w:val="0"/>
          <w:kern w:val="2"/>
          <w:sz w:val="28"/>
          <w:szCs w:val="28"/>
          <w:lang w:val="en-US" w:eastAsia="zh-CN" w:bidi="ar-SA"/>
        </w:rPr>
        <w:t>十是完成区委、区政府交办的其他任务。</w:t>
      </w:r>
    </w:p>
    <w:p>
      <w:pPr>
        <w:tabs>
          <w:tab w:val="center" w:pos="6979"/>
        </w:tabs>
        <w:spacing w:line="580" w:lineRule="exact"/>
        <w:ind w:firstLine="700" w:firstLineChars="250"/>
        <w:rPr>
          <w:rFonts w:hint="eastAsia" w:ascii="仿宋_GB2312" w:eastAsia="仿宋_GB2312"/>
          <w:sz w:val="28"/>
          <w:szCs w:val="28"/>
        </w:rPr>
      </w:pPr>
    </w:p>
    <w:p>
      <w:pPr>
        <w:pageBreakBefore w:val="0"/>
        <w:widowControl w:val="0"/>
        <w:tabs>
          <w:tab w:val="center" w:pos="6979"/>
        </w:tabs>
        <w:kinsoku/>
        <w:wordWrap/>
        <w:overflowPunct/>
        <w:topLinePunct w:val="0"/>
        <w:autoSpaceDE/>
        <w:autoSpaceDN/>
        <w:bidi w:val="0"/>
        <w:adjustRightInd/>
        <w:snapToGrid/>
        <w:spacing w:beforeAutospacing="0" w:afterAutospacing="0" w:line="580" w:lineRule="exact"/>
        <w:ind w:left="0" w:leftChars="0" w:right="0" w:rightChars="0" w:firstLine="700" w:firstLineChars="250"/>
        <w:jc w:val="both"/>
        <w:textAlignment w:val="auto"/>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pStyle w:val="2"/>
        <w:keepNext/>
        <w:keepLines/>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560" w:firstLineChars="200"/>
        <w:jc w:val="both"/>
        <w:textAlignment w:val="auto"/>
        <w:outlineLvl w:val="1"/>
      </w:pPr>
      <w:r>
        <w:rPr>
          <w:rFonts w:hint="eastAsia" w:ascii="仿宋_GB2312" w:hAnsi="Times New Roman" w:eastAsia="仿宋_GB2312" w:cs="Times New Roman"/>
          <w:b w:val="0"/>
          <w:bCs w:val="0"/>
          <w:kern w:val="2"/>
          <w:sz w:val="28"/>
          <w:szCs w:val="28"/>
          <w:lang w:val="en-US" w:eastAsia="zh-CN" w:bidi="ar-SA"/>
        </w:rPr>
        <w:t xml:space="preserve">本部门共设8个内设机构，下设0个事业单位。行政编制0名，实际0人；事业编制35名，实际33人；离退休人员15人，其中：离休0人，行政退休0人，事业退休15人；其他人员5人，其中：社会化用工1人。  </w:t>
      </w:r>
      <w:r>
        <w:rPr>
          <w:rFonts w:hint="eastAsia"/>
        </w:rPr>
        <w:t xml:space="preserve">  </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381</w:t>
      </w:r>
      <w:r>
        <w:rPr>
          <w:rFonts w:hint="eastAsia" w:ascii="仿宋_GB2312" w:eastAsia="仿宋_GB2312"/>
          <w:sz w:val="28"/>
          <w:szCs w:val="28"/>
          <w:lang w:val="en-US" w:eastAsia="zh-CN"/>
        </w:rPr>
        <w:t>,</w:t>
      </w:r>
      <w:r>
        <w:rPr>
          <w:rFonts w:ascii="仿宋_GB2312" w:eastAsia="仿宋_GB2312"/>
          <w:sz w:val="28"/>
          <w:szCs w:val="28"/>
        </w:rPr>
        <w:t>050.51</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932,254.66</w:t>
      </w:r>
      <w:r>
        <w:rPr>
          <w:rFonts w:hint="eastAsia" w:ascii="仿宋_GB2312" w:eastAsia="仿宋_GB2312"/>
          <w:sz w:val="28"/>
          <w:szCs w:val="28"/>
        </w:rPr>
        <w:t>元，增长</w:t>
      </w:r>
      <w:r>
        <w:rPr>
          <w:rFonts w:hint="eastAsia" w:ascii="仿宋_GB2312" w:eastAsia="仿宋_GB2312"/>
          <w:sz w:val="28"/>
          <w:szCs w:val="28"/>
          <w:lang w:val="en-US" w:eastAsia="zh-CN"/>
        </w:rPr>
        <w:t>7.5</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381</w:t>
      </w:r>
      <w:r>
        <w:rPr>
          <w:rFonts w:hint="eastAsia" w:ascii="仿宋_GB2312" w:eastAsia="仿宋_GB2312"/>
          <w:sz w:val="28"/>
          <w:szCs w:val="28"/>
          <w:lang w:val="en-US" w:eastAsia="zh-CN"/>
        </w:rPr>
        <w:t>,</w:t>
      </w:r>
      <w:r>
        <w:rPr>
          <w:rFonts w:ascii="仿宋_GB2312" w:eastAsia="仿宋_GB2312"/>
          <w:sz w:val="28"/>
          <w:szCs w:val="28"/>
        </w:rPr>
        <w:t>050.51</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932,254.66</w:t>
      </w:r>
      <w:r>
        <w:rPr>
          <w:rFonts w:hint="eastAsia" w:ascii="仿宋_GB2312" w:eastAsia="仿宋_GB2312"/>
          <w:sz w:val="28"/>
          <w:szCs w:val="28"/>
        </w:rPr>
        <w:t>元，增长</w:t>
      </w:r>
      <w:r>
        <w:rPr>
          <w:rFonts w:hint="eastAsia" w:ascii="仿宋_GB2312" w:eastAsia="仿宋_GB2312"/>
          <w:sz w:val="28"/>
          <w:szCs w:val="28"/>
          <w:lang w:val="en-US" w:eastAsia="zh-CN"/>
        </w:rPr>
        <w:t>7.5</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381</w:t>
      </w:r>
      <w:r>
        <w:rPr>
          <w:rFonts w:hint="eastAsia" w:ascii="仿宋_GB2312" w:eastAsia="仿宋_GB2312"/>
          <w:sz w:val="28"/>
          <w:szCs w:val="28"/>
          <w:lang w:val="en-US" w:eastAsia="zh-CN"/>
        </w:rPr>
        <w:t>,</w:t>
      </w:r>
      <w:r>
        <w:rPr>
          <w:rFonts w:ascii="仿宋_GB2312" w:eastAsia="仿宋_GB2312"/>
          <w:sz w:val="28"/>
          <w:szCs w:val="28"/>
        </w:rPr>
        <w:t>050.51</w:t>
      </w:r>
      <w:r>
        <w:rPr>
          <w:rFonts w:hint="eastAsia" w:ascii="仿宋_GB2312" w:eastAsia="仿宋_GB2312"/>
          <w:sz w:val="28"/>
          <w:szCs w:val="28"/>
        </w:rPr>
        <w:t>元，占收入合计的100%。其中：一般公共预算财政拨款收入</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381</w:t>
      </w:r>
      <w:r>
        <w:rPr>
          <w:rFonts w:hint="eastAsia" w:ascii="仿宋_GB2312" w:eastAsia="仿宋_GB2312"/>
          <w:sz w:val="28"/>
          <w:szCs w:val="28"/>
          <w:lang w:val="en-US" w:eastAsia="zh-CN"/>
        </w:rPr>
        <w:t>,</w:t>
      </w:r>
      <w:r>
        <w:rPr>
          <w:rFonts w:ascii="仿宋_GB2312" w:eastAsia="仿宋_GB2312"/>
          <w:sz w:val="28"/>
          <w:szCs w:val="28"/>
        </w:rPr>
        <w:t>050.51</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381</w:t>
      </w:r>
      <w:r>
        <w:rPr>
          <w:rFonts w:hint="eastAsia" w:ascii="仿宋_GB2312" w:eastAsia="仿宋_GB2312"/>
          <w:sz w:val="28"/>
          <w:szCs w:val="28"/>
          <w:lang w:val="en-US" w:eastAsia="zh-CN"/>
        </w:rPr>
        <w:t>,</w:t>
      </w:r>
      <w:r>
        <w:rPr>
          <w:rFonts w:ascii="仿宋_GB2312" w:eastAsia="仿宋_GB2312"/>
          <w:sz w:val="28"/>
          <w:szCs w:val="28"/>
        </w:rPr>
        <w:t>050.51</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932,254.66</w:t>
      </w:r>
      <w:r>
        <w:rPr>
          <w:rFonts w:hint="eastAsia" w:ascii="仿宋_GB2312" w:eastAsia="仿宋_GB2312"/>
          <w:sz w:val="28"/>
          <w:szCs w:val="28"/>
        </w:rPr>
        <w:t>元，增长</w:t>
      </w:r>
      <w:r>
        <w:rPr>
          <w:rFonts w:hint="eastAsia" w:ascii="仿宋_GB2312" w:eastAsia="仿宋_GB2312"/>
          <w:sz w:val="28"/>
          <w:szCs w:val="28"/>
          <w:lang w:val="en-US" w:eastAsia="zh-CN"/>
        </w:rPr>
        <w:t>7.5</w:t>
      </w:r>
      <w:r>
        <w:rPr>
          <w:rFonts w:hint="eastAsia" w:ascii="仿宋_GB2312" w:eastAsia="仿宋_GB2312"/>
          <w:sz w:val="28"/>
          <w:szCs w:val="28"/>
        </w:rPr>
        <w:t>%，其中：基本支出</w:t>
      </w:r>
      <w:r>
        <w:rPr>
          <w:rFonts w:ascii="仿宋_GB2312" w:eastAsia="仿宋_GB2312"/>
          <w:sz w:val="28"/>
          <w:szCs w:val="28"/>
        </w:rPr>
        <w:t>11</w:t>
      </w:r>
      <w:r>
        <w:rPr>
          <w:rFonts w:hint="eastAsia" w:ascii="仿宋_GB2312" w:eastAsia="仿宋_GB2312"/>
          <w:sz w:val="28"/>
          <w:szCs w:val="28"/>
          <w:lang w:val="en-US" w:eastAsia="zh-CN"/>
        </w:rPr>
        <w:t>,</w:t>
      </w:r>
      <w:r>
        <w:rPr>
          <w:rFonts w:ascii="仿宋_GB2312" w:eastAsia="仿宋_GB2312"/>
          <w:sz w:val="28"/>
          <w:szCs w:val="28"/>
        </w:rPr>
        <w:t>167</w:t>
      </w:r>
      <w:r>
        <w:rPr>
          <w:rFonts w:hint="eastAsia" w:ascii="仿宋_GB2312" w:eastAsia="仿宋_GB2312"/>
          <w:sz w:val="28"/>
          <w:szCs w:val="28"/>
          <w:lang w:val="en-US" w:eastAsia="zh-CN"/>
        </w:rPr>
        <w:t>,</w:t>
      </w:r>
      <w:r>
        <w:rPr>
          <w:rFonts w:ascii="仿宋_GB2312" w:eastAsia="仿宋_GB2312"/>
          <w:sz w:val="28"/>
          <w:szCs w:val="28"/>
        </w:rPr>
        <w:t>146.97</w:t>
      </w:r>
      <w:r>
        <w:rPr>
          <w:rFonts w:hint="eastAsia" w:ascii="仿宋_GB2312" w:eastAsia="仿宋_GB2312"/>
          <w:sz w:val="28"/>
          <w:szCs w:val="28"/>
        </w:rPr>
        <w:t>元，占支出合计的83.</w:t>
      </w:r>
      <w:r>
        <w:rPr>
          <w:rFonts w:hint="eastAsia" w:ascii="仿宋_GB2312" w:eastAsia="仿宋_GB2312"/>
          <w:sz w:val="28"/>
          <w:szCs w:val="28"/>
          <w:lang w:val="en-US" w:eastAsia="zh-CN"/>
        </w:rPr>
        <w:t>5</w:t>
      </w:r>
      <w:r>
        <w:rPr>
          <w:rFonts w:hint="eastAsia" w:ascii="仿宋_GB2312" w:eastAsia="仿宋_GB2312"/>
          <w:sz w:val="28"/>
          <w:szCs w:val="28"/>
        </w:rPr>
        <w:t>%；项目支出</w:t>
      </w:r>
      <w:r>
        <w:rPr>
          <w:rFonts w:ascii="仿宋_GB2312" w:eastAsia="仿宋_GB2312"/>
          <w:sz w:val="28"/>
          <w:szCs w:val="28"/>
        </w:rPr>
        <w:t>2</w:t>
      </w:r>
      <w:r>
        <w:rPr>
          <w:rFonts w:hint="eastAsia" w:ascii="仿宋_GB2312" w:eastAsia="仿宋_GB2312"/>
          <w:sz w:val="28"/>
          <w:szCs w:val="28"/>
          <w:lang w:val="en-US" w:eastAsia="zh-CN"/>
        </w:rPr>
        <w:t>,</w:t>
      </w:r>
      <w:r>
        <w:rPr>
          <w:rFonts w:ascii="仿宋_GB2312" w:eastAsia="仿宋_GB2312"/>
          <w:sz w:val="28"/>
          <w:szCs w:val="28"/>
        </w:rPr>
        <w:t>213</w:t>
      </w:r>
      <w:r>
        <w:rPr>
          <w:rFonts w:hint="eastAsia" w:ascii="仿宋_GB2312" w:eastAsia="仿宋_GB2312"/>
          <w:sz w:val="28"/>
          <w:szCs w:val="28"/>
          <w:lang w:val="en-US" w:eastAsia="zh-CN"/>
        </w:rPr>
        <w:t>,</w:t>
      </w:r>
      <w:r>
        <w:rPr>
          <w:rFonts w:ascii="仿宋_GB2312" w:eastAsia="仿宋_GB2312"/>
          <w:sz w:val="28"/>
          <w:szCs w:val="28"/>
        </w:rPr>
        <w:t>903.54</w:t>
      </w:r>
      <w:r>
        <w:rPr>
          <w:rFonts w:hint="eastAsia" w:ascii="仿宋_GB2312" w:eastAsia="仿宋_GB2312"/>
          <w:sz w:val="28"/>
          <w:szCs w:val="28"/>
        </w:rPr>
        <w:t>元，占支出合计的16.</w:t>
      </w:r>
      <w:r>
        <w:rPr>
          <w:rFonts w:hint="eastAsia" w:ascii="仿宋_GB2312" w:eastAsia="仿宋_GB2312"/>
          <w:sz w:val="28"/>
          <w:szCs w:val="28"/>
          <w:lang w:val="en-US" w:eastAsia="zh-CN"/>
        </w:rPr>
        <w:t>5</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381</w:t>
      </w:r>
      <w:r>
        <w:rPr>
          <w:rFonts w:hint="eastAsia" w:ascii="仿宋_GB2312" w:eastAsia="仿宋_GB2312"/>
          <w:sz w:val="28"/>
          <w:szCs w:val="28"/>
          <w:lang w:val="en-US" w:eastAsia="zh-CN"/>
        </w:rPr>
        <w:t>,</w:t>
      </w:r>
      <w:r>
        <w:rPr>
          <w:rFonts w:ascii="仿宋_GB2312" w:eastAsia="仿宋_GB2312"/>
          <w:sz w:val="28"/>
          <w:szCs w:val="28"/>
        </w:rPr>
        <w:t>050.51</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lang w:val="en-US" w:eastAsia="zh-CN"/>
        </w:rPr>
        <w:t>932,254.66</w:t>
      </w:r>
      <w:r>
        <w:rPr>
          <w:rFonts w:hint="eastAsia" w:ascii="仿宋_GB2312" w:eastAsia="仿宋_GB2312"/>
          <w:sz w:val="28"/>
          <w:szCs w:val="28"/>
        </w:rPr>
        <w:t>元，增长</w:t>
      </w:r>
      <w:r>
        <w:rPr>
          <w:rFonts w:hint="eastAsia" w:ascii="仿宋_GB2312" w:eastAsia="仿宋_GB2312"/>
          <w:sz w:val="28"/>
          <w:szCs w:val="28"/>
          <w:lang w:val="en-US" w:eastAsia="zh-CN"/>
        </w:rPr>
        <w:t>7.5</w:t>
      </w:r>
      <w:r>
        <w:rPr>
          <w:rFonts w:hint="eastAsia" w:ascii="仿宋_GB2312" w:eastAsia="仿宋_GB2312"/>
          <w:sz w:val="28"/>
          <w:szCs w:val="28"/>
        </w:rPr>
        <w:t>%。主要原因：</w:t>
      </w:r>
      <w:r>
        <w:rPr>
          <w:rFonts w:hint="eastAsia" w:ascii="仿宋_GB2312" w:eastAsia="仿宋_GB2312"/>
          <w:sz w:val="28"/>
          <w:szCs w:val="28"/>
          <w:lang w:val="en-US" w:eastAsia="zh-CN"/>
        </w:rPr>
        <w:t>2025年工资调整，经费增加</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381</w:t>
      </w:r>
      <w:r>
        <w:rPr>
          <w:rFonts w:hint="eastAsia" w:ascii="仿宋_GB2312" w:eastAsia="仿宋_GB2312"/>
          <w:sz w:val="28"/>
          <w:szCs w:val="28"/>
          <w:lang w:val="en-US" w:eastAsia="zh-CN"/>
        </w:rPr>
        <w:t>,</w:t>
      </w:r>
      <w:r>
        <w:rPr>
          <w:rFonts w:ascii="仿宋_GB2312" w:eastAsia="仿宋_GB2312"/>
          <w:sz w:val="28"/>
          <w:szCs w:val="28"/>
        </w:rPr>
        <w:t>050.51</w:t>
      </w:r>
      <w:r>
        <w:rPr>
          <w:rFonts w:hint="eastAsia" w:ascii="仿宋_GB2312" w:eastAsia="仿宋_GB2312"/>
          <w:sz w:val="28"/>
          <w:szCs w:val="28"/>
        </w:rPr>
        <w:t>元，主要用于以下方面（按大类）：农林水支出13,291,068.51元，占本年财政拨款支出</w:t>
      </w:r>
      <w:r>
        <w:rPr>
          <w:rFonts w:hint="eastAsia" w:ascii="仿宋_GB2312" w:eastAsia="仿宋_GB2312"/>
          <w:sz w:val="28"/>
          <w:szCs w:val="28"/>
          <w:lang w:val="en-US" w:eastAsia="zh-CN"/>
        </w:rPr>
        <w:t>99.3</w:t>
      </w:r>
      <w:r>
        <w:rPr>
          <w:rFonts w:hint="eastAsia" w:ascii="仿宋_GB2312" w:eastAsia="仿宋_GB2312"/>
          <w:sz w:val="28"/>
          <w:szCs w:val="28"/>
        </w:rPr>
        <w:t>%；社会保障和就业支出81,108</w:t>
      </w:r>
      <w:r>
        <w:rPr>
          <w:rFonts w:hint="eastAsia" w:ascii="仿宋_GB2312" w:eastAsia="仿宋_GB2312"/>
          <w:sz w:val="28"/>
          <w:szCs w:val="28"/>
          <w:lang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0.6</w:t>
      </w:r>
      <w:r>
        <w:rPr>
          <w:rFonts w:hint="eastAsia" w:ascii="仿宋_GB2312" w:eastAsia="仿宋_GB2312"/>
          <w:sz w:val="28"/>
          <w:szCs w:val="28"/>
        </w:rPr>
        <w:t>%；资源勘探工业信息等支出8,874</w:t>
      </w:r>
      <w:r>
        <w:rPr>
          <w:rFonts w:hint="eastAsia" w:ascii="仿宋_GB2312" w:eastAsia="仿宋_GB2312"/>
          <w:sz w:val="28"/>
          <w:szCs w:val="28"/>
          <w:lang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0.1</w:t>
      </w:r>
      <w:bookmarkStart w:id="4" w:name="_GoBack"/>
      <w:bookmarkEnd w:id="4"/>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pageBreakBefore w:val="0"/>
        <w:widowControl w:val="0"/>
        <w:kinsoku/>
        <w:wordWrap/>
        <w:overflowPunct/>
        <w:topLinePunct w:val="0"/>
        <w:autoSpaceDE/>
        <w:autoSpaceDN/>
        <w:bidi w:val="0"/>
        <w:adjustRightInd/>
        <w:snapToGrid/>
        <w:spacing w:beforeAutospacing="0" w:afterAutospacing="0" w:line="580" w:lineRule="exact"/>
        <w:ind w:left="0" w:leftChars="0" w:right="0" w:rightChars="0" w:firstLine="560" w:firstLineChars="200"/>
        <w:jc w:val="both"/>
        <w:textAlignment w:val="auto"/>
        <w:rPr>
          <w:rFonts w:ascii="仿宋_GB2312" w:eastAsia="仿宋_GB2312"/>
          <w:sz w:val="28"/>
          <w:szCs w:val="28"/>
        </w:rPr>
      </w:pPr>
      <w:r>
        <w:rPr>
          <w:rFonts w:hint="eastAsia" w:ascii="仿宋_GB2312" w:eastAsia="仿宋_GB2312"/>
          <w:sz w:val="28"/>
          <w:szCs w:val="28"/>
        </w:rPr>
        <w:t>1、“一般公共服务支出”（类）本单位无此项经费。</w:t>
      </w:r>
    </w:p>
    <w:p>
      <w:pPr>
        <w:pageBreakBefore w:val="0"/>
        <w:widowControl w:val="0"/>
        <w:kinsoku/>
        <w:wordWrap/>
        <w:overflowPunct/>
        <w:topLinePunct w:val="0"/>
        <w:autoSpaceDE/>
        <w:autoSpaceDN/>
        <w:bidi w:val="0"/>
        <w:adjustRightInd/>
        <w:snapToGrid/>
        <w:spacing w:beforeAutospacing="0" w:afterAutospacing="0" w:line="580" w:lineRule="exact"/>
        <w:ind w:left="0" w:leftChars="0" w:right="0" w:rightChars="0" w:firstLine="560" w:firstLineChars="200"/>
        <w:jc w:val="both"/>
        <w:textAlignment w:val="auto"/>
        <w:rPr>
          <w:rFonts w:hint="eastAsia" w:ascii="仿宋_GB2312" w:eastAsia="仿宋_GB2312"/>
          <w:sz w:val="28"/>
          <w:szCs w:val="28"/>
          <w:lang w:eastAsia="zh-CN"/>
        </w:rPr>
      </w:pPr>
      <w:r>
        <w:rPr>
          <w:rFonts w:hint="eastAsia" w:ascii="仿宋_GB2312" w:eastAsia="仿宋_GB2312"/>
          <w:sz w:val="28"/>
          <w:szCs w:val="28"/>
        </w:rPr>
        <w:t>2、“农林水支出”(类)2025年度年初预算11</w:t>
      </w:r>
      <w:r>
        <w:rPr>
          <w:rFonts w:hint="eastAsia" w:ascii="仿宋_GB2312" w:eastAsia="仿宋_GB2312"/>
          <w:sz w:val="28"/>
          <w:szCs w:val="28"/>
          <w:lang w:val="en-US" w:eastAsia="zh-CN"/>
        </w:rPr>
        <w:t>,</w:t>
      </w:r>
      <w:r>
        <w:rPr>
          <w:rFonts w:hint="eastAsia" w:ascii="仿宋_GB2312" w:eastAsia="仿宋_GB2312"/>
          <w:sz w:val="28"/>
          <w:szCs w:val="28"/>
        </w:rPr>
        <w:t>822</w:t>
      </w:r>
      <w:r>
        <w:rPr>
          <w:rFonts w:hint="eastAsia" w:ascii="仿宋_GB2312" w:eastAsia="仿宋_GB2312"/>
          <w:sz w:val="28"/>
          <w:szCs w:val="28"/>
          <w:lang w:val="en-US" w:eastAsia="zh-CN"/>
        </w:rPr>
        <w:t>,</w:t>
      </w:r>
      <w:r>
        <w:rPr>
          <w:rFonts w:hint="eastAsia" w:ascii="仿宋_GB2312" w:eastAsia="仿宋_GB2312"/>
          <w:sz w:val="28"/>
          <w:szCs w:val="28"/>
        </w:rPr>
        <w:t>809.74元，2025年度决算13,291,068.51元，完成年初预算的</w:t>
      </w:r>
      <w:r>
        <w:rPr>
          <w:rFonts w:hint="eastAsia" w:ascii="仿宋_GB2312" w:eastAsia="仿宋_GB2312"/>
          <w:sz w:val="28"/>
          <w:szCs w:val="28"/>
          <w:lang w:val="en-US" w:eastAsia="zh-CN"/>
        </w:rPr>
        <w:t>100</w:t>
      </w:r>
      <w:r>
        <w:rPr>
          <w:rFonts w:hint="eastAsia" w:ascii="仿宋_GB2312" w:eastAsia="仿宋_GB2312"/>
          <w:sz w:val="28"/>
          <w:szCs w:val="28"/>
        </w:rPr>
        <w:t>%</w:t>
      </w:r>
      <w:r>
        <w:rPr>
          <w:rFonts w:hint="eastAsia" w:ascii="仿宋_GB2312" w:eastAsia="仿宋_GB2312"/>
          <w:sz w:val="28"/>
          <w:szCs w:val="28"/>
          <w:lang w:eastAsia="zh-CN"/>
        </w:rPr>
        <w:t>。</w:t>
      </w:r>
    </w:p>
    <w:p>
      <w:pPr>
        <w:pageBreakBefore w:val="0"/>
        <w:widowControl w:val="0"/>
        <w:kinsoku/>
        <w:wordWrap/>
        <w:overflowPunct/>
        <w:topLinePunct w:val="0"/>
        <w:autoSpaceDE/>
        <w:autoSpaceDN/>
        <w:bidi w:val="0"/>
        <w:adjustRightInd/>
        <w:snapToGrid/>
        <w:spacing w:beforeAutospacing="0" w:afterAutospacing="0" w:line="580" w:lineRule="exact"/>
        <w:ind w:left="0" w:leftChars="0" w:right="0" w:rightChars="0"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3、“社会保障和就业支出”(类)2025年度年初预算75,030元，2025年度决算81,108元，完成年初预算的100%。</w:t>
      </w:r>
    </w:p>
    <w:p>
      <w:pPr>
        <w:pageBreakBefore w:val="0"/>
        <w:widowControl w:val="0"/>
        <w:kinsoku/>
        <w:wordWrap/>
        <w:overflowPunct/>
        <w:topLinePunct w:val="0"/>
        <w:autoSpaceDE/>
        <w:autoSpaceDN/>
        <w:bidi w:val="0"/>
        <w:adjustRightInd/>
        <w:snapToGrid/>
        <w:spacing w:beforeAutospacing="0" w:afterAutospacing="0" w:line="580" w:lineRule="exact"/>
        <w:ind w:left="0" w:leftChars="0" w:right="0" w:rightChars="0"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4、“</w:t>
      </w:r>
      <w:r>
        <w:rPr>
          <w:rFonts w:hint="eastAsia" w:ascii="仿宋_GB2312" w:eastAsia="仿宋_GB2312"/>
          <w:sz w:val="28"/>
          <w:szCs w:val="28"/>
        </w:rPr>
        <w:t>资源勘探工业信息等支出</w:t>
      </w:r>
      <w:r>
        <w:rPr>
          <w:rFonts w:hint="eastAsia" w:ascii="仿宋_GB2312" w:eastAsia="仿宋_GB2312"/>
          <w:sz w:val="28"/>
          <w:szCs w:val="28"/>
          <w:lang w:val="en-US" w:eastAsia="zh-CN"/>
        </w:rPr>
        <w:t>”(类)2025年度年初预算0元，2025年度决算</w:t>
      </w:r>
      <w:r>
        <w:rPr>
          <w:rFonts w:hint="eastAsia" w:ascii="仿宋_GB2312" w:eastAsia="仿宋_GB2312"/>
          <w:sz w:val="28"/>
          <w:szCs w:val="28"/>
        </w:rPr>
        <w:t>8,874</w:t>
      </w:r>
      <w:r>
        <w:rPr>
          <w:rFonts w:hint="eastAsia" w:ascii="仿宋_GB2312" w:eastAsia="仿宋_GB2312"/>
          <w:sz w:val="28"/>
          <w:szCs w:val="28"/>
          <w:lang w:val="en-US" w:eastAsia="zh-CN"/>
        </w:rPr>
        <w:t>元，完成年初预算的100%</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autoSpaceDE w:val="0"/>
        <w:autoSpaceDN w:val="0"/>
        <w:adjustRightInd w:val="0"/>
        <w:spacing w:line="580" w:lineRule="exact"/>
        <w:ind w:firstLine="560" w:firstLineChars="200"/>
        <w:jc w:val="left"/>
        <w:rPr>
          <w:rFonts w:hint="eastAsia" w:ascii="仿宋_GB2312" w:eastAsia="仿宋_GB2312"/>
          <w:sz w:val="28"/>
          <w:szCs w:val="28"/>
          <w:lang w:eastAsia="zh-CN"/>
        </w:rPr>
      </w:pPr>
      <w:r>
        <w:rPr>
          <w:rFonts w:hint="eastAsia" w:ascii="仿宋_GB2312" w:eastAsia="仿宋_GB2312"/>
          <w:sz w:val="28"/>
          <w:szCs w:val="28"/>
          <w:lang w:eastAsia="zh-CN"/>
        </w:rPr>
        <w:t>本单位无此项经费。</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pPr>
        <w:autoSpaceDE w:val="0"/>
        <w:autoSpaceDN w:val="0"/>
        <w:adjustRightInd w:val="0"/>
        <w:spacing w:line="580" w:lineRule="exact"/>
        <w:ind w:firstLine="560" w:firstLineChars="200"/>
        <w:jc w:val="left"/>
        <w:rPr>
          <w:rFonts w:hint="eastAsia" w:ascii="仿宋_GB2312" w:eastAsia="仿宋_GB2312"/>
          <w:sz w:val="28"/>
          <w:szCs w:val="28"/>
          <w:lang w:eastAsia="zh-CN"/>
        </w:rPr>
      </w:pPr>
      <w:r>
        <w:rPr>
          <w:rFonts w:hint="eastAsia" w:ascii="仿宋_GB2312" w:eastAsia="仿宋_GB2312"/>
          <w:sz w:val="28"/>
          <w:szCs w:val="28"/>
          <w:lang w:eastAsia="zh-CN"/>
        </w:rPr>
        <w:t>本单位无此项经费。</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lang w:eastAsia="zh-CN"/>
        </w:rPr>
        <w:t>本单位无此项经费。</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仿宋_GB2312" w:eastAsia="仿宋_GB2312"/>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11</w:t>
      </w:r>
      <w:r>
        <w:rPr>
          <w:rFonts w:hint="eastAsia" w:ascii="仿宋_GB2312" w:eastAsia="仿宋_GB2312"/>
          <w:sz w:val="28"/>
          <w:szCs w:val="28"/>
          <w:lang w:val="en-US" w:eastAsia="zh-CN"/>
        </w:rPr>
        <w:t>,</w:t>
      </w:r>
      <w:r>
        <w:rPr>
          <w:rFonts w:ascii="仿宋_GB2312" w:eastAsia="仿宋_GB2312"/>
          <w:sz w:val="28"/>
          <w:szCs w:val="28"/>
        </w:rPr>
        <w:t>167</w:t>
      </w:r>
      <w:r>
        <w:rPr>
          <w:rFonts w:hint="eastAsia" w:ascii="仿宋_GB2312" w:eastAsia="仿宋_GB2312"/>
          <w:sz w:val="28"/>
          <w:szCs w:val="28"/>
          <w:lang w:val="en-US" w:eastAsia="zh-CN"/>
        </w:rPr>
        <w:t>,</w:t>
      </w:r>
      <w:r>
        <w:rPr>
          <w:rFonts w:ascii="仿宋_GB2312" w:eastAsia="仿宋_GB2312"/>
          <w:sz w:val="28"/>
          <w:szCs w:val="28"/>
        </w:rPr>
        <w:t>146.97</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pStyle w:val="2"/>
        <w:rPr>
          <w:rFonts w:ascii="仿宋_GB2312" w:eastAsia="仿宋_GB2312"/>
          <w:sz w:val="28"/>
          <w:szCs w:val="28"/>
        </w:rPr>
      </w:pPr>
    </w:p>
    <w:p>
      <w:pPr>
        <w:rPr>
          <w:rFonts w:ascii="仿宋_GB2312" w:eastAsia="仿宋_GB2312"/>
          <w:sz w:val="28"/>
          <w:szCs w:val="28"/>
        </w:rPr>
      </w:pPr>
    </w:p>
    <w:p>
      <w:pPr>
        <w:pStyle w:val="2"/>
        <w:rPr>
          <w:rFonts w:ascii="仿宋_GB2312" w:eastAsia="仿宋_GB2312"/>
          <w:sz w:val="28"/>
          <w:szCs w:val="28"/>
        </w:rPr>
      </w:pPr>
    </w:p>
    <w:p>
      <w:pPr>
        <w:rPr>
          <w:rFonts w:ascii="仿宋_GB2312" w:eastAsia="仿宋_GB2312"/>
          <w:sz w:val="28"/>
          <w:szCs w:val="28"/>
        </w:rPr>
      </w:pPr>
    </w:p>
    <w:p>
      <w:pPr>
        <w:pStyle w:val="2"/>
        <w:rPr>
          <w:rFonts w:ascii="仿宋_GB2312" w:eastAsia="仿宋_GB2312"/>
          <w:sz w:val="28"/>
          <w:szCs w:val="28"/>
        </w:rPr>
      </w:pPr>
    </w:p>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3844.58</w:t>
      </w:r>
      <w:r>
        <w:rPr>
          <w:rFonts w:hint="eastAsia" w:ascii="仿宋_GB2312" w:eastAsia="仿宋_GB2312"/>
          <w:sz w:val="28"/>
          <w:szCs w:val="28"/>
        </w:rPr>
        <w:t>元，比2025年度“三公”经费财政拨款年初预算</w:t>
      </w:r>
      <w:r>
        <w:rPr>
          <w:rFonts w:ascii="仿宋_GB2312" w:eastAsia="仿宋_GB2312"/>
          <w:sz w:val="28"/>
          <w:szCs w:val="28"/>
        </w:rPr>
        <w:t>32450</w:t>
      </w:r>
      <w:r>
        <w:rPr>
          <w:rFonts w:hint="eastAsia" w:ascii="仿宋_GB2312" w:eastAsia="仿宋_GB2312"/>
          <w:sz w:val="28"/>
          <w:szCs w:val="28"/>
        </w:rPr>
        <w:t>元增加（减少）</w:t>
      </w:r>
      <w:r>
        <w:rPr>
          <w:rFonts w:ascii="仿宋_GB2312" w:eastAsia="仿宋_GB2312"/>
          <w:sz w:val="28"/>
          <w:szCs w:val="28"/>
        </w:rPr>
        <w:t>-28605.42</w:t>
      </w:r>
      <w:r>
        <w:rPr>
          <w:rFonts w:hint="eastAsia" w:ascii="仿宋_GB2312" w:eastAsia="仿宋_GB2312"/>
          <w:sz w:val="28"/>
          <w:szCs w:val="28"/>
        </w:rPr>
        <w:t>元。其中：</w:t>
      </w:r>
    </w:p>
    <w:p>
      <w:pPr>
        <w:spacing w:line="560" w:lineRule="exact"/>
        <w:ind w:firstLine="600"/>
        <w:rPr>
          <w:rFonts w:ascii="仿宋_GB2312" w:eastAsia="仿宋_GB2312"/>
          <w:sz w:val="28"/>
          <w:szCs w:val="28"/>
        </w:rPr>
      </w:pPr>
      <w:r>
        <w:rPr>
          <w:rFonts w:hint="eastAsia" w:ascii="仿宋_GB2312" w:eastAsia="仿宋_GB2312"/>
          <w:sz w:val="28"/>
          <w:szCs w:val="28"/>
        </w:rPr>
        <w:t>1.因公出国（境）费用。</w:t>
      </w:r>
      <w:r>
        <w:rPr>
          <w:rFonts w:hint="eastAsia" w:ascii="仿宋_GB2312" w:eastAsia="仿宋_GB2312"/>
          <w:sz w:val="28"/>
          <w:szCs w:val="28"/>
          <w:lang w:eastAsia="zh-CN"/>
        </w:rPr>
        <w:t>本单位无此项经费</w:t>
      </w:r>
      <w:r>
        <w:rPr>
          <w:rFonts w:hint="eastAsia" w:ascii="仿宋_GB2312" w:eastAsia="仿宋_GB2312"/>
          <w:sz w:val="28"/>
          <w:szCs w:val="28"/>
        </w:rPr>
        <w:t>。</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14450</w:t>
      </w:r>
      <w:r>
        <w:rPr>
          <w:rFonts w:hint="eastAsia" w:ascii="仿宋_GB2312" w:eastAsia="仿宋_GB2312"/>
          <w:sz w:val="28"/>
          <w:szCs w:val="28"/>
        </w:rPr>
        <w:t>元增加（减少）</w:t>
      </w:r>
      <w:r>
        <w:rPr>
          <w:rFonts w:ascii="仿宋_GB2312" w:eastAsia="仿宋_GB2312"/>
          <w:sz w:val="28"/>
          <w:szCs w:val="28"/>
        </w:rPr>
        <w:t>-14450</w:t>
      </w:r>
      <w:r>
        <w:rPr>
          <w:rFonts w:hint="eastAsia" w:ascii="仿宋_GB2312" w:eastAsia="仿宋_GB2312"/>
          <w:sz w:val="28"/>
          <w:szCs w:val="28"/>
        </w:rPr>
        <w:t>元。主要原因：</w:t>
      </w:r>
      <w:r>
        <w:rPr>
          <w:rFonts w:hint="eastAsia" w:ascii="仿宋_GB2312" w:eastAsia="仿宋_GB2312"/>
          <w:sz w:val="28"/>
          <w:szCs w:val="28"/>
          <w:lang w:eastAsia="zh-CN"/>
        </w:rPr>
        <w:t>本年度无此项支出</w:t>
      </w:r>
      <w:r>
        <w:rPr>
          <w:rFonts w:hint="eastAsia"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3844.58</w:t>
      </w:r>
      <w:r>
        <w:rPr>
          <w:rFonts w:hint="eastAsia" w:ascii="仿宋_GB2312" w:eastAsia="仿宋_GB2312"/>
          <w:sz w:val="28"/>
          <w:szCs w:val="28"/>
        </w:rPr>
        <w:t>元，比2025年度年初预算数</w:t>
      </w:r>
      <w:r>
        <w:rPr>
          <w:rFonts w:ascii="仿宋_GB2312" w:eastAsia="仿宋_GB2312"/>
          <w:sz w:val="28"/>
          <w:szCs w:val="28"/>
        </w:rPr>
        <w:t>18000</w:t>
      </w:r>
      <w:r>
        <w:rPr>
          <w:rFonts w:hint="eastAsia" w:ascii="仿宋_GB2312" w:eastAsia="仿宋_GB2312"/>
          <w:sz w:val="28"/>
          <w:szCs w:val="28"/>
        </w:rPr>
        <w:t>元增加（减少）</w:t>
      </w:r>
      <w:r>
        <w:rPr>
          <w:rFonts w:ascii="仿宋_GB2312" w:eastAsia="仿宋_GB2312"/>
          <w:sz w:val="28"/>
          <w:szCs w:val="28"/>
        </w:rPr>
        <w:t>-14155.42</w:t>
      </w:r>
      <w:r>
        <w:rPr>
          <w:rFonts w:hint="eastAsia" w:ascii="仿宋_GB2312" w:eastAsia="仿宋_GB2312"/>
          <w:sz w:val="28"/>
          <w:szCs w:val="28"/>
        </w:rPr>
        <w:t>元。其中，公务用车购置费2025年度决算数0元，2025年度购置（更新）0辆。公务用车运行维护费2025年度决算数3844.58元，主要原因：用于公车保险及年检。2025年度公务用车保有量</w:t>
      </w:r>
      <w:r>
        <w:rPr>
          <w:rFonts w:ascii="仿宋_GB2312" w:eastAsia="仿宋_GB2312"/>
          <w:sz w:val="28"/>
          <w:szCs w:val="28"/>
        </w:rPr>
        <w:t>1</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2025年度机关运行经费支出合计492</w:t>
      </w:r>
      <w:r>
        <w:rPr>
          <w:rFonts w:hint="eastAsia" w:ascii="仿宋_GB2312" w:eastAsia="仿宋_GB2312"/>
          <w:sz w:val="28"/>
          <w:szCs w:val="28"/>
          <w:lang w:val="en-US" w:eastAsia="zh-CN"/>
        </w:rPr>
        <w:t>,</w:t>
      </w:r>
      <w:r>
        <w:rPr>
          <w:rFonts w:hint="eastAsia" w:ascii="仿宋_GB2312" w:eastAsia="仿宋_GB2312"/>
          <w:sz w:val="28"/>
          <w:szCs w:val="28"/>
        </w:rPr>
        <w:t>529.93元，比上年减少</w:t>
      </w:r>
      <w:r>
        <w:rPr>
          <w:rFonts w:hint="eastAsia" w:ascii="仿宋_GB2312" w:eastAsia="仿宋_GB2312"/>
          <w:sz w:val="28"/>
          <w:szCs w:val="28"/>
          <w:lang w:val="en-US" w:eastAsia="zh-CN"/>
        </w:rPr>
        <w:t>41,476.86</w:t>
      </w:r>
      <w:r>
        <w:rPr>
          <w:rFonts w:hint="eastAsia" w:ascii="仿宋_GB2312" w:eastAsia="仿宋_GB2312"/>
          <w:sz w:val="28"/>
          <w:szCs w:val="28"/>
        </w:rPr>
        <w:t>元，减少原因：</w:t>
      </w:r>
      <w:r>
        <w:rPr>
          <w:rFonts w:hint="eastAsia" w:ascii="仿宋_GB2312" w:eastAsia="仿宋_GB2312"/>
          <w:sz w:val="28"/>
          <w:szCs w:val="28"/>
          <w:lang w:val="en-US" w:eastAsia="zh-CN"/>
        </w:rPr>
        <w:t>落实政府过紧日子要求，厉行节约要求，严格控制经费使用</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33</w:t>
      </w:r>
      <w:r>
        <w:rPr>
          <w:rFonts w:hint="eastAsia" w:ascii="仿宋_GB2312" w:eastAsia="仿宋_GB2312"/>
          <w:sz w:val="28"/>
          <w:szCs w:val="28"/>
          <w:lang w:val="en-US" w:eastAsia="zh-CN"/>
        </w:rPr>
        <w:t>,</w:t>
      </w:r>
      <w:r>
        <w:rPr>
          <w:rFonts w:ascii="仿宋_GB2312" w:eastAsia="仿宋_GB2312"/>
          <w:sz w:val="28"/>
          <w:szCs w:val="28"/>
        </w:rPr>
        <w:t>866.58</w:t>
      </w:r>
      <w:r>
        <w:rPr>
          <w:rFonts w:hint="eastAsia" w:ascii="仿宋_GB2312" w:eastAsia="仿宋_GB2312"/>
          <w:sz w:val="28"/>
          <w:szCs w:val="28"/>
        </w:rPr>
        <w:t>元，其中：政府采购货物支出</w:t>
      </w:r>
      <w:r>
        <w:rPr>
          <w:rFonts w:ascii="仿宋_GB2312" w:eastAsia="仿宋_GB2312"/>
          <w:sz w:val="28"/>
          <w:szCs w:val="28"/>
        </w:rPr>
        <w:t>12</w:t>
      </w:r>
      <w:r>
        <w:rPr>
          <w:rFonts w:hint="eastAsia" w:ascii="仿宋_GB2312" w:eastAsia="仿宋_GB2312"/>
          <w:sz w:val="28"/>
          <w:szCs w:val="28"/>
          <w:lang w:val="en-US" w:eastAsia="zh-CN"/>
        </w:rPr>
        <w:t>,</w:t>
      </w:r>
      <w:r>
        <w:rPr>
          <w:rFonts w:ascii="仿宋_GB2312" w:eastAsia="仿宋_GB2312"/>
          <w:sz w:val="28"/>
          <w:szCs w:val="28"/>
        </w:rPr>
        <w:t>822</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21</w:t>
      </w:r>
      <w:r>
        <w:rPr>
          <w:rFonts w:hint="eastAsia" w:ascii="仿宋_GB2312" w:eastAsia="仿宋_GB2312"/>
          <w:sz w:val="28"/>
          <w:szCs w:val="28"/>
          <w:lang w:val="en-US" w:eastAsia="zh-CN"/>
        </w:rPr>
        <w:t>,</w:t>
      </w:r>
      <w:r>
        <w:rPr>
          <w:rFonts w:ascii="仿宋_GB2312" w:eastAsia="仿宋_GB2312"/>
          <w:sz w:val="28"/>
          <w:szCs w:val="28"/>
        </w:rPr>
        <w:t>044.58</w:t>
      </w:r>
      <w:r>
        <w:rPr>
          <w:rFonts w:hint="eastAsia" w:ascii="仿宋_GB2312" w:eastAsia="仿宋_GB2312"/>
          <w:sz w:val="28"/>
          <w:szCs w:val="28"/>
        </w:rPr>
        <w:t>元。授予中小企业合同金额</w:t>
      </w:r>
      <w:r>
        <w:rPr>
          <w:rFonts w:ascii="仿宋_GB2312" w:eastAsia="仿宋_GB2312"/>
          <w:sz w:val="28"/>
          <w:szCs w:val="28"/>
        </w:rPr>
        <w:t>0</w:t>
      </w:r>
      <w:r>
        <w:rPr>
          <w:rFonts w:hint="eastAsia" w:ascii="仿宋_GB2312" w:eastAsia="仿宋_GB2312"/>
          <w:sz w:val="28"/>
          <w:szCs w:val="28"/>
        </w:rPr>
        <w:t>元，占政府采购支出总额的0%，其中：授予小微企业合同金额</w:t>
      </w:r>
      <w:r>
        <w:rPr>
          <w:rFonts w:ascii="仿宋_GB2312" w:eastAsia="仿宋_GB2312"/>
          <w:sz w:val="28"/>
          <w:szCs w:val="28"/>
        </w:rPr>
        <w:t>0</w:t>
      </w:r>
      <w:r>
        <w:rPr>
          <w:rFonts w:hint="eastAsia" w:ascii="仿宋_GB2312" w:eastAsia="仿宋_GB2312"/>
          <w:sz w:val="28"/>
          <w:szCs w:val="28"/>
        </w:rPr>
        <w:t>元，占政府采购支出总额的</w:t>
      </w:r>
      <w:r>
        <w:rPr>
          <w:rFonts w:ascii="仿宋_GB2312" w:eastAsia="仿宋_GB2312"/>
          <w:sz w:val="28"/>
          <w:szCs w:val="28"/>
        </w:rPr>
        <w:t>0</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截至12月31日，北京市门头沟区农村合作经济经营管理站（部门）共有车辆1台；单位价值100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ascii="仿宋_GB2312" w:eastAsia="仿宋_GB2312"/>
          <w:bCs/>
          <w:sz w:val="28"/>
          <w:szCs w:val="28"/>
        </w:rPr>
      </w:pPr>
      <w:r>
        <w:rPr>
          <w:rFonts w:hint="eastAsia" w:ascii="仿宋_GB2312" w:eastAsia="仿宋_GB2312"/>
          <w:sz w:val="28"/>
          <w:szCs w:val="28"/>
        </w:rPr>
        <w:t>6.农村集体三资；即农村集体资金、资产、资源。</w:t>
      </w:r>
    </w:p>
    <w:p>
      <w:pPr>
        <w:ind w:firstLine="420" w:firstLineChars="150"/>
        <w:rPr>
          <w:rFonts w:ascii="仿宋_GB2312" w:eastAsia="仿宋_GB2312"/>
          <w:sz w:val="28"/>
          <w:szCs w:val="28"/>
        </w:rPr>
      </w:pPr>
    </w:p>
    <w:p>
      <w:pPr>
        <w:tabs>
          <w:tab w:val="center" w:pos="6979"/>
        </w:tabs>
        <w:spacing w:line="580" w:lineRule="exact"/>
        <w:jc w:val="both"/>
        <w:rPr>
          <w:rFonts w:hint="eastAsia" w:asciiTheme="minorEastAsia" w:hAnsiTheme="minorEastAsia" w:eastAsiaTheme="minorEastAsia"/>
          <w:b/>
          <w:sz w:val="36"/>
          <w:szCs w:val="36"/>
        </w:rPr>
      </w:pPr>
    </w:p>
    <w:p>
      <w:pPr>
        <w:tabs>
          <w:tab w:val="center" w:pos="6979"/>
        </w:tabs>
        <w:spacing w:line="580" w:lineRule="exact"/>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一是贯彻落实国家、北京市关于农村合作经济经营管理工作的法律法规、政策等，牵头拟订本区农村合作经济经营管理相关政策并组织落实。</w:t>
      </w:r>
    </w:p>
    <w:p>
      <w:pPr>
        <w:spacing w:line="580" w:lineRule="exact"/>
        <w:ind w:firstLine="641"/>
        <w:rPr>
          <w:rFonts w:hint="eastAsia" w:ascii="仿宋_GB2312" w:eastAsia="仿宋_GB2312"/>
          <w:sz w:val="32"/>
          <w:szCs w:val="32"/>
        </w:rPr>
      </w:pPr>
      <w:r>
        <w:rPr>
          <w:rFonts w:hint="eastAsia" w:ascii="仿宋_GB2312" w:eastAsia="仿宋_GB2312"/>
          <w:sz w:val="32"/>
          <w:szCs w:val="32"/>
        </w:rPr>
        <w:t>二是负责统筹农村集体资产与财务管理和财务公开工作。参与农村集体产权制度改革。</w:t>
      </w:r>
    </w:p>
    <w:p>
      <w:pPr>
        <w:spacing w:line="580" w:lineRule="exact"/>
        <w:ind w:firstLine="641"/>
        <w:rPr>
          <w:rFonts w:hint="eastAsia" w:ascii="仿宋_GB2312" w:eastAsia="仿宋_GB2312"/>
          <w:sz w:val="32"/>
          <w:szCs w:val="32"/>
        </w:rPr>
      </w:pPr>
      <w:r>
        <w:rPr>
          <w:rFonts w:hint="eastAsia" w:ascii="仿宋_GB2312" w:eastAsia="仿宋_GB2312"/>
          <w:sz w:val="32"/>
          <w:szCs w:val="32"/>
        </w:rPr>
        <w:t>三是负责本区农村集体经济组织发展，承担农村集体经济组织登记等具体工作。</w:t>
      </w:r>
    </w:p>
    <w:p>
      <w:pPr>
        <w:spacing w:line="580" w:lineRule="exact"/>
        <w:ind w:firstLine="641"/>
        <w:rPr>
          <w:rFonts w:hint="eastAsia" w:ascii="仿宋_GB2312" w:eastAsia="仿宋_GB2312"/>
          <w:sz w:val="32"/>
          <w:szCs w:val="32"/>
        </w:rPr>
      </w:pPr>
      <w:r>
        <w:rPr>
          <w:rFonts w:hint="eastAsia" w:ascii="仿宋_GB2312" w:eastAsia="仿宋_GB2312"/>
          <w:sz w:val="32"/>
          <w:szCs w:val="32"/>
        </w:rPr>
        <w:t>四是负责统筹本区农村土地承包及承包合同管理、农村土地承包经营权流转及流转合同管理、农村集体经济合同管理工作。组织开展农村土地承包经营纠纷调解和仲载工作。</w:t>
      </w:r>
    </w:p>
    <w:p>
      <w:pPr>
        <w:spacing w:line="580" w:lineRule="exact"/>
        <w:ind w:firstLine="641"/>
        <w:rPr>
          <w:rFonts w:hint="eastAsia" w:ascii="仿宋_GB2312" w:eastAsia="仿宋_GB2312"/>
          <w:sz w:val="32"/>
          <w:szCs w:val="32"/>
        </w:rPr>
      </w:pPr>
      <w:r>
        <w:rPr>
          <w:rFonts w:hint="eastAsia" w:ascii="仿宋_GB2312" w:eastAsia="仿宋_GB2312"/>
          <w:sz w:val="32"/>
          <w:szCs w:val="32"/>
        </w:rPr>
        <w:t>五是负责农民专业合作社的规范化建设和服务工作。</w:t>
      </w:r>
    </w:p>
    <w:p>
      <w:pPr>
        <w:spacing w:line="580" w:lineRule="exact"/>
        <w:ind w:firstLine="641"/>
        <w:rPr>
          <w:rFonts w:hint="eastAsia" w:ascii="仿宋_GB2312" w:eastAsia="仿宋_GB2312"/>
          <w:sz w:val="32"/>
          <w:szCs w:val="32"/>
        </w:rPr>
      </w:pPr>
      <w:r>
        <w:rPr>
          <w:rFonts w:hint="eastAsia" w:ascii="仿宋_GB2312" w:eastAsia="仿宋_GB2312"/>
          <w:sz w:val="32"/>
          <w:szCs w:val="32"/>
        </w:rPr>
        <w:t>六是组织开展本区农村集体经济统计工作，分析农村经济运行状况。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七负责农村产权交易指导和服务工作。</w:t>
      </w:r>
    </w:p>
    <w:p>
      <w:pPr>
        <w:spacing w:line="580" w:lineRule="exact"/>
        <w:ind w:firstLine="641"/>
        <w:rPr>
          <w:rFonts w:hint="eastAsia" w:ascii="仿宋_GB2312" w:eastAsia="仿宋_GB2312"/>
          <w:sz w:val="32"/>
          <w:szCs w:val="32"/>
        </w:rPr>
      </w:pPr>
      <w:r>
        <w:rPr>
          <w:rFonts w:hint="eastAsia" w:ascii="仿宋_GB2312" w:eastAsia="仿宋_GB2312"/>
          <w:sz w:val="32"/>
          <w:szCs w:val="32"/>
        </w:rPr>
        <w:t>八是承担农村集体经济审计、减轻农民负担监督管理相关事务性工作。</w:t>
      </w:r>
    </w:p>
    <w:p>
      <w:pPr>
        <w:spacing w:line="580" w:lineRule="exact"/>
        <w:ind w:firstLine="641"/>
        <w:rPr>
          <w:rFonts w:hint="eastAsia" w:ascii="仿宋_GB2312" w:eastAsia="仿宋_GB2312"/>
          <w:sz w:val="32"/>
          <w:szCs w:val="32"/>
        </w:rPr>
      </w:pPr>
      <w:r>
        <w:rPr>
          <w:rFonts w:hint="eastAsia" w:ascii="仿宋_GB2312" w:eastAsia="仿宋_GB2312"/>
          <w:sz w:val="32"/>
          <w:szCs w:val="32"/>
        </w:rPr>
        <w:t>九是负责农村管理信息化具体工作。负责基层农村合作经济经营管理相关人员的培训工作。</w:t>
      </w:r>
    </w:p>
    <w:p>
      <w:pPr>
        <w:spacing w:line="580" w:lineRule="exact"/>
        <w:ind w:firstLine="641"/>
        <w:rPr>
          <w:rFonts w:hint="eastAsia"/>
        </w:rPr>
      </w:pPr>
      <w:r>
        <w:rPr>
          <w:rFonts w:hint="eastAsia" w:ascii="仿宋_GB2312" w:eastAsia="仿宋_GB2312"/>
          <w:sz w:val="32"/>
          <w:szCs w:val="32"/>
        </w:rPr>
        <w:t>十是完成区委、区政府交办的其他任务。</w:t>
      </w:r>
    </w:p>
    <w:p>
      <w:pPr>
        <w:numPr>
          <w:ilvl w:val="0"/>
          <w:numId w:val="1"/>
        </w:numPr>
        <w:spacing w:line="580" w:lineRule="exact"/>
        <w:ind w:firstLine="640"/>
        <w:rPr>
          <w:rFonts w:hint="eastAsia" w:ascii="仿宋_GB2312" w:hAnsi="Times New Roman" w:eastAsia="仿宋_GB2312" w:cs="Times New Roman"/>
          <w:b w:val="0"/>
          <w:bCs w:val="0"/>
          <w:kern w:val="2"/>
          <w:sz w:val="32"/>
          <w:szCs w:val="32"/>
          <w:lang w:val="en-US" w:eastAsia="zh-CN" w:bidi="ar-SA"/>
        </w:rPr>
      </w:pPr>
      <w:r>
        <w:rPr>
          <w:rFonts w:hint="eastAsia" w:ascii="仿宋_GB2312" w:eastAsia="仿宋_GB2312"/>
          <w:sz w:val="32"/>
          <w:szCs w:val="32"/>
        </w:rPr>
        <w:t>部门机构设置情况</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hAnsi="Times New Roman" w:eastAsia="仿宋_GB2312" w:cs="Times New Roman"/>
          <w:b w:val="0"/>
          <w:bCs w:val="0"/>
          <w:kern w:val="2"/>
          <w:sz w:val="32"/>
          <w:szCs w:val="32"/>
          <w:lang w:val="en-US" w:eastAsia="zh-CN" w:bidi="ar-SA"/>
        </w:rPr>
      </w:pPr>
      <w:r>
        <w:rPr>
          <w:rFonts w:hint="eastAsia" w:ascii="仿宋_GB2312" w:hAnsi="Times New Roman" w:eastAsia="仿宋_GB2312" w:cs="Times New Roman"/>
          <w:b w:val="0"/>
          <w:bCs w:val="0"/>
          <w:kern w:val="2"/>
          <w:sz w:val="32"/>
          <w:szCs w:val="32"/>
          <w:lang w:val="en-US" w:eastAsia="zh-CN" w:bidi="ar-SA"/>
        </w:rPr>
        <w:t>本部门共设8个内设机构，下设0个事业单位。行政编制0名，实际0人；事业编制35名，实际33人；离退休人员15人，其中：离休0人，行政退休0人，事业退休15人；其他人员</w:t>
      </w:r>
      <w:r>
        <w:rPr>
          <w:rFonts w:hint="eastAsia" w:ascii="仿宋_GB2312" w:eastAsia="仿宋_GB2312" w:cs="Times New Roman"/>
          <w:b w:val="0"/>
          <w:bCs w:val="0"/>
          <w:kern w:val="2"/>
          <w:sz w:val="32"/>
          <w:szCs w:val="32"/>
          <w:lang w:val="en-US" w:eastAsia="zh-CN" w:bidi="ar-SA"/>
        </w:rPr>
        <w:t>5</w:t>
      </w:r>
      <w:r>
        <w:rPr>
          <w:rFonts w:hint="eastAsia" w:ascii="仿宋_GB2312" w:hAnsi="Times New Roman" w:eastAsia="仿宋_GB2312" w:cs="Times New Roman"/>
          <w:b w:val="0"/>
          <w:bCs w:val="0"/>
          <w:kern w:val="2"/>
          <w:sz w:val="32"/>
          <w:szCs w:val="32"/>
          <w:lang w:val="en-US" w:eastAsia="zh-CN" w:bidi="ar-SA"/>
        </w:rPr>
        <w:t>人，其中：社会化用工</w:t>
      </w:r>
      <w:r>
        <w:rPr>
          <w:rFonts w:hint="eastAsia" w:ascii="仿宋_GB2312" w:eastAsia="仿宋_GB2312" w:cs="Times New Roman"/>
          <w:b w:val="0"/>
          <w:bCs w:val="0"/>
          <w:kern w:val="2"/>
          <w:sz w:val="32"/>
          <w:szCs w:val="32"/>
          <w:lang w:val="en-US" w:eastAsia="zh-CN" w:bidi="ar-SA"/>
        </w:rPr>
        <w:t>1</w:t>
      </w:r>
      <w:r>
        <w:rPr>
          <w:rFonts w:hint="eastAsia" w:ascii="仿宋_GB2312" w:hAnsi="Times New Roman" w:eastAsia="仿宋_GB2312" w:cs="Times New Roman"/>
          <w:b w:val="0"/>
          <w:bCs w:val="0"/>
          <w:kern w:val="2"/>
          <w:sz w:val="32"/>
          <w:szCs w:val="32"/>
          <w:lang w:val="en-US" w:eastAsia="zh-CN" w:bidi="ar-SA"/>
        </w:rPr>
        <w:t>人。</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pPr>
        <w:spacing w:line="580" w:lineRule="exact"/>
        <w:ind w:firstLine="641"/>
        <w:rPr>
          <w:rFonts w:hint="eastAsia" w:ascii="仿宋_GB2312" w:eastAsia="仿宋_GB2312"/>
          <w:sz w:val="32"/>
          <w:szCs w:val="32"/>
        </w:rPr>
      </w:pPr>
      <w:r>
        <w:rPr>
          <w:rFonts w:hint="eastAsia" w:ascii="仿宋_GB2312" w:eastAsia="仿宋_GB2312"/>
          <w:sz w:val="32"/>
          <w:szCs w:val="32"/>
        </w:rPr>
        <w:t>（1）强化党建引领“一条主线”，把稳集体经济发展正确方向。</w:t>
      </w:r>
    </w:p>
    <w:p>
      <w:pPr>
        <w:spacing w:line="580" w:lineRule="exact"/>
        <w:ind w:firstLine="641"/>
        <w:rPr>
          <w:rFonts w:hint="eastAsia" w:ascii="仿宋_GB2312" w:eastAsia="仿宋_GB2312"/>
          <w:sz w:val="32"/>
          <w:szCs w:val="32"/>
        </w:rPr>
      </w:pPr>
      <w:r>
        <w:rPr>
          <w:rFonts w:hint="eastAsia" w:ascii="仿宋_GB2312" w:eastAsia="仿宋_GB2312"/>
          <w:sz w:val="32"/>
          <w:szCs w:val="32"/>
        </w:rPr>
        <w:t>一是严格落实“第一议题”制度，持续巩固拓展主题教育成果，全年召开理论中心组学习12次，交流研讨6次。深入落实区委“干部能力提升工程”，开展经管青年干部读书会6期。二是加强队伍作风建设。组织处级领导班子集中读书2次、警示教育4次，查摆并完成整改问题11个，切实筑牢思想防线。严格落实“第一责任人”职责，半年度截至目前共主持召开党组会议14次，站长办公会6次，专题或会商研究意识形态工作6次，开展廉政谈话6次，支部书记专题讲党课1次。三是推动党建与业务深度融合。研究制定《党建引领“三资”领域“揭榜挂帅”机制工作方案》，推动跨科室协同攻坚，干部综合能力显著提升。制定年度党建工作要点，明确5方面17项具体举措，通过理论中心组学习、主题党日等形式，推动党建与业务从“有形融合”走向“有效融合”。全年共开展主题党日活动11次，召开党员大会3次，支委会12次，党小组会22次。</w:t>
      </w:r>
    </w:p>
    <w:p>
      <w:pPr>
        <w:spacing w:line="580" w:lineRule="exact"/>
        <w:ind w:firstLine="641"/>
        <w:rPr>
          <w:rFonts w:hint="eastAsia" w:ascii="仿宋_GB2312" w:eastAsia="仿宋_GB2312"/>
          <w:sz w:val="32"/>
          <w:szCs w:val="32"/>
        </w:rPr>
      </w:pPr>
      <w:r>
        <w:rPr>
          <w:rFonts w:hint="eastAsia" w:ascii="仿宋_GB2312" w:eastAsia="仿宋_GB2312"/>
          <w:sz w:val="32"/>
          <w:szCs w:val="32"/>
        </w:rPr>
        <w:t>（2）突出摸清闲置资产底数、培育示范合作社“两个抓手”，夯实农村集体经济坚实基础。</w:t>
      </w:r>
    </w:p>
    <w:p>
      <w:pPr>
        <w:spacing w:line="580" w:lineRule="exact"/>
        <w:ind w:firstLine="641"/>
        <w:rPr>
          <w:rFonts w:hint="eastAsia" w:ascii="仿宋_GB2312" w:eastAsia="仿宋_GB2312"/>
          <w:sz w:val="32"/>
          <w:szCs w:val="32"/>
        </w:rPr>
      </w:pPr>
      <w:r>
        <w:rPr>
          <w:rFonts w:hint="eastAsia" w:ascii="仿宋_GB2312" w:eastAsia="仿宋_GB2312"/>
          <w:sz w:val="32"/>
          <w:szCs w:val="32"/>
        </w:rPr>
        <w:t>一是摸清闲置资产底数，盘活农村资源。运用“揭榜挂帅”机制推动科室与镇级联动，通过资产清查、合同清理及可视化平台多角度梳理全区农村集体资产，利用全年持续深入181个农村集体经济组织摸排梳理闲置资产149处、13.6万平方米，实现了“应查尽查、一村一档”，逐步对重点资产赋码管理。在此基础上，依托北京市农村产权交易平台，采取短视频公众号宣传、公开挂牌等方式分批发布50个推介项目。今年已完成交易102宗，成交总额超1亿元，带动村集体增收成效明显。其中，上半年完成交易18宗、成交7102万元，位列生态涵养区首位。积极探索构建“资产运营+利益共享”盘活新模式，规范“强村公司”管理，推动“沉睡资产”转化为“增收活水”，切实助力区域绿色高质量转型发展。二是培育示范合作社，发展新型农业经营主体。通过优化结构、规范管理，全区农民专业合作社总数调整为218家（同比减少20家），实有成员8757人（同比减少1221人），资产总额25287.2万元（同比增加111.2万元）。2024年，57家经营合作社实现总收入2989.42万元，同比增长5.09%，全面统计并深度分析了全区合作社发展情况，系统梳理发展趋势、结构特征及运营状况，形成分析报告。同时，联合中国农业大学对部分合作社进行点对点辅导，并针对农民专业合作社和股份经济合作社规范发展问题，对集体领办合作社开展集中培训，进一步提升合作社发展质量。目前，全区国家级示范社9家、市级示范社6家，示范引领效应持续增强。</w:t>
      </w:r>
    </w:p>
    <w:p>
      <w:pPr>
        <w:spacing w:line="580" w:lineRule="exact"/>
        <w:ind w:firstLine="641"/>
        <w:rPr>
          <w:rFonts w:hint="eastAsia" w:ascii="仿宋_GB2312" w:eastAsia="仿宋_GB2312"/>
          <w:sz w:val="32"/>
          <w:szCs w:val="32"/>
        </w:rPr>
      </w:pPr>
      <w:r>
        <w:rPr>
          <w:rFonts w:hint="eastAsia" w:ascii="仿宋_GB2312" w:eastAsia="仿宋_GB2312"/>
          <w:sz w:val="32"/>
          <w:szCs w:val="32"/>
        </w:rPr>
        <w:t>（3）强化财务审计、债权债务、涉地经济合同“三项管理”，筑牢集体“三资”监管安全防线。</w:t>
      </w:r>
    </w:p>
    <w:p>
      <w:pPr>
        <w:spacing w:line="580" w:lineRule="exact"/>
        <w:ind w:firstLine="641"/>
        <w:rPr>
          <w:rFonts w:hint="eastAsia" w:ascii="仿宋_GB2312" w:eastAsia="仿宋_GB2312"/>
          <w:sz w:val="32"/>
          <w:szCs w:val="32"/>
        </w:rPr>
      </w:pPr>
      <w:r>
        <w:rPr>
          <w:rFonts w:hint="eastAsia" w:ascii="仿宋_GB2312" w:eastAsia="仿宋_GB2312"/>
          <w:sz w:val="32"/>
          <w:szCs w:val="32"/>
        </w:rPr>
        <w:t>今年以来，依托“三资”监管定期检查等，持续深入开展问题排查，累计发现问题783个。截至目前，完成整改问题595个，整改率达76%，高于全市10个百分点；收回存在重大风险债权投资5.5亿元；清缴收回各类欠款3026.63万元；化解村级债务1026.5万元；清理债权654万元；收回房屋面积1523.33平方米、土地1.1亩，指导各镇规范注销投资经营实体48家。聚焦长效机制建设，系统梳理现行管理制度，对照国家和市级最新政策要求，完成7项区级制度的优化调整。指导龙泉镇、雁翅镇、斋堂镇制定7项“三资”管理制度，形成区有制度、镇有细则、村有落实的“三级”管理模式。同步总结“为群众办实事”典型案例6个，向纪检监察机关移送线索2条，专项整治工作取得阶段性成果。</w:t>
      </w:r>
    </w:p>
    <w:p>
      <w:pPr>
        <w:spacing w:line="580" w:lineRule="exact"/>
        <w:ind w:firstLine="641"/>
        <w:rPr>
          <w:rFonts w:hint="eastAsia" w:ascii="仿宋_GB2312" w:eastAsia="仿宋_GB2312"/>
          <w:sz w:val="32"/>
          <w:szCs w:val="32"/>
        </w:rPr>
      </w:pPr>
      <w:r>
        <w:rPr>
          <w:rFonts w:hint="eastAsia" w:ascii="仿宋_GB2312" w:eastAsia="仿宋_GB2312"/>
          <w:sz w:val="32"/>
          <w:szCs w:val="32"/>
        </w:rPr>
        <w:t>同时，进一步加大日常监管力度，指导14个村完成农村集体经营与村务管理账务分记试点工作，对全区 61个村开展区级提级审计，91个村开展“三资”监管检查工作，推行“以检代训”模式，切实化解经营风险，全面提升农村集体“三资”规范化管理水平。配合区委组织部对村干部进行村“两委”换届资格联审工作，增强村干部财经意识和法纪观念，不断完善线索移送、问题反馈、司法协作联动等机制，进一步织密村集体“三资”监督网。</w:t>
      </w:r>
    </w:p>
    <w:p>
      <w:pPr>
        <w:spacing w:line="580" w:lineRule="exact"/>
        <w:ind w:firstLine="641"/>
        <w:rPr>
          <w:rFonts w:hint="eastAsia" w:ascii="仿宋_GB2312" w:eastAsia="仿宋_GB2312"/>
          <w:sz w:val="32"/>
          <w:szCs w:val="32"/>
        </w:rPr>
      </w:pPr>
      <w:r>
        <w:rPr>
          <w:rFonts w:hint="eastAsia" w:ascii="仿宋_GB2312" w:eastAsia="仿宋_GB2312"/>
          <w:sz w:val="32"/>
          <w:szCs w:val="32"/>
        </w:rPr>
        <w:t>（4）健全产权交易、合同联审、服务指导、人才队伍“四个体系”，激发经济内生发展动力。</w:t>
      </w:r>
    </w:p>
    <w:p>
      <w:pPr>
        <w:spacing w:line="580" w:lineRule="exact"/>
        <w:ind w:firstLine="641"/>
        <w:rPr>
          <w:rFonts w:hint="eastAsia" w:ascii="仿宋_GB2312" w:eastAsia="仿宋_GB2312"/>
          <w:sz w:val="32"/>
          <w:szCs w:val="32"/>
        </w:rPr>
      </w:pPr>
      <w:r>
        <w:rPr>
          <w:rFonts w:hint="eastAsia" w:ascii="仿宋_GB2312" w:eastAsia="仿宋_GB2312"/>
          <w:sz w:val="32"/>
          <w:szCs w:val="32"/>
        </w:rPr>
        <w:t>一是优化产权交易流程，激发市场活力。全面优化农村产权流转交易程序，对标《北京市农村产权流转交易管理办法（试行）》，构建“线上预联审+镇、区分级分类审批”机制，按标的金额和类型实行差异化审核。起草的《门头沟区农村产权流转交易管理办法（试行）》已完成制度整合，已完成社会公开征求意见，拟于年底前出台。</w:t>
      </w:r>
    </w:p>
    <w:p>
      <w:pPr>
        <w:spacing w:line="580" w:lineRule="exact"/>
        <w:ind w:firstLine="641"/>
        <w:rPr>
          <w:rFonts w:hint="eastAsia" w:ascii="仿宋_GB2312" w:eastAsia="仿宋_GB2312"/>
          <w:sz w:val="32"/>
          <w:szCs w:val="32"/>
        </w:rPr>
      </w:pPr>
      <w:r>
        <w:rPr>
          <w:rFonts w:hint="eastAsia" w:ascii="仿宋_GB2312" w:eastAsia="仿宋_GB2312"/>
          <w:sz w:val="32"/>
          <w:szCs w:val="32"/>
        </w:rPr>
        <w:t>二是完善合同联审机制，构建全流程闭环管理体系。通过强化合同预审与项目交易前审核的协同联动，系统梳理审核流程，消除重复环节，实现审核效率与风险防控的双提升。同步推进合同管理可视化平台建设，将所有新签订合同规范录入资产资源可视化管理平台备案，实现从签订、履约到备案的全链条、全覆盖监管。持续推进平台信息完善工作，累计录入历史遗漏合同55份、新签合同16份，更新信息1100条，有效提升了平台数据的完整性、准确性和时效性，为合同动态监管提供了坚实的信息化支撑。</w:t>
      </w:r>
    </w:p>
    <w:p>
      <w:pPr>
        <w:spacing w:line="580" w:lineRule="exact"/>
        <w:ind w:firstLine="641"/>
        <w:rPr>
          <w:rFonts w:hint="eastAsia" w:ascii="仿宋_GB2312" w:eastAsia="仿宋_GB2312"/>
          <w:sz w:val="32"/>
          <w:szCs w:val="32"/>
        </w:rPr>
      </w:pPr>
      <w:r>
        <w:rPr>
          <w:rFonts w:hint="eastAsia" w:ascii="仿宋_GB2312" w:eastAsia="仿宋_GB2312"/>
          <w:sz w:val="32"/>
          <w:szCs w:val="32"/>
        </w:rPr>
        <w:t>三是强化服务指导，稳妥推进二轮延包试点工作。目前，已启动二轮延包试点村12个，第一批试点基本完成（斋堂镇西胡林村、沿河城村、王平镇南涧村3个村）。其中，集体统一经营的确权土地占比达90%，高出全市第一批试点村平均水平13个百分点，斋堂镇沿河城村作为全市第一个以“确权确利”方式开展延包的试点村，为解决土地碎片化问题、探索规模化经营提供了“门头沟样本”。第二批试点9个村目前已全部铺开，5个基本完成，通过两批试点，系统梳理形成《门头沟区第二轮土地承包到期后再延长30年试点工作指导手册》，包含1套标准化流程、4份指导文件、6项政策依据和15张模板表格，为后续全区延包工作奠定了坚实基础。充分发挥土地承包仲裁委员会作用，全年受理并办结土地承包经营纠纷案件2件，有效维护农民合法权益和农村社会稳定。</w:t>
      </w:r>
    </w:p>
    <w:p>
      <w:pPr>
        <w:spacing w:line="580" w:lineRule="exact"/>
        <w:ind w:firstLine="641"/>
        <w:rPr>
          <w:rFonts w:hint="eastAsia" w:ascii="仿宋_GB2312" w:eastAsia="仿宋_GB2312"/>
          <w:sz w:val="32"/>
          <w:szCs w:val="32"/>
        </w:rPr>
      </w:pPr>
      <w:r>
        <w:rPr>
          <w:rFonts w:hint="eastAsia" w:ascii="仿宋_GB2312" w:eastAsia="仿宋_GB2312"/>
          <w:sz w:val="32"/>
          <w:szCs w:val="32"/>
        </w:rPr>
        <w:t>四是加强队伍建设，提升干部履职能力。以“精准性、系统性、实效性”为导向，构建分层分类培训体系，针对镇级管理人员、村级财务人员和村“两委”干部等不同对象量身定制课程，推动基层队伍能力建设与重点工作同频共振。同时，联合区农业农村局、区财政局组成“三资”检查工作组，深入各镇开展实地调研和业务指导，系统梳理并推动解决“三资”领域历史遗留问题，进一步提升基层规范管理水平。聚焦资产清查、会计制度解读、账务处理、合同管理等关键环节，全年累计开展集中培训、实地指导和专项检查196场，覆盖2204人次。自9月“三资”专项整治“突击战”启动以来，重点围绕问题整改开展全覆盖培训指导45场。同步印发《工作提示》《问题合同排查指南》及分级分类《合同管理明白纸》等实操材料，靶向破解共性难题，推动政策要求直达基层、落地见效。</w:t>
      </w:r>
    </w:p>
    <w:bookmarkEnd w:id="0"/>
    <w:p>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3"/>
        <w:tblW w:w="14786" w:type="dxa"/>
        <w:tblInd w:w="0" w:type="dxa"/>
        <w:tblLayout w:type="fixed"/>
        <w:tblCellMar>
          <w:top w:w="0" w:type="dxa"/>
          <w:left w:w="108" w:type="dxa"/>
          <w:bottom w:w="0" w:type="dxa"/>
          <w:right w:w="108" w:type="dxa"/>
        </w:tblCellMar>
      </w:tblPr>
      <w:tblGrid>
        <w:gridCol w:w="2011"/>
        <w:gridCol w:w="2783"/>
        <w:gridCol w:w="2523"/>
        <w:gridCol w:w="2020"/>
        <w:gridCol w:w="2529"/>
        <w:gridCol w:w="2920"/>
      </w:tblGrid>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278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252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2020"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2529"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2920"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278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每年巡检维护次数(镇级）</w:t>
            </w:r>
          </w:p>
        </w:tc>
        <w:tc>
          <w:tcPr>
            <w:tcW w:w="252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4</w:t>
            </w:r>
          </w:p>
        </w:tc>
        <w:tc>
          <w:tcPr>
            <w:tcW w:w="2529"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eastAsia="zh-CN"/>
              </w:rPr>
              <w:t>次</w:t>
            </w:r>
          </w:p>
        </w:tc>
        <w:tc>
          <w:tcPr>
            <w:tcW w:w="29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278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每年巡检维护次数(村级）</w:t>
            </w:r>
          </w:p>
        </w:tc>
        <w:tc>
          <w:tcPr>
            <w:tcW w:w="252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56</w:t>
            </w:r>
          </w:p>
        </w:tc>
        <w:tc>
          <w:tcPr>
            <w:tcW w:w="2529"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eastAsia="zh-CN"/>
              </w:rPr>
              <w:t>次</w:t>
            </w:r>
          </w:p>
        </w:tc>
        <w:tc>
          <w:tcPr>
            <w:tcW w:w="29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2783" w:type="dxa"/>
            <w:tcBorders>
              <w:top w:val="single" w:color="auto" w:sz="4" w:space="0"/>
              <w:left w:val="single" w:color="auto" w:sz="4" w:space="0"/>
              <w:bottom w:val="single" w:color="auto" w:sz="4" w:space="0"/>
              <w:right w:val="single" w:color="auto" w:sz="4" w:space="0"/>
            </w:tcBorders>
            <w:vAlign w:val="center"/>
          </w:tcPr>
          <w:p>
            <w:pPr>
              <w:spacing w:line="520" w:lineRule="exact"/>
              <w:jc w:val="both"/>
              <w:rPr>
                <w:rFonts w:hint="eastAsia" w:ascii="仿宋_GB2312" w:eastAsia="仿宋_GB2312"/>
                <w:sz w:val="28"/>
                <w:szCs w:val="28"/>
              </w:rPr>
            </w:pPr>
            <w:r>
              <w:rPr>
                <w:rFonts w:hint="eastAsia" w:ascii="仿宋_GB2312" w:eastAsia="仿宋_GB2312"/>
                <w:sz w:val="28"/>
                <w:szCs w:val="28"/>
              </w:rPr>
              <w:t>资产评估完成率</w:t>
            </w:r>
          </w:p>
        </w:tc>
        <w:tc>
          <w:tcPr>
            <w:tcW w:w="252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100</w:t>
            </w:r>
          </w:p>
        </w:tc>
        <w:tc>
          <w:tcPr>
            <w:tcW w:w="2529"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w:t>
            </w:r>
          </w:p>
        </w:tc>
        <w:tc>
          <w:tcPr>
            <w:tcW w:w="29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4</w:t>
            </w:r>
          </w:p>
        </w:tc>
        <w:tc>
          <w:tcPr>
            <w:tcW w:w="2783" w:type="dxa"/>
            <w:tcBorders>
              <w:top w:val="single" w:color="auto" w:sz="4" w:space="0"/>
              <w:left w:val="single" w:color="auto" w:sz="4" w:space="0"/>
              <w:bottom w:val="single" w:color="auto" w:sz="4" w:space="0"/>
              <w:right w:val="single" w:color="auto" w:sz="4" w:space="0"/>
            </w:tcBorders>
            <w:vAlign w:val="center"/>
          </w:tcPr>
          <w:p>
            <w:pPr>
              <w:spacing w:line="520" w:lineRule="exact"/>
              <w:jc w:val="both"/>
              <w:rPr>
                <w:rFonts w:hint="eastAsia" w:ascii="仿宋_GB2312" w:eastAsia="仿宋_GB2312"/>
                <w:sz w:val="28"/>
                <w:szCs w:val="28"/>
              </w:rPr>
            </w:pPr>
            <w:r>
              <w:rPr>
                <w:rFonts w:hint="eastAsia" w:ascii="仿宋_GB2312" w:eastAsia="仿宋_GB2312"/>
                <w:sz w:val="28"/>
                <w:szCs w:val="28"/>
              </w:rPr>
              <w:t>土地测绘完成率</w:t>
            </w:r>
          </w:p>
        </w:tc>
        <w:tc>
          <w:tcPr>
            <w:tcW w:w="252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100</w:t>
            </w:r>
          </w:p>
        </w:tc>
        <w:tc>
          <w:tcPr>
            <w:tcW w:w="2529"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w:t>
            </w:r>
          </w:p>
        </w:tc>
        <w:tc>
          <w:tcPr>
            <w:tcW w:w="29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bookmarkStart w:id="3" w:name="_Toc268005761"/>
            <w:r>
              <w:rPr>
                <w:rFonts w:hint="eastAsia" w:ascii="仿宋_GB2312" w:eastAsia="仿宋_GB2312"/>
                <w:sz w:val="28"/>
                <w:szCs w:val="28"/>
                <w:lang w:val="en-US" w:eastAsia="zh-CN"/>
              </w:rPr>
              <w:t>5</w:t>
            </w:r>
          </w:p>
        </w:tc>
        <w:tc>
          <w:tcPr>
            <w:tcW w:w="2783" w:type="dxa"/>
            <w:tcBorders>
              <w:top w:val="single" w:color="auto" w:sz="4" w:space="0"/>
              <w:left w:val="single" w:color="auto" w:sz="4" w:space="0"/>
              <w:bottom w:val="single" w:color="auto" w:sz="4" w:space="0"/>
              <w:right w:val="single" w:color="auto" w:sz="4" w:space="0"/>
            </w:tcBorders>
            <w:vAlign w:val="center"/>
          </w:tcPr>
          <w:p>
            <w:pPr>
              <w:spacing w:line="520" w:lineRule="exact"/>
              <w:jc w:val="both"/>
              <w:rPr>
                <w:rFonts w:hint="eastAsia" w:ascii="仿宋_GB2312" w:eastAsia="仿宋_GB2312"/>
                <w:sz w:val="28"/>
                <w:szCs w:val="28"/>
              </w:rPr>
            </w:pPr>
            <w:r>
              <w:rPr>
                <w:rFonts w:hint="eastAsia" w:ascii="仿宋_GB2312" w:eastAsia="仿宋_GB2312"/>
                <w:sz w:val="28"/>
                <w:szCs w:val="28"/>
              </w:rPr>
              <w:t>检查村数</w:t>
            </w:r>
          </w:p>
        </w:tc>
        <w:tc>
          <w:tcPr>
            <w:tcW w:w="252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91</w:t>
            </w:r>
          </w:p>
        </w:tc>
        <w:tc>
          <w:tcPr>
            <w:tcW w:w="2529"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个</w:t>
            </w:r>
          </w:p>
        </w:tc>
        <w:tc>
          <w:tcPr>
            <w:tcW w:w="29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6</w:t>
            </w:r>
          </w:p>
        </w:tc>
        <w:tc>
          <w:tcPr>
            <w:tcW w:w="2783" w:type="dxa"/>
            <w:tcBorders>
              <w:top w:val="single" w:color="auto" w:sz="4" w:space="0"/>
              <w:left w:val="single" w:color="auto" w:sz="4" w:space="0"/>
              <w:bottom w:val="single" w:color="auto" w:sz="4" w:space="0"/>
              <w:right w:val="single" w:color="auto" w:sz="4" w:space="0"/>
            </w:tcBorders>
            <w:vAlign w:val="center"/>
          </w:tcPr>
          <w:p>
            <w:pPr>
              <w:spacing w:line="520" w:lineRule="exact"/>
              <w:jc w:val="both"/>
              <w:rPr>
                <w:rFonts w:hint="eastAsia" w:ascii="仿宋_GB2312" w:eastAsia="仿宋_GB2312"/>
                <w:sz w:val="28"/>
                <w:szCs w:val="28"/>
              </w:rPr>
            </w:pPr>
            <w:r>
              <w:rPr>
                <w:rFonts w:hint="eastAsia" w:ascii="仿宋_GB2312" w:eastAsia="仿宋_GB2312"/>
                <w:sz w:val="28"/>
                <w:szCs w:val="28"/>
              </w:rPr>
              <w:t>报告完成时间</w:t>
            </w:r>
          </w:p>
        </w:tc>
        <w:tc>
          <w:tcPr>
            <w:tcW w:w="252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定性</w:t>
            </w:r>
          </w:p>
        </w:tc>
        <w:tc>
          <w:tcPr>
            <w:tcW w:w="20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2025年12月</w:t>
            </w:r>
          </w:p>
        </w:tc>
        <w:tc>
          <w:tcPr>
            <w:tcW w:w="2529"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其他</w:t>
            </w:r>
          </w:p>
        </w:tc>
        <w:tc>
          <w:tcPr>
            <w:tcW w:w="29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20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7</w:t>
            </w:r>
          </w:p>
        </w:tc>
        <w:tc>
          <w:tcPr>
            <w:tcW w:w="2783" w:type="dxa"/>
            <w:tcBorders>
              <w:top w:val="single" w:color="auto" w:sz="4" w:space="0"/>
              <w:left w:val="single" w:color="auto" w:sz="4" w:space="0"/>
              <w:bottom w:val="single" w:color="auto" w:sz="4" w:space="0"/>
              <w:right w:val="single" w:color="auto" w:sz="4" w:space="0"/>
            </w:tcBorders>
            <w:vAlign w:val="center"/>
          </w:tcPr>
          <w:p>
            <w:pPr>
              <w:spacing w:line="520" w:lineRule="exact"/>
              <w:jc w:val="both"/>
              <w:rPr>
                <w:rFonts w:hint="eastAsia" w:ascii="仿宋_GB2312" w:eastAsia="仿宋_GB2312"/>
                <w:sz w:val="28"/>
                <w:szCs w:val="28"/>
              </w:rPr>
            </w:pPr>
            <w:r>
              <w:rPr>
                <w:rFonts w:hint="eastAsia" w:ascii="仿宋_GB2312" w:eastAsia="仿宋_GB2312"/>
                <w:sz w:val="28"/>
                <w:szCs w:val="28"/>
              </w:rPr>
              <w:t>解决土地纠纷效果</w:t>
            </w:r>
          </w:p>
        </w:tc>
        <w:tc>
          <w:tcPr>
            <w:tcW w:w="252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定性</w:t>
            </w:r>
          </w:p>
        </w:tc>
        <w:tc>
          <w:tcPr>
            <w:tcW w:w="20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明显</w:t>
            </w:r>
          </w:p>
        </w:tc>
        <w:tc>
          <w:tcPr>
            <w:tcW w:w="2529"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其他</w:t>
            </w:r>
          </w:p>
        </w:tc>
        <w:tc>
          <w:tcPr>
            <w:tcW w:w="29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20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8</w:t>
            </w:r>
          </w:p>
        </w:tc>
        <w:tc>
          <w:tcPr>
            <w:tcW w:w="2783" w:type="dxa"/>
            <w:tcBorders>
              <w:top w:val="single" w:color="auto" w:sz="4" w:space="0"/>
              <w:left w:val="single" w:color="auto" w:sz="4" w:space="0"/>
              <w:bottom w:val="single" w:color="auto" w:sz="4" w:space="0"/>
              <w:right w:val="single" w:color="auto" w:sz="4" w:space="0"/>
            </w:tcBorders>
            <w:vAlign w:val="center"/>
          </w:tcPr>
          <w:p>
            <w:pPr>
              <w:spacing w:line="520" w:lineRule="exact"/>
              <w:jc w:val="both"/>
              <w:rPr>
                <w:rFonts w:hint="eastAsia" w:ascii="仿宋_GB2312" w:eastAsia="仿宋_GB2312"/>
                <w:sz w:val="28"/>
                <w:szCs w:val="28"/>
              </w:rPr>
            </w:pPr>
            <w:r>
              <w:rPr>
                <w:rFonts w:hint="eastAsia" w:ascii="仿宋_GB2312" w:eastAsia="仿宋_GB2312"/>
                <w:sz w:val="28"/>
                <w:szCs w:val="28"/>
              </w:rPr>
              <w:t>服务对象满意度指标对审计结果的满意程度</w:t>
            </w:r>
          </w:p>
        </w:tc>
        <w:tc>
          <w:tcPr>
            <w:tcW w:w="252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95</w:t>
            </w:r>
          </w:p>
        </w:tc>
        <w:tc>
          <w:tcPr>
            <w:tcW w:w="2529"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w:t>
            </w:r>
          </w:p>
        </w:tc>
        <w:tc>
          <w:tcPr>
            <w:tcW w:w="292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w:t>
            </w:r>
          </w:p>
        </w:tc>
      </w:tr>
    </w:tbl>
    <w:p>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2025年全年预算数11</w:t>
      </w:r>
      <w:r>
        <w:rPr>
          <w:rFonts w:hint="eastAsia" w:ascii="仿宋_GB2312" w:eastAsia="仿宋_GB2312"/>
          <w:sz w:val="32"/>
          <w:szCs w:val="32"/>
          <w:lang w:val="en-US" w:eastAsia="zh-CN"/>
        </w:rPr>
        <w:t>,</w:t>
      </w:r>
      <w:r>
        <w:rPr>
          <w:rFonts w:hint="eastAsia" w:ascii="仿宋_GB2312" w:eastAsia="仿宋_GB2312"/>
          <w:sz w:val="32"/>
          <w:szCs w:val="32"/>
        </w:rPr>
        <w:t>897</w:t>
      </w:r>
      <w:r>
        <w:rPr>
          <w:rFonts w:hint="eastAsia" w:ascii="仿宋_GB2312" w:eastAsia="仿宋_GB2312"/>
          <w:sz w:val="32"/>
          <w:szCs w:val="32"/>
          <w:lang w:val="en-US" w:eastAsia="zh-CN"/>
        </w:rPr>
        <w:t>,</w:t>
      </w:r>
      <w:r>
        <w:rPr>
          <w:rFonts w:hint="eastAsia" w:ascii="仿宋_GB2312" w:eastAsia="仿宋_GB2312"/>
          <w:sz w:val="32"/>
          <w:szCs w:val="32"/>
        </w:rPr>
        <w:t>839.74元，其中，基本支出预算数11</w:t>
      </w:r>
      <w:r>
        <w:rPr>
          <w:rFonts w:hint="eastAsia" w:ascii="仿宋_GB2312" w:eastAsia="仿宋_GB2312"/>
          <w:sz w:val="32"/>
          <w:szCs w:val="32"/>
          <w:lang w:val="en-US" w:eastAsia="zh-CN"/>
        </w:rPr>
        <w:t>,</w:t>
      </w:r>
      <w:r>
        <w:rPr>
          <w:rFonts w:hint="eastAsia" w:ascii="仿宋_GB2312" w:eastAsia="仿宋_GB2312"/>
          <w:sz w:val="32"/>
          <w:szCs w:val="32"/>
        </w:rPr>
        <w:t>052</w:t>
      </w:r>
      <w:r>
        <w:rPr>
          <w:rFonts w:hint="eastAsia" w:ascii="仿宋_GB2312" w:eastAsia="仿宋_GB2312"/>
          <w:sz w:val="32"/>
          <w:szCs w:val="32"/>
          <w:lang w:val="en-US" w:eastAsia="zh-CN"/>
        </w:rPr>
        <w:t>,</w:t>
      </w:r>
      <w:r>
        <w:rPr>
          <w:rFonts w:hint="eastAsia" w:ascii="仿宋_GB2312" w:eastAsia="仿宋_GB2312"/>
          <w:sz w:val="32"/>
          <w:szCs w:val="32"/>
        </w:rPr>
        <w:t>001.74元，项目支出预算数845</w:t>
      </w:r>
      <w:r>
        <w:rPr>
          <w:rFonts w:hint="eastAsia" w:ascii="仿宋_GB2312" w:eastAsia="仿宋_GB2312"/>
          <w:sz w:val="32"/>
          <w:szCs w:val="32"/>
          <w:lang w:val="en-US" w:eastAsia="zh-CN"/>
        </w:rPr>
        <w:t>,</w:t>
      </w:r>
      <w:r>
        <w:rPr>
          <w:rFonts w:hint="eastAsia" w:ascii="仿宋_GB2312" w:eastAsia="仿宋_GB2312"/>
          <w:sz w:val="32"/>
          <w:szCs w:val="32"/>
        </w:rPr>
        <w:t>838元。全年支出13,381,050.51元，其中，基本支出11,167,146.97元，项目支出2,213,903.54元。预算执行率为</w:t>
      </w:r>
      <w:r>
        <w:rPr>
          <w:rFonts w:hint="eastAsia" w:ascii="仿宋_GB2312" w:eastAsia="仿宋_GB2312"/>
          <w:sz w:val="32"/>
          <w:szCs w:val="32"/>
          <w:lang w:val="en-US" w:eastAsia="zh-CN"/>
        </w:rPr>
        <w:t>100</w:t>
      </w:r>
      <w:r>
        <w:rPr>
          <w:rFonts w:hint="eastAsia" w:ascii="仿宋_GB2312" w:eastAsia="仿宋_GB2312"/>
          <w:sz w:val="32"/>
          <w:szCs w:val="32"/>
        </w:rPr>
        <w:t>%。</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2025年年末无结转资金。</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3"/>
        <w:tblW w:w="9200" w:type="dxa"/>
        <w:tblInd w:w="108" w:type="dxa"/>
        <w:tblLayout w:type="fixed"/>
        <w:tblCellMar>
          <w:top w:w="0" w:type="dxa"/>
          <w:left w:w="108" w:type="dxa"/>
          <w:bottom w:w="0" w:type="dxa"/>
          <w:right w:w="108" w:type="dxa"/>
        </w:tblCellMar>
      </w:tblPr>
      <w:tblGrid>
        <w:gridCol w:w="880"/>
        <w:gridCol w:w="1984"/>
        <w:gridCol w:w="1701"/>
        <w:gridCol w:w="1843"/>
        <w:gridCol w:w="2792"/>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每年巡检维护次数(镇级）</w:t>
            </w:r>
          </w:p>
        </w:tc>
        <w:tc>
          <w:tcPr>
            <w:tcW w:w="170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4次</w:t>
            </w:r>
          </w:p>
        </w:tc>
        <w:tc>
          <w:tcPr>
            <w:tcW w:w="184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4次</w:t>
            </w:r>
          </w:p>
        </w:tc>
        <w:tc>
          <w:tcPr>
            <w:tcW w:w="2792" w:type="dxa"/>
            <w:tcBorders>
              <w:top w:val="single" w:color="auto" w:sz="4" w:space="0"/>
              <w:left w:val="single" w:color="auto" w:sz="4" w:space="0"/>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198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每年巡检维护次数(村级）</w:t>
            </w:r>
          </w:p>
        </w:tc>
        <w:tc>
          <w:tcPr>
            <w:tcW w:w="170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56次</w:t>
            </w:r>
          </w:p>
        </w:tc>
        <w:tc>
          <w:tcPr>
            <w:tcW w:w="184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56次</w:t>
            </w:r>
          </w:p>
        </w:tc>
        <w:tc>
          <w:tcPr>
            <w:tcW w:w="2792" w:type="dxa"/>
            <w:tcBorders>
              <w:top w:val="single" w:color="auto" w:sz="4" w:space="0"/>
              <w:left w:val="single" w:color="auto" w:sz="4" w:space="0"/>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198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资产评估完成率</w:t>
            </w:r>
          </w:p>
        </w:tc>
        <w:tc>
          <w:tcPr>
            <w:tcW w:w="170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100%</w:t>
            </w:r>
          </w:p>
        </w:tc>
        <w:tc>
          <w:tcPr>
            <w:tcW w:w="184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100%</w:t>
            </w:r>
          </w:p>
        </w:tc>
        <w:tc>
          <w:tcPr>
            <w:tcW w:w="2792" w:type="dxa"/>
            <w:tcBorders>
              <w:top w:val="single" w:color="auto" w:sz="4" w:space="0"/>
              <w:left w:val="single" w:color="auto" w:sz="4" w:space="0"/>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4</w:t>
            </w:r>
          </w:p>
        </w:tc>
        <w:tc>
          <w:tcPr>
            <w:tcW w:w="198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土地测绘完成率</w:t>
            </w:r>
          </w:p>
        </w:tc>
        <w:tc>
          <w:tcPr>
            <w:tcW w:w="170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100%</w:t>
            </w:r>
          </w:p>
        </w:tc>
        <w:tc>
          <w:tcPr>
            <w:tcW w:w="184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100%</w:t>
            </w:r>
          </w:p>
        </w:tc>
        <w:tc>
          <w:tcPr>
            <w:tcW w:w="2792" w:type="dxa"/>
            <w:tcBorders>
              <w:top w:val="single" w:color="auto" w:sz="4" w:space="0"/>
              <w:left w:val="single" w:color="auto" w:sz="4" w:space="0"/>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5</w:t>
            </w:r>
          </w:p>
        </w:tc>
        <w:tc>
          <w:tcPr>
            <w:tcW w:w="198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检查村数</w:t>
            </w:r>
          </w:p>
        </w:tc>
        <w:tc>
          <w:tcPr>
            <w:tcW w:w="1701"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91个</w:t>
            </w:r>
          </w:p>
        </w:tc>
        <w:tc>
          <w:tcPr>
            <w:tcW w:w="184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91个</w:t>
            </w:r>
          </w:p>
        </w:tc>
        <w:tc>
          <w:tcPr>
            <w:tcW w:w="2792" w:type="dxa"/>
            <w:tcBorders>
              <w:top w:val="single" w:color="auto" w:sz="4" w:space="0"/>
              <w:left w:val="single" w:color="auto" w:sz="4" w:space="0"/>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bl>
    <w:p>
      <w:pPr>
        <w:spacing w:line="580" w:lineRule="exact"/>
        <w:ind w:firstLine="640"/>
        <w:rPr>
          <w:rFonts w:hint="eastAsia" w:ascii="仿宋_GB2312" w:hAnsi="Calibri" w:eastAsia="仿宋_GB2312"/>
          <w:sz w:val="32"/>
          <w:szCs w:val="32"/>
        </w:rPr>
      </w:pPr>
      <w:r>
        <w:rPr>
          <w:rFonts w:hint="eastAsia" w:ascii="仿宋_GB2312" w:eastAsia="仿宋_GB2312"/>
          <w:sz w:val="32"/>
          <w:szCs w:val="32"/>
        </w:rPr>
        <w:t>（2）产出质量</w:t>
      </w:r>
    </w:p>
    <w:p>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p>
    <w:tbl>
      <w:tblPr>
        <w:tblStyle w:val="13"/>
        <w:tblW w:w="9200" w:type="dxa"/>
        <w:tblInd w:w="108" w:type="dxa"/>
        <w:tblLayout w:type="fixed"/>
        <w:tblCellMar>
          <w:top w:w="0" w:type="dxa"/>
          <w:left w:w="108" w:type="dxa"/>
          <w:bottom w:w="0" w:type="dxa"/>
          <w:right w:w="108" w:type="dxa"/>
        </w:tblCellMar>
      </w:tblPr>
      <w:tblGrid>
        <w:gridCol w:w="880"/>
        <w:gridCol w:w="1984"/>
        <w:gridCol w:w="1701"/>
        <w:gridCol w:w="1843"/>
        <w:gridCol w:w="2792"/>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报告完成时间</w:t>
            </w:r>
          </w:p>
        </w:tc>
        <w:tc>
          <w:tcPr>
            <w:tcW w:w="1701"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lang w:val="en-US" w:eastAsia="zh-CN"/>
              </w:rPr>
              <w:t>2025年12月</w:t>
            </w:r>
          </w:p>
        </w:tc>
        <w:tc>
          <w:tcPr>
            <w:tcW w:w="1843"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lang w:val="en-US" w:eastAsia="zh-CN"/>
              </w:rPr>
              <w:t>2025年12月</w:t>
            </w:r>
          </w:p>
        </w:tc>
        <w:tc>
          <w:tcPr>
            <w:tcW w:w="2792" w:type="dxa"/>
            <w:tcBorders>
              <w:top w:val="nil"/>
              <w:left w:val="nil"/>
              <w:bottom w:val="single" w:color="auto" w:sz="4" w:space="0"/>
              <w:right w:val="single" w:color="auto" w:sz="4" w:space="0"/>
            </w:tcBorders>
            <w:vAlign w:val="center"/>
          </w:tcPr>
          <w:p>
            <w:pPr>
              <w:spacing w:line="520" w:lineRule="exact"/>
              <w:ind w:firstLine="640"/>
              <w:jc w:val="center"/>
              <w:rPr>
                <w:rFonts w:ascii="仿宋_GB2312" w:eastAsia="仿宋_GB2312"/>
                <w:sz w:val="28"/>
                <w:szCs w:val="28"/>
              </w:rPr>
            </w:pPr>
          </w:p>
        </w:tc>
      </w:tr>
    </w:tbl>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（4）产出成本</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p>
    <w:tbl>
      <w:tblPr>
        <w:tblStyle w:val="13"/>
        <w:tblW w:w="9200" w:type="dxa"/>
        <w:tblInd w:w="108" w:type="dxa"/>
        <w:tblLayout w:type="fixed"/>
        <w:tblCellMar>
          <w:top w:w="0" w:type="dxa"/>
          <w:left w:w="108" w:type="dxa"/>
          <w:bottom w:w="0" w:type="dxa"/>
          <w:right w:w="108" w:type="dxa"/>
        </w:tblCellMar>
      </w:tblPr>
      <w:tblGrid>
        <w:gridCol w:w="880"/>
        <w:gridCol w:w="2625"/>
        <w:gridCol w:w="1060"/>
        <w:gridCol w:w="1843"/>
        <w:gridCol w:w="2792"/>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序号</w:t>
            </w:r>
          </w:p>
        </w:tc>
        <w:tc>
          <w:tcPr>
            <w:tcW w:w="2625"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三级指标</w:t>
            </w:r>
          </w:p>
        </w:tc>
        <w:tc>
          <w:tcPr>
            <w:tcW w:w="1060"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1</w:t>
            </w:r>
          </w:p>
        </w:tc>
        <w:tc>
          <w:tcPr>
            <w:tcW w:w="2625"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解决土地纠纷效果</w:t>
            </w:r>
          </w:p>
        </w:tc>
        <w:tc>
          <w:tcPr>
            <w:tcW w:w="1060"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lang w:val="en-US" w:eastAsia="zh-CN"/>
              </w:rPr>
              <w:t>明显</w:t>
            </w:r>
          </w:p>
        </w:tc>
        <w:tc>
          <w:tcPr>
            <w:tcW w:w="1843"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lang w:val="en-US" w:eastAsia="zh-CN"/>
              </w:rPr>
              <w:t>明显</w:t>
            </w:r>
          </w:p>
        </w:tc>
        <w:tc>
          <w:tcPr>
            <w:tcW w:w="2792" w:type="dxa"/>
            <w:tcBorders>
              <w:top w:val="nil"/>
              <w:left w:val="nil"/>
              <w:bottom w:val="single" w:color="auto" w:sz="4" w:space="0"/>
              <w:right w:val="single" w:color="auto" w:sz="4" w:space="0"/>
            </w:tcBorders>
            <w:vAlign w:val="center"/>
          </w:tcPr>
          <w:p>
            <w:pPr>
              <w:spacing w:line="520" w:lineRule="exact"/>
              <w:ind w:firstLine="640"/>
              <w:jc w:val="center"/>
              <w:rPr>
                <w:rFonts w:ascii="仿宋_GB2312" w:eastAsia="仿宋_GB2312"/>
                <w:sz w:val="28"/>
                <w:szCs w:val="28"/>
              </w:rPr>
            </w:pPr>
          </w:p>
        </w:tc>
      </w:tr>
    </w:tbl>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（3）环境效益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w:t>
      </w:r>
    </w:p>
    <w:p>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w:t>
      </w:r>
    </w:p>
    <w:tbl>
      <w:tblPr>
        <w:tblStyle w:val="13"/>
        <w:tblW w:w="9200" w:type="dxa"/>
        <w:tblInd w:w="108" w:type="dxa"/>
        <w:tblLayout w:type="fixed"/>
        <w:tblCellMar>
          <w:top w:w="0" w:type="dxa"/>
          <w:left w:w="108" w:type="dxa"/>
          <w:bottom w:w="0" w:type="dxa"/>
          <w:right w:w="108" w:type="dxa"/>
        </w:tblCellMar>
      </w:tblPr>
      <w:tblGrid>
        <w:gridCol w:w="880"/>
        <w:gridCol w:w="1984"/>
        <w:gridCol w:w="1701"/>
        <w:gridCol w:w="1843"/>
        <w:gridCol w:w="2792"/>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服务对象满意度指标对审计结果的满意程度</w:t>
            </w:r>
          </w:p>
        </w:tc>
        <w:tc>
          <w:tcPr>
            <w:tcW w:w="1701"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lang w:val="en-US" w:eastAsia="zh-CN"/>
              </w:rPr>
              <w:t>95%</w:t>
            </w:r>
          </w:p>
        </w:tc>
        <w:tc>
          <w:tcPr>
            <w:tcW w:w="1843"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lang w:val="en-US" w:eastAsia="zh-CN"/>
              </w:rPr>
              <w:t>95%</w:t>
            </w:r>
          </w:p>
        </w:tc>
        <w:tc>
          <w:tcPr>
            <w:tcW w:w="2792" w:type="dxa"/>
            <w:tcBorders>
              <w:top w:val="nil"/>
              <w:left w:val="nil"/>
              <w:bottom w:val="single" w:color="auto" w:sz="4" w:space="0"/>
              <w:right w:val="single" w:color="auto" w:sz="4" w:space="0"/>
            </w:tcBorders>
            <w:vAlign w:val="center"/>
          </w:tcPr>
          <w:p>
            <w:pPr>
              <w:spacing w:line="520" w:lineRule="exact"/>
              <w:ind w:firstLine="640"/>
              <w:jc w:val="center"/>
              <w:rPr>
                <w:rFonts w:ascii="仿宋_GB2312" w:eastAsia="仿宋_GB2312"/>
                <w:sz w:val="28"/>
                <w:szCs w:val="28"/>
              </w:rPr>
            </w:pPr>
          </w:p>
        </w:tc>
      </w:tr>
    </w:tbl>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80" w:lineRule="exact"/>
        <w:ind w:firstLine="641"/>
        <w:rPr>
          <w:rFonts w:hint="eastAsia"/>
        </w:rPr>
      </w:pPr>
      <w:r>
        <w:rPr>
          <w:rFonts w:hint="eastAsia" w:ascii="仿宋_GB2312" w:eastAsia="仿宋_GB2312"/>
          <w:sz w:val="32"/>
          <w:szCs w:val="32"/>
        </w:rPr>
        <w:t>区经管站</w:t>
      </w:r>
      <w:r>
        <w:rPr>
          <w:rFonts w:hint="eastAsia" w:ascii="仿宋_GB2312" w:eastAsia="仿宋_GB2312"/>
          <w:sz w:val="32"/>
          <w:szCs w:val="32"/>
          <w:lang w:eastAsia="zh-CN"/>
        </w:rPr>
        <w:t>严格遵循相关规定建立完善了预决算、收入支出、采购、福利费支出、交通费补助、公务接待等管理办法</w:t>
      </w:r>
      <w:r>
        <w:rPr>
          <w:rFonts w:hint="eastAsia" w:ascii="仿宋_GB2312" w:eastAsia="仿宋_GB2312"/>
          <w:sz w:val="32"/>
          <w:szCs w:val="32"/>
        </w:rPr>
        <w:t>以及会计档案管理等，全方位对预算、财务、收支、财务信息及资料进行管理和规范</w:t>
      </w:r>
      <w:r>
        <w:rPr>
          <w:rFonts w:hint="eastAsia" w:ascii="仿宋_GB2312" w:eastAsia="仿宋_GB2312"/>
          <w:sz w:val="32"/>
          <w:szCs w:val="32"/>
          <w:lang w:eastAsia="zh-CN"/>
        </w:rPr>
        <w:t>，确保预算编制的科学性和合理性，实现了预算编制、执行、监控、调整及决算全链条管理，保障资金使用的安全性，控制了预算偏离，提高了资金使用效率</w:t>
      </w:r>
      <w:r>
        <w:rPr>
          <w:rFonts w:hint="eastAsia" w:ascii="仿宋_GB2312" w:eastAsia="仿宋_GB2312"/>
          <w:sz w:val="32"/>
          <w:szCs w:val="32"/>
        </w:rPr>
        <w:t>。</w:t>
      </w:r>
      <w:r>
        <w:rPr>
          <w:rFonts w:hint="eastAsia" w:ascii="仿宋_GB2312" w:eastAsia="仿宋_GB2312"/>
          <w:sz w:val="32"/>
          <w:szCs w:val="32"/>
          <w:lang w:eastAsia="zh-CN"/>
        </w:rPr>
        <w:t>严格执行内控制度，确保内控制度体系覆盖财务管理、资产管理、合同管理等关键环节</w:t>
      </w:r>
      <w:r>
        <w:rPr>
          <w:rFonts w:hint="eastAsia" w:ascii="仿宋_GB2312" w:eastAsia="仿宋_GB2312"/>
          <w:sz w:val="32"/>
          <w:szCs w:val="32"/>
        </w:rPr>
        <w:t>。</w:t>
      </w:r>
      <w:r>
        <w:rPr>
          <w:rFonts w:hint="eastAsia" w:ascii="仿宋_GB2312" w:eastAsia="仿宋_GB2312"/>
          <w:sz w:val="32"/>
          <w:szCs w:val="32"/>
          <w:lang w:eastAsia="zh-CN"/>
        </w:rPr>
        <w:t>认真梳理财务档案，</w:t>
      </w:r>
      <w:r>
        <w:rPr>
          <w:rFonts w:hint="eastAsia" w:ascii="仿宋_GB2312" w:eastAsia="仿宋_GB2312"/>
          <w:sz w:val="32"/>
          <w:szCs w:val="32"/>
        </w:rPr>
        <w:t>财务档案形成后存放于财务室及档案室。</w:t>
      </w:r>
    </w:p>
    <w:p>
      <w:pPr>
        <w:numPr>
          <w:ilvl w:val="0"/>
          <w:numId w:val="2"/>
        </w:numPr>
        <w:spacing w:line="580" w:lineRule="exact"/>
        <w:ind w:firstLine="640"/>
        <w:rPr>
          <w:rFonts w:hint="eastAsia" w:ascii="仿宋_GB2312" w:eastAsia="仿宋_GB2312"/>
          <w:sz w:val="32"/>
          <w:szCs w:val="32"/>
        </w:rPr>
      </w:pPr>
      <w:r>
        <w:rPr>
          <w:rFonts w:hint="eastAsia" w:ascii="仿宋_GB2312" w:eastAsia="仿宋_GB2312"/>
          <w:sz w:val="32"/>
          <w:szCs w:val="32"/>
        </w:rPr>
        <w:t>资产管理</w:t>
      </w:r>
    </w:p>
    <w:p>
      <w:pPr>
        <w:spacing w:line="580" w:lineRule="exact"/>
        <w:ind w:firstLine="641"/>
        <w:rPr>
          <w:rFonts w:hint="eastAsia"/>
        </w:rPr>
      </w:pPr>
      <w:r>
        <w:rPr>
          <w:rFonts w:hint="eastAsia" w:ascii="仿宋_GB2312" w:eastAsia="仿宋_GB2312"/>
          <w:sz w:val="32"/>
          <w:szCs w:val="32"/>
          <w:lang w:eastAsia="zh-CN"/>
        </w:rPr>
        <w:t>在资产管理方面，我单位依据市、区两级资产管理相关文件，制定本单位固定资产管理制度，建立由办公室牵头，各职能科室全力配合的资产管理工作机制，切实做到分工协作、职能到位、责任清晰。</w:t>
      </w:r>
      <w:r>
        <w:rPr>
          <w:rFonts w:hint="eastAsia" w:ascii="仿宋_GB2312" w:eastAsia="仿宋_GB2312"/>
          <w:sz w:val="32"/>
          <w:szCs w:val="32"/>
          <w:lang w:val="en-US" w:eastAsia="zh-CN"/>
        </w:rPr>
        <w:t>定期开展全面的资产清查工作，确保账实相符，及时处理闲置资产，优化资源配置。严格遵循政府采购规定进行资产采购，确保流程公开透明，规范资产报废程序，强化国有资产监管，防止流失。</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1"/>
        <w:rPr>
          <w:rFonts w:hint="eastAsia"/>
        </w:rPr>
      </w:pPr>
      <w:r>
        <w:rPr>
          <w:rFonts w:hint="eastAsia" w:ascii="仿宋_GB2312" w:eastAsia="仿宋_GB2312"/>
          <w:sz w:val="32"/>
          <w:szCs w:val="32"/>
          <w:lang w:val="en-US" w:eastAsia="zh-CN"/>
        </w:rPr>
        <w:t>我单位在各项工作中明确绩效目标，在“部门职责-工作活动-预算项目”三个层级的绩效目标预算管理框架中分层级构建绩效目标。2025年度基于各科室具体职能，进一步完善管理制度，推进绩效考评工作。</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5</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6</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100</w:t>
      </w:r>
      <w:r>
        <w:rPr>
          <w:rFonts w:hint="eastAsia" w:ascii="仿宋_GB2312" w:eastAsia="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w:t>
      </w:r>
      <w:r>
        <w:rPr>
          <w:rFonts w:hint="eastAsia" w:ascii="仿宋_GB2312" w:eastAsia="仿宋_GB2312"/>
          <w:sz w:val="32"/>
          <w:szCs w:val="32"/>
          <w:lang w:val="en-US" w:eastAsia="zh-CN"/>
        </w:rPr>
        <w:t>6</w:t>
      </w:r>
      <w:r>
        <w:rPr>
          <w:rFonts w:hint="eastAsia" w:ascii="仿宋_GB2312" w:eastAsia="仿宋_GB2312"/>
          <w:sz w:val="32"/>
          <w:szCs w:val="32"/>
        </w:rPr>
        <w:t>个，涉及金额1</w:t>
      </w:r>
      <w:r>
        <w:rPr>
          <w:rFonts w:hint="eastAsia" w:ascii="仿宋_GB2312" w:eastAsia="仿宋_GB2312"/>
          <w:sz w:val="32"/>
          <w:szCs w:val="32"/>
          <w:lang w:val="en-US" w:eastAsia="zh-CN"/>
        </w:rPr>
        <w:t>,</w:t>
      </w:r>
      <w:r>
        <w:rPr>
          <w:rFonts w:hint="eastAsia" w:ascii="仿宋_GB2312" w:eastAsia="仿宋_GB2312"/>
          <w:sz w:val="32"/>
          <w:szCs w:val="32"/>
        </w:rPr>
        <w:t>324</w:t>
      </w:r>
      <w:r>
        <w:rPr>
          <w:rFonts w:hint="eastAsia" w:ascii="仿宋_GB2312" w:eastAsia="仿宋_GB2312"/>
          <w:sz w:val="32"/>
          <w:szCs w:val="32"/>
          <w:lang w:val="en-US" w:eastAsia="zh-CN"/>
        </w:rPr>
        <w:t>,</w:t>
      </w:r>
      <w:r>
        <w:rPr>
          <w:rFonts w:hint="eastAsia" w:ascii="仿宋_GB2312" w:eastAsia="仿宋_GB2312"/>
          <w:sz w:val="32"/>
          <w:szCs w:val="32"/>
        </w:rPr>
        <w:t>231元。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98</w:t>
      </w:r>
      <w:r>
        <w:rPr>
          <w:rFonts w:hint="eastAsia" w:ascii="仿宋_GB2312" w:eastAsia="仿宋_GB2312"/>
          <w:sz w:val="32"/>
          <w:szCs w:val="32"/>
        </w:rPr>
        <w:t>分</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绩效目标设置的不够完备，目标设置的不够明确、细化和量化，缺乏科学性和可操作性性，未能提炼出最能反映总体目标预期实现程度的关键性指标。</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rPr>
      </w:pPr>
      <w:r>
        <w:rPr>
          <w:rFonts w:hint="eastAsia" w:ascii="仿宋_GB2312" w:eastAsia="仿宋_GB2312"/>
          <w:sz w:val="32"/>
          <w:szCs w:val="32"/>
        </w:rPr>
        <w:t>区经管站将进一步规范绩效目标编制。在编制绩效目标时，要指向明确，细化量化，合理可行，便于对工作的有效指导，对过程的有效控制，对结果的精准评价。</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5</w:t>
      </w:r>
      <w:r>
        <w:rPr>
          <w:rFonts w:hint="eastAsia" w:ascii="仿宋_GB2312" w:eastAsia="仿宋_GB2312"/>
          <w:sz w:val="32"/>
          <w:szCs w:val="32"/>
        </w:rPr>
        <w:t>个，涉及金额</w:t>
      </w:r>
      <w:r>
        <w:rPr>
          <w:rFonts w:hint="eastAsia" w:ascii="仿宋_GB2312" w:eastAsia="仿宋_GB2312"/>
          <w:sz w:val="32"/>
          <w:szCs w:val="32"/>
          <w:lang w:val="en-US" w:eastAsia="zh-CN"/>
        </w:rPr>
        <w:t>1,879,641</w:t>
      </w:r>
      <w:r>
        <w:rPr>
          <w:rFonts w:hint="eastAsia" w:ascii="仿宋_GB2312" w:eastAsia="仿宋_GB2312"/>
          <w:sz w:val="32"/>
          <w:szCs w:val="32"/>
        </w:rPr>
        <w:t>元。本次实施绩效自评项目</w:t>
      </w:r>
      <w:r>
        <w:rPr>
          <w:rFonts w:hint="eastAsia" w:ascii="仿宋_GB2312" w:eastAsia="仿宋_GB2312"/>
          <w:sz w:val="32"/>
          <w:szCs w:val="32"/>
          <w:lang w:val="en-US" w:eastAsia="zh-CN"/>
        </w:rPr>
        <w:t>6</w:t>
      </w:r>
      <w:r>
        <w:rPr>
          <w:rFonts w:hint="eastAsia" w:ascii="仿宋_GB2312" w:eastAsia="仿宋_GB2312"/>
          <w:sz w:val="32"/>
          <w:szCs w:val="32"/>
        </w:rPr>
        <w:t>个，涉及金额</w:t>
      </w:r>
      <w:r>
        <w:rPr>
          <w:rFonts w:hint="eastAsia" w:ascii="仿宋_GB2312" w:eastAsia="仿宋_GB2312"/>
          <w:sz w:val="32"/>
          <w:szCs w:val="32"/>
          <w:lang w:val="en-US" w:eastAsia="zh-CN"/>
        </w:rPr>
        <w:t>2,033,090.32</w:t>
      </w:r>
      <w:r>
        <w:rPr>
          <w:rFonts w:hint="eastAsia" w:ascii="仿宋_GB2312" w:eastAsia="仿宋_GB2312"/>
          <w:sz w:val="32"/>
          <w:szCs w:val="32"/>
        </w:rPr>
        <w:t>元。评价得分在90分（含90分）以上的</w:t>
      </w:r>
      <w:r>
        <w:rPr>
          <w:rFonts w:hint="eastAsia" w:ascii="仿宋_GB2312" w:eastAsia="仿宋_GB2312"/>
          <w:sz w:val="32"/>
          <w:szCs w:val="32"/>
          <w:lang w:val="en-US" w:eastAsia="zh-CN"/>
        </w:rPr>
        <w:t>6</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0</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altName w:val="微软雅黑"/>
    <w:panose1 w:val="02010609060101010101"/>
    <w:charset w:val="86"/>
    <w:family w:val="modern"/>
    <w:pitch w:val="default"/>
    <w:sig w:usb0="00000000" w:usb1="00000000"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80F3C52" w:usb2="00000016" w:usb3="00000000" w:csb0="0004001F" w:csb1="00000000"/>
  </w:font>
  <w:font w:name="Calibri Light">
    <w:altName w:val="Calibri"/>
    <w:panose1 w:val="020F0302020204030204"/>
    <w:charset w:val="00"/>
    <w:family w:val="swiss"/>
    <w:pitch w:val="default"/>
    <w:sig w:usb0="00000000" w:usb1="00000000" w:usb2="00000000" w:usb3="00000000" w:csb0="0000019F" w:csb1="00000000"/>
  </w:font>
  <w:font w:name="ˎ̥">
    <w:altName w:val="Times New Roman"/>
    <w:panose1 w:val="00000000000000000000"/>
    <w:charset w:val="00"/>
    <w:family w:val="roman"/>
    <w:pitch w:val="default"/>
    <w:sig w:usb0="00000000" w:usb1="00000000" w:usb2="00000000" w:usb3="00000000" w:csb0="00040001" w:csb1="00000000"/>
  </w:font>
  <w:font w:name="等线">
    <w:altName w:val="微软雅黑"/>
    <w:panose1 w:val="00000000000000000000"/>
    <w:charset w:val="00"/>
    <w:family w:val="auto"/>
    <w:pitch w:val="default"/>
    <w:sig w:usb0="00000000" w:usb1="00000000" w:usb2="00000000" w:usb3="00000000" w:csb0="00040001" w:csb1="0000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CESI黑体-GB2312">
    <w:altName w:val="黑体"/>
    <w:panose1 w:val="00000000000000000000"/>
    <w:charset w:val="86"/>
    <w:family w:val="auto"/>
    <w:pitch w:val="default"/>
    <w:sig w:usb0="00000000" w:usb1="00000000"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15</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6AE81"/>
    <w:multiLevelType w:val="singleLevel"/>
    <w:tmpl w:val="6A86AE81"/>
    <w:lvl w:ilvl="0" w:tentative="0">
      <w:start w:val="2"/>
      <w:numFmt w:val="decimal"/>
      <w:suff w:val="nothing"/>
      <w:lvlText w:val="%1."/>
      <w:lvlJc w:val="left"/>
    </w:lvl>
  </w:abstractNum>
  <w:abstractNum w:abstractNumId="1">
    <w:nsid w:val="6A86B0B0"/>
    <w:multiLevelType w:val="singleLevel"/>
    <w:tmpl w:val="6A86B0B0"/>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982"/>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0440"/>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13B3182"/>
    <w:rsid w:val="016C1017"/>
    <w:rsid w:val="01922361"/>
    <w:rsid w:val="02485788"/>
    <w:rsid w:val="02901517"/>
    <w:rsid w:val="02F120AB"/>
    <w:rsid w:val="02F76CD4"/>
    <w:rsid w:val="02FD6925"/>
    <w:rsid w:val="032B5196"/>
    <w:rsid w:val="03673E15"/>
    <w:rsid w:val="037372D2"/>
    <w:rsid w:val="04C3537C"/>
    <w:rsid w:val="079004AC"/>
    <w:rsid w:val="07B35703"/>
    <w:rsid w:val="0AD4373D"/>
    <w:rsid w:val="0B44200D"/>
    <w:rsid w:val="0BA148CA"/>
    <w:rsid w:val="0C1165C4"/>
    <w:rsid w:val="0C9D2E42"/>
    <w:rsid w:val="0CC7057A"/>
    <w:rsid w:val="0D020A7E"/>
    <w:rsid w:val="0D6D544B"/>
    <w:rsid w:val="0DD136FE"/>
    <w:rsid w:val="0F8E2C57"/>
    <w:rsid w:val="0F941EA2"/>
    <w:rsid w:val="1059665E"/>
    <w:rsid w:val="10AC13BA"/>
    <w:rsid w:val="11980797"/>
    <w:rsid w:val="11FD1711"/>
    <w:rsid w:val="12A806E6"/>
    <w:rsid w:val="12AD37E6"/>
    <w:rsid w:val="1316676F"/>
    <w:rsid w:val="134934C3"/>
    <w:rsid w:val="13980AB2"/>
    <w:rsid w:val="13BE22AA"/>
    <w:rsid w:val="13C60F98"/>
    <w:rsid w:val="145A6C1B"/>
    <w:rsid w:val="14B73493"/>
    <w:rsid w:val="14DC7795"/>
    <w:rsid w:val="15044DE0"/>
    <w:rsid w:val="15ED18BE"/>
    <w:rsid w:val="161A0057"/>
    <w:rsid w:val="167A2FF9"/>
    <w:rsid w:val="16A935DD"/>
    <w:rsid w:val="175E663D"/>
    <w:rsid w:val="17BB0941"/>
    <w:rsid w:val="17E05399"/>
    <w:rsid w:val="18581C69"/>
    <w:rsid w:val="186D28E5"/>
    <w:rsid w:val="191A231F"/>
    <w:rsid w:val="1A4F3577"/>
    <w:rsid w:val="1A8E06D2"/>
    <w:rsid w:val="1AD011DA"/>
    <w:rsid w:val="1AE2303B"/>
    <w:rsid w:val="1AEC0734"/>
    <w:rsid w:val="1B1D0C93"/>
    <w:rsid w:val="1C203C3A"/>
    <w:rsid w:val="1C9B7BB4"/>
    <w:rsid w:val="1CAD44AD"/>
    <w:rsid w:val="1DEF20B0"/>
    <w:rsid w:val="200F417D"/>
    <w:rsid w:val="21357CA7"/>
    <w:rsid w:val="214243FA"/>
    <w:rsid w:val="21AD613C"/>
    <w:rsid w:val="22131B36"/>
    <w:rsid w:val="22467189"/>
    <w:rsid w:val="239C190C"/>
    <w:rsid w:val="24D61798"/>
    <w:rsid w:val="257A14F5"/>
    <w:rsid w:val="25963B6D"/>
    <w:rsid w:val="27196C26"/>
    <w:rsid w:val="281D5016"/>
    <w:rsid w:val="28346D1B"/>
    <w:rsid w:val="284F626E"/>
    <w:rsid w:val="298E5C2C"/>
    <w:rsid w:val="29926676"/>
    <w:rsid w:val="29EF086F"/>
    <w:rsid w:val="2A014A0F"/>
    <w:rsid w:val="2A3E21DB"/>
    <w:rsid w:val="2B001A51"/>
    <w:rsid w:val="2B5860FA"/>
    <w:rsid w:val="2C404199"/>
    <w:rsid w:val="2D2A281F"/>
    <w:rsid w:val="2EFFE297"/>
    <w:rsid w:val="2F834803"/>
    <w:rsid w:val="301437CA"/>
    <w:rsid w:val="313E411A"/>
    <w:rsid w:val="32791381"/>
    <w:rsid w:val="33F51C9F"/>
    <w:rsid w:val="349D1F0A"/>
    <w:rsid w:val="34DD0473"/>
    <w:rsid w:val="350D22A9"/>
    <w:rsid w:val="3544390E"/>
    <w:rsid w:val="357C1B80"/>
    <w:rsid w:val="364C3606"/>
    <w:rsid w:val="37230C34"/>
    <w:rsid w:val="37ED7296"/>
    <w:rsid w:val="39257E6C"/>
    <w:rsid w:val="392F1F88"/>
    <w:rsid w:val="39547EC2"/>
    <w:rsid w:val="396D0581"/>
    <w:rsid w:val="39A938D4"/>
    <w:rsid w:val="39E019C5"/>
    <w:rsid w:val="3BDA06CC"/>
    <w:rsid w:val="3C181CA7"/>
    <w:rsid w:val="3C684897"/>
    <w:rsid w:val="3CC33EE4"/>
    <w:rsid w:val="3EB700A4"/>
    <w:rsid w:val="3F646F87"/>
    <w:rsid w:val="3F9256D3"/>
    <w:rsid w:val="40217D47"/>
    <w:rsid w:val="40644D65"/>
    <w:rsid w:val="41C6204F"/>
    <w:rsid w:val="433E495C"/>
    <w:rsid w:val="454C46DC"/>
    <w:rsid w:val="472A2C68"/>
    <w:rsid w:val="47C967EA"/>
    <w:rsid w:val="489F2FD7"/>
    <w:rsid w:val="48D00F6D"/>
    <w:rsid w:val="492D0F93"/>
    <w:rsid w:val="4AB87263"/>
    <w:rsid w:val="4AC27CB3"/>
    <w:rsid w:val="4BF72BEF"/>
    <w:rsid w:val="4CE01E1F"/>
    <w:rsid w:val="4D72497D"/>
    <w:rsid w:val="4FA90297"/>
    <w:rsid w:val="4FC41A43"/>
    <w:rsid w:val="4FE84150"/>
    <w:rsid w:val="5010126E"/>
    <w:rsid w:val="51DB3C59"/>
    <w:rsid w:val="53455FEB"/>
    <w:rsid w:val="542D6BC5"/>
    <w:rsid w:val="550C0952"/>
    <w:rsid w:val="55374395"/>
    <w:rsid w:val="55762E42"/>
    <w:rsid w:val="55837F66"/>
    <w:rsid w:val="56327AFE"/>
    <w:rsid w:val="56CB2F5B"/>
    <w:rsid w:val="57A7B272"/>
    <w:rsid w:val="58470068"/>
    <w:rsid w:val="58747CAC"/>
    <w:rsid w:val="589F6721"/>
    <w:rsid w:val="58F021FF"/>
    <w:rsid w:val="593542A2"/>
    <w:rsid w:val="59AB20D7"/>
    <w:rsid w:val="5A1720F9"/>
    <w:rsid w:val="5B9C37C2"/>
    <w:rsid w:val="5BA7C654"/>
    <w:rsid w:val="5DD5667F"/>
    <w:rsid w:val="5E384781"/>
    <w:rsid w:val="605A55FD"/>
    <w:rsid w:val="60A54109"/>
    <w:rsid w:val="60C919C8"/>
    <w:rsid w:val="61D01CDF"/>
    <w:rsid w:val="64C0607C"/>
    <w:rsid w:val="64D3398C"/>
    <w:rsid w:val="653B7434"/>
    <w:rsid w:val="657264E4"/>
    <w:rsid w:val="65756C86"/>
    <w:rsid w:val="66840C73"/>
    <w:rsid w:val="674D385B"/>
    <w:rsid w:val="676A51A7"/>
    <w:rsid w:val="676F09E1"/>
    <w:rsid w:val="684D5C45"/>
    <w:rsid w:val="68D6019F"/>
    <w:rsid w:val="69BC2161"/>
    <w:rsid w:val="6B5751E4"/>
    <w:rsid w:val="6B727357"/>
    <w:rsid w:val="6CAA5373"/>
    <w:rsid w:val="6DFC5BE5"/>
    <w:rsid w:val="6DFE56D1"/>
    <w:rsid w:val="6F3A5AD4"/>
    <w:rsid w:val="70D30F60"/>
    <w:rsid w:val="71734B9F"/>
    <w:rsid w:val="71793A80"/>
    <w:rsid w:val="7357290B"/>
    <w:rsid w:val="74AF2AA6"/>
    <w:rsid w:val="74C1092E"/>
    <w:rsid w:val="759F7B93"/>
    <w:rsid w:val="75FB5BE4"/>
    <w:rsid w:val="76936F1B"/>
    <w:rsid w:val="78402D83"/>
    <w:rsid w:val="798524E4"/>
    <w:rsid w:val="7A5541BF"/>
    <w:rsid w:val="7A7F1C49"/>
    <w:rsid w:val="7B0A41B3"/>
    <w:rsid w:val="7B1B4A90"/>
    <w:rsid w:val="7B5B7AE6"/>
    <w:rsid w:val="7B675374"/>
    <w:rsid w:val="7B7B6628"/>
    <w:rsid w:val="7BA7071E"/>
    <w:rsid w:val="7BDF6DA8"/>
    <w:rsid w:val="7BDF7589"/>
    <w:rsid w:val="7BE77F11"/>
    <w:rsid w:val="7C7EDC1A"/>
    <w:rsid w:val="7CCED98D"/>
    <w:rsid w:val="7D08410F"/>
    <w:rsid w:val="7D1A6ACE"/>
    <w:rsid w:val="7D2460FA"/>
    <w:rsid w:val="7D2759BE"/>
    <w:rsid w:val="7DB96DED"/>
    <w:rsid w:val="7DD3AD81"/>
    <w:rsid w:val="7E344CF7"/>
    <w:rsid w:val="7F423B3A"/>
    <w:rsid w:val="7F63351B"/>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0">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1">
    <w:name w:val="Strong"/>
    <w:qFormat/>
    <w:uiPriority w:val="0"/>
    <w:rPr>
      <w:b/>
    </w:rPr>
  </w:style>
  <w:style w:type="character" w:styleId="12">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1338.11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1116.71</c:v>
                </c:pt>
                <c:pt idx="1">
                  <c:v>221.39</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ScaleCrop>false</ScaleCrop>
  <LinksUpToDate>false</LinksUpToDate>
  <CharactersWithSpaces>6191</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User</cp:lastModifiedBy>
  <cp:lastPrinted>2026-08-20T08:12:12Z</cp:lastPrinted>
  <dcterms:modified xsi:type="dcterms:W3CDTF">2026-08-20T08:13:04Z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