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DF3D8C">
      <w:pPr>
        <w:rPr>
          <w:rFonts w:ascii="CESI黑体-GB2312" w:hAnsi="CESI黑体-GB2312" w:eastAsia="CESI黑体-GB2312" w:cs="CESI黑体-GB2312"/>
          <w:sz w:val="32"/>
          <w:szCs w:val="24"/>
        </w:rPr>
      </w:pPr>
      <w:r>
        <w:rPr>
          <w:rFonts w:hint="eastAsia" w:ascii="CESI黑体-GB2312" w:hAnsi="CESI黑体-GB2312" w:eastAsia="CESI黑体-GB2312" w:cs="CESI黑体-GB2312"/>
          <w:sz w:val="32"/>
          <w:szCs w:val="24"/>
        </w:rPr>
        <w:t>附件</w:t>
      </w:r>
      <w:r>
        <w:rPr>
          <w:rFonts w:hint="eastAsia" w:ascii="CESI黑体-GB2312" w:hAnsi="CESI黑体-GB2312" w:eastAsia="CESI黑体-GB2312" w:cs="CESI黑体-GB2312"/>
          <w:sz w:val="32"/>
          <w:szCs w:val="24"/>
          <w:lang w:val="en-US" w:eastAsia="zh-CN"/>
        </w:rPr>
        <w:t>1</w:t>
      </w:r>
      <w:bookmarkStart w:id="0" w:name="_GoBack"/>
      <w:bookmarkEnd w:id="0"/>
      <w:r>
        <w:rPr>
          <w:rFonts w:hint="eastAsia" w:ascii="CESI黑体-GB2312" w:hAnsi="CESI黑体-GB2312" w:eastAsia="CESI黑体-GB2312" w:cs="CESI黑体-GB2312"/>
          <w:sz w:val="32"/>
          <w:szCs w:val="24"/>
        </w:rPr>
        <w:t>：</w:t>
      </w:r>
    </w:p>
    <w:p w14:paraId="04ED6E43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11"/>
          <w:sz w:val="44"/>
          <w:szCs w:val="44"/>
        </w:rPr>
        <w:t>北京市门头沟区投资促进服务中心</w:t>
      </w:r>
    </w:p>
    <w:p w14:paraId="5E197219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11"/>
          <w:sz w:val="44"/>
          <w:szCs w:val="44"/>
        </w:rPr>
        <w:t>部门2025预算年度重点支出项目</w:t>
      </w:r>
    </w:p>
    <w:p w14:paraId="364D622E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11"/>
          <w:sz w:val="44"/>
          <w:szCs w:val="44"/>
        </w:rPr>
        <w:t>绩效</w:t>
      </w:r>
      <w:r>
        <w:rPr>
          <w:rFonts w:ascii="方正小标宋简体" w:hAnsi="方正小标宋简体" w:eastAsia="方正小标宋简体" w:cs="方正小标宋简体"/>
          <w:bCs/>
          <w:spacing w:val="-11"/>
          <w:sz w:val="44"/>
          <w:szCs w:val="44"/>
        </w:rPr>
        <w:t>自评报告</w:t>
      </w:r>
    </w:p>
    <w:p w14:paraId="64063B75">
      <w:pPr>
        <w:spacing w:line="560" w:lineRule="exact"/>
        <w:ind w:firstLine="640" w:firstLineChars="200"/>
        <w:outlineLvl w:val="0"/>
        <w:rPr>
          <w:rFonts w:ascii="楷体_GB2312" w:eastAsia="楷体_GB2312" w:cs="Times New Roman"/>
          <w:sz w:val="32"/>
          <w:szCs w:val="32"/>
        </w:rPr>
      </w:pPr>
    </w:p>
    <w:p w14:paraId="4C71F1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</w:rPr>
        <w:t>一、基本情况</w:t>
      </w:r>
    </w:p>
    <w:p w14:paraId="4656D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ascii="楷体_GB2312" w:hAnsi="楷体" w:eastAsia="楷体_GB2312" w:cs="仿宋_GB2312"/>
          <w:sz w:val="32"/>
          <w:szCs w:val="32"/>
        </w:rPr>
      </w:pPr>
      <w:r>
        <w:rPr>
          <w:rFonts w:hint="eastAsia" w:ascii="楷体_GB2312" w:hAnsi="楷体" w:eastAsia="楷体_GB2312" w:cs="仿宋_GB2312"/>
          <w:sz w:val="32"/>
          <w:szCs w:val="32"/>
        </w:rPr>
        <w:t>（一）项目概况</w:t>
      </w:r>
    </w:p>
    <w:p w14:paraId="2BD8F3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为做好门头沟区投资促进、招商引资相关统筹协调和综合服务工作，统筹指导各镇街做好投资促进、招商引资相关工作，门头沟区投资促进服务中心拟通过招商接待、走访重点企业、参加相关博览会，开展“多彩京西行”系列活动，开展招商引资推介活动，加大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全</w:t>
      </w:r>
      <w:r>
        <w:rPr>
          <w:rFonts w:hint="eastAsia" w:ascii="仿宋_GB2312" w:eastAsia="仿宋_GB2312"/>
          <w:color w:val="000000"/>
          <w:sz w:val="32"/>
          <w:szCs w:val="32"/>
        </w:rPr>
        <w:t>区招商引资力度。为加大门头沟区招商环境宣传力度，推动门头沟区招商引资工作，需要印制招商引资画册及宣传材料。</w:t>
      </w:r>
    </w:p>
    <w:p w14:paraId="501FA1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ascii="楷体_GB2312" w:hAnsi="楷体" w:eastAsia="楷体_GB2312" w:cs="仿宋_GB2312"/>
          <w:sz w:val="32"/>
          <w:szCs w:val="32"/>
        </w:rPr>
      </w:pPr>
      <w:r>
        <w:rPr>
          <w:rFonts w:hint="eastAsia" w:ascii="楷体_GB2312" w:hAnsi="楷体" w:eastAsia="楷体_GB2312" w:cs="仿宋_GB2312"/>
          <w:sz w:val="32"/>
          <w:szCs w:val="32"/>
        </w:rPr>
        <w:t>（二）项目资金投入及使用情况</w:t>
      </w:r>
    </w:p>
    <w:p w14:paraId="11321E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本项目预算总额89.95万元，其中：中央转移支付资金0万元、市级转移支付资金0万元、区级财政资金89.95万元、其他资金0万元。本项目全年共支出89.95万元，其中：中央转移支付资金支出0万元、市级转移支付资金支出0万元、区级财政资金支出89.95万元、其他资金支出0万元。</w:t>
      </w:r>
    </w:p>
    <w:p w14:paraId="291097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ascii="楷体_GB2312" w:hAnsi="楷体" w:eastAsia="楷体_GB2312" w:cs="仿宋_GB2312"/>
          <w:sz w:val="32"/>
          <w:szCs w:val="32"/>
        </w:rPr>
      </w:pPr>
      <w:r>
        <w:rPr>
          <w:rFonts w:hint="eastAsia" w:ascii="楷体_GB2312" w:hAnsi="楷体" w:eastAsia="楷体_GB2312" w:cs="仿宋_GB2312"/>
          <w:sz w:val="32"/>
          <w:szCs w:val="32"/>
        </w:rPr>
        <w:t>（三）项目资金管理情况分析</w:t>
      </w:r>
    </w:p>
    <w:p w14:paraId="5ADD28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为更好地开展全区的招商引资活动，在预算申报时明确项目绩效目标，制定绩效指标，制定详细的资金预算。严格预算管理，开展绩效监控和绩效评估，对资金使用情况进行实时监控，定期对项目实施效果进行评估和分析，确保招商引资项目资金能发挥最大绩效。</w:t>
      </w:r>
    </w:p>
    <w:p w14:paraId="63F760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招商引资项目的支出方向主要是招商引资画册印刷、在京内外开展招商引资相关活动。</w:t>
      </w:r>
    </w:p>
    <w:p w14:paraId="28E46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</w:rPr>
        <w:t>二、绩效自评结论</w:t>
      </w:r>
    </w:p>
    <w:p w14:paraId="3AF44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黑体" w:eastAsia="仿宋_GB2312" w:cs="黑体"/>
          <w:bCs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绩效自评总分：95分</w:t>
      </w:r>
    </w:p>
    <w:p w14:paraId="649C5D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黑体" w:eastAsia="仿宋_GB2312" w:cs="黑体"/>
          <w:bCs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绩效自评等级：优秀</w:t>
      </w:r>
      <w:r>
        <w:rPr>
          <w:rFonts w:ascii="仿宋_GB2312" w:hAnsi="黑体" w:eastAsia="仿宋_GB2312" w:cs="黑体"/>
          <w:bCs/>
          <w:sz w:val="32"/>
          <w:szCs w:val="32"/>
        </w:rPr>
        <w:t>。</w:t>
      </w:r>
    </w:p>
    <w:p w14:paraId="21F4D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</w:rPr>
        <w:t>三、绩效目标完成情况分析</w:t>
      </w:r>
    </w:p>
    <w:p w14:paraId="0E229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ascii="楷体_GB2312" w:hAnsi="楷体" w:eastAsia="楷体_GB2312" w:cs="仿宋_GB2312"/>
          <w:sz w:val="32"/>
          <w:szCs w:val="32"/>
        </w:rPr>
      </w:pPr>
      <w:r>
        <w:rPr>
          <w:rFonts w:hint="eastAsia" w:ascii="楷体_GB2312" w:hAnsi="楷体" w:eastAsia="楷体_GB2312" w:cs="仿宋_GB2312"/>
          <w:sz w:val="32"/>
          <w:szCs w:val="32"/>
        </w:rPr>
        <w:t>（一）项目绩效目标、绩效指标设定情况</w:t>
      </w:r>
    </w:p>
    <w:p w14:paraId="52F8F6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区投促中心严格贯彻落实区委、区政府部署要求，结合区域经济发展实际，紧密围绕“三大产业”战略核心，全面加强招商引资统筹部署,以高质量招商引资为主线,以优化营商环境为重点,持续推进招商引资规模和质量“双提升”,积极导入优质资源,扎实推动我区经济高质量发展。</w:t>
      </w:r>
    </w:p>
    <w:p w14:paraId="157125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ascii="楷体_GB2312" w:hAnsi="楷体" w:eastAsia="楷体_GB2312" w:cs="仿宋_GB2312"/>
          <w:sz w:val="32"/>
          <w:szCs w:val="32"/>
        </w:rPr>
      </w:pPr>
      <w:r>
        <w:rPr>
          <w:rFonts w:hint="eastAsia" w:ascii="楷体_GB2312" w:hAnsi="楷体" w:eastAsia="楷体_GB2312" w:cs="仿宋_GB2312"/>
          <w:sz w:val="32"/>
          <w:szCs w:val="32"/>
        </w:rPr>
        <w:t>（二）总体绩效目标完成情况分析</w:t>
      </w:r>
    </w:p>
    <w:p w14:paraId="69EC87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/>
          <w:color w:val="000000"/>
          <w:sz w:val="32"/>
          <w:szCs w:val="32"/>
        </w:rPr>
        <w:t>2025</w:t>
      </w:r>
      <w:r>
        <w:rPr>
          <w:rFonts w:hint="eastAsia" w:ascii="仿宋_GB2312" w:eastAsia="仿宋_GB2312"/>
          <w:color w:val="000000"/>
          <w:sz w:val="32"/>
          <w:szCs w:val="32"/>
        </w:rPr>
        <w:t>年</w:t>
      </w:r>
      <w:r>
        <w:rPr>
          <w:rFonts w:ascii="仿宋_GB2312" w:eastAsia="仿宋_GB2312"/>
          <w:color w:val="000000"/>
          <w:sz w:val="32"/>
          <w:szCs w:val="32"/>
        </w:rPr>
        <w:t>1-12</w:t>
      </w:r>
      <w:r>
        <w:rPr>
          <w:rFonts w:hint="eastAsia" w:ascii="仿宋_GB2312" w:eastAsia="仿宋_GB2312"/>
          <w:color w:val="000000"/>
          <w:sz w:val="32"/>
          <w:szCs w:val="32"/>
        </w:rPr>
        <w:t>月新招引企业</w:t>
      </w:r>
      <w:r>
        <w:rPr>
          <w:rFonts w:ascii="仿宋_GB2312" w:eastAsia="仿宋_GB2312"/>
          <w:color w:val="000000"/>
          <w:sz w:val="32"/>
          <w:szCs w:val="32"/>
        </w:rPr>
        <w:t>1621</w:t>
      </w:r>
      <w:r>
        <w:rPr>
          <w:rFonts w:hint="eastAsia" w:ascii="仿宋_GB2312" w:eastAsia="仿宋_GB2312"/>
          <w:color w:val="000000"/>
          <w:sz w:val="32"/>
          <w:szCs w:val="32"/>
        </w:rPr>
        <w:t>家，同比增长</w:t>
      </w:r>
      <w:r>
        <w:rPr>
          <w:rFonts w:ascii="仿宋_GB2312" w:eastAsia="仿宋_GB2312"/>
          <w:color w:val="000000"/>
          <w:sz w:val="32"/>
          <w:szCs w:val="32"/>
        </w:rPr>
        <w:t>53.36%</w:t>
      </w:r>
      <w:r>
        <w:rPr>
          <w:rFonts w:hint="eastAsia" w:ascii="仿宋_GB2312" w:eastAsia="仿宋_GB2312"/>
          <w:color w:val="000000"/>
          <w:sz w:val="32"/>
          <w:szCs w:val="32"/>
        </w:rPr>
        <w:t>。招引央国企子公司</w:t>
      </w:r>
      <w:r>
        <w:rPr>
          <w:rFonts w:ascii="仿宋_GB2312" w:eastAsia="仿宋_GB2312"/>
          <w:color w:val="000000"/>
          <w:sz w:val="32"/>
          <w:szCs w:val="32"/>
        </w:rPr>
        <w:t>29</w:t>
      </w:r>
      <w:r>
        <w:rPr>
          <w:rFonts w:hint="eastAsia" w:ascii="仿宋_GB2312" w:eastAsia="仿宋_GB2312"/>
          <w:color w:val="000000"/>
          <w:sz w:val="32"/>
          <w:szCs w:val="32"/>
        </w:rPr>
        <w:t>家，高新企业</w:t>
      </w:r>
      <w:r>
        <w:rPr>
          <w:rFonts w:ascii="仿宋_GB2312" w:eastAsia="仿宋_GB2312"/>
          <w:color w:val="000000"/>
          <w:sz w:val="32"/>
          <w:szCs w:val="32"/>
        </w:rPr>
        <w:t>23</w:t>
      </w:r>
      <w:r>
        <w:rPr>
          <w:rFonts w:hint="eastAsia" w:ascii="仿宋_GB2312" w:eastAsia="仿宋_GB2312"/>
          <w:color w:val="000000"/>
          <w:sz w:val="32"/>
          <w:szCs w:val="32"/>
        </w:rPr>
        <w:t>家，外资企业</w:t>
      </w:r>
      <w:r>
        <w:rPr>
          <w:rFonts w:ascii="仿宋_GB2312" w:eastAsia="仿宋_GB2312"/>
          <w:color w:val="000000"/>
          <w:sz w:val="32"/>
          <w:szCs w:val="32"/>
        </w:rPr>
        <w:t>9</w:t>
      </w:r>
      <w:r>
        <w:rPr>
          <w:rFonts w:hint="eastAsia" w:ascii="仿宋_GB2312" w:eastAsia="仿宋_GB2312"/>
          <w:color w:val="000000"/>
          <w:sz w:val="32"/>
          <w:szCs w:val="32"/>
        </w:rPr>
        <w:t>家，专精特新企业</w:t>
      </w:r>
      <w:r>
        <w:rPr>
          <w:rFonts w:ascii="仿宋_GB2312" w:eastAsia="仿宋_GB2312"/>
          <w:color w:val="000000"/>
          <w:sz w:val="32"/>
          <w:szCs w:val="32"/>
        </w:rPr>
        <w:t>6</w:t>
      </w:r>
      <w:r>
        <w:rPr>
          <w:rFonts w:hint="eastAsia" w:ascii="仿宋_GB2312" w:eastAsia="仿宋_GB2312"/>
          <w:color w:val="000000"/>
          <w:sz w:val="32"/>
          <w:szCs w:val="32"/>
        </w:rPr>
        <w:t>家。围绕三大主导产业，对照产业图谱</w:t>
      </w:r>
      <w:r>
        <w:rPr>
          <w:rFonts w:ascii="仿宋_GB2312" w:eastAsia="仿宋_GB2312"/>
          <w:color w:val="000000"/>
          <w:sz w:val="32"/>
          <w:szCs w:val="32"/>
        </w:rPr>
        <w:t>“</w:t>
      </w:r>
      <w:r>
        <w:rPr>
          <w:rFonts w:hint="eastAsia" w:ascii="仿宋_GB2312" w:eastAsia="仿宋_GB2312"/>
          <w:color w:val="000000"/>
          <w:sz w:val="32"/>
          <w:szCs w:val="32"/>
        </w:rPr>
        <w:t>按图索骥</w:t>
      </w:r>
      <w:r>
        <w:rPr>
          <w:rFonts w:ascii="仿宋_GB2312" w:eastAsia="仿宋_GB2312"/>
          <w:color w:val="000000"/>
          <w:sz w:val="32"/>
          <w:szCs w:val="32"/>
        </w:rPr>
        <w:t>”</w:t>
      </w:r>
      <w:r>
        <w:rPr>
          <w:rFonts w:hint="eastAsia" w:ascii="仿宋_GB2312" w:eastAsia="仿宋_GB2312"/>
          <w:color w:val="000000"/>
          <w:sz w:val="32"/>
          <w:szCs w:val="32"/>
        </w:rPr>
        <w:t>，新引进三大主导产业企业</w:t>
      </w:r>
      <w:r>
        <w:rPr>
          <w:rFonts w:ascii="仿宋_GB2312" w:eastAsia="仿宋_GB2312"/>
          <w:color w:val="000000"/>
          <w:sz w:val="32"/>
          <w:szCs w:val="32"/>
        </w:rPr>
        <w:t>200</w:t>
      </w:r>
      <w:r>
        <w:rPr>
          <w:rFonts w:hint="eastAsia" w:ascii="仿宋_GB2312" w:eastAsia="仿宋_GB2312"/>
          <w:color w:val="000000"/>
          <w:sz w:val="32"/>
          <w:szCs w:val="32"/>
        </w:rPr>
        <w:t>家，同比增长</w:t>
      </w:r>
      <w:r>
        <w:rPr>
          <w:rFonts w:ascii="仿宋_GB2312" w:eastAsia="仿宋_GB2312"/>
          <w:color w:val="000000"/>
          <w:sz w:val="32"/>
          <w:szCs w:val="32"/>
        </w:rPr>
        <w:t>55.04%</w:t>
      </w:r>
      <w:r>
        <w:rPr>
          <w:rFonts w:hint="eastAsia" w:ascii="仿宋_GB2312" w:eastAsia="仿宋_GB2312"/>
          <w:color w:val="000000"/>
          <w:sz w:val="32"/>
          <w:szCs w:val="32"/>
        </w:rPr>
        <w:t>。其中人工智能领域企业</w:t>
      </w:r>
      <w:r>
        <w:rPr>
          <w:rFonts w:ascii="仿宋_GB2312" w:eastAsia="仿宋_GB2312"/>
          <w:color w:val="000000"/>
          <w:sz w:val="32"/>
          <w:szCs w:val="32"/>
        </w:rPr>
        <w:t>140</w:t>
      </w:r>
      <w:r>
        <w:rPr>
          <w:rFonts w:hint="eastAsia" w:ascii="仿宋_GB2312" w:eastAsia="仿宋_GB2312"/>
          <w:color w:val="000000"/>
          <w:sz w:val="32"/>
          <w:szCs w:val="32"/>
        </w:rPr>
        <w:t>家，医疗药械领域企业</w:t>
      </w:r>
      <w:r>
        <w:rPr>
          <w:rFonts w:ascii="仿宋_GB2312" w:eastAsia="仿宋_GB2312"/>
          <w:color w:val="000000"/>
          <w:sz w:val="32"/>
          <w:szCs w:val="32"/>
        </w:rPr>
        <w:t>44</w:t>
      </w:r>
      <w:r>
        <w:rPr>
          <w:rFonts w:hint="eastAsia" w:ascii="仿宋_GB2312" w:eastAsia="仿宋_GB2312"/>
          <w:color w:val="000000"/>
          <w:sz w:val="32"/>
          <w:szCs w:val="32"/>
        </w:rPr>
        <w:t>家，数字视听领域企业</w:t>
      </w:r>
      <w:r>
        <w:rPr>
          <w:rFonts w:ascii="仿宋_GB2312" w:eastAsia="仿宋_GB2312"/>
          <w:color w:val="000000"/>
          <w:sz w:val="32"/>
          <w:szCs w:val="32"/>
        </w:rPr>
        <w:t>16</w:t>
      </w:r>
      <w:r>
        <w:rPr>
          <w:rFonts w:hint="eastAsia" w:ascii="仿宋_GB2312" w:eastAsia="仿宋_GB2312"/>
          <w:color w:val="000000"/>
          <w:sz w:val="32"/>
          <w:szCs w:val="32"/>
        </w:rPr>
        <w:t>家。以链主企业为核心，累计引入百洋生态链企业</w:t>
      </w:r>
      <w:r>
        <w:rPr>
          <w:rFonts w:ascii="仿宋_GB2312" w:eastAsia="仿宋_GB2312"/>
          <w:color w:val="000000"/>
          <w:sz w:val="32"/>
          <w:szCs w:val="32"/>
        </w:rPr>
        <w:t>67</w:t>
      </w:r>
      <w:r>
        <w:rPr>
          <w:rFonts w:hint="eastAsia" w:ascii="仿宋_GB2312" w:eastAsia="仿宋_GB2312"/>
          <w:color w:val="000000"/>
          <w:sz w:val="32"/>
          <w:szCs w:val="32"/>
        </w:rPr>
        <w:t>家，其中</w:t>
      </w:r>
      <w:r>
        <w:rPr>
          <w:rFonts w:ascii="仿宋_GB2312" w:eastAsia="仿宋_GB2312"/>
          <w:color w:val="000000"/>
          <w:sz w:val="32"/>
          <w:szCs w:val="32"/>
        </w:rPr>
        <w:t>2025</w:t>
      </w:r>
      <w:r>
        <w:rPr>
          <w:rFonts w:hint="eastAsia" w:ascii="仿宋_GB2312" w:eastAsia="仿宋_GB2312"/>
          <w:color w:val="000000"/>
          <w:sz w:val="32"/>
          <w:szCs w:val="32"/>
        </w:rPr>
        <w:t>年</w:t>
      </w:r>
      <w:r>
        <w:rPr>
          <w:rFonts w:ascii="仿宋_GB2312" w:eastAsia="仿宋_GB2312"/>
          <w:color w:val="000000"/>
          <w:sz w:val="32"/>
          <w:szCs w:val="32"/>
        </w:rPr>
        <w:t>16</w:t>
      </w:r>
      <w:r>
        <w:rPr>
          <w:rFonts w:hint="eastAsia" w:ascii="仿宋_GB2312" w:eastAsia="仿宋_GB2312"/>
          <w:color w:val="000000"/>
          <w:sz w:val="32"/>
          <w:szCs w:val="32"/>
        </w:rPr>
        <w:t>家。</w:t>
      </w:r>
    </w:p>
    <w:p w14:paraId="289997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ascii="楷体_GB2312" w:hAnsi="楷体" w:eastAsia="楷体_GB2312" w:cs="仿宋_GB2312"/>
          <w:sz w:val="32"/>
          <w:szCs w:val="32"/>
        </w:rPr>
      </w:pPr>
      <w:r>
        <w:rPr>
          <w:rFonts w:hint="eastAsia" w:ascii="楷体_GB2312" w:hAnsi="楷体" w:eastAsia="楷体_GB2312" w:cs="仿宋_GB2312"/>
          <w:sz w:val="32"/>
          <w:szCs w:val="32"/>
        </w:rPr>
        <w:t>（三）项目绩效指标完成情况分析</w:t>
      </w:r>
    </w:p>
    <w:p w14:paraId="5FCA4D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黑体" w:eastAsia="仿宋_GB2312" w:cs="黑体"/>
          <w:bCs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1.产出指标完成情况分析。</w:t>
      </w:r>
    </w:p>
    <w:p w14:paraId="76DFE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黑体" w:eastAsia="仿宋_GB2312" w:cs="黑体"/>
          <w:bCs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（1）数量指标。</w:t>
      </w:r>
    </w:p>
    <w:p w14:paraId="265BAD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黑体" w:eastAsia="仿宋_GB2312" w:cs="黑体"/>
          <w:bCs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指标1：招商宣传画册：6000册</w:t>
      </w:r>
      <w:r>
        <w:rPr>
          <w:rFonts w:hint="eastAsia" w:ascii="仿宋_GB2312" w:hAnsi="黑体" w:eastAsia="仿宋_GB2312" w:cs="黑体"/>
          <w:bCs/>
          <w:sz w:val="32"/>
          <w:szCs w:val="32"/>
        </w:rPr>
        <w:tab/>
      </w:r>
    </w:p>
    <w:p w14:paraId="7CADDA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黑体" w:eastAsia="仿宋_GB2312" w:cs="黑体"/>
          <w:bCs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指标2：开展招商引资活动：95次</w:t>
      </w:r>
    </w:p>
    <w:p w14:paraId="45F5D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黑体" w:eastAsia="仿宋_GB2312" w:cs="黑体"/>
          <w:bCs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指标3：开展京外招商次数：16次</w:t>
      </w:r>
    </w:p>
    <w:p w14:paraId="5E0257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黑体" w:eastAsia="仿宋_GB2312" w:cs="黑体"/>
          <w:bCs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指标4：开展多彩京西行活动：0次</w:t>
      </w:r>
    </w:p>
    <w:p w14:paraId="4056EA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黑体" w:eastAsia="仿宋_GB2312" w:cs="黑体"/>
          <w:bCs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指标5：召开招商引资专题培训班：2次</w:t>
      </w:r>
    </w:p>
    <w:p w14:paraId="45D0B1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成本指标。</w:t>
      </w:r>
    </w:p>
    <w:p w14:paraId="64790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（1）经济成本指标。</w:t>
      </w:r>
    </w:p>
    <w:p w14:paraId="02645E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指标1：招引有较大的纳税贡献的企业：&gt;20家</w:t>
      </w:r>
      <w:r>
        <w:rPr>
          <w:rFonts w:hint="eastAsia" w:ascii="仿宋_GB2312" w:eastAsia="仿宋_GB2312"/>
          <w:bCs/>
          <w:sz w:val="32"/>
          <w:szCs w:val="32"/>
        </w:rPr>
        <w:tab/>
      </w:r>
      <w:r>
        <w:rPr>
          <w:rFonts w:hint="eastAsia" w:ascii="仿宋_GB2312" w:eastAsia="仿宋_GB2312"/>
          <w:bCs/>
          <w:sz w:val="32"/>
          <w:szCs w:val="32"/>
        </w:rPr>
        <w:tab/>
      </w:r>
    </w:p>
    <w:p w14:paraId="477F6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指标2：有较大的纳税贡献：完成</w:t>
      </w:r>
      <w:r>
        <w:rPr>
          <w:rFonts w:hint="eastAsia" w:ascii="仿宋_GB2312" w:eastAsia="仿宋_GB2312"/>
          <w:bCs/>
          <w:sz w:val="32"/>
          <w:szCs w:val="32"/>
        </w:rPr>
        <w:tab/>
      </w:r>
      <w:r>
        <w:rPr>
          <w:rFonts w:hint="eastAsia" w:ascii="仿宋_GB2312" w:eastAsia="仿宋_GB2312"/>
          <w:bCs/>
          <w:sz w:val="32"/>
          <w:szCs w:val="32"/>
        </w:rPr>
        <w:tab/>
      </w:r>
    </w:p>
    <w:p w14:paraId="7B673E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.效益指标完成情况分析。</w:t>
      </w:r>
    </w:p>
    <w:p w14:paraId="1F7CE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（1）可持续影响。</w:t>
      </w:r>
    </w:p>
    <w:p w14:paraId="0B3EB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指标1：持续招商：全年招商工作</w:t>
      </w:r>
    </w:p>
    <w:p w14:paraId="69B417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4.满意度指标完成情况分析。</w:t>
      </w:r>
    </w:p>
    <w:p w14:paraId="09C7AE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指标1：招商人员服务及专业度满意度询问：9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%</w:t>
      </w:r>
    </w:p>
    <w:p w14:paraId="41AEE5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</w:rPr>
        <w:t>四、发现的主要问题和改进措施</w:t>
      </w:r>
    </w:p>
    <w:p w14:paraId="68B6B3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color w:val="FF000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未开展多彩京西行活动。原因：走访、在单位接待企业次数较多，故未开展多彩京西行活动。改进措施：根据全区招商引资活动的要求及本单位的招商引资活动开展的情况，严谨测算多彩京西行活动的必要性。</w:t>
      </w:r>
    </w:p>
    <w:p w14:paraId="00F515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</w:rPr>
        <w:t>五、有关</w:t>
      </w:r>
      <w:r>
        <w:rPr>
          <w:rFonts w:ascii="CESI黑体-GB2312" w:hAnsi="CESI黑体-GB2312" w:eastAsia="CESI黑体-GB2312" w:cs="CESI黑体-GB2312"/>
          <w:sz w:val="32"/>
          <w:szCs w:val="32"/>
        </w:rPr>
        <w:t>建议及</w:t>
      </w:r>
      <w:r>
        <w:rPr>
          <w:rFonts w:hint="eastAsia" w:ascii="CESI黑体-GB2312" w:hAnsi="CESI黑体-GB2312" w:eastAsia="CESI黑体-GB2312" w:cs="CESI黑体-GB2312"/>
          <w:sz w:val="32"/>
          <w:szCs w:val="32"/>
        </w:rPr>
        <w:t>其他需要说明的情况</w:t>
      </w:r>
    </w:p>
    <w:p w14:paraId="5B931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无。</w:t>
      </w:r>
    </w:p>
    <w:p w14:paraId="32B222C8">
      <w:pPr>
        <w:spacing w:line="520" w:lineRule="exact"/>
        <w:jc w:val="left"/>
        <w:rPr>
          <w:rFonts w:ascii="仿宋_GB2312" w:eastAsia="仿宋_GB2312"/>
          <w:sz w:val="32"/>
          <w:szCs w:val="32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SI黑体-GB2312">
    <w:altName w:val="微软雅黑"/>
    <w:panose1 w:val="00000000000000000000"/>
    <w:charset w:val="86"/>
    <w:family w:val="auto"/>
    <w:pitch w:val="default"/>
    <w:sig w:usb0="00000000" w:usb1="00000000" w:usb2="00000012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SOFDFFE8407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60B17"/>
    <w:rsid w:val="00013E3D"/>
    <w:rsid w:val="0002025A"/>
    <w:rsid w:val="00022E11"/>
    <w:rsid w:val="000269DC"/>
    <w:rsid w:val="00047DC0"/>
    <w:rsid w:val="00096808"/>
    <w:rsid w:val="000A1062"/>
    <w:rsid w:val="000A23F6"/>
    <w:rsid w:val="000B12A7"/>
    <w:rsid w:val="000C3ADA"/>
    <w:rsid w:val="000E5090"/>
    <w:rsid w:val="00101019"/>
    <w:rsid w:val="001451E0"/>
    <w:rsid w:val="00177996"/>
    <w:rsid w:val="001E0ECA"/>
    <w:rsid w:val="001F4635"/>
    <w:rsid w:val="00203391"/>
    <w:rsid w:val="00205468"/>
    <w:rsid w:val="00210B4C"/>
    <w:rsid w:val="002140C0"/>
    <w:rsid w:val="00215248"/>
    <w:rsid w:val="00225D94"/>
    <w:rsid w:val="002269C5"/>
    <w:rsid w:val="0026330B"/>
    <w:rsid w:val="002E58C9"/>
    <w:rsid w:val="0031524F"/>
    <w:rsid w:val="00330537"/>
    <w:rsid w:val="00367048"/>
    <w:rsid w:val="003727E8"/>
    <w:rsid w:val="00373A0C"/>
    <w:rsid w:val="00377BDC"/>
    <w:rsid w:val="00392D09"/>
    <w:rsid w:val="003A2E58"/>
    <w:rsid w:val="003B3B58"/>
    <w:rsid w:val="003C42FF"/>
    <w:rsid w:val="004015F7"/>
    <w:rsid w:val="004503E3"/>
    <w:rsid w:val="004561D4"/>
    <w:rsid w:val="004B7FE1"/>
    <w:rsid w:val="004F49B9"/>
    <w:rsid w:val="004F7834"/>
    <w:rsid w:val="00504BA3"/>
    <w:rsid w:val="00543B65"/>
    <w:rsid w:val="0054688F"/>
    <w:rsid w:val="00554136"/>
    <w:rsid w:val="005610FD"/>
    <w:rsid w:val="00565DE2"/>
    <w:rsid w:val="005D4ED9"/>
    <w:rsid w:val="005E6415"/>
    <w:rsid w:val="00611E84"/>
    <w:rsid w:val="006305D3"/>
    <w:rsid w:val="00634BA6"/>
    <w:rsid w:val="0064412D"/>
    <w:rsid w:val="00676705"/>
    <w:rsid w:val="006B38F1"/>
    <w:rsid w:val="006D4D7E"/>
    <w:rsid w:val="006D6351"/>
    <w:rsid w:val="006E113E"/>
    <w:rsid w:val="006E4B81"/>
    <w:rsid w:val="006E6275"/>
    <w:rsid w:val="006F376B"/>
    <w:rsid w:val="007242C1"/>
    <w:rsid w:val="00795987"/>
    <w:rsid w:val="007C3E7C"/>
    <w:rsid w:val="007D661E"/>
    <w:rsid w:val="007F46A7"/>
    <w:rsid w:val="00821DDE"/>
    <w:rsid w:val="00835A6F"/>
    <w:rsid w:val="00845359"/>
    <w:rsid w:val="00851994"/>
    <w:rsid w:val="008651F7"/>
    <w:rsid w:val="008728BA"/>
    <w:rsid w:val="00880D15"/>
    <w:rsid w:val="008E66DB"/>
    <w:rsid w:val="009127C3"/>
    <w:rsid w:val="00917FE5"/>
    <w:rsid w:val="00923051"/>
    <w:rsid w:val="009976F0"/>
    <w:rsid w:val="009B27A6"/>
    <w:rsid w:val="009D700F"/>
    <w:rsid w:val="009F06A0"/>
    <w:rsid w:val="00A02654"/>
    <w:rsid w:val="00A127E4"/>
    <w:rsid w:val="00A12F52"/>
    <w:rsid w:val="00A4171D"/>
    <w:rsid w:val="00A5212E"/>
    <w:rsid w:val="00A52489"/>
    <w:rsid w:val="00A61FC1"/>
    <w:rsid w:val="00A80C5C"/>
    <w:rsid w:val="00A962BF"/>
    <w:rsid w:val="00AD7689"/>
    <w:rsid w:val="00AE0078"/>
    <w:rsid w:val="00AE698C"/>
    <w:rsid w:val="00B2165C"/>
    <w:rsid w:val="00B24E4A"/>
    <w:rsid w:val="00B6357B"/>
    <w:rsid w:val="00B83292"/>
    <w:rsid w:val="00B83A7C"/>
    <w:rsid w:val="00BF6BCD"/>
    <w:rsid w:val="00C01D2B"/>
    <w:rsid w:val="00C470F3"/>
    <w:rsid w:val="00C531AA"/>
    <w:rsid w:val="00C75ABE"/>
    <w:rsid w:val="00C8361D"/>
    <w:rsid w:val="00CA72AB"/>
    <w:rsid w:val="00CC168C"/>
    <w:rsid w:val="00CD1D34"/>
    <w:rsid w:val="00D01F30"/>
    <w:rsid w:val="00D21CD8"/>
    <w:rsid w:val="00D22818"/>
    <w:rsid w:val="00D36848"/>
    <w:rsid w:val="00D374F7"/>
    <w:rsid w:val="00D50DEF"/>
    <w:rsid w:val="00D60B17"/>
    <w:rsid w:val="00D66A17"/>
    <w:rsid w:val="00D8000B"/>
    <w:rsid w:val="00D85CD5"/>
    <w:rsid w:val="00D860F4"/>
    <w:rsid w:val="00D906A4"/>
    <w:rsid w:val="00D91ABE"/>
    <w:rsid w:val="00DC020E"/>
    <w:rsid w:val="00DC5B3A"/>
    <w:rsid w:val="00E11A96"/>
    <w:rsid w:val="00E37F80"/>
    <w:rsid w:val="00E67831"/>
    <w:rsid w:val="00EC6591"/>
    <w:rsid w:val="00EF109F"/>
    <w:rsid w:val="00F207A8"/>
    <w:rsid w:val="00F23525"/>
    <w:rsid w:val="00F24761"/>
    <w:rsid w:val="00F37EB3"/>
    <w:rsid w:val="00F533DD"/>
    <w:rsid w:val="00F66D4F"/>
    <w:rsid w:val="00F922BE"/>
    <w:rsid w:val="00FB0C8F"/>
    <w:rsid w:val="00FF5545"/>
    <w:rsid w:val="02FE7A87"/>
    <w:rsid w:val="5A7E3E85"/>
    <w:rsid w:val="7AD6226F"/>
    <w:rsid w:val="7D54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1236</Words>
  <Characters>1301</Characters>
  <Lines>9</Lines>
  <Paragraphs>2</Paragraphs>
  <TotalTime>76</TotalTime>
  <ScaleCrop>false</ScaleCrop>
  <LinksUpToDate>false</LinksUpToDate>
  <CharactersWithSpaces>1306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2026-04-24T06:59:00Z</dcterms:created>
  <dc:creator>井文胜</dc:creator>
  <cp:lastModifiedBy>周勰</cp:lastModifiedBy>
  <dcterms:modified xsi:type="dcterms:W3CDTF">2026-08-21T01:54:53Z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eyJoZGlkIjoiYjU0MjFhZThlODRhODg5ODNlY2UxZjllZmJmZGQwMDIiLCJ1c2VySWQiOiIyNTY0OTAwMjIifQ==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66F9ED53F7F44D13A2344C4A1654BC64_12</vt:lpwstr>
  </property>
</Properties>
</file>