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6D1" w:rsidRDefault="004E76D1">
      <w:pPr>
        <w:jc w:val="center"/>
        <w:rPr>
          <w:rFonts w:ascii="仿宋_GB2312" w:eastAsia="仿宋_GB2312"/>
          <w:b/>
          <w:sz w:val="32"/>
          <w:szCs w:val="32"/>
        </w:rPr>
      </w:pPr>
    </w:p>
    <w:p w:rsidR="004E76D1" w:rsidRDefault="004E76D1">
      <w:pPr>
        <w:jc w:val="center"/>
        <w:rPr>
          <w:rFonts w:ascii="黑体" w:eastAsia="黑体"/>
          <w:sz w:val="72"/>
          <w:szCs w:val="72"/>
        </w:rPr>
      </w:pPr>
    </w:p>
    <w:p w:rsidR="004E76D1" w:rsidRDefault="004E76D1">
      <w:pPr>
        <w:jc w:val="center"/>
        <w:rPr>
          <w:rFonts w:ascii="黑体" w:eastAsia="黑体"/>
          <w:sz w:val="72"/>
          <w:szCs w:val="72"/>
        </w:rPr>
      </w:pPr>
    </w:p>
    <w:p w:rsidR="004E76D1" w:rsidRDefault="004E76D1">
      <w:pPr>
        <w:jc w:val="center"/>
        <w:rPr>
          <w:rFonts w:ascii="黑体" w:eastAsia="黑体"/>
          <w:sz w:val="72"/>
          <w:szCs w:val="72"/>
        </w:rPr>
      </w:pPr>
    </w:p>
    <w:p w:rsidR="004E76D1" w:rsidRDefault="004E76D1">
      <w:pPr>
        <w:jc w:val="center"/>
        <w:rPr>
          <w:rFonts w:ascii="黑体" w:eastAsia="黑体"/>
          <w:sz w:val="72"/>
          <w:szCs w:val="72"/>
        </w:rPr>
      </w:pPr>
    </w:p>
    <w:p w:rsidR="004E76D1" w:rsidRDefault="00C02E0D">
      <w:pPr>
        <w:jc w:val="center"/>
        <w:rPr>
          <w:rFonts w:ascii="黑体" w:eastAsia="黑体"/>
          <w:sz w:val="72"/>
          <w:szCs w:val="72"/>
        </w:rPr>
      </w:pPr>
      <w:r>
        <w:rPr>
          <w:rFonts w:ascii="黑体" w:eastAsia="黑体" w:hint="eastAsia"/>
          <w:sz w:val="72"/>
          <w:szCs w:val="72"/>
        </w:rPr>
        <w:t>2025年度部门决算（公开</w:t>
      </w:r>
      <w:r>
        <w:rPr>
          <w:rFonts w:ascii="黑体" w:eastAsia="黑体"/>
          <w:sz w:val="72"/>
          <w:szCs w:val="72"/>
        </w:rPr>
        <w:t>）</w:t>
      </w:r>
    </w:p>
    <w:p w:rsidR="004E76D1" w:rsidRDefault="004E76D1">
      <w:pPr>
        <w:jc w:val="center"/>
        <w:rPr>
          <w:rFonts w:ascii="黑体" w:eastAsia="黑体"/>
          <w:sz w:val="52"/>
          <w:szCs w:val="52"/>
        </w:rPr>
      </w:pPr>
    </w:p>
    <w:p w:rsidR="004E76D1" w:rsidRDefault="004E76D1">
      <w:pPr>
        <w:jc w:val="center"/>
        <w:rPr>
          <w:rFonts w:ascii="黑体" w:eastAsia="黑体"/>
          <w:sz w:val="52"/>
          <w:szCs w:val="52"/>
        </w:rPr>
      </w:pPr>
    </w:p>
    <w:p w:rsidR="004E76D1" w:rsidRDefault="004E76D1">
      <w:pPr>
        <w:jc w:val="center"/>
        <w:rPr>
          <w:rFonts w:ascii="黑体" w:eastAsia="黑体"/>
          <w:sz w:val="52"/>
          <w:szCs w:val="52"/>
        </w:rPr>
      </w:pPr>
    </w:p>
    <w:p w:rsidR="004E76D1" w:rsidRDefault="004E76D1">
      <w:pPr>
        <w:jc w:val="center"/>
        <w:rPr>
          <w:rFonts w:ascii="黑体" w:eastAsia="黑体"/>
          <w:sz w:val="52"/>
          <w:szCs w:val="52"/>
        </w:rPr>
      </w:pPr>
    </w:p>
    <w:p w:rsidR="004E76D1" w:rsidRDefault="004E76D1">
      <w:pPr>
        <w:jc w:val="center"/>
        <w:rPr>
          <w:rFonts w:ascii="黑体" w:eastAsia="黑体"/>
          <w:sz w:val="32"/>
          <w:szCs w:val="32"/>
        </w:rPr>
      </w:pPr>
    </w:p>
    <w:p w:rsidR="004E76D1" w:rsidRDefault="00C02E0D">
      <w:pPr>
        <w:spacing w:line="500" w:lineRule="exact"/>
        <w:ind w:firstLine="645"/>
        <w:jc w:val="center"/>
        <w:rPr>
          <w:rFonts w:ascii="宋体" w:hAnsi="宋体" w:cs="宋体"/>
          <w:b/>
          <w:bCs/>
          <w:kern w:val="0"/>
          <w:sz w:val="44"/>
          <w:szCs w:val="36"/>
        </w:rPr>
      </w:pPr>
      <w:r>
        <w:rPr>
          <w:rFonts w:ascii="宋体" w:hAnsi="宋体" w:cs="宋体" w:hint="eastAsia"/>
          <w:b/>
          <w:bCs/>
          <w:kern w:val="0"/>
          <w:sz w:val="44"/>
          <w:szCs w:val="36"/>
        </w:rPr>
        <w:lastRenderedPageBreak/>
        <w:t>目    录</w:t>
      </w:r>
    </w:p>
    <w:p w:rsidR="004E76D1" w:rsidRDefault="004E76D1">
      <w:pPr>
        <w:spacing w:line="500" w:lineRule="exact"/>
        <w:ind w:firstLine="645"/>
        <w:jc w:val="center"/>
        <w:rPr>
          <w:rFonts w:ascii="宋体" w:hAnsi="宋体" w:cs="宋体"/>
          <w:b/>
          <w:bCs/>
          <w:kern w:val="0"/>
          <w:sz w:val="36"/>
          <w:szCs w:val="36"/>
        </w:rPr>
      </w:pPr>
    </w:p>
    <w:p w:rsidR="004E76D1" w:rsidRDefault="00C02E0D">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第一部分 2025年度部门决算报表</w:t>
      </w:r>
    </w:p>
    <w:p w:rsidR="004E76D1" w:rsidRDefault="00C02E0D">
      <w:pPr>
        <w:tabs>
          <w:tab w:val="center" w:pos="6979"/>
        </w:tabs>
        <w:spacing w:line="500" w:lineRule="exact"/>
        <w:ind w:firstLineChars="600" w:firstLine="2400"/>
        <w:jc w:val="left"/>
        <w:rPr>
          <w:rFonts w:ascii="仿宋_GB2312" w:eastAsia="仿宋_GB2312" w:hAnsi="仿宋"/>
          <w:spacing w:val="40"/>
          <w:sz w:val="32"/>
          <w:szCs w:val="32"/>
        </w:rPr>
      </w:pPr>
      <w:r>
        <w:rPr>
          <w:rFonts w:ascii="仿宋_GB2312" w:eastAsia="仿宋_GB2312" w:hAnsi="仿宋" w:cs="宋体" w:hint="eastAsia"/>
          <w:bCs/>
          <w:spacing w:val="40"/>
          <w:kern w:val="0"/>
          <w:sz w:val="32"/>
          <w:szCs w:val="32"/>
        </w:rPr>
        <w:t>一、收入支出决算总表</w:t>
      </w:r>
    </w:p>
    <w:p w:rsidR="004E76D1" w:rsidRDefault="00C02E0D">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二、收入决算表</w:t>
      </w:r>
    </w:p>
    <w:p w:rsidR="004E76D1" w:rsidRDefault="00C02E0D">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三、支出决算表</w:t>
      </w:r>
    </w:p>
    <w:p w:rsidR="004E76D1" w:rsidRDefault="00C02E0D">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四、财政拨款收入支出决算总表</w:t>
      </w:r>
    </w:p>
    <w:p w:rsidR="004E76D1" w:rsidRDefault="00C02E0D">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五、一般公共预算财政拨款支出决算表</w:t>
      </w:r>
    </w:p>
    <w:p w:rsidR="004E76D1" w:rsidRDefault="00C02E0D">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六、一般公共预算财政拨款</w:t>
      </w:r>
      <w:r>
        <w:rPr>
          <w:rFonts w:ascii="仿宋_GB2312" w:eastAsia="仿宋_GB2312" w:hAnsi="仿宋" w:cs="宋体"/>
          <w:bCs/>
          <w:spacing w:val="40"/>
          <w:kern w:val="0"/>
          <w:sz w:val="32"/>
          <w:szCs w:val="32"/>
        </w:rPr>
        <w:t>基本支出决算表</w:t>
      </w:r>
    </w:p>
    <w:p w:rsidR="004E76D1" w:rsidRDefault="00C02E0D">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七</w:t>
      </w:r>
      <w:r>
        <w:rPr>
          <w:rFonts w:ascii="仿宋_GB2312" w:eastAsia="仿宋_GB2312" w:hAnsi="仿宋" w:cs="宋体"/>
          <w:bCs/>
          <w:spacing w:val="40"/>
          <w:kern w:val="0"/>
          <w:sz w:val="32"/>
          <w:szCs w:val="32"/>
        </w:rPr>
        <w:t>、</w:t>
      </w:r>
      <w:r>
        <w:rPr>
          <w:rFonts w:ascii="仿宋_GB2312" w:eastAsia="仿宋_GB2312" w:hAnsi="仿宋" w:cs="宋体" w:hint="eastAsia"/>
          <w:bCs/>
          <w:spacing w:val="40"/>
          <w:kern w:val="0"/>
          <w:sz w:val="32"/>
          <w:szCs w:val="32"/>
        </w:rPr>
        <w:t>政府性基金预算财政拨款收入支出决算表</w:t>
      </w:r>
    </w:p>
    <w:p w:rsidR="004E76D1" w:rsidRDefault="00C02E0D">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八、</w:t>
      </w:r>
      <w:r>
        <w:rPr>
          <w:rFonts w:ascii="仿宋_GB2312" w:eastAsia="仿宋_GB2312" w:hAnsi="仿宋" w:cs="宋体"/>
          <w:bCs/>
          <w:spacing w:val="40"/>
          <w:kern w:val="0"/>
          <w:sz w:val="32"/>
          <w:szCs w:val="32"/>
        </w:rPr>
        <w:t>政府性基金</w:t>
      </w:r>
      <w:r>
        <w:rPr>
          <w:rFonts w:ascii="仿宋_GB2312" w:eastAsia="仿宋_GB2312" w:hAnsi="仿宋" w:cs="宋体" w:hint="eastAsia"/>
          <w:bCs/>
          <w:spacing w:val="40"/>
          <w:kern w:val="0"/>
          <w:sz w:val="32"/>
          <w:szCs w:val="32"/>
        </w:rPr>
        <w:t>预算</w:t>
      </w:r>
      <w:r>
        <w:rPr>
          <w:rFonts w:ascii="仿宋_GB2312" w:eastAsia="仿宋_GB2312" w:hAnsi="仿宋" w:cs="宋体"/>
          <w:bCs/>
          <w:spacing w:val="40"/>
          <w:kern w:val="0"/>
          <w:sz w:val="32"/>
          <w:szCs w:val="32"/>
        </w:rPr>
        <w:t>财政拨款基本支出决算表</w:t>
      </w:r>
    </w:p>
    <w:p w:rsidR="004E76D1" w:rsidRDefault="00C02E0D">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九、国有资本经营预算财政拨款支出决算表</w:t>
      </w:r>
    </w:p>
    <w:p w:rsidR="004E76D1" w:rsidRDefault="00C02E0D">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十、财政拨款“三公”经费支出决算表</w:t>
      </w:r>
    </w:p>
    <w:p w:rsidR="004E76D1" w:rsidRDefault="00C02E0D">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十一、政府采购情况表</w:t>
      </w:r>
    </w:p>
    <w:p w:rsidR="004E76D1" w:rsidRDefault="00C02E0D">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 xml:space="preserve">第二部分 </w:t>
      </w:r>
      <w:r>
        <w:rPr>
          <w:rFonts w:ascii="宋体" w:hAnsi="宋体" w:hint="eastAsia"/>
          <w:spacing w:val="40"/>
          <w:sz w:val="32"/>
          <w:szCs w:val="32"/>
        </w:rPr>
        <w:t>2025年度部门决算说明</w:t>
      </w:r>
    </w:p>
    <w:p w:rsidR="004E76D1" w:rsidRDefault="00C02E0D">
      <w:pPr>
        <w:tabs>
          <w:tab w:val="center" w:pos="6979"/>
        </w:tabs>
        <w:spacing w:line="500" w:lineRule="exact"/>
        <w:ind w:firstLineChars="400" w:firstLine="1600"/>
        <w:jc w:val="left"/>
        <w:rPr>
          <w:rFonts w:ascii="宋体" w:hAnsi="宋体" w:cs="宋体"/>
          <w:spacing w:val="40"/>
          <w:kern w:val="0"/>
          <w:sz w:val="32"/>
          <w:szCs w:val="32"/>
        </w:rPr>
      </w:pPr>
      <w:r>
        <w:rPr>
          <w:rFonts w:ascii="宋体" w:hAnsi="宋体" w:cs="宋体" w:hint="eastAsia"/>
          <w:bCs/>
          <w:spacing w:val="40"/>
          <w:kern w:val="0"/>
          <w:sz w:val="32"/>
          <w:szCs w:val="32"/>
        </w:rPr>
        <w:t xml:space="preserve">第三部分 </w:t>
      </w:r>
      <w:r>
        <w:rPr>
          <w:rFonts w:ascii="宋体" w:hAnsi="宋体" w:hint="eastAsia"/>
          <w:spacing w:val="40"/>
          <w:sz w:val="32"/>
          <w:szCs w:val="32"/>
        </w:rPr>
        <w:t>2025年度</w:t>
      </w:r>
      <w:r>
        <w:rPr>
          <w:rFonts w:ascii="宋体" w:hAnsi="宋体" w:cs="宋体" w:hint="eastAsia"/>
          <w:spacing w:val="40"/>
          <w:kern w:val="0"/>
          <w:sz w:val="32"/>
          <w:szCs w:val="32"/>
        </w:rPr>
        <w:t>其他重要事项的情况说明</w:t>
      </w:r>
    </w:p>
    <w:p w:rsidR="004E76D1" w:rsidRDefault="00C02E0D">
      <w:pPr>
        <w:tabs>
          <w:tab w:val="center" w:pos="6979"/>
        </w:tabs>
        <w:spacing w:line="500" w:lineRule="exact"/>
        <w:ind w:firstLineChars="400" w:firstLine="1600"/>
        <w:jc w:val="left"/>
        <w:rPr>
          <w:rFonts w:ascii="宋体" w:hAnsi="宋体" w:cs="宋体"/>
          <w:spacing w:val="40"/>
          <w:kern w:val="0"/>
          <w:sz w:val="36"/>
          <w:szCs w:val="32"/>
        </w:rPr>
      </w:pPr>
      <w:r>
        <w:rPr>
          <w:rFonts w:ascii="宋体" w:hAnsi="宋体" w:cs="宋体" w:hint="eastAsia"/>
          <w:spacing w:val="40"/>
          <w:kern w:val="0"/>
          <w:sz w:val="32"/>
          <w:szCs w:val="32"/>
        </w:rPr>
        <w:t>第四部分 2025年度部门绩效评价情况</w:t>
      </w:r>
    </w:p>
    <w:p w:rsidR="004E76D1" w:rsidRDefault="004E76D1" w:rsidP="00AE0F50">
      <w:pPr>
        <w:tabs>
          <w:tab w:val="center" w:pos="6979"/>
        </w:tabs>
        <w:spacing w:beforeLines="50" w:afterLines="50"/>
        <w:jc w:val="center"/>
        <w:rPr>
          <w:rFonts w:ascii="宋体" w:hAnsi="宋体" w:cs="宋体"/>
          <w:b/>
          <w:bCs/>
          <w:spacing w:val="40"/>
          <w:kern w:val="0"/>
          <w:sz w:val="32"/>
          <w:szCs w:val="32"/>
        </w:rPr>
      </w:pPr>
    </w:p>
    <w:p w:rsidR="004E76D1" w:rsidRDefault="004E76D1" w:rsidP="00AE0F50">
      <w:pPr>
        <w:tabs>
          <w:tab w:val="center" w:pos="6979"/>
        </w:tabs>
        <w:spacing w:beforeLines="50" w:afterLines="50"/>
        <w:jc w:val="center"/>
        <w:rPr>
          <w:rFonts w:ascii="宋体" w:hAnsi="宋体" w:cs="宋体"/>
          <w:b/>
          <w:bCs/>
          <w:spacing w:val="40"/>
          <w:kern w:val="0"/>
          <w:sz w:val="32"/>
          <w:szCs w:val="32"/>
        </w:rPr>
      </w:pPr>
    </w:p>
    <w:p w:rsidR="004E76D1" w:rsidRDefault="004E76D1" w:rsidP="00AE0F50">
      <w:pPr>
        <w:tabs>
          <w:tab w:val="center" w:pos="6979"/>
        </w:tabs>
        <w:spacing w:beforeLines="50" w:afterLines="50"/>
        <w:jc w:val="center"/>
        <w:rPr>
          <w:rFonts w:ascii="宋体" w:hAnsi="宋体" w:cs="宋体"/>
          <w:b/>
          <w:bCs/>
          <w:spacing w:val="40"/>
          <w:kern w:val="0"/>
          <w:sz w:val="32"/>
          <w:szCs w:val="32"/>
        </w:rPr>
      </w:pPr>
    </w:p>
    <w:p w:rsidR="004E76D1" w:rsidRDefault="004E76D1" w:rsidP="00AE0F50">
      <w:pPr>
        <w:tabs>
          <w:tab w:val="center" w:pos="6979"/>
        </w:tabs>
        <w:spacing w:beforeLines="50" w:afterLines="50"/>
        <w:jc w:val="center"/>
        <w:rPr>
          <w:rFonts w:ascii="宋体" w:hAnsi="宋体" w:cs="宋体"/>
          <w:b/>
          <w:bCs/>
          <w:spacing w:val="40"/>
          <w:kern w:val="0"/>
          <w:sz w:val="32"/>
          <w:szCs w:val="32"/>
        </w:rPr>
      </w:pPr>
    </w:p>
    <w:p w:rsidR="004E76D1" w:rsidRDefault="004E76D1" w:rsidP="00AE0F50">
      <w:pPr>
        <w:tabs>
          <w:tab w:val="center" w:pos="6979"/>
        </w:tabs>
        <w:spacing w:beforeLines="50" w:afterLines="50"/>
        <w:jc w:val="center"/>
        <w:rPr>
          <w:rFonts w:ascii="宋体" w:hAnsi="宋体" w:cs="宋体"/>
          <w:b/>
          <w:bCs/>
          <w:spacing w:val="40"/>
          <w:kern w:val="0"/>
          <w:sz w:val="32"/>
          <w:szCs w:val="32"/>
        </w:rPr>
      </w:pPr>
    </w:p>
    <w:p w:rsidR="004E76D1" w:rsidRDefault="00C02E0D" w:rsidP="00AE0F50">
      <w:pPr>
        <w:tabs>
          <w:tab w:val="center" w:pos="6979"/>
        </w:tabs>
        <w:spacing w:beforeLines="50" w:afterLines="50"/>
        <w:jc w:val="center"/>
        <w:rPr>
          <w:rFonts w:ascii="宋体" w:hAnsi="宋体" w:cs="宋体"/>
          <w:b/>
          <w:bCs/>
          <w:spacing w:val="40"/>
          <w:kern w:val="0"/>
          <w:sz w:val="44"/>
          <w:szCs w:val="44"/>
        </w:rPr>
      </w:pPr>
      <w:r>
        <w:rPr>
          <w:rFonts w:ascii="宋体" w:hAnsi="宋体" w:cs="宋体" w:hint="eastAsia"/>
          <w:b/>
          <w:bCs/>
          <w:spacing w:val="40"/>
          <w:kern w:val="0"/>
          <w:sz w:val="44"/>
          <w:szCs w:val="44"/>
        </w:rPr>
        <w:t>第一部分 2025年度部门决算报表</w:t>
      </w:r>
    </w:p>
    <w:p w:rsidR="004E76D1" w:rsidRDefault="00C02E0D">
      <w:pPr>
        <w:pStyle w:val="2"/>
        <w:rPr>
          <w:b w:val="0"/>
          <w:bCs w:val="0"/>
        </w:rPr>
        <w:sectPr w:rsidR="004E76D1">
          <w:footerReference w:type="default" r:id="rId6"/>
          <w:pgSz w:w="16838" w:h="11906" w:orient="landscape"/>
          <w:pgMar w:top="1134" w:right="1134" w:bottom="1134" w:left="1134" w:header="851" w:footer="992" w:gutter="0"/>
          <w:cols w:space="720"/>
          <w:docGrid w:type="linesAndChars" w:linePitch="312"/>
        </w:sectPr>
      </w:pPr>
      <w:r>
        <w:rPr>
          <w:rFonts w:ascii="仿宋_GB2312" w:eastAsia="仿宋_GB2312" w:hint="eastAsia"/>
          <w:sz w:val="28"/>
          <w:szCs w:val="28"/>
        </w:rPr>
        <w:t xml:space="preserve">   </w:t>
      </w:r>
      <w:r>
        <w:rPr>
          <w:rFonts w:ascii="仿宋_GB2312" w:eastAsia="仿宋_GB2312" w:hint="eastAsia"/>
          <w:b w:val="0"/>
          <w:bCs w:val="0"/>
          <w:sz w:val="28"/>
          <w:szCs w:val="28"/>
        </w:rPr>
        <w:t>报表详见附件。</w:t>
      </w:r>
    </w:p>
    <w:p w:rsidR="004E76D1" w:rsidRDefault="00C02E0D" w:rsidP="00AE0F50">
      <w:pPr>
        <w:tabs>
          <w:tab w:val="center" w:pos="6979"/>
        </w:tabs>
        <w:spacing w:beforeLines="50" w:afterLines="50" w:line="560" w:lineRule="exact"/>
        <w:jc w:val="center"/>
        <w:rPr>
          <w:rFonts w:ascii="宋体" w:hAnsi="宋体"/>
          <w:b/>
          <w:sz w:val="32"/>
          <w:szCs w:val="32"/>
        </w:rPr>
      </w:pPr>
      <w:r>
        <w:rPr>
          <w:rFonts w:ascii="宋体" w:hAnsi="宋体" w:cs="宋体" w:hint="eastAsia"/>
          <w:b/>
          <w:bCs/>
          <w:spacing w:val="40"/>
          <w:kern w:val="0"/>
          <w:sz w:val="32"/>
          <w:szCs w:val="32"/>
        </w:rPr>
        <w:lastRenderedPageBreak/>
        <w:t xml:space="preserve">第二部分 </w:t>
      </w:r>
      <w:r>
        <w:rPr>
          <w:rFonts w:ascii="宋体" w:hAnsi="宋体" w:hint="eastAsia"/>
          <w:b/>
          <w:spacing w:val="40"/>
          <w:sz w:val="32"/>
          <w:szCs w:val="32"/>
        </w:rPr>
        <w:t>2025年度部门决算说明</w:t>
      </w:r>
    </w:p>
    <w:p w:rsidR="004E76D1" w:rsidRDefault="004E76D1" w:rsidP="00587405">
      <w:pPr>
        <w:tabs>
          <w:tab w:val="center" w:pos="6979"/>
        </w:tabs>
        <w:spacing w:line="560" w:lineRule="exact"/>
        <w:ind w:firstLineChars="196" w:firstLine="551"/>
        <w:rPr>
          <w:rFonts w:ascii="黑体" w:eastAsia="黑体"/>
          <w:b/>
          <w:sz w:val="28"/>
          <w:szCs w:val="28"/>
        </w:rPr>
      </w:pPr>
    </w:p>
    <w:p w:rsidR="004E76D1" w:rsidRDefault="00C02E0D" w:rsidP="00587405">
      <w:pPr>
        <w:tabs>
          <w:tab w:val="center" w:pos="6979"/>
        </w:tabs>
        <w:spacing w:line="560" w:lineRule="exact"/>
        <w:ind w:firstLineChars="196" w:firstLine="551"/>
        <w:rPr>
          <w:rFonts w:ascii="黑体" w:eastAsia="黑体"/>
          <w:b/>
          <w:sz w:val="28"/>
          <w:szCs w:val="28"/>
        </w:rPr>
      </w:pPr>
      <w:r>
        <w:rPr>
          <w:rFonts w:ascii="黑体" w:eastAsia="黑体" w:hint="eastAsia"/>
          <w:b/>
          <w:sz w:val="28"/>
          <w:szCs w:val="28"/>
        </w:rPr>
        <w:t>一、部门/单位基本情况</w:t>
      </w:r>
    </w:p>
    <w:p w:rsidR="004E76D1" w:rsidRDefault="00C02E0D">
      <w:pPr>
        <w:tabs>
          <w:tab w:val="center" w:pos="6979"/>
        </w:tabs>
        <w:spacing w:line="560" w:lineRule="exact"/>
        <w:ind w:firstLineChars="250" w:firstLine="70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本部门职责情况</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1.负责贯彻落实市、区投资促进、招商引资、优化营商环境相关政策措施，协助区政府落实促进中关村自主创新示范区建设政策措施。</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2.负责本区投资促进、招商引资相关统筹协调和综合服务工作，统筹指导各镇街做好投资促进、招商引资相关工作。</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3.负责本区重点项目落地和园区招商引资工作，开展重点企业及项目的洽谈洽商，引入符合区域产业发展定位项目。</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4.承担本区重大招商引资活动的组织服务，举办投资促进推介活动，做好与市级重大招商引资推广活动的对接。</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5.负责宣传、推介本区投资环境，开展投资促进和招商引资的对外交流活动。</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6.负责研究本区投资促进、招商引资工作相关问题，并提出意见建议。</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7.负责本区招商引资企业数据库建设和相关数据的统计分析，以及涉及本单位财源建设考核指标相关工作。</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8.完成区委、区政府交办的其他任务。</w:t>
      </w:r>
    </w:p>
    <w:p w:rsidR="004E76D1" w:rsidRDefault="00C02E0D">
      <w:pPr>
        <w:tabs>
          <w:tab w:val="center" w:pos="6979"/>
        </w:tabs>
        <w:spacing w:line="560" w:lineRule="exact"/>
        <w:ind w:firstLineChars="250" w:firstLine="700"/>
        <w:rPr>
          <w:rFonts w:ascii="仿宋_GB2312" w:eastAsia="仿宋_GB2312"/>
          <w:sz w:val="28"/>
          <w:szCs w:val="28"/>
        </w:rPr>
      </w:pPr>
      <w:r>
        <w:rPr>
          <w:rFonts w:ascii="仿宋_GB2312" w:eastAsia="仿宋_GB2312" w:hint="eastAsia"/>
          <w:sz w:val="28"/>
          <w:szCs w:val="28"/>
        </w:rPr>
        <w:t>（二）机构</w:t>
      </w:r>
      <w:r>
        <w:rPr>
          <w:rFonts w:ascii="仿宋_GB2312" w:eastAsia="仿宋_GB2312"/>
          <w:sz w:val="28"/>
          <w:szCs w:val="28"/>
        </w:rPr>
        <w:t>设置</w:t>
      </w:r>
      <w:r>
        <w:rPr>
          <w:rFonts w:ascii="仿宋_GB2312" w:eastAsia="仿宋_GB2312" w:hint="eastAsia"/>
          <w:sz w:val="28"/>
          <w:szCs w:val="28"/>
        </w:rPr>
        <w:t>情况</w:t>
      </w:r>
    </w:p>
    <w:p w:rsidR="004E76D1" w:rsidRDefault="00C02E0D">
      <w:pPr>
        <w:spacing w:line="560" w:lineRule="exact"/>
        <w:ind w:firstLine="641"/>
        <w:rPr>
          <w:rFonts w:ascii="仿宋_GB2312" w:eastAsia="仿宋_GB2312"/>
          <w:sz w:val="28"/>
          <w:szCs w:val="28"/>
        </w:rPr>
      </w:pPr>
      <w:r>
        <w:rPr>
          <w:rFonts w:ascii="仿宋_GB2312" w:eastAsia="仿宋_GB2312" w:hint="eastAsia"/>
          <w:sz w:val="28"/>
          <w:szCs w:val="32"/>
        </w:rPr>
        <w:t>本部门共设9个内设机构，</w:t>
      </w:r>
      <w:r>
        <w:rPr>
          <w:rFonts w:ascii="仿宋_GB2312" w:eastAsia="仿宋_GB2312" w:hint="eastAsia"/>
          <w:sz w:val="28"/>
          <w:szCs w:val="28"/>
        </w:rPr>
        <w:t>下设0个事业单位。行政编制0名，实际0人；事业编制51名，实际46人；离退休人员20人，其中：离休0人，行政退休0人，事业退休20人；其他人员5人，其中：社会化用工5人。</w:t>
      </w:r>
    </w:p>
    <w:p w:rsidR="004E76D1" w:rsidRDefault="00C02E0D">
      <w:pPr>
        <w:tabs>
          <w:tab w:val="center" w:pos="6979"/>
        </w:tabs>
        <w:spacing w:line="560" w:lineRule="exact"/>
        <w:rPr>
          <w:rFonts w:ascii="黑体" w:eastAsia="黑体"/>
          <w:b/>
          <w:sz w:val="28"/>
          <w:szCs w:val="28"/>
        </w:rPr>
      </w:pPr>
      <w:r>
        <w:rPr>
          <w:rFonts w:ascii="仿宋_GB2312" w:eastAsia="仿宋_GB2312" w:hint="eastAsia"/>
          <w:b/>
          <w:sz w:val="32"/>
          <w:szCs w:val="32"/>
        </w:rPr>
        <w:lastRenderedPageBreak/>
        <w:t xml:space="preserve">   </w:t>
      </w:r>
      <w:r>
        <w:rPr>
          <w:rFonts w:ascii="黑体" w:eastAsia="黑体" w:hint="eastAsia"/>
          <w:b/>
          <w:sz w:val="28"/>
          <w:szCs w:val="28"/>
        </w:rPr>
        <w:t>二、收入支出决算总体情况说明</w:t>
      </w:r>
    </w:p>
    <w:p w:rsidR="004E76D1" w:rsidRDefault="00C02E0D">
      <w:pPr>
        <w:tabs>
          <w:tab w:val="center" w:pos="6979"/>
        </w:tabs>
        <w:spacing w:line="560" w:lineRule="exact"/>
        <w:ind w:firstLine="570"/>
        <w:rPr>
          <w:rFonts w:ascii="仿宋_GB2312" w:eastAsia="仿宋_GB2312"/>
          <w:sz w:val="28"/>
          <w:szCs w:val="28"/>
        </w:rPr>
      </w:pPr>
      <w:r>
        <w:rPr>
          <w:rFonts w:ascii="仿宋_GB2312" w:eastAsia="仿宋_GB2312" w:hint="eastAsia"/>
          <w:sz w:val="28"/>
          <w:szCs w:val="28"/>
        </w:rPr>
        <w:t>2025年度收、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851</w:t>
      </w:r>
      <w:r>
        <w:rPr>
          <w:rFonts w:ascii="仿宋_GB2312" w:eastAsia="仿宋_GB2312" w:hint="eastAsia"/>
          <w:sz w:val="28"/>
          <w:szCs w:val="28"/>
        </w:rPr>
        <w:t>,</w:t>
      </w:r>
      <w:r>
        <w:rPr>
          <w:rFonts w:ascii="仿宋_GB2312" w:eastAsia="仿宋_GB2312"/>
          <w:sz w:val="28"/>
          <w:szCs w:val="28"/>
        </w:rPr>
        <w:t>815.85</w:t>
      </w:r>
      <w:r>
        <w:rPr>
          <w:rFonts w:ascii="仿宋_GB2312" w:eastAsia="仿宋_GB2312" w:hint="eastAsia"/>
          <w:sz w:val="28"/>
          <w:szCs w:val="28"/>
        </w:rPr>
        <w:t>元，</w:t>
      </w:r>
      <w:r>
        <w:rPr>
          <w:rFonts w:ascii="仿宋_GB2312" w:eastAsia="仿宋_GB2312"/>
          <w:sz w:val="28"/>
          <w:szCs w:val="28"/>
        </w:rPr>
        <w:t>比上年</w:t>
      </w:r>
      <w:r>
        <w:rPr>
          <w:rFonts w:ascii="仿宋_GB2312" w:eastAsia="仿宋_GB2312" w:hint="eastAsia"/>
          <w:sz w:val="28"/>
          <w:szCs w:val="28"/>
        </w:rPr>
        <w:t>减少8,181,554.71元，下降30.3%。</w:t>
      </w:r>
    </w:p>
    <w:p w:rsidR="004E76D1" w:rsidRDefault="00C02E0D">
      <w:pPr>
        <w:tabs>
          <w:tab w:val="center" w:pos="6979"/>
        </w:tabs>
        <w:spacing w:line="560" w:lineRule="exact"/>
        <w:ind w:firstLine="57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收入决算</w:t>
      </w:r>
      <w:r>
        <w:rPr>
          <w:rFonts w:ascii="仿宋_GB2312" w:eastAsia="仿宋_GB2312"/>
          <w:sz w:val="28"/>
          <w:szCs w:val="28"/>
        </w:rPr>
        <w:t>说明</w:t>
      </w:r>
    </w:p>
    <w:p w:rsidR="004E76D1" w:rsidRDefault="00C02E0D">
      <w:pPr>
        <w:tabs>
          <w:tab w:val="center" w:pos="6979"/>
        </w:tabs>
        <w:spacing w:line="560" w:lineRule="exact"/>
        <w:ind w:firstLine="570"/>
        <w:rPr>
          <w:rFonts w:ascii="仿宋_GB2312" w:eastAsia="仿宋_GB2312"/>
          <w:sz w:val="28"/>
          <w:szCs w:val="28"/>
        </w:rPr>
      </w:pPr>
      <w:r>
        <w:rPr>
          <w:rFonts w:ascii="仿宋_GB2312" w:eastAsia="仿宋_GB2312" w:hint="eastAsia"/>
          <w:sz w:val="28"/>
          <w:szCs w:val="28"/>
        </w:rPr>
        <w:t>2025年度本年收入合计</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851</w:t>
      </w:r>
      <w:r>
        <w:rPr>
          <w:rFonts w:ascii="仿宋_GB2312" w:eastAsia="仿宋_GB2312" w:hint="eastAsia"/>
          <w:sz w:val="28"/>
          <w:szCs w:val="28"/>
        </w:rPr>
        <w:t>,</w:t>
      </w:r>
      <w:r>
        <w:rPr>
          <w:rFonts w:ascii="仿宋_GB2312" w:eastAsia="仿宋_GB2312"/>
          <w:sz w:val="28"/>
          <w:szCs w:val="28"/>
        </w:rPr>
        <w:t>815.85</w:t>
      </w:r>
      <w:r>
        <w:rPr>
          <w:rFonts w:ascii="仿宋_GB2312" w:eastAsia="仿宋_GB2312" w:hint="eastAsia"/>
          <w:sz w:val="28"/>
          <w:szCs w:val="28"/>
        </w:rPr>
        <w:t>元，</w:t>
      </w:r>
      <w:r>
        <w:rPr>
          <w:rFonts w:ascii="仿宋_GB2312" w:eastAsia="仿宋_GB2312"/>
          <w:sz w:val="28"/>
          <w:szCs w:val="28"/>
        </w:rPr>
        <w:t>比上年</w:t>
      </w:r>
      <w:r>
        <w:rPr>
          <w:rFonts w:ascii="仿宋_GB2312" w:eastAsia="仿宋_GB2312" w:hint="eastAsia"/>
          <w:sz w:val="28"/>
          <w:szCs w:val="28"/>
        </w:rPr>
        <w:t>减少7,694,346.9元，下降29.0%。</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1.财政拨款收入</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851</w:t>
      </w:r>
      <w:r>
        <w:rPr>
          <w:rFonts w:ascii="仿宋_GB2312" w:eastAsia="仿宋_GB2312" w:hint="eastAsia"/>
          <w:sz w:val="28"/>
          <w:szCs w:val="28"/>
        </w:rPr>
        <w:t>,</w:t>
      </w:r>
      <w:r>
        <w:rPr>
          <w:rFonts w:ascii="仿宋_GB2312" w:eastAsia="仿宋_GB2312"/>
          <w:sz w:val="28"/>
          <w:szCs w:val="28"/>
        </w:rPr>
        <w:t>815.85</w:t>
      </w:r>
      <w:r>
        <w:rPr>
          <w:rFonts w:ascii="仿宋_GB2312" w:eastAsia="仿宋_GB2312" w:hint="eastAsia"/>
          <w:sz w:val="28"/>
          <w:szCs w:val="28"/>
        </w:rPr>
        <w:t>元，占收入合计的100%。其中：一般公共预算财政拨款收入</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851</w:t>
      </w:r>
      <w:r>
        <w:rPr>
          <w:rFonts w:ascii="仿宋_GB2312" w:eastAsia="仿宋_GB2312" w:hint="eastAsia"/>
          <w:sz w:val="28"/>
          <w:szCs w:val="28"/>
        </w:rPr>
        <w:t>,</w:t>
      </w:r>
      <w:r>
        <w:rPr>
          <w:rFonts w:ascii="仿宋_GB2312" w:eastAsia="仿宋_GB2312"/>
          <w:sz w:val="28"/>
          <w:szCs w:val="28"/>
        </w:rPr>
        <w:t>815.85</w:t>
      </w:r>
      <w:r>
        <w:rPr>
          <w:rFonts w:ascii="仿宋_GB2312" w:eastAsia="仿宋_GB2312" w:hint="eastAsia"/>
          <w:sz w:val="28"/>
          <w:szCs w:val="28"/>
        </w:rPr>
        <w:t>元，占收入合计的100%；政府性基金预算财政拨款收入</w:t>
      </w:r>
      <w:r>
        <w:rPr>
          <w:rFonts w:ascii="仿宋_GB2312" w:eastAsia="仿宋_GB2312"/>
          <w:sz w:val="28"/>
          <w:szCs w:val="28"/>
        </w:rPr>
        <w:t>0</w:t>
      </w:r>
      <w:r>
        <w:rPr>
          <w:rFonts w:ascii="仿宋_GB2312" w:eastAsia="仿宋_GB2312" w:hint="eastAsia"/>
          <w:sz w:val="28"/>
          <w:szCs w:val="28"/>
        </w:rPr>
        <w:t>元，占收入合计的0%；国有资本经营预算财政拨款收入</w:t>
      </w:r>
      <w:r>
        <w:rPr>
          <w:rFonts w:ascii="仿宋_GB2312" w:eastAsia="仿宋_GB2312"/>
          <w:sz w:val="28"/>
          <w:szCs w:val="28"/>
        </w:rPr>
        <w:t>0</w:t>
      </w:r>
      <w:r>
        <w:rPr>
          <w:rFonts w:ascii="仿宋_GB2312" w:eastAsia="仿宋_GB2312" w:hint="eastAsia"/>
          <w:sz w:val="28"/>
          <w:szCs w:val="28"/>
        </w:rPr>
        <w:t>元，占收入合计的0%；</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2.上级补助收入</w:t>
      </w:r>
      <w:r>
        <w:rPr>
          <w:rFonts w:ascii="仿宋_GB2312" w:eastAsia="仿宋_GB2312"/>
          <w:sz w:val="28"/>
          <w:szCs w:val="28"/>
        </w:rPr>
        <w:t>0</w:t>
      </w:r>
      <w:r>
        <w:rPr>
          <w:rFonts w:ascii="仿宋_GB2312" w:eastAsia="仿宋_GB2312" w:hint="eastAsia"/>
          <w:sz w:val="28"/>
          <w:szCs w:val="28"/>
        </w:rPr>
        <w:t>元，占收入合计的0%；</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3.事业收入</w:t>
      </w:r>
      <w:r>
        <w:rPr>
          <w:rFonts w:ascii="仿宋_GB2312" w:eastAsia="仿宋_GB2312"/>
          <w:sz w:val="28"/>
          <w:szCs w:val="28"/>
        </w:rPr>
        <w:t>0</w:t>
      </w:r>
      <w:r>
        <w:rPr>
          <w:rFonts w:ascii="仿宋_GB2312" w:eastAsia="仿宋_GB2312" w:hint="eastAsia"/>
          <w:sz w:val="28"/>
          <w:szCs w:val="28"/>
        </w:rPr>
        <w:t>元，占收入合计的0%；</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4.经营收入</w:t>
      </w:r>
      <w:r>
        <w:rPr>
          <w:rFonts w:ascii="仿宋_GB2312" w:eastAsia="仿宋_GB2312"/>
          <w:sz w:val="28"/>
          <w:szCs w:val="28"/>
        </w:rPr>
        <w:t>0</w:t>
      </w:r>
      <w:r>
        <w:rPr>
          <w:rFonts w:ascii="仿宋_GB2312" w:eastAsia="仿宋_GB2312" w:hint="eastAsia"/>
          <w:sz w:val="28"/>
          <w:szCs w:val="28"/>
        </w:rPr>
        <w:t>元，占收入合计的0%；</w:t>
      </w:r>
      <w:bookmarkStart w:id="0" w:name="_GoBack"/>
      <w:bookmarkEnd w:id="0"/>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5.附属单位上缴收入</w:t>
      </w:r>
      <w:r>
        <w:rPr>
          <w:rFonts w:ascii="仿宋_GB2312" w:eastAsia="仿宋_GB2312"/>
          <w:sz w:val="28"/>
          <w:szCs w:val="28"/>
        </w:rPr>
        <w:t>0</w:t>
      </w:r>
      <w:r>
        <w:rPr>
          <w:rFonts w:ascii="仿宋_GB2312" w:eastAsia="仿宋_GB2312" w:hint="eastAsia"/>
          <w:sz w:val="28"/>
          <w:szCs w:val="28"/>
        </w:rPr>
        <w:t>元，占收入合计的0%；</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6.其他收入</w:t>
      </w:r>
      <w:r>
        <w:rPr>
          <w:rFonts w:ascii="仿宋_GB2312" w:eastAsia="仿宋_GB2312"/>
          <w:sz w:val="28"/>
          <w:szCs w:val="28"/>
        </w:rPr>
        <w:t>0</w:t>
      </w:r>
      <w:r>
        <w:rPr>
          <w:rFonts w:ascii="仿宋_GB2312" w:eastAsia="仿宋_GB2312" w:hint="eastAsia"/>
          <w:sz w:val="28"/>
          <w:szCs w:val="28"/>
        </w:rPr>
        <w:t>元，占收入合计的0%。</w:t>
      </w:r>
    </w:p>
    <w:p w:rsidR="004E76D1" w:rsidRDefault="00C02E0D">
      <w:pPr>
        <w:pStyle w:val="2"/>
        <w:jc w:val="center"/>
      </w:pPr>
      <w:r>
        <w:rPr>
          <w:rFonts w:ascii="仿宋_GB2312" w:eastAsia="仿宋_GB2312" w:hint="eastAsia"/>
          <w:color w:val="000000"/>
          <w:sz w:val="32"/>
        </w:rPr>
        <w:lastRenderedPageBreak/>
        <w:t>图1：收入决算</w:t>
      </w:r>
    </w:p>
    <w:p w:rsidR="004E76D1" w:rsidRDefault="00C02E0D">
      <w:pPr>
        <w:pStyle w:val="a3"/>
        <w:ind w:firstLine="420"/>
        <w:jc w:val="center"/>
      </w:pPr>
      <w:r>
        <w:rPr>
          <w:noProof/>
        </w:rPr>
        <w:drawing>
          <wp:inline distT="0" distB="0" distL="0" distR="0">
            <wp:extent cx="4036695" cy="2328545"/>
            <wp:effectExtent l="0" t="0" r="2095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E76D1" w:rsidRDefault="00C02E0D">
      <w:pPr>
        <w:tabs>
          <w:tab w:val="center" w:pos="6979"/>
        </w:tabs>
        <w:spacing w:line="560" w:lineRule="exact"/>
        <w:ind w:firstLine="573"/>
        <w:rPr>
          <w:rFonts w:ascii="仿宋_GB2312" w:eastAsia="仿宋_GB2312"/>
          <w:sz w:val="28"/>
          <w:szCs w:val="28"/>
        </w:rPr>
      </w:pPr>
      <w:r>
        <w:rPr>
          <w:rFonts w:ascii="仿宋_GB2312" w:eastAsia="仿宋_GB2312" w:hint="eastAsia"/>
          <w:sz w:val="28"/>
          <w:szCs w:val="28"/>
        </w:rPr>
        <w:t>（二</w:t>
      </w:r>
      <w:r>
        <w:rPr>
          <w:rFonts w:ascii="仿宋_GB2312" w:eastAsia="仿宋_GB2312"/>
          <w:sz w:val="28"/>
          <w:szCs w:val="28"/>
        </w:rPr>
        <w:t>）</w:t>
      </w:r>
      <w:r>
        <w:rPr>
          <w:rFonts w:ascii="仿宋_GB2312" w:eastAsia="仿宋_GB2312" w:hint="eastAsia"/>
          <w:sz w:val="28"/>
          <w:szCs w:val="28"/>
        </w:rPr>
        <w:t>支出决算</w:t>
      </w:r>
      <w:r>
        <w:rPr>
          <w:rFonts w:ascii="仿宋_GB2312" w:eastAsia="仿宋_GB2312"/>
          <w:sz w:val="28"/>
          <w:szCs w:val="28"/>
        </w:rPr>
        <w:t>说明</w:t>
      </w:r>
    </w:p>
    <w:p w:rsidR="004E76D1" w:rsidRDefault="00C02E0D">
      <w:pPr>
        <w:tabs>
          <w:tab w:val="center" w:pos="6979"/>
        </w:tabs>
        <w:spacing w:line="560" w:lineRule="exact"/>
        <w:ind w:firstLine="573"/>
        <w:rPr>
          <w:rFonts w:ascii="仿宋_GB2312" w:eastAsia="仿宋_GB2312"/>
          <w:sz w:val="28"/>
          <w:szCs w:val="28"/>
        </w:rPr>
      </w:pPr>
      <w:r>
        <w:rPr>
          <w:rFonts w:ascii="仿宋_GB2312" w:eastAsia="仿宋_GB2312" w:hint="eastAsia"/>
          <w:sz w:val="28"/>
          <w:szCs w:val="28"/>
        </w:rPr>
        <w:t>2025年度本年支出合计</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851</w:t>
      </w:r>
      <w:r>
        <w:rPr>
          <w:rFonts w:ascii="仿宋_GB2312" w:eastAsia="仿宋_GB2312" w:hint="eastAsia"/>
          <w:sz w:val="28"/>
          <w:szCs w:val="28"/>
        </w:rPr>
        <w:t>,</w:t>
      </w:r>
      <w:r>
        <w:rPr>
          <w:rFonts w:ascii="仿宋_GB2312" w:eastAsia="仿宋_GB2312"/>
          <w:sz w:val="28"/>
          <w:szCs w:val="28"/>
        </w:rPr>
        <w:t>815.85</w:t>
      </w:r>
      <w:r>
        <w:rPr>
          <w:rFonts w:ascii="仿宋_GB2312" w:eastAsia="仿宋_GB2312" w:hint="eastAsia"/>
          <w:sz w:val="28"/>
          <w:szCs w:val="28"/>
        </w:rPr>
        <w:t>元，</w:t>
      </w:r>
      <w:r>
        <w:rPr>
          <w:rFonts w:ascii="仿宋_GB2312" w:eastAsia="仿宋_GB2312"/>
          <w:sz w:val="28"/>
          <w:szCs w:val="28"/>
        </w:rPr>
        <w:t>比上年</w:t>
      </w:r>
      <w:r>
        <w:rPr>
          <w:rFonts w:ascii="仿宋_GB2312" w:eastAsia="仿宋_GB2312" w:hint="eastAsia"/>
          <w:sz w:val="28"/>
          <w:szCs w:val="28"/>
        </w:rPr>
        <w:t>减少8,181,554.71元，下降30.3%，其中：基本支出</w:t>
      </w:r>
      <w:r>
        <w:rPr>
          <w:rFonts w:ascii="仿宋_GB2312" w:eastAsia="仿宋_GB2312"/>
          <w:sz w:val="28"/>
          <w:szCs w:val="28"/>
        </w:rPr>
        <w:t>15</w:t>
      </w:r>
      <w:r>
        <w:rPr>
          <w:rFonts w:ascii="仿宋_GB2312" w:eastAsia="仿宋_GB2312" w:hint="eastAsia"/>
          <w:sz w:val="28"/>
          <w:szCs w:val="28"/>
        </w:rPr>
        <w:t>,</w:t>
      </w:r>
      <w:r>
        <w:rPr>
          <w:rFonts w:ascii="仿宋_GB2312" w:eastAsia="仿宋_GB2312"/>
          <w:sz w:val="28"/>
          <w:szCs w:val="28"/>
        </w:rPr>
        <w:t>993</w:t>
      </w:r>
      <w:r>
        <w:rPr>
          <w:rFonts w:ascii="仿宋_GB2312" w:eastAsia="仿宋_GB2312" w:hint="eastAsia"/>
          <w:sz w:val="28"/>
          <w:szCs w:val="28"/>
        </w:rPr>
        <w:t>,</w:t>
      </w:r>
      <w:r>
        <w:rPr>
          <w:rFonts w:ascii="仿宋_GB2312" w:eastAsia="仿宋_GB2312"/>
          <w:sz w:val="28"/>
          <w:szCs w:val="28"/>
        </w:rPr>
        <w:t>785.61</w:t>
      </w:r>
      <w:r>
        <w:rPr>
          <w:rFonts w:ascii="仿宋_GB2312" w:eastAsia="仿宋_GB2312" w:hint="eastAsia"/>
          <w:sz w:val="28"/>
          <w:szCs w:val="28"/>
        </w:rPr>
        <w:t>元，占支出合计的84.8%；项目支出</w:t>
      </w:r>
      <w:r>
        <w:rPr>
          <w:rFonts w:ascii="仿宋_GB2312" w:eastAsia="仿宋_GB2312"/>
          <w:sz w:val="28"/>
          <w:szCs w:val="28"/>
        </w:rPr>
        <w:t>2</w:t>
      </w:r>
      <w:r>
        <w:rPr>
          <w:rFonts w:ascii="仿宋_GB2312" w:eastAsia="仿宋_GB2312" w:hint="eastAsia"/>
          <w:sz w:val="28"/>
          <w:szCs w:val="28"/>
        </w:rPr>
        <w:t>,</w:t>
      </w:r>
      <w:r>
        <w:rPr>
          <w:rFonts w:ascii="仿宋_GB2312" w:eastAsia="仿宋_GB2312"/>
          <w:sz w:val="28"/>
          <w:szCs w:val="28"/>
        </w:rPr>
        <w:t>858</w:t>
      </w:r>
      <w:r>
        <w:rPr>
          <w:rFonts w:ascii="仿宋_GB2312" w:eastAsia="仿宋_GB2312" w:hint="eastAsia"/>
          <w:sz w:val="28"/>
          <w:szCs w:val="28"/>
        </w:rPr>
        <w:t>,</w:t>
      </w:r>
      <w:r>
        <w:rPr>
          <w:rFonts w:ascii="仿宋_GB2312" w:eastAsia="仿宋_GB2312"/>
          <w:sz w:val="28"/>
          <w:szCs w:val="28"/>
        </w:rPr>
        <w:t>030.24</w:t>
      </w:r>
      <w:r>
        <w:rPr>
          <w:rFonts w:ascii="仿宋_GB2312" w:eastAsia="仿宋_GB2312" w:hint="eastAsia"/>
          <w:sz w:val="28"/>
          <w:szCs w:val="28"/>
        </w:rPr>
        <w:t>元，占支出合计的15.2%;上缴上级支出</w:t>
      </w:r>
      <w:r>
        <w:rPr>
          <w:rFonts w:ascii="仿宋_GB2312" w:eastAsia="仿宋_GB2312"/>
          <w:sz w:val="28"/>
          <w:szCs w:val="28"/>
        </w:rPr>
        <w:t>0</w:t>
      </w:r>
      <w:r>
        <w:rPr>
          <w:rFonts w:ascii="仿宋_GB2312" w:eastAsia="仿宋_GB2312" w:hint="eastAsia"/>
          <w:sz w:val="28"/>
          <w:szCs w:val="28"/>
        </w:rPr>
        <w:t>元，占支出合计的0%；经营支出</w:t>
      </w:r>
      <w:r>
        <w:rPr>
          <w:rFonts w:ascii="仿宋_GB2312" w:eastAsia="仿宋_GB2312"/>
          <w:sz w:val="28"/>
          <w:szCs w:val="28"/>
        </w:rPr>
        <w:t>0</w:t>
      </w:r>
      <w:r>
        <w:rPr>
          <w:rFonts w:ascii="仿宋_GB2312" w:eastAsia="仿宋_GB2312" w:hint="eastAsia"/>
          <w:sz w:val="28"/>
          <w:szCs w:val="28"/>
        </w:rPr>
        <w:t>元，占支出合计的0%；对附属单位补助支出</w:t>
      </w:r>
      <w:r>
        <w:rPr>
          <w:rFonts w:ascii="仿宋_GB2312" w:eastAsia="仿宋_GB2312"/>
          <w:sz w:val="28"/>
          <w:szCs w:val="28"/>
        </w:rPr>
        <w:t>0</w:t>
      </w:r>
      <w:r>
        <w:rPr>
          <w:rFonts w:ascii="仿宋_GB2312" w:eastAsia="仿宋_GB2312" w:hint="eastAsia"/>
          <w:sz w:val="28"/>
          <w:szCs w:val="28"/>
        </w:rPr>
        <w:t>元，占支出合计的0%。</w:t>
      </w:r>
    </w:p>
    <w:p w:rsidR="004E76D1" w:rsidRDefault="00C02E0D" w:rsidP="00587405">
      <w:pPr>
        <w:pStyle w:val="2"/>
        <w:ind w:firstLineChars="1804" w:firstLine="5795"/>
        <w:rPr>
          <w:rFonts w:ascii="仿宋_GB2312" w:eastAsia="仿宋_GB2312"/>
          <w:color w:val="000000"/>
          <w:sz w:val="32"/>
        </w:rPr>
      </w:pPr>
      <w:r>
        <w:rPr>
          <w:rFonts w:ascii="仿宋_GB2312" w:eastAsia="仿宋_GB2312" w:hint="eastAsia"/>
          <w:color w:val="000000"/>
          <w:sz w:val="32"/>
        </w:rPr>
        <w:lastRenderedPageBreak/>
        <w:t>图2：支出决算</w:t>
      </w:r>
    </w:p>
    <w:p w:rsidR="004E76D1" w:rsidRDefault="00C02E0D">
      <w:pPr>
        <w:jc w:val="center"/>
        <w:rPr>
          <w:rFonts w:ascii="黑体" w:eastAsia="黑体"/>
          <w:b/>
          <w:sz w:val="28"/>
          <w:szCs w:val="28"/>
        </w:rPr>
      </w:pPr>
      <w:r>
        <w:rPr>
          <w:noProof/>
        </w:rPr>
        <w:drawing>
          <wp:inline distT="0" distB="0" distL="114300" distR="114300">
            <wp:extent cx="4572000" cy="2743200"/>
            <wp:effectExtent l="4445" t="4445" r="14605" b="14605"/>
            <wp:docPr id="1"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E76D1" w:rsidRDefault="00C02E0D" w:rsidP="00587405">
      <w:pPr>
        <w:tabs>
          <w:tab w:val="center" w:pos="6979"/>
        </w:tabs>
        <w:spacing w:line="560" w:lineRule="exact"/>
        <w:ind w:firstLineChars="196" w:firstLine="551"/>
        <w:rPr>
          <w:rFonts w:ascii="黑体" w:eastAsia="黑体"/>
          <w:b/>
          <w:sz w:val="28"/>
          <w:szCs w:val="28"/>
        </w:rPr>
      </w:pPr>
      <w:r>
        <w:rPr>
          <w:rFonts w:ascii="黑体" w:eastAsia="黑体" w:hint="eastAsia"/>
          <w:b/>
          <w:sz w:val="28"/>
          <w:szCs w:val="28"/>
        </w:rPr>
        <w:t>三</w:t>
      </w:r>
      <w:r>
        <w:rPr>
          <w:rFonts w:ascii="黑体" w:eastAsia="黑体"/>
          <w:b/>
          <w:sz w:val="28"/>
          <w:szCs w:val="28"/>
        </w:rPr>
        <w:t>、财政拨款</w:t>
      </w:r>
      <w:r>
        <w:rPr>
          <w:rFonts w:ascii="黑体" w:eastAsia="黑体" w:hint="eastAsia"/>
          <w:b/>
          <w:sz w:val="28"/>
          <w:szCs w:val="28"/>
        </w:rPr>
        <w:t>收入支出决算</w:t>
      </w:r>
      <w:r>
        <w:rPr>
          <w:rFonts w:ascii="黑体" w:eastAsia="黑体"/>
          <w:b/>
          <w:sz w:val="28"/>
          <w:szCs w:val="28"/>
        </w:rPr>
        <w:t>总体情况说明</w:t>
      </w:r>
    </w:p>
    <w:p w:rsidR="004E76D1" w:rsidRDefault="00C02E0D">
      <w:pPr>
        <w:tabs>
          <w:tab w:val="center" w:pos="6979"/>
        </w:tabs>
        <w:spacing w:line="560" w:lineRule="exact"/>
        <w:ind w:firstLine="570"/>
        <w:rPr>
          <w:rFonts w:ascii="仿宋_GB2312" w:eastAsia="仿宋_GB2312"/>
          <w:sz w:val="28"/>
          <w:szCs w:val="28"/>
        </w:rPr>
      </w:pPr>
      <w:r>
        <w:rPr>
          <w:rFonts w:ascii="仿宋_GB2312" w:eastAsia="仿宋_GB2312" w:hint="eastAsia"/>
          <w:sz w:val="28"/>
          <w:szCs w:val="28"/>
        </w:rPr>
        <w:t>2025年度财政拨款收、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851</w:t>
      </w:r>
      <w:r>
        <w:rPr>
          <w:rFonts w:ascii="仿宋_GB2312" w:eastAsia="仿宋_GB2312" w:hint="eastAsia"/>
          <w:sz w:val="28"/>
          <w:szCs w:val="28"/>
        </w:rPr>
        <w:t>,</w:t>
      </w:r>
      <w:r>
        <w:rPr>
          <w:rFonts w:ascii="仿宋_GB2312" w:eastAsia="仿宋_GB2312"/>
          <w:sz w:val="28"/>
          <w:szCs w:val="28"/>
        </w:rPr>
        <w:t>815.85</w:t>
      </w:r>
      <w:r>
        <w:rPr>
          <w:rFonts w:ascii="仿宋_GB2312" w:eastAsia="仿宋_GB2312" w:hint="eastAsia"/>
          <w:sz w:val="28"/>
          <w:szCs w:val="28"/>
        </w:rPr>
        <w:t>元，比上年减少</w:t>
      </w:r>
      <w:r>
        <w:rPr>
          <w:rFonts w:ascii="仿宋_GB2312" w:eastAsia="仿宋_GB2312"/>
          <w:sz w:val="28"/>
          <w:szCs w:val="28"/>
        </w:rPr>
        <w:t>比上年</w:t>
      </w:r>
      <w:r>
        <w:rPr>
          <w:rFonts w:ascii="仿宋_GB2312" w:eastAsia="仿宋_GB2312" w:hint="eastAsia"/>
          <w:sz w:val="28"/>
          <w:szCs w:val="28"/>
        </w:rPr>
        <w:t>减少8,181,554.71元，下降30.3%。主要原因：项目资金减少。</w:t>
      </w:r>
    </w:p>
    <w:p w:rsidR="004E76D1" w:rsidRDefault="00C02E0D" w:rsidP="00587405">
      <w:pPr>
        <w:tabs>
          <w:tab w:val="center" w:pos="6979"/>
        </w:tabs>
        <w:spacing w:line="560" w:lineRule="exact"/>
        <w:ind w:firstLineChars="196" w:firstLine="551"/>
        <w:rPr>
          <w:rFonts w:ascii="黑体" w:eastAsia="黑体"/>
          <w:b/>
          <w:sz w:val="28"/>
          <w:szCs w:val="28"/>
        </w:rPr>
      </w:pPr>
      <w:r>
        <w:rPr>
          <w:rFonts w:ascii="黑体" w:eastAsia="黑体" w:hint="eastAsia"/>
          <w:b/>
          <w:sz w:val="28"/>
          <w:szCs w:val="28"/>
        </w:rPr>
        <w:t>四、一般公共预算财政拨款支出决算情况说明</w:t>
      </w:r>
    </w:p>
    <w:p w:rsidR="004E76D1" w:rsidRDefault="00C02E0D">
      <w:pPr>
        <w:autoSpaceDE w:val="0"/>
        <w:autoSpaceDN w:val="0"/>
        <w:adjustRightInd w:val="0"/>
        <w:spacing w:line="560" w:lineRule="exact"/>
        <w:ind w:firstLineChars="200" w:firstLine="560"/>
        <w:jc w:val="left"/>
        <w:rPr>
          <w:rFonts w:ascii="仿宋_GB2312" w:eastAsia="仿宋_GB2312"/>
          <w:sz w:val="28"/>
          <w:szCs w:val="28"/>
        </w:rPr>
      </w:pPr>
      <w:r>
        <w:rPr>
          <w:rFonts w:ascii="仿宋_GB2312" w:eastAsia="仿宋_GB2312" w:hint="eastAsia"/>
          <w:sz w:val="28"/>
          <w:szCs w:val="28"/>
        </w:rPr>
        <w:t>（一）一般公共预算财政拨款支出决算总体情况</w:t>
      </w:r>
    </w:p>
    <w:p w:rsidR="004E76D1" w:rsidRDefault="00C02E0D">
      <w:pPr>
        <w:tabs>
          <w:tab w:val="center" w:pos="6979"/>
        </w:tabs>
        <w:spacing w:line="560" w:lineRule="exact"/>
        <w:ind w:firstLineChars="200" w:firstLine="560"/>
        <w:rPr>
          <w:rFonts w:ascii="仿宋_GB2312" w:eastAsia="仿宋_GB2312"/>
          <w:sz w:val="28"/>
          <w:szCs w:val="28"/>
        </w:rPr>
      </w:pPr>
      <w:r>
        <w:rPr>
          <w:rFonts w:ascii="仿宋_GB2312" w:eastAsia="仿宋_GB2312" w:hint="eastAsia"/>
          <w:sz w:val="28"/>
          <w:szCs w:val="28"/>
        </w:rPr>
        <w:t>2025年度一般公共预算财政拨款支出</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851</w:t>
      </w:r>
      <w:r>
        <w:rPr>
          <w:rFonts w:ascii="仿宋_GB2312" w:eastAsia="仿宋_GB2312" w:hint="eastAsia"/>
          <w:sz w:val="28"/>
          <w:szCs w:val="28"/>
        </w:rPr>
        <w:t>,</w:t>
      </w:r>
      <w:r>
        <w:rPr>
          <w:rFonts w:ascii="仿宋_GB2312" w:eastAsia="仿宋_GB2312"/>
          <w:sz w:val="28"/>
          <w:szCs w:val="28"/>
        </w:rPr>
        <w:t>815.85</w:t>
      </w:r>
      <w:r>
        <w:rPr>
          <w:rFonts w:ascii="仿宋_GB2312" w:eastAsia="仿宋_GB2312" w:hint="eastAsia"/>
          <w:sz w:val="28"/>
          <w:szCs w:val="28"/>
        </w:rPr>
        <w:t>元，主要用于以下方面（按大类）：社会保障和就业支出212,485.00元，占本年财政拨款支出1.1%；资源勘探工业信息等支出18,639,330.85元，占本年财政拨款支出98.9%。。</w:t>
      </w:r>
    </w:p>
    <w:p w:rsidR="004E76D1" w:rsidRDefault="00C02E0D">
      <w:pPr>
        <w:autoSpaceDE w:val="0"/>
        <w:autoSpaceDN w:val="0"/>
        <w:adjustRightInd w:val="0"/>
        <w:spacing w:line="560" w:lineRule="exact"/>
        <w:ind w:firstLineChars="200" w:firstLine="560"/>
        <w:jc w:val="left"/>
        <w:rPr>
          <w:rFonts w:ascii="仿宋_GB2312" w:eastAsia="仿宋_GB2312"/>
          <w:sz w:val="28"/>
          <w:szCs w:val="28"/>
        </w:rPr>
      </w:pPr>
      <w:r>
        <w:rPr>
          <w:rFonts w:ascii="仿宋_GB2312" w:eastAsia="仿宋_GB2312" w:hint="eastAsia"/>
          <w:sz w:val="28"/>
          <w:szCs w:val="28"/>
        </w:rPr>
        <w:lastRenderedPageBreak/>
        <w:t>（二）一般公共预算财政拨款支出决算具体情况</w:t>
      </w:r>
    </w:p>
    <w:p w:rsidR="004E76D1" w:rsidRDefault="00C02E0D">
      <w:pPr>
        <w:autoSpaceDE w:val="0"/>
        <w:autoSpaceDN w:val="0"/>
        <w:adjustRightInd w:val="0"/>
        <w:spacing w:line="560" w:lineRule="exact"/>
        <w:ind w:firstLineChars="200" w:firstLine="560"/>
        <w:jc w:val="left"/>
        <w:rPr>
          <w:rFonts w:ascii="仿宋_GB2312" w:eastAsia="仿宋_GB2312"/>
          <w:sz w:val="28"/>
          <w:szCs w:val="28"/>
        </w:rPr>
      </w:pPr>
      <w:r>
        <w:rPr>
          <w:rFonts w:ascii="仿宋_GB2312" w:eastAsia="仿宋_GB2312" w:hint="eastAsia"/>
          <w:sz w:val="28"/>
          <w:szCs w:val="28"/>
        </w:rPr>
        <w:t>1.“社会保障和就业支出”（类）2025年度年初预算204,088.00元，2025年度决算212,485.00元，完成年初预算的104.1%。</w:t>
      </w:r>
    </w:p>
    <w:p w:rsidR="004E76D1" w:rsidRDefault="00C02E0D">
      <w:pPr>
        <w:autoSpaceDE w:val="0"/>
        <w:autoSpaceDN w:val="0"/>
        <w:adjustRightInd w:val="0"/>
        <w:spacing w:line="560" w:lineRule="exact"/>
        <w:jc w:val="left"/>
        <w:rPr>
          <w:rFonts w:ascii="仿宋_GB2312" w:eastAsia="仿宋_GB2312"/>
          <w:sz w:val="28"/>
          <w:szCs w:val="28"/>
        </w:rPr>
      </w:pPr>
      <w:r>
        <w:rPr>
          <w:rFonts w:ascii="仿宋_GB2312" w:eastAsia="仿宋_GB2312" w:hint="eastAsia"/>
          <w:sz w:val="28"/>
          <w:szCs w:val="28"/>
        </w:rPr>
        <w:t>其中：</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“行政事业单位养老支出”（款，下同）2025年度年初预算204,088.00元，2025年度决算212,485.00元，完成年初预算的104.1%。主要原因：新增一名退休人员。</w:t>
      </w:r>
    </w:p>
    <w:p w:rsidR="004E76D1" w:rsidRDefault="00C02E0D">
      <w:pPr>
        <w:spacing w:line="560" w:lineRule="exact"/>
        <w:ind w:firstLineChars="200" w:firstLine="560"/>
        <w:rPr>
          <w:rFonts w:ascii="仿宋_GB2312" w:eastAsia="仿宋_GB2312"/>
          <w:color w:val="0000FF"/>
          <w:sz w:val="28"/>
          <w:szCs w:val="28"/>
        </w:rPr>
      </w:pPr>
      <w:r>
        <w:rPr>
          <w:rFonts w:ascii="仿宋_GB2312" w:eastAsia="仿宋_GB2312" w:hint="eastAsia"/>
          <w:sz w:val="28"/>
          <w:szCs w:val="28"/>
        </w:rPr>
        <w:t>2.“资源勘探工业信息”(类)2025年度年初预算16,693,350.57元，2025年度决算18,639,330.85元，完成年初预算的111.7%。其中：</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“制造业”（款）2025年度年初预算0元，2025年度决算20,291</w:t>
      </w:r>
      <w:r>
        <w:rPr>
          <w:rFonts w:ascii="仿宋_GB2312" w:eastAsia="仿宋_GB2312"/>
          <w:sz w:val="28"/>
          <w:szCs w:val="28"/>
        </w:rPr>
        <w:t>.</w:t>
      </w:r>
      <w:r>
        <w:rPr>
          <w:rFonts w:ascii="仿宋_GB2312" w:eastAsia="仿宋_GB2312" w:hint="eastAsia"/>
          <w:sz w:val="28"/>
          <w:szCs w:val="28"/>
        </w:rPr>
        <w:t>00元。主要原因：增加项目资金。</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“支持中小企业发展和管理支出”（款）2025年度年初预算16,693,350.57元，2025年度决算18,619,039.85元，完成年初预算的111.5%。主要原因：追加人员经费及项目资金。</w:t>
      </w:r>
    </w:p>
    <w:p w:rsidR="004E76D1" w:rsidRDefault="00C02E0D" w:rsidP="00587405">
      <w:pPr>
        <w:spacing w:line="560" w:lineRule="exact"/>
        <w:ind w:firstLineChars="200" w:firstLine="562"/>
        <w:rPr>
          <w:rFonts w:ascii="仿宋_GB2312" w:eastAsia="仿宋_GB2312"/>
          <w:sz w:val="28"/>
          <w:szCs w:val="28"/>
        </w:rPr>
      </w:pPr>
      <w:r>
        <w:rPr>
          <w:rFonts w:ascii="黑体" w:eastAsia="黑体" w:hint="eastAsia"/>
          <w:b/>
          <w:sz w:val="28"/>
          <w:szCs w:val="28"/>
        </w:rPr>
        <w:t>五、政府性基金预算财政拨款支出决算情况说明</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本部门无</w:t>
      </w:r>
      <w:r>
        <w:rPr>
          <w:rFonts w:ascii="仿宋_GB2312" w:eastAsia="仿宋_GB2312"/>
          <w:sz w:val="28"/>
          <w:szCs w:val="28"/>
        </w:rPr>
        <w:t>此项经费支出</w:t>
      </w:r>
      <w:r>
        <w:rPr>
          <w:rFonts w:ascii="仿宋_GB2312" w:eastAsia="仿宋_GB2312" w:hint="eastAsia"/>
          <w:sz w:val="28"/>
          <w:szCs w:val="28"/>
        </w:rPr>
        <w:t>。</w:t>
      </w:r>
    </w:p>
    <w:p w:rsidR="004E76D1" w:rsidRDefault="00C02E0D" w:rsidP="00587405">
      <w:pPr>
        <w:spacing w:line="560" w:lineRule="exact"/>
        <w:ind w:firstLineChars="200" w:firstLine="562"/>
        <w:rPr>
          <w:rFonts w:ascii="黑体" w:eastAsia="黑体"/>
          <w:b/>
          <w:sz w:val="28"/>
          <w:szCs w:val="28"/>
        </w:rPr>
      </w:pPr>
      <w:r>
        <w:rPr>
          <w:rFonts w:ascii="黑体" w:eastAsia="黑体" w:hint="eastAsia"/>
          <w:b/>
          <w:sz w:val="28"/>
          <w:szCs w:val="28"/>
        </w:rPr>
        <w:t>六、国有资本经营预算财</w:t>
      </w:r>
      <w:r>
        <w:rPr>
          <w:rFonts w:ascii="黑体" w:eastAsia="黑体"/>
          <w:b/>
          <w:sz w:val="28"/>
          <w:szCs w:val="28"/>
        </w:rPr>
        <w:t>政拨款</w:t>
      </w:r>
      <w:r>
        <w:rPr>
          <w:rFonts w:ascii="黑体" w:eastAsia="黑体" w:hint="eastAsia"/>
          <w:b/>
          <w:sz w:val="28"/>
          <w:szCs w:val="28"/>
        </w:rPr>
        <w:t>收支情况</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本部门无</w:t>
      </w:r>
      <w:r>
        <w:rPr>
          <w:rFonts w:ascii="仿宋_GB2312" w:eastAsia="仿宋_GB2312"/>
          <w:sz w:val="28"/>
          <w:szCs w:val="28"/>
        </w:rPr>
        <w:t>此项经费支出</w:t>
      </w:r>
      <w:r>
        <w:rPr>
          <w:rFonts w:ascii="仿宋_GB2312" w:eastAsia="仿宋_GB2312" w:hint="eastAsia"/>
          <w:sz w:val="28"/>
          <w:szCs w:val="28"/>
        </w:rPr>
        <w:t>。</w:t>
      </w:r>
    </w:p>
    <w:p w:rsidR="004E76D1" w:rsidRDefault="00C02E0D" w:rsidP="00587405">
      <w:pPr>
        <w:spacing w:line="560" w:lineRule="exact"/>
        <w:ind w:firstLineChars="196" w:firstLine="551"/>
        <w:rPr>
          <w:rFonts w:ascii="黑体" w:eastAsia="黑体"/>
          <w:sz w:val="28"/>
          <w:szCs w:val="28"/>
        </w:rPr>
      </w:pPr>
      <w:r>
        <w:rPr>
          <w:rFonts w:ascii="黑体" w:eastAsia="黑体" w:hint="eastAsia"/>
          <w:b/>
          <w:sz w:val="28"/>
          <w:szCs w:val="28"/>
        </w:rPr>
        <w:t>七、财政拨款基本支出决算情况说明</w:t>
      </w:r>
    </w:p>
    <w:p w:rsidR="004E76D1" w:rsidRDefault="00C02E0D" w:rsidP="00587405">
      <w:pPr>
        <w:tabs>
          <w:tab w:val="center" w:pos="6979"/>
        </w:tabs>
        <w:spacing w:line="560" w:lineRule="exact"/>
        <w:ind w:firstLineChars="196" w:firstLine="549"/>
        <w:rPr>
          <w:rFonts w:ascii="黑体" w:eastAsia="黑体"/>
          <w:b/>
          <w:sz w:val="28"/>
          <w:szCs w:val="28"/>
        </w:rPr>
      </w:pPr>
      <w:r>
        <w:rPr>
          <w:rFonts w:ascii="仿宋_GB2312" w:eastAsia="仿宋_GB2312" w:hint="eastAsia"/>
          <w:sz w:val="28"/>
          <w:szCs w:val="28"/>
        </w:rPr>
        <w:t>2025年度使用一般公共预算财政拨款安排基本支出</w:t>
      </w:r>
      <w:r>
        <w:rPr>
          <w:rFonts w:ascii="仿宋_GB2312" w:eastAsia="仿宋_GB2312"/>
          <w:sz w:val="28"/>
          <w:szCs w:val="28"/>
        </w:rPr>
        <w:t>15</w:t>
      </w:r>
      <w:r>
        <w:rPr>
          <w:rFonts w:ascii="仿宋_GB2312" w:eastAsia="仿宋_GB2312" w:hint="eastAsia"/>
          <w:sz w:val="28"/>
          <w:szCs w:val="28"/>
        </w:rPr>
        <w:t>,</w:t>
      </w:r>
      <w:r>
        <w:rPr>
          <w:rFonts w:ascii="仿宋_GB2312" w:eastAsia="仿宋_GB2312"/>
          <w:sz w:val="28"/>
          <w:szCs w:val="28"/>
        </w:rPr>
        <w:t>993</w:t>
      </w:r>
      <w:r>
        <w:rPr>
          <w:rFonts w:ascii="仿宋_GB2312" w:eastAsia="仿宋_GB2312" w:hint="eastAsia"/>
          <w:sz w:val="28"/>
          <w:szCs w:val="28"/>
        </w:rPr>
        <w:t>,</w:t>
      </w:r>
      <w:r>
        <w:rPr>
          <w:rFonts w:ascii="仿宋_GB2312" w:eastAsia="仿宋_GB2312"/>
          <w:sz w:val="28"/>
          <w:szCs w:val="28"/>
        </w:rPr>
        <w:t>785.61</w:t>
      </w:r>
      <w:r>
        <w:rPr>
          <w:rFonts w:ascii="仿宋_GB2312" w:eastAsia="仿宋_GB2312" w:hint="eastAsia"/>
          <w:sz w:val="28"/>
          <w:szCs w:val="28"/>
        </w:rPr>
        <w:t>元，使用政府性基金财政拨款安排基本支出</w:t>
      </w:r>
      <w:r>
        <w:rPr>
          <w:rFonts w:ascii="仿宋_GB2312" w:eastAsia="仿宋_GB2312"/>
          <w:sz w:val="28"/>
          <w:szCs w:val="28"/>
        </w:rPr>
        <w:t>0</w:t>
      </w:r>
      <w:r>
        <w:rPr>
          <w:rFonts w:ascii="仿宋_GB2312" w:eastAsia="仿宋_GB2312" w:hint="eastAsia"/>
          <w:sz w:val="28"/>
          <w:szCs w:val="28"/>
        </w:rPr>
        <w:t>元，（1）工资福利支出包括基本工资</w:t>
      </w:r>
      <w:r>
        <w:rPr>
          <w:rFonts w:ascii="仿宋_GB2312" w:eastAsia="仿宋_GB2312"/>
          <w:sz w:val="28"/>
          <w:szCs w:val="28"/>
        </w:rPr>
        <w:t>、津贴补贴、奖金、伙食补助费、绩效工资、</w:t>
      </w:r>
      <w:r>
        <w:rPr>
          <w:rFonts w:ascii="仿宋_GB2312" w:eastAsia="仿宋_GB2312" w:hint="eastAsia"/>
          <w:sz w:val="28"/>
          <w:szCs w:val="28"/>
        </w:rPr>
        <w:t>其他</w:t>
      </w:r>
      <w:r>
        <w:rPr>
          <w:rFonts w:ascii="仿宋_GB2312" w:eastAsia="仿宋_GB2312"/>
          <w:sz w:val="28"/>
          <w:szCs w:val="28"/>
        </w:rPr>
        <w:t>社会保障缴费、其他工资福利</w:t>
      </w:r>
      <w:r>
        <w:rPr>
          <w:rFonts w:ascii="仿宋_GB2312" w:eastAsia="仿宋_GB2312" w:hint="eastAsia"/>
          <w:sz w:val="28"/>
          <w:szCs w:val="28"/>
        </w:rPr>
        <w:t>等</w:t>
      </w:r>
      <w:r>
        <w:rPr>
          <w:rFonts w:ascii="仿宋_GB2312" w:eastAsia="仿宋_GB2312"/>
          <w:sz w:val="28"/>
          <w:szCs w:val="28"/>
        </w:rPr>
        <w:lastRenderedPageBreak/>
        <w:t>支出</w:t>
      </w:r>
      <w:r>
        <w:rPr>
          <w:rFonts w:ascii="仿宋_GB2312" w:eastAsia="仿宋_GB2312" w:hint="eastAsia"/>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ascii="仿宋_GB2312" w:eastAsia="仿宋_GB2312" w:hint="eastAsia"/>
          <w:sz w:val="28"/>
          <w:szCs w:val="28"/>
        </w:rPr>
        <w:t>用</w:t>
      </w:r>
      <w:r>
        <w:rPr>
          <w:rFonts w:ascii="仿宋_GB2312" w:eastAsia="仿宋_GB2312"/>
          <w:sz w:val="28"/>
          <w:szCs w:val="28"/>
        </w:rPr>
        <w:t>、其他商品和服务</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；（3）对个人和家庭补助支出包括</w:t>
      </w:r>
      <w:r>
        <w:rPr>
          <w:rFonts w:ascii="仿宋_GB2312" w:eastAsia="仿宋_GB2312"/>
          <w:sz w:val="28"/>
          <w:szCs w:val="28"/>
        </w:rPr>
        <w:t>离休费、退休费、抚恤金、生活补助、</w:t>
      </w:r>
      <w:r>
        <w:rPr>
          <w:rFonts w:ascii="仿宋_GB2312" w:eastAsia="仿宋_GB2312" w:hint="eastAsia"/>
          <w:sz w:val="28"/>
          <w:szCs w:val="28"/>
        </w:rPr>
        <w:t>救济费</w:t>
      </w:r>
      <w:r>
        <w:rPr>
          <w:rFonts w:ascii="仿宋_GB2312" w:eastAsia="仿宋_GB2312"/>
          <w:sz w:val="28"/>
          <w:szCs w:val="28"/>
        </w:rPr>
        <w:t>、医疗费</w:t>
      </w:r>
      <w:r>
        <w:rPr>
          <w:rFonts w:ascii="仿宋_GB2312" w:eastAsia="仿宋_GB2312" w:hint="eastAsia"/>
          <w:sz w:val="28"/>
          <w:szCs w:val="28"/>
        </w:rPr>
        <w:t>补助</w:t>
      </w:r>
      <w:r>
        <w:rPr>
          <w:rFonts w:ascii="仿宋_GB2312" w:eastAsia="仿宋_GB2312"/>
          <w:sz w:val="28"/>
          <w:szCs w:val="28"/>
        </w:rPr>
        <w:t>、助学金、奖励金</w:t>
      </w:r>
      <w:r>
        <w:rPr>
          <w:rFonts w:ascii="仿宋_GB2312" w:eastAsia="仿宋_GB2312" w:hint="eastAsia"/>
          <w:sz w:val="28"/>
          <w:szCs w:val="28"/>
        </w:rPr>
        <w:t>、</w:t>
      </w:r>
      <w:r>
        <w:rPr>
          <w:rFonts w:ascii="仿宋_GB2312" w:eastAsia="仿宋_GB2312"/>
          <w:sz w:val="28"/>
          <w:szCs w:val="28"/>
        </w:rPr>
        <w:t>其他对个人和家庭的补助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。（4）其他资本性支出包括</w:t>
      </w:r>
      <w:r>
        <w:rPr>
          <w:rFonts w:ascii="仿宋_GB2312" w:eastAsia="仿宋_GB2312"/>
          <w:sz w:val="28"/>
          <w:szCs w:val="28"/>
        </w:rPr>
        <w:t>办公设备购置、专用设备购置</w:t>
      </w:r>
      <w:r>
        <w:rPr>
          <w:rFonts w:ascii="仿宋_GB2312" w:eastAsia="仿宋_GB2312" w:hint="eastAsia"/>
          <w:sz w:val="28"/>
          <w:szCs w:val="28"/>
        </w:rPr>
        <w:t>等</w:t>
      </w:r>
      <w:r>
        <w:rPr>
          <w:rFonts w:ascii="仿宋_GB2312" w:eastAsia="仿宋_GB2312"/>
          <w:sz w:val="28"/>
          <w:szCs w:val="28"/>
        </w:rPr>
        <w:t>。</w:t>
      </w:r>
    </w:p>
    <w:p w:rsidR="004E76D1" w:rsidRDefault="00C02E0D">
      <w:pPr>
        <w:autoSpaceDE w:val="0"/>
        <w:autoSpaceDN w:val="0"/>
        <w:adjustRightInd w:val="0"/>
        <w:spacing w:line="560" w:lineRule="exact"/>
        <w:rPr>
          <w:rFonts w:ascii="宋体" w:hAnsi="宋体"/>
          <w:b/>
          <w:spacing w:val="40"/>
          <w:sz w:val="32"/>
          <w:szCs w:val="32"/>
        </w:rPr>
      </w:pPr>
      <w:r>
        <w:rPr>
          <w:rFonts w:ascii="仿宋_GB2312" w:eastAsia="仿宋_GB2312"/>
          <w:b/>
          <w:sz w:val="32"/>
          <w:szCs w:val="32"/>
        </w:rPr>
        <w:tab/>
      </w:r>
    </w:p>
    <w:p w:rsidR="004E76D1" w:rsidRDefault="00C02E0D">
      <w:pPr>
        <w:tabs>
          <w:tab w:val="center" w:pos="6979"/>
        </w:tabs>
        <w:spacing w:line="560" w:lineRule="exact"/>
        <w:jc w:val="center"/>
        <w:rPr>
          <w:rFonts w:ascii="宋体" w:hAnsi="宋体" w:cs="宋体"/>
          <w:b/>
          <w:spacing w:val="40"/>
          <w:kern w:val="0"/>
          <w:sz w:val="32"/>
          <w:szCs w:val="32"/>
        </w:rPr>
      </w:pPr>
      <w:r>
        <w:rPr>
          <w:rFonts w:ascii="宋体" w:hAnsi="宋体" w:cs="宋体" w:hint="eastAsia"/>
          <w:b/>
          <w:bCs/>
          <w:spacing w:val="40"/>
          <w:kern w:val="0"/>
          <w:sz w:val="32"/>
          <w:szCs w:val="32"/>
        </w:rPr>
        <w:t>第三部分</w:t>
      </w:r>
      <w:r>
        <w:rPr>
          <w:rFonts w:ascii="宋体" w:hAnsi="宋体" w:hint="eastAsia"/>
          <w:b/>
          <w:spacing w:val="40"/>
          <w:sz w:val="32"/>
          <w:szCs w:val="32"/>
        </w:rPr>
        <w:t>2025年度</w:t>
      </w:r>
      <w:r>
        <w:rPr>
          <w:rFonts w:ascii="宋体" w:hAnsi="宋体" w:cs="宋体" w:hint="eastAsia"/>
          <w:b/>
          <w:spacing w:val="40"/>
          <w:kern w:val="0"/>
          <w:sz w:val="32"/>
          <w:szCs w:val="32"/>
        </w:rPr>
        <w:t>其他重要事项的情况说明</w:t>
      </w:r>
    </w:p>
    <w:p w:rsidR="004E76D1" w:rsidRDefault="004E76D1">
      <w:pPr>
        <w:spacing w:line="560" w:lineRule="exact"/>
        <w:ind w:firstLineChars="200" w:firstLine="560"/>
        <w:rPr>
          <w:rFonts w:ascii="黑体" w:eastAsia="黑体"/>
          <w:sz w:val="28"/>
          <w:szCs w:val="28"/>
        </w:rPr>
      </w:pPr>
    </w:p>
    <w:p w:rsidR="004E76D1" w:rsidRDefault="00C02E0D">
      <w:pPr>
        <w:spacing w:line="560" w:lineRule="exact"/>
        <w:ind w:firstLineChars="200" w:firstLine="560"/>
        <w:rPr>
          <w:rFonts w:ascii="黑体" w:eastAsia="黑体"/>
          <w:sz w:val="28"/>
          <w:szCs w:val="28"/>
        </w:rPr>
      </w:pPr>
      <w:r>
        <w:rPr>
          <w:rFonts w:ascii="黑体" w:eastAsia="黑体" w:hint="eastAsia"/>
          <w:sz w:val="28"/>
          <w:szCs w:val="28"/>
        </w:rPr>
        <w:t>一、“三公”经费财政拨款决算情况</w:t>
      </w:r>
    </w:p>
    <w:p w:rsidR="004E76D1" w:rsidRDefault="00C02E0D">
      <w:pPr>
        <w:spacing w:line="560" w:lineRule="exact"/>
        <w:ind w:firstLine="600"/>
        <w:rPr>
          <w:rFonts w:ascii="仿宋_GB2312" w:eastAsia="仿宋_GB2312"/>
          <w:sz w:val="28"/>
          <w:szCs w:val="28"/>
        </w:rPr>
      </w:pPr>
      <w:r>
        <w:rPr>
          <w:rFonts w:ascii="仿宋_GB2312" w:eastAsia="仿宋_GB2312" w:hint="eastAsia"/>
          <w:sz w:val="28"/>
          <w:szCs w:val="28"/>
        </w:rPr>
        <w:t>2025年度“三公”经费财政拨款决算数</w:t>
      </w:r>
      <w:r>
        <w:rPr>
          <w:rFonts w:ascii="仿宋_GB2312" w:eastAsia="仿宋_GB2312"/>
          <w:sz w:val="28"/>
          <w:szCs w:val="28"/>
        </w:rPr>
        <w:t>416</w:t>
      </w:r>
      <w:r>
        <w:rPr>
          <w:rFonts w:ascii="仿宋_GB2312" w:eastAsia="仿宋_GB2312" w:hint="eastAsia"/>
          <w:sz w:val="28"/>
          <w:szCs w:val="28"/>
        </w:rPr>
        <w:t>,</w:t>
      </w:r>
      <w:r>
        <w:rPr>
          <w:rFonts w:ascii="仿宋_GB2312" w:eastAsia="仿宋_GB2312"/>
          <w:sz w:val="28"/>
          <w:szCs w:val="28"/>
        </w:rPr>
        <w:t>734.98</w:t>
      </w:r>
      <w:r>
        <w:rPr>
          <w:rFonts w:ascii="仿宋_GB2312" w:eastAsia="仿宋_GB2312" w:hint="eastAsia"/>
          <w:sz w:val="28"/>
          <w:szCs w:val="28"/>
        </w:rPr>
        <w:t>元，比2025年度“三公”经费财政拨款年初预算</w:t>
      </w:r>
      <w:r>
        <w:rPr>
          <w:rFonts w:ascii="仿宋_GB2312" w:eastAsia="仿宋_GB2312"/>
          <w:sz w:val="28"/>
          <w:szCs w:val="28"/>
        </w:rPr>
        <w:t>94</w:t>
      </w:r>
      <w:r>
        <w:rPr>
          <w:rFonts w:ascii="仿宋_GB2312" w:eastAsia="仿宋_GB2312" w:hint="eastAsia"/>
          <w:sz w:val="28"/>
          <w:szCs w:val="28"/>
        </w:rPr>
        <w:t>,</w:t>
      </w:r>
      <w:r>
        <w:rPr>
          <w:rFonts w:ascii="仿宋_GB2312" w:eastAsia="仿宋_GB2312"/>
          <w:sz w:val="28"/>
          <w:szCs w:val="28"/>
        </w:rPr>
        <w:t>800</w:t>
      </w:r>
      <w:r>
        <w:rPr>
          <w:rFonts w:ascii="仿宋_GB2312" w:eastAsia="仿宋_GB2312" w:hint="eastAsia"/>
          <w:sz w:val="28"/>
          <w:szCs w:val="28"/>
        </w:rPr>
        <w:t>.00元增加</w:t>
      </w:r>
      <w:r>
        <w:rPr>
          <w:rFonts w:ascii="仿宋_GB2312" w:eastAsia="仿宋_GB2312"/>
          <w:sz w:val="28"/>
          <w:szCs w:val="28"/>
        </w:rPr>
        <w:t>321</w:t>
      </w:r>
      <w:r>
        <w:rPr>
          <w:rFonts w:ascii="仿宋_GB2312" w:eastAsia="仿宋_GB2312" w:hint="eastAsia"/>
          <w:sz w:val="28"/>
          <w:szCs w:val="28"/>
        </w:rPr>
        <w:t>,</w:t>
      </w:r>
      <w:r>
        <w:rPr>
          <w:rFonts w:ascii="仿宋_GB2312" w:eastAsia="仿宋_GB2312"/>
          <w:sz w:val="28"/>
          <w:szCs w:val="28"/>
        </w:rPr>
        <w:t>934.98</w:t>
      </w:r>
      <w:r>
        <w:rPr>
          <w:rFonts w:ascii="仿宋_GB2312" w:eastAsia="仿宋_GB2312" w:hint="eastAsia"/>
          <w:sz w:val="28"/>
          <w:szCs w:val="28"/>
        </w:rPr>
        <w:t>元。其中：</w:t>
      </w:r>
    </w:p>
    <w:p w:rsidR="004E76D1" w:rsidRDefault="00C02E0D">
      <w:pPr>
        <w:spacing w:line="560" w:lineRule="exact"/>
        <w:ind w:firstLine="600"/>
        <w:rPr>
          <w:rFonts w:ascii="仿宋_GB2312" w:eastAsia="仿宋_GB2312"/>
          <w:sz w:val="28"/>
          <w:szCs w:val="28"/>
        </w:rPr>
      </w:pPr>
      <w:r>
        <w:rPr>
          <w:rFonts w:ascii="仿宋_GB2312" w:eastAsia="仿宋_GB2312" w:hint="eastAsia"/>
          <w:sz w:val="28"/>
          <w:szCs w:val="28"/>
        </w:rPr>
        <w:t>1.因公出国（境）费用。2025年度决算数</w:t>
      </w:r>
      <w:r>
        <w:rPr>
          <w:rFonts w:ascii="仿宋_GB2312" w:eastAsia="仿宋_GB2312"/>
          <w:sz w:val="28"/>
          <w:szCs w:val="28"/>
        </w:rPr>
        <w:t>362</w:t>
      </w:r>
      <w:r>
        <w:rPr>
          <w:rFonts w:ascii="仿宋_GB2312" w:eastAsia="仿宋_GB2312" w:hint="eastAsia"/>
          <w:sz w:val="28"/>
          <w:szCs w:val="28"/>
        </w:rPr>
        <w:t>,</w:t>
      </w:r>
      <w:r>
        <w:rPr>
          <w:rFonts w:ascii="仿宋_GB2312" w:eastAsia="仿宋_GB2312"/>
          <w:sz w:val="28"/>
          <w:szCs w:val="28"/>
        </w:rPr>
        <w:t>734.98</w:t>
      </w:r>
      <w:r>
        <w:rPr>
          <w:rFonts w:ascii="仿宋_GB2312" w:eastAsia="仿宋_GB2312" w:hint="eastAsia"/>
          <w:sz w:val="28"/>
          <w:szCs w:val="28"/>
        </w:rPr>
        <w:t>元，比2025年度年初预算数</w:t>
      </w:r>
      <w:r>
        <w:rPr>
          <w:rFonts w:ascii="仿宋_GB2312" w:eastAsia="仿宋_GB2312"/>
          <w:sz w:val="28"/>
          <w:szCs w:val="28"/>
        </w:rPr>
        <w:t>0</w:t>
      </w:r>
      <w:r>
        <w:rPr>
          <w:rFonts w:ascii="仿宋_GB2312" w:eastAsia="仿宋_GB2312" w:hint="eastAsia"/>
          <w:sz w:val="28"/>
          <w:szCs w:val="28"/>
        </w:rPr>
        <w:t>元增加</w:t>
      </w:r>
      <w:r>
        <w:rPr>
          <w:rFonts w:ascii="仿宋_GB2312" w:eastAsia="仿宋_GB2312"/>
          <w:sz w:val="28"/>
          <w:szCs w:val="28"/>
        </w:rPr>
        <w:t>362</w:t>
      </w:r>
      <w:r>
        <w:rPr>
          <w:rFonts w:ascii="仿宋_GB2312" w:eastAsia="仿宋_GB2312" w:hint="eastAsia"/>
          <w:sz w:val="28"/>
          <w:szCs w:val="28"/>
        </w:rPr>
        <w:t>,</w:t>
      </w:r>
      <w:r>
        <w:rPr>
          <w:rFonts w:ascii="仿宋_GB2312" w:eastAsia="仿宋_GB2312"/>
          <w:sz w:val="28"/>
          <w:szCs w:val="28"/>
        </w:rPr>
        <w:t>734.98</w:t>
      </w:r>
      <w:r>
        <w:rPr>
          <w:rFonts w:ascii="仿宋_GB2312" w:eastAsia="仿宋_GB2312" w:hint="eastAsia"/>
          <w:sz w:val="28"/>
          <w:szCs w:val="28"/>
        </w:rPr>
        <w:t>元。主要原因：组织赴日本、英国开展投资促进活动项目；2025年度因公出国（境）费用主要用于</w:t>
      </w:r>
      <w:r>
        <w:rPr>
          <w:rFonts w:ascii="仿宋_GB2312" w:eastAsia="仿宋_GB2312" w:hint="eastAsia"/>
          <w:color w:val="000000"/>
          <w:sz w:val="28"/>
          <w:szCs w:val="28"/>
        </w:rPr>
        <w:t>机票、住宿、伙食、公杂、国外城市间交通费、签证费、翻译费、保险</w:t>
      </w:r>
      <w:r>
        <w:rPr>
          <w:rFonts w:ascii="仿宋_GB2312" w:eastAsia="仿宋_GB2312" w:hint="eastAsia"/>
          <w:sz w:val="28"/>
          <w:szCs w:val="28"/>
        </w:rPr>
        <w:t>等方面等方面，2025年度组织因公出国（境）团组1个、7人次。</w:t>
      </w:r>
    </w:p>
    <w:p w:rsidR="004E76D1" w:rsidRDefault="00C02E0D">
      <w:pPr>
        <w:spacing w:line="560" w:lineRule="exact"/>
        <w:ind w:firstLine="600"/>
        <w:rPr>
          <w:rFonts w:ascii="仿宋_GB2312" w:eastAsia="仿宋_GB2312"/>
          <w:sz w:val="28"/>
          <w:szCs w:val="28"/>
        </w:rPr>
      </w:pPr>
      <w:r>
        <w:rPr>
          <w:rFonts w:ascii="仿宋_GB2312" w:eastAsia="仿宋_GB2312" w:hint="eastAsia"/>
          <w:sz w:val="28"/>
          <w:szCs w:val="28"/>
        </w:rPr>
        <w:t>2.公务接待费。2025年度决算数</w:t>
      </w:r>
      <w:r>
        <w:rPr>
          <w:rFonts w:ascii="仿宋_GB2312" w:eastAsia="仿宋_GB2312"/>
          <w:sz w:val="28"/>
          <w:szCs w:val="28"/>
        </w:rPr>
        <w:t>0</w:t>
      </w:r>
      <w:r>
        <w:rPr>
          <w:rFonts w:ascii="仿宋_GB2312" w:eastAsia="仿宋_GB2312" w:hint="eastAsia"/>
          <w:sz w:val="28"/>
          <w:szCs w:val="28"/>
        </w:rPr>
        <w:t>元，比2025年度年初预算数</w:t>
      </w:r>
      <w:r>
        <w:rPr>
          <w:rFonts w:ascii="仿宋_GB2312" w:eastAsia="仿宋_GB2312"/>
          <w:sz w:val="28"/>
          <w:szCs w:val="28"/>
        </w:rPr>
        <w:t>40</w:t>
      </w:r>
      <w:r>
        <w:rPr>
          <w:rFonts w:ascii="仿宋_GB2312" w:eastAsia="仿宋_GB2312" w:hint="eastAsia"/>
          <w:sz w:val="28"/>
          <w:szCs w:val="28"/>
        </w:rPr>
        <w:t>,</w:t>
      </w:r>
      <w:r>
        <w:rPr>
          <w:rFonts w:ascii="仿宋_GB2312" w:eastAsia="仿宋_GB2312"/>
          <w:sz w:val="28"/>
          <w:szCs w:val="28"/>
        </w:rPr>
        <w:t>800</w:t>
      </w:r>
      <w:r>
        <w:rPr>
          <w:rFonts w:ascii="仿宋_GB2312" w:eastAsia="仿宋_GB2312" w:hint="eastAsia"/>
          <w:sz w:val="28"/>
          <w:szCs w:val="28"/>
        </w:rPr>
        <w:t>.00元减少</w:t>
      </w:r>
      <w:r>
        <w:rPr>
          <w:rFonts w:ascii="仿宋_GB2312" w:eastAsia="仿宋_GB2312"/>
          <w:sz w:val="28"/>
          <w:szCs w:val="28"/>
        </w:rPr>
        <w:t>40</w:t>
      </w:r>
      <w:r>
        <w:rPr>
          <w:rFonts w:ascii="仿宋_GB2312" w:eastAsia="仿宋_GB2312" w:hint="eastAsia"/>
          <w:sz w:val="28"/>
          <w:szCs w:val="28"/>
        </w:rPr>
        <w:t>,</w:t>
      </w:r>
      <w:r>
        <w:rPr>
          <w:rFonts w:ascii="仿宋_GB2312" w:eastAsia="仿宋_GB2312"/>
          <w:sz w:val="28"/>
          <w:szCs w:val="28"/>
        </w:rPr>
        <w:t>800</w:t>
      </w:r>
      <w:r>
        <w:rPr>
          <w:rFonts w:ascii="仿宋_GB2312" w:eastAsia="仿宋_GB2312" w:hint="eastAsia"/>
          <w:sz w:val="28"/>
          <w:szCs w:val="28"/>
        </w:rPr>
        <w:t>.00元。主要原因：</w:t>
      </w:r>
      <w:r>
        <w:rPr>
          <w:rFonts w:ascii="仿宋_GB2312" w:eastAsia="仿宋_GB2312" w:hint="eastAsia"/>
          <w:color w:val="000000"/>
          <w:sz w:val="28"/>
          <w:szCs w:val="28"/>
        </w:rPr>
        <w:t>未开展公务接待活动</w:t>
      </w:r>
      <w:r>
        <w:rPr>
          <w:rFonts w:ascii="仿宋_GB2312" w:eastAsia="仿宋_GB2312" w:hint="eastAsia"/>
          <w:sz w:val="28"/>
          <w:szCs w:val="28"/>
        </w:rPr>
        <w:t>。</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3.公务用车购置及运行维护费。2025年度决算数</w:t>
      </w:r>
      <w:r>
        <w:rPr>
          <w:rFonts w:ascii="仿宋_GB2312" w:eastAsia="仿宋_GB2312"/>
          <w:sz w:val="28"/>
          <w:szCs w:val="28"/>
        </w:rPr>
        <w:t>54</w:t>
      </w:r>
      <w:r>
        <w:rPr>
          <w:rFonts w:ascii="仿宋_GB2312" w:eastAsia="仿宋_GB2312" w:hint="eastAsia"/>
          <w:sz w:val="28"/>
          <w:szCs w:val="28"/>
        </w:rPr>
        <w:t>,</w:t>
      </w:r>
      <w:r>
        <w:rPr>
          <w:rFonts w:ascii="仿宋_GB2312" w:eastAsia="仿宋_GB2312"/>
          <w:sz w:val="28"/>
          <w:szCs w:val="28"/>
        </w:rPr>
        <w:t>000</w:t>
      </w:r>
      <w:r>
        <w:rPr>
          <w:rFonts w:ascii="仿宋_GB2312" w:eastAsia="仿宋_GB2312" w:hint="eastAsia"/>
          <w:sz w:val="28"/>
          <w:szCs w:val="28"/>
        </w:rPr>
        <w:t>.00元，比2025年度年初预算数</w:t>
      </w:r>
      <w:r>
        <w:rPr>
          <w:rFonts w:ascii="仿宋_GB2312" w:eastAsia="仿宋_GB2312"/>
          <w:sz w:val="28"/>
          <w:szCs w:val="28"/>
        </w:rPr>
        <w:t>54</w:t>
      </w:r>
      <w:r>
        <w:rPr>
          <w:rFonts w:ascii="仿宋_GB2312" w:eastAsia="仿宋_GB2312" w:hint="eastAsia"/>
          <w:sz w:val="28"/>
          <w:szCs w:val="28"/>
        </w:rPr>
        <w:t>,</w:t>
      </w:r>
      <w:r>
        <w:rPr>
          <w:rFonts w:ascii="仿宋_GB2312" w:eastAsia="仿宋_GB2312"/>
          <w:sz w:val="28"/>
          <w:szCs w:val="28"/>
        </w:rPr>
        <w:t>000</w:t>
      </w:r>
      <w:r>
        <w:rPr>
          <w:rFonts w:ascii="仿宋_GB2312" w:eastAsia="仿宋_GB2312" w:hint="eastAsia"/>
          <w:sz w:val="28"/>
          <w:szCs w:val="28"/>
        </w:rPr>
        <w:t>.00元一致。其中，</w:t>
      </w:r>
      <w:r>
        <w:rPr>
          <w:rFonts w:ascii="仿宋_GB2312" w:eastAsia="仿宋_GB2312" w:hint="eastAsia"/>
          <w:sz w:val="28"/>
          <w:szCs w:val="28"/>
        </w:rPr>
        <w:lastRenderedPageBreak/>
        <w:t>公务用车运行维护费2025年度决算数54,000.00元，主要原因：支付</w:t>
      </w:r>
      <w:r>
        <w:rPr>
          <w:rFonts w:ascii="仿宋_GB2312" w:eastAsia="仿宋_GB2312" w:hint="eastAsia"/>
          <w:color w:val="000000"/>
          <w:sz w:val="28"/>
          <w:szCs w:val="28"/>
        </w:rPr>
        <w:t>公车维修费、保险及燃油费等</w:t>
      </w:r>
      <w:r>
        <w:rPr>
          <w:rFonts w:ascii="仿宋_GB2312" w:eastAsia="仿宋_GB2312" w:hint="eastAsia"/>
          <w:sz w:val="28"/>
          <w:szCs w:val="28"/>
        </w:rPr>
        <w:t>。2025年度公务用车保有量</w:t>
      </w:r>
      <w:r>
        <w:rPr>
          <w:rFonts w:ascii="仿宋_GB2312" w:eastAsia="仿宋_GB2312"/>
          <w:sz w:val="28"/>
          <w:szCs w:val="28"/>
        </w:rPr>
        <w:t>3</w:t>
      </w:r>
      <w:r>
        <w:rPr>
          <w:rFonts w:ascii="仿宋_GB2312" w:eastAsia="仿宋_GB2312" w:hint="eastAsia"/>
          <w:sz w:val="28"/>
          <w:szCs w:val="28"/>
        </w:rPr>
        <w:t>辆。</w:t>
      </w:r>
    </w:p>
    <w:p w:rsidR="004E76D1" w:rsidRDefault="00C02E0D">
      <w:pPr>
        <w:tabs>
          <w:tab w:val="center" w:pos="6979"/>
        </w:tabs>
        <w:spacing w:line="560" w:lineRule="exact"/>
        <w:ind w:firstLineChars="198" w:firstLine="554"/>
        <w:rPr>
          <w:rFonts w:ascii="黑体" w:eastAsia="黑体"/>
          <w:sz w:val="28"/>
          <w:szCs w:val="28"/>
        </w:rPr>
      </w:pPr>
      <w:r>
        <w:rPr>
          <w:rFonts w:ascii="黑体" w:eastAsia="黑体" w:hint="eastAsia"/>
          <w:sz w:val="28"/>
          <w:szCs w:val="28"/>
        </w:rPr>
        <w:t>二、机关运行经费支出情况</w:t>
      </w:r>
    </w:p>
    <w:p w:rsidR="004E76D1" w:rsidRDefault="00C02E0D" w:rsidP="00587405">
      <w:pPr>
        <w:spacing w:line="560" w:lineRule="exact"/>
        <w:ind w:firstLineChars="192" w:firstLine="538"/>
        <w:rPr>
          <w:rFonts w:ascii="仿宋_GB2312" w:eastAsia="仿宋_GB2312"/>
          <w:sz w:val="28"/>
          <w:szCs w:val="28"/>
        </w:rPr>
      </w:pPr>
      <w:r>
        <w:rPr>
          <w:rFonts w:ascii="仿宋_GB2312" w:eastAsia="仿宋_GB2312" w:hint="eastAsia"/>
          <w:sz w:val="28"/>
          <w:szCs w:val="28"/>
        </w:rPr>
        <w:t>本部门2025年无机关运行经费。</w:t>
      </w:r>
    </w:p>
    <w:p w:rsidR="004E76D1" w:rsidRDefault="00C02E0D">
      <w:pPr>
        <w:spacing w:line="560" w:lineRule="exact"/>
        <w:ind w:left="540"/>
        <w:rPr>
          <w:rFonts w:ascii="黑体" w:eastAsia="黑体"/>
          <w:sz w:val="28"/>
          <w:szCs w:val="28"/>
        </w:rPr>
      </w:pPr>
      <w:r>
        <w:rPr>
          <w:rFonts w:ascii="黑体" w:eastAsia="黑体" w:hint="eastAsia"/>
          <w:sz w:val="28"/>
          <w:szCs w:val="28"/>
        </w:rPr>
        <w:t>三、政府采购支出情况</w:t>
      </w:r>
    </w:p>
    <w:p w:rsidR="004E76D1" w:rsidRDefault="00C02E0D" w:rsidP="00587405">
      <w:pPr>
        <w:spacing w:line="560" w:lineRule="exact"/>
        <w:ind w:firstLineChars="192" w:firstLine="538"/>
        <w:rPr>
          <w:rFonts w:ascii="仿宋_GB2312" w:eastAsia="仿宋_GB2312"/>
          <w:sz w:val="28"/>
          <w:szCs w:val="28"/>
        </w:rPr>
      </w:pPr>
      <w:r>
        <w:rPr>
          <w:rFonts w:ascii="仿宋_GB2312" w:eastAsia="仿宋_GB2312" w:hint="eastAsia"/>
          <w:sz w:val="28"/>
          <w:szCs w:val="28"/>
        </w:rPr>
        <w:t>2025年度政府采购支出总额</w:t>
      </w:r>
      <w:r>
        <w:rPr>
          <w:rFonts w:ascii="仿宋_GB2312" w:eastAsia="仿宋_GB2312"/>
          <w:sz w:val="28"/>
          <w:szCs w:val="28"/>
        </w:rPr>
        <w:t>259</w:t>
      </w:r>
      <w:r>
        <w:rPr>
          <w:rFonts w:ascii="仿宋_GB2312" w:eastAsia="仿宋_GB2312" w:hint="eastAsia"/>
          <w:sz w:val="28"/>
          <w:szCs w:val="28"/>
        </w:rPr>
        <w:t>,</w:t>
      </w:r>
      <w:r>
        <w:rPr>
          <w:rFonts w:ascii="仿宋_GB2312" w:eastAsia="仿宋_GB2312"/>
          <w:sz w:val="28"/>
          <w:szCs w:val="28"/>
        </w:rPr>
        <w:t>250.77</w:t>
      </w:r>
      <w:r>
        <w:rPr>
          <w:rFonts w:ascii="仿宋_GB2312" w:eastAsia="仿宋_GB2312" w:hint="eastAsia"/>
          <w:sz w:val="28"/>
          <w:szCs w:val="28"/>
        </w:rPr>
        <w:t>元，其中：政府采购货物支出</w:t>
      </w:r>
      <w:r>
        <w:rPr>
          <w:rFonts w:ascii="仿宋_GB2312" w:eastAsia="仿宋_GB2312"/>
          <w:sz w:val="28"/>
          <w:szCs w:val="28"/>
        </w:rPr>
        <w:t>80</w:t>
      </w:r>
      <w:r>
        <w:rPr>
          <w:rFonts w:ascii="仿宋_GB2312" w:eastAsia="仿宋_GB2312" w:hint="eastAsia"/>
          <w:sz w:val="28"/>
          <w:szCs w:val="28"/>
        </w:rPr>
        <w:t>,</w:t>
      </w:r>
      <w:r>
        <w:rPr>
          <w:rFonts w:ascii="仿宋_GB2312" w:eastAsia="仿宋_GB2312"/>
          <w:sz w:val="28"/>
          <w:szCs w:val="28"/>
        </w:rPr>
        <w:t>779.2</w:t>
      </w:r>
      <w:r>
        <w:rPr>
          <w:rFonts w:ascii="仿宋_GB2312" w:eastAsia="仿宋_GB2312" w:hint="eastAsia"/>
          <w:sz w:val="28"/>
          <w:szCs w:val="28"/>
        </w:rPr>
        <w:t>0元，政府采购工程支出</w:t>
      </w:r>
      <w:r>
        <w:rPr>
          <w:rFonts w:ascii="仿宋_GB2312" w:eastAsia="仿宋_GB2312"/>
          <w:sz w:val="28"/>
          <w:szCs w:val="28"/>
        </w:rPr>
        <w:t>0</w:t>
      </w:r>
      <w:r>
        <w:rPr>
          <w:rFonts w:ascii="仿宋_GB2312" w:eastAsia="仿宋_GB2312" w:hint="eastAsia"/>
          <w:sz w:val="28"/>
          <w:szCs w:val="28"/>
        </w:rPr>
        <w:t>元，政府采购服务支出</w:t>
      </w:r>
      <w:r>
        <w:rPr>
          <w:rFonts w:ascii="仿宋_GB2312" w:eastAsia="仿宋_GB2312"/>
          <w:sz w:val="28"/>
          <w:szCs w:val="28"/>
        </w:rPr>
        <w:t>178</w:t>
      </w:r>
      <w:r>
        <w:rPr>
          <w:rFonts w:ascii="仿宋_GB2312" w:eastAsia="仿宋_GB2312" w:hint="eastAsia"/>
          <w:sz w:val="28"/>
          <w:szCs w:val="28"/>
        </w:rPr>
        <w:t>,</w:t>
      </w:r>
      <w:r>
        <w:rPr>
          <w:rFonts w:ascii="仿宋_GB2312" w:eastAsia="仿宋_GB2312"/>
          <w:sz w:val="28"/>
          <w:szCs w:val="28"/>
        </w:rPr>
        <w:t>471.57</w:t>
      </w:r>
      <w:r>
        <w:rPr>
          <w:rFonts w:ascii="仿宋_GB2312" w:eastAsia="仿宋_GB2312" w:hint="eastAsia"/>
          <w:sz w:val="28"/>
          <w:szCs w:val="28"/>
        </w:rPr>
        <w:t>元。授予中小企业合同金额</w:t>
      </w:r>
      <w:r>
        <w:rPr>
          <w:rFonts w:ascii="仿宋_GB2312" w:eastAsia="仿宋_GB2312"/>
          <w:sz w:val="28"/>
          <w:szCs w:val="28"/>
        </w:rPr>
        <w:t>198</w:t>
      </w:r>
      <w:r>
        <w:rPr>
          <w:rFonts w:ascii="仿宋_GB2312" w:eastAsia="仿宋_GB2312" w:hint="eastAsia"/>
          <w:sz w:val="28"/>
          <w:szCs w:val="28"/>
        </w:rPr>
        <w:t>,</w:t>
      </w:r>
      <w:r>
        <w:rPr>
          <w:rFonts w:ascii="仿宋_GB2312" w:eastAsia="仿宋_GB2312"/>
          <w:sz w:val="28"/>
          <w:szCs w:val="28"/>
        </w:rPr>
        <w:t>804.3</w:t>
      </w:r>
      <w:r>
        <w:rPr>
          <w:rFonts w:ascii="仿宋_GB2312" w:eastAsia="仿宋_GB2312" w:hint="eastAsia"/>
          <w:sz w:val="28"/>
          <w:szCs w:val="28"/>
        </w:rPr>
        <w:t>0元，占政府采购支出总额的76.7%，其中：授予小微企业合同金额</w:t>
      </w:r>
      <w:r>
        <w:rPr>
          <w:rFonts w:ascii="仿宋_GB2312" w:eastAsia="仿宋_GB2312"/>
          <w:sz w:val="28"/>
          <w:szCs w:val="28"/>
        </w:rPr>
        <w:t>196</w:t>
      </w:r>
      <w:r>
        <w:rPr>
          <w:rFonts w:ascii="仿宋_GB2312" w:eastAsia="仿宋_GB2312" w:hint="eastAsia"/>
          <w:sz w:val="28"/>
          <w:szCs w:val="28"/>
        </w:rPr>
        <w:t>,</w:t>
      </w:r>
      <w:r>
        <w:rPr>
          <w:rFonts w:ascii="仿宋_GB2312" w:eastAsia="仿宋_GB2312"/>
          <w:sz w:val="28"/>
          <w:szCs w:val="28"/>
        </w:rPr>
        <w:t>794.3</w:t>
      </w:r>
      <w:r>
        <w:rPr>
          <w:rFonts w:ascii="仿宋_GB2312" w:eastAsia="仿宋_GB2312" w:hint="eastAsia"/>
          <w:sz w:val="28"/>
          <w:szCs w:val="28"/>
        </w:rPr>
        <w:t>0元，占政府采购支出总额的</w:t>
      </w:r>
      <w:r>
        <w:rPr>
          <w:rFonts w:ascii="仿宋_GB2312" w:eastAsia="仿宋_GB2312"/>
          <w:sz w:val="28"/>
          <w:szCs w:val="28"/>
        </w:rPr>
        <w:t>75.9</w:t>
      </w:r>
      <w:r>
        <w:rPr>
          <w:rFonts w:ascii="仿宋_GB2312" w:eastAsia="仿宋_GB2312" w:hint="eastAsia"/>
          <w:sz w:val="28"/>
          <w:szCs w:val="28"/>
        </w:rPr>
        <w:t>%。</w:t>
      </w:r>
    </w:p>
    <w:p w:rsidR="004E76D1" w:rsidRDefault="00C02E0D">
      <w:pPr>
        <w:spacing w:line="560" w:lineRule="exact"/>
        <w:ind w:firstLineChars="200" w:firstLine="560"/>
        <w:rPr>
          <w:rFonts w:ascii="黑体" w:eastAsia="黑体"/>
          <w:sz w:val="28"/>
          <w:szCs w:val="28"/>
          <w:highlight w:val="yellow"/>
        </w:rPr>
      </w:pPr>
      <w:r>
        <w:rPr>
          <w:rFonts w:ascii="黑体" w:eastAsia="黑体" w:hint="eastAsia"/>
          <w:sz w:val="28"/>
          <w:szCs w:val="28"/>
        </w:rPr>
        <w:t>四、国有资产占用情况</w:t>
      </w:r>
    </w:p>
    <w:p w:rsidR="004E76D1" w:rsidRDefault="00C02E0D">
      <w:pPr>
        <w:spacing w:line="560" w:lineRule="exact"/>
        <w:ind w:firstLineChars="200" w:firstLine="560"/>
        <w:rPr>
          <w:rFonts w:ascii="仿宋_GB2312" w:eastAsia="仿宋_GB2312"/>
          <w:sz w:val="32"/>
          <w:szCs w:val="32"/>
        </w:rPr>
      </w:pPr>
      <w:r>
        <w:rPr>
          <w:rFonts w:ascii="仿宋_GB2312" w:eastAsia="仿宋_GB2312" w:hint="eastAsia"/>
          <w:sz w:val="28"/>
          <w:szCs w:val="28"/>
        </w:rPr>
        <w:t>截至12月31日，北京市门头沟区投资促进服务中心（部门）共有车辆3台；单位价值100</w:t>
      </w:r>
      <w:r w:rsidR="00587405">
        <w:rPr>
          <w:rFonts w:ascii="仿宋_GB2312" w:eastAsia="仿宋_GB2312" w:hint="eastAsia"/>
          <w:sz w:val="28"/>
          <w:szCs w:val="28"/>
        </w:rPr>
        <w:t>万</w:t>
      </w:r>
      <w:r>
        <w:rPr>
          <w:rFonts w:ascii="仿宋_GB2312" w:eastAsia="仿宋_GB2312" w:hint="eastAsia"/>
          <w:sz w:val="28"/>
          <w:szCs w:val="28"/>
        </w:rPr>
        <w:t>元（含）以上的设备0台（套）。</w:t>
      </w:r>
    </w:p>
    <w:p w:rsidR="004E76D1" w:rsidRDefault="00C02E0D">
      <w:pPr>
        <w:spacing w:line="560" w:lineRule="exact"/>
        <w:ind w:firstLineChars="200" w:firstLine="560"/>
        <w:jc w:val="left"/>
        <w:rPr>
          <w:rFonts w:ascii="仿宋_GB2312" w:eastAsia="仿宋_GB2312"/>
          <w:color w:val="000000"/>
          <w:sz w:val="32"/>
          <w:szCs w:val="32"/>
        </w:rPr>
      </w:pPr>
      <w:r>
        <w:rPr>
          <w:rFonts w:ascii="黑体" w:eastAsia="黑体" w:hint="eastAsia"/>
          <w:sz w:val="28"/>
          <w:szCs w:val="28"/>
        </w:rPr>
        <w:t>五、</w:t>
      </w:r>
      <w:r>
        <w:rPr>
          <w:rFonts w:ascii="黑体" w:eastAsia="黑体"/>
          <w:sz w:val="28"/>
          <w:szCs w:val="28"/>
        </w:rPr>
        <w:t>专业名词解释</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1.基本支出：指为保障机构正常运转、完成日常工作任务而发生的人员支出和公用支出。</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2.项目支出：指在基本支出之外为完成特定行政任务或事业发展目标所发生的支出。</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3.“三公”经费：是指单位通过财政拨款资金安排的因公出国（境）费、公务用车购置及运行费和公务接待费。</w:t>
      </w:r>
    </w:p>
    <w:p w:rsidR="004E76D1" w:rsidRDefault="00C02E0D">
      <w:pPr>
        <w:spacing w:line="560" w:lineRule="exact"/>
        <w:ind w:firstLineChars="200" w:firstLine="560"/>
      </w:pPr>
      <w:r>
        <w:rPr>
          <w:rFonts w:ascii="仿宋_GB2312" w:eastAsia="仿宋_GB2312" w:hint="eastAsia"/>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lastRenderedPageBreak/>
        <w:t>5.政府采购：指各级国家机关、事业单位和团体组织，使用财政性资金采购依法制定的集中目录以内的或者采购限额标准以上的货物、工程和服务的行为，是规范财政支出管理和强化预算约束的有效措施。</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6.各单位需根据自身业务职能，补充当年使用的所有支出功能分类项级科目名词解释，例如：</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社会保障和就业支出（类）行政事业单位养老支出（款）事业单位离退休（项）：反映事业单位开支的离退休经费。</w:t>
      </w: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资源勘探工业信息等支出（类）制造业（款）其他制造业支出（项）：反映除行政运行、一般行政管理事务、机关服务、纺织业、医药制造业、非金属矿物制品业、通信设备、计算机及其他电子设备制造业、交通运输设备制造业、电气机械及器材制造业、工艺品及其他制造业、石油加工、炼焦及核燃料加工业、化学原料及化学制品制造业、黑色金属冶炼及压延加工业、有色金属冶炼及压延加工业等项目以外其他用于制造业方面的支出。</w:t>
      </w:r>
    </w:p>
    <w:p w:rsidR="004E76D1" w:rsidRDefault="00C02E0D">
      <w:pPr>
        <w:spacing w:line="560" w:lineRule="exact"/>
        <w:ind w:firstLineChars="200" w:firstLine="560"/>
        <w:rPr>
          <w:rFonts w:ascii="仿宋_GB2312" w:eastAsia="仿宋_GB2312"/>
          <w:bCs/>
          <w:sz w:val="28"/>
          <w:szCs w:val="28"/>
        </w:rPr>
      </w:pPr>
      <w:r>
        <w:rPr>
          <w:rFonts w:ascii="仿宋_GB2312" w:eastAsia="仿宋_GB2312" w:hint="eastAsia"/>
          <w:sz w:val="28"/>
          <w:szCs w:val="28"/>
        </w:rPr>
        <w:t>资源勘探工业信息等支出（类）支持中小企业发展和管理支出（款）其他支持中小企业发展和管理支出（项）：反映除行政运行、一般行政管理事务、机关服务、科技型中小企业技术创新基金、中小企业发展专项、减免房租补贴等项目以外其他用于支持中小企业发展和管理方面的支出。</w:t>
      </w:r>
    </w:p>
    <w:p w:rsidR="004E76D1" w:rsidRDefault="004E76D1">
      <w:pPr>
        <w:rPr>
          <w:rFonts w:ascii="黑体" w:eastAsia="黑体"/>
          <w:sz w:val="32"/>
          <w:szCs w:val="32"/>
        </w:rPr>
      </w:pPr>
    </w:p>
    <w:p w:rsidR="004E76D1" w:rsidRDefault="00C02E0D" w:rsidP="00587405">
      <w:pPr>
        <w:tabs>
          <w:tab w:val="center" w:pos="6979"/>
        </w:tabs>
        <w:spacing w:line="560" w:lineRule="exact"/>
        <w:ind w:firstLineChars="200" w:firstLine="643"/>
        <w:jc w:val="center"/>
        <w:rPr>
          <w:rFonts w:asciiTheme="minorEastAsia" w:eastAsiaTheme="minorEastAsia" w:hAnsiTheme="minorEastAsia"/>
          <w:b/>
          <w:color w:val="FF0000"/>
          <w:sz w:val="36"/>
          <w:szCs w:val="36"/>
        </w:rPr>
      </w:pPr>
      <w:r>
        <w:rPr>
          <w:rFonts w:asciiTheme="minorEastAsia" w:eastAsiaTheme="minorEastAsia" w:hAnsiTheme="minorEastAsia" w:hint="eastAsia"/>
          <w:b/>
          <w:sz w:val="32"/>
          <w:szCs w:val="32"/>
        </w:rPr>
        <w:t>第四部分2025年度部门绩效评价情况</w:t>
      </w:r>
    </w:p>
    <w:p w:rsidR="004E76D1" w:rsidRDefault="004E76D1">
      <w:pPr>
        <w:tabs>
          <w:tab w:val="center" w:pos="6979"/>
        </w:tabs>
        <w:spacing w:line="560" w:lineRule="exact"/>
        <w:ind w:firstLineChars="200" w:firstLine="560"/>
        <w:jc w:val="center"/>
        <w:rPr>
          <w:rFonts w:ascii="华文中宋" w:eastAsia="华文中宋" w:hAnsi="华文中宋"/>
          <w:sz w:val="28"/>
          <w:szCs w:val="28"/>
        </w:rPr>
      </w:pPr>
    </w:p>
    <w:p w:rsidR="004E76D1" w:rsidRDefault="00C02E0D">
      <w:pPr>
        <w:spacing w:line="560" w:lineRule="exact"/>
        <w:ind w:firstLineChars="200" w:firstLine="560"/>
        <w:rPr>
          <w:rFonts w:ascii="黑体" w:eastAsia="黑体" w:hAnsi="黑体"/>
          <w:sz w:val="28"/>
          <w:szCs w:val="28"/>
        </w:rPr>
      </w:pPr>
      <w:r>
        <w:rPr>
          <w:rFonts w:ascii="黑体" w:eastAsia="黑体" w:hint="eastAsia"/>
          <w:sz w:val="28"/>
          <w:szCs w:val="28"/>
        </w:rPr>
        <w:t xml:space="preserve"> </w:t>
      </w:r>
      <w:r>
        <w:rPr>
          <w:rFonts w:ascii="黑体" w:eastAsia="黑体" w:hAnsi="黑体" w:hint="eastAsia"/>
          <w:sz w:val="28"/>
          <w:szCs w:val="28"/>
        </w:rPr>
        <w:t>一、部门整体绩效评价报告</w:t>
      </w:r>
    </w:p>
    <w:p w:rsidR="004E76D1" w:rsidRDefault="00C02E0D">
      <w:pPr>
        <w:spacing w:line="560" w:lineRule="exact"/>
        <w:ind w:firstLine="640"/>
        <w:rPr>
          <w:rFonts w:ascii="楷体_GB2312" w:eastAsia="楷体_GB2312" w:hAnsi="Calibri"/>
          <w:b/>
          <w:sz w:val="28"/>
          <w:szCs w:val="28"/>
        </w:rPr>
      </w:pPr>
      <w:r>
        <w:rPr>
          <w:rFonts w:ascii="楷体_GB2312" w:eastAsia="楷体_GB2312" w:hint="eastAsia"/>
          <w:b/>
          <w:sz w:val="28"/>
          <w:szCs w:val="28"/>
        </w:rPr>
        <w:t>（一）部门概况</w:t>
      </w:r>
    </w:p>
    <w:p w:rsidR="004E76D1" w:rsidRDefault="00C02E0D">
      <w:pPr>
        <w:spacing w:line="560" w:lineRule="exact"/>
        <w:ind w:firstLine="640"/>
        <w:rPr>
          <w:rFonts w:ascii="仿宋_GB2312" w:eastAsia="仿宋_GB2312"/>
          <w:sz w:val="28"/>
          <w:szCs w:val="28"/>
        </w:rPr>
      </w:pPr>
      <w:bookmarkStart w:id="1" w:name="_Toc268005755"/>
      <w:r>
        <w:rPr>
          <w:rFonts w:ascii="仿宋_GB2312" w:eastAsia="仿宋_GB2312" w:hint="eastAsia"/>
          <w:sz w:val="28"/>
          <w:szCs w:val="28"/>
        </w:rPr>
        <w:lastRenderedPageBreak/>
        <w:t>1.部门职责情况</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负责贯彻落实市、区投资促进、招商引资、优化营商环境相关政策措施，协助区政府落实促进中关村自主创新示范区建设政策措施。负责本区投资促进、招商引资相关统筹协调和综合服务工作，统筹指导各镇街做好投资促进、招商引资相关工作。负责本区重点项目落地和园区招商引资工作，开展重点企业及项目的洽谈洽商，引入符合区域产业发展定位项目。承担本区重大招商引资活动的组织服务，举办投资促进推介活动，做好与市级重大招商引资推广活动的对接。负责宣传、推介本区投资环境，开展投资促进和招商引资的对外交流活动。负责研究本区投资促进、招商引资工作相关问题，并提出意见建议。负责本区招商引资企业数据库建设和相关数据的统计分析，以及涉及本单位财源建设考核指标相关工作。完成区委、区政府交办的其他任务。</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2.部门机构设置情况</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本部门共设9个内设机构，下设0个事业单位。行政编制0名，实际0人；事业编制51名，实际46人；离退休人员20人，其中：离休0人，行政退休0人，事业退休20人；其他人员5人，其中：社会化用工5人。</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3.2025年主要工作任务</w:t>
      </w:r>
    </w:p>
    <w:p w:rsidR="004E76D1" w:rsidRDefault="00C02E0D">
      <w:pPr>
        <w:spacing w:line="560" w:lineRule="exact"/>
        <w:ind w:firstLine="641"/>
        <w:rPr>
          <w:rFonts w:ascii="仿宋_GB2312" w:eastAsia="仿宋_GB2312"/>
          <w:sz w:val="28"/>
          <w:szCs w:val="28"/>
        </w:rPr>
      </w:pPr>
      <w:r>
        <w:rPr>
          <w:rFonts w:ascii="仿宋_GB2312" w:eastAsia="仿宋_GB2312" w:hint="eastAsia"/>
          <w:sz w:val="28"/>
          <w:szCs w:val="28"/>
        </w:rPr>
        <w:t>市级任务完成情况</w:t>
      </w:r>
    </w:p>
    <w:p w:rsidR="004E76D1" w:rsidRDefault="00C02E0D">
      <w:pPr>
        <w:spacing w:line="560" w:lineRule="exact"/>
        <w:ind w:firstLine="641"/>
        <w:rPr>
          <w:rFonts w:ascii="仿宋_GB2312" w:eastAsia="仿宋_GB2312"/>
          <w:sz w:val="28"/>
          <w:szCs w:val="28"/>
        </w:rPr>
      </w:pPr>
      <w:r>
        <w:rPr>
          <w:rFonts w:ascii="仿宋_GB2312" w:eastAsia="仿宋_GB2312" w:hint="eastAsia"/>
          <w:sz w:val="28"/>
          <w:szCs w:val="28"/>
        </w:rPr>
        <w:t>（1）市投资促进工作专班任务完成情况。2025年，市投资促进工作专班下达了纳入市政府绩效考核的五项指标，在区商务局、区市场监管局等部门协作下，全力攻坚，五项指标已全面超额完成：落地亿元以上内资项目投资总额全年任务为38亿元，已完成169亿元，完成全年任务444.7%；落地100万美元以上外资项目投资总额全年任务为3823万美元，已完成13561万美元，完成年度任务354.7%；落地100万美元以上外资项目数量全年任务为5个，已完成8个，完</w:t>
      </w:r>
      <w:r>
        <w:rPr>
          <w:rFonts w:ascii="仿宋_GB2312" w:eastAsia="仿宋_GB2312" w:hint="eastAsia"/>
          <w:sz w:val="28"/>
          <w:szCs w:val="28"/>
        </w:rPr>
        <w:lastRenderedPageBreak/>
        <w:t>成全年任务160%；落地亿元以上内资项目数量全年任务20个，已完成27个，完成全年任务135%；落地高潜项目数量全年任务13个，已完成21个，完成年度任务161.5%。</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（2）财源任务完成情况</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区投促中心承担的市级考核指标为三年新设企业贡献。2025年1-12月，三年新设企业地方级收入3.43亿元，完成年度任务（地方级收入3亿元）的114.3%，超额完成年度任务。</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招商引资整体情况</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企业招引量质突破，主导产业集群显现。2025年1-12月新招引企业1621家，同比增长53.4%。招引央国企子公司29家，高新企业23家，外资企业9家，专精特新企业6家。围绕三大主导产业，对照产业图谱“按图索骥”，新引进三大主导产业企业200家，同比增长55%。其中人工智能领域企业140家，医疗药械领域企业44家，数字视听领域企业16家。以链主企业为核心，累计引入百洋生态链企业67家，其中2025年16家。</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实体集聚势能强劲，招引成效双破新高。2025年已成功落地86家实体企业，较去年增加68.6%，租赁办公空间1.62万平方米，是去年的239%。新落地专精特新企业首旅慧联打造英国冷冻食品巨头Iceland亚太首店，上海专精特新企业熙香艺享建成全市首个AI厨房。</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全周期服务，招商成果加速转化。一是构建重商亲商爱商的营商新环境。区投促中心在上半年优化营商环境监测评价中企业评价得分97.23分，全区排名第一。围绕“服务包市级加分重点任务”，服务区级服务包企业134家，配备43名服务管家，共解决企业诉求250项，办结率百分百，协助区发改委落实市级考核加分项3项并实现加分4分。落实高层次人才引进工作，报送首旅慧联、拾光书房等22家企业人才引进需求28人、留学生引进需求2人。申报九识智能、</w:t>
      </w:r>
      <w:r>
        <w:rPr>
          <w:rFonts w:ascii="仿宋_GB2312" w:eastAsia="仿宋_GB2312" w:hint="eastAsia"/>
          <w:sz w:val="28"/>
          <w:szCs w:val="28"/>
        </w:rPr>
        <w:lastRenderedPageBreak/>
        <w:t>银河互联网等6家企业应届生人才引进指标22人次。二是构建“引育服”一体化全链条服务体系。尚方清洁能源前三季度税收2.35亿元同比增长75倍，中交一公局等企业税收实现倍式增长。幸福能量健康科技等5家企业获评2025年度北京市“专精特新”中小企业，蓝卫通、北特圣迪等4家企业认定2025年国家级专精特新“小巨人”企业。蜜度信息等20家企业实现升规纳统，九识智能、凯斯利康、益普索3家企业入选北京市外资研发中心认定名单，招商成果持续赋能区域经济发展。</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以学促干，铸造京西“招商铁军”。一是强化党建引领，持续学习习近平新时代中国特色社会主义思想、中央八项规定精神及区情时事等内容，以党建引领招商引资工作提质增效。二是联合委办局、镇街围绕三大产业邀请企业家、专家进行专业知识培训。三是请相关产业部门进行政策法规培训。四是持续开展招商业务“大比武”等活动，对干部进行业务技能培训。另外，每年组织全区招商干部赴经济发达地区进行“转观念、提能力”培训。</w:t>
      </w:r>
    </w:p>
    <w:p w:rsidR="004E76D1" w:rsidRDefault="00C02E0D">
      <w:pPr>
        <w:spacing w:line="560" w:lineRule="exact"/>
        <w:ind w:firstLine="640"/>
        <w:rPr>
          <w:rFonts w:ascii="仿宋_GB2312" w:eastAsia="仿宋_GB2312"/>
          <w:sz w:val="28"/>
          <w:szCs w:val="28"/>
        </w:rPr>
      </w:pPr>
      <w:bookmarkStart w:id="2" w:name="_Toc268005759"/>
      <w:bookmarkStart w:id="3" w:name="_Toc263686375"/>
      <w:bookmarkEnd w:id="1"/>
      <w:r>
        <w:rPr>
          <w:rFonts w:ascii="仿宋_GB2312" w:eastAsia="仿宋_GB2312" w:hint="eastAsia"/>
          <w:sz w:val="28"/>
          <w:szCs w:val="28"/>
        </w:rPr>
        <w:t>4.部门</w:t>
      </w:r>
      <w:bookmarkEnd w:id="2"/>
      <w:r>
        <w:rPr>
          <w:rFonts w:ascii="仿宋_GB2312" w:eastAsia="仿宋_GB2312" w:hint="eastAsia"/>
          <w:sz w:val="28"/>
          <w:szCs w:val="28"/>
        </w:rPr>
        <w:t>整体绩效目标设立情况</w:t>
      </w:r>
    </w:p>
    <w:tbl>
      <w:tblPr>
        <w:tblW w:w="4907" w:type="pct"/>
        <w:tblInd w:w="150" w:type="dxa"/>
        <w:tblLook w:val="04A0"/>
      </w:tblPr>
      <w:tblGrid>
        <w:gridCol w:w="1532"/>
        <w:gridCol w:w="4417"/>
        <w:gridCol w:w="2197"/>
        <w:gridCol w:w="1692"/>
        <w:gridCol w:w="2203"/>
        <w:gridCol w:w="2470"/>
      </w:tblGrid>
      <w:tr w:rsidR="004E76D1">
        <w:trPr>
          <w:trHeight w:val="275"/>
        </w:trPr>
        <w:tc>
          <w:tcPr>
            <w:tcW w:w="528" w:type="pct"/>
            <w:tcBorders>
              <w:top w:val="single" w:sz="4" w:space="0" w:color="auto"/>
              <w:left w:val="single" w:sz="4" w:space="0" w:color="auto"/>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序号</w:t>
            </w:r>
          </w:p>
        </w:tc>
        <w:tc>
          <w:tcPr>
            <w:tcW w:w="1521" w:type="pct"/>
            <w:tcBorders>
              <w:top w:val="single" w:sz="4" w:space="0" w:color="auto"/>
              <w:left w:val="nil"/>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三级指标</w:t>
            </w:r>
          </w:p>
        </w:tc>
        <w:tc>
          <w:tcPr>
            <w:tcW w:w="756" w:type="pct"/>
            <w:tcBorders>
              <w:top w:val="single" w:sz="4" w:space="0" w:color="auto"/>
              <w:left w:val="nil"/>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指标性质</w:t>
            </w:r>
          </w:p>
        </w:tc>
        <w:tc>
          <w:tcPr>
            <w:tcW w:w="583" w:type="pct"/>
            <w:tcBorders>
              <w:top w:val="single" w:sz="4" w:space="0" w:color="auto"/>
              <w:left w:val="nil"/>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指标值</w:t>
            </w:r>
          </w:p>
        </w:tc>
        <w:tc>
          <w:tcPr>
            <w:tcW w:w="758" w:type="pct"/>
            <w:tcBorders>
              <w:top w:val="single" w:sz="4" w:space="0" w:color="auto"/>
              <w:left w:val="nil"/>
              <w:bottom w:val="single" w:sz="4" w:space="0" w:color="auto"/>
              <w:right w:val="single" w:sz="4" w:space="0" w:color="auto"/>
            </w:tcBorders>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度量单位</w:t>
            </w:r>
          </w:p>
        </w:tc>
        <w:tc>
          <w:tcPr>
            <w:tcW w:w="850" w:type="pct"/>
            <w:tcBorders>
              <w:top w:val="single" w:sz="4" w:space="0" w:color="auto"/>
              <w:left w:val="nil"/>
              <w:bottom w:val="single" w:sz="4" w:space="0" w:color="auto"/>
              <w:right w:val="single" w:sz="4" w:space="0" w:color="auto"/>
            </w:tcBorders>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指标权重</w:t>
            </w:r>
          </w:p>
        </w:tc>
      </w:tr>
      <w:tr w:rsidR="004E76D1">
        <w:trPr>
          <w:trHeight w:val="275"/>
        </w:trPr>
        <w:tc>
          <w:tcPr>
            <w:tcW w:w="528" w:type="pct"/>
            <w:tcBorders>
              <w:top w:val="single" w:sz="4" w:space="0" w:color="auto"/>
              <w:left w:val="single" w:sz="4" w:space="0" w:color="auto"/>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1</w:t>
            </w:r>
          </w:p>
        </w:tc>
        <w:tc>
          <w:tcPr>
            <w:tcW w:w="15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京外招商次数</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7</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次</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10</w:t>
            </w:r>
          </w:p>
        </w:tc>
      </w:tr>
      <w:tr w:rsidR="004E76D1">
        <w:trPr>
          <w:trHeight w:val="275"/>
        </w:trPr>
        <w:tc>
          <w:tcPr>
            <w:tcW w:w="528" w:type="pct"/>
            <w:tcBorders>
              <w:top w:val="single" w:sz="4" w:space="0" w:color="auto"/>
              <w:left w:val="single" w:sz="4" w:space="0" w:color="auto"/>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2</w:t>
            </w:r>
          </w:p>
        </w:tc>
        <w:tc>
          <w:tcPr>
            <w:tcW w:w="15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招商宣传画册</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5500</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册</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10</w:t>
            </w:r>
          </w:p>
        </w:tc>
      </w:tr>
      <w:tr w:rsidR="004E76D1">
        <w:trPr>
          <w:trHeight w:val="275"/>
        </w:trPr>
        <w:tc>
          <w:tcPr>
            <w:tcW w:w="528" w:type="pct"/>
            <w:tcBorders>
              <w:top w:val="single" w:sz="4" w:space="0" w:color="auto"/>
              <w:left w:val="single" w:sz="4" w:space="0" w:color="auto"/>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3</w:t>
            </w:r>
          </w:p>
        </w:tc>
        <w:tc>
          <w:tcPr>
            <w:tcW w:w="15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召开招商引资专题培训班</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次</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10</w:t>
            </w:r>
          </w:p>
        </w:tc>
      </w:tr>
      <w:tr w:rsidR="004E76D1">
        <w:trPr>
          <w:trHeight w:val="275"/>
        </w:trPr>
        <w:tc>
          <w:tcPr>
            <w:tcW w:w="528" w:type="pct"/>
            <w:tcBorders>
              <w:top w:val="single" w:sz="4" w:space="0" w:color="auto"/>
              <w:left w:val="single" w:sz="4" w:space="0" w:color="auto"/>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4</w:t>
            </w:r>
          </w:p>
        </w:tc>
        <w:tc>
          <w:tcPr>
            <w:tcW w:w="15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开展多彩京西行活动</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次</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10</w:t>
            </w:r>
          </w:p>
        </w:tc>
      </w:tr>
      <w:tr w:rsidR="004E76D1">
        <w:trPr>
          <w:trHeight w:val="275"/>
        </w:trPr>
        <w:tc>
          <w:tcPr>
            <w:tcW w:w="528" w:type="pct"/>
            <w:tcBorders>
              <w:top w:val="single" w:sz="4" w:space="0" w:color="auto"/>
              <w:left w:val="single" w:sz="4" w:space="0" w:color="auto"/>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bookmarkStart w:id="4" w:name="_Toc268005761"/>
            <w:r>
              <w:rPr>
                <w:rFonts w:ascii="仿宋_GB2312" w:eastAsia="仿宋_GB2312" w:hint="eastAsia"/>
                <w:sz w:val="28"/>
                <w:szCs w:val="28"/>
              </w:rPr>
              <w:t>5</w:t>
            </w:r>
          </w:p>
        </w:tc>
        <w:tc>
          <w:tcPr>
            <w:tcW w:w="15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开展招商引资活动</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10</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次</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10</w:t>
            </w:r>
          </w:p>
        </w:tc>
      </w:tr>
      <w:tr w:rsidR="004E76D1">
        <w:trPr>
          <w:trHeight w:val="275"/>
        </w:trPr>
        <w:tc>
          <w:tcPr>
            <w:tcW w:w="528" w:type="pct"/>
            <w:tcBorders>
              <w:top w:val="single" w:sz="4" w:space="0" w:color="auto"/>
              <w:left w:val="single" w:sz="4" w:space="0" w:color="auto"/>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lastRenderedPageBreak/>
              <w:t>6</w:t>
            </w:r>
          </w:p>
        </w:tc>
        <w:tc>
          <w:tcPr>
            <w:tcW w:w="15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持续招商</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定性</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持续招商</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4E76D1">
            <w:pPr>
              <w:widowControl/>
              <w:spacing w:line="560" w:lineRule="atLeast"/>
              <w:jc w:val="center"/>
              <w:rPr>
                <w:rFonts w:ascii="仿宋_GB2312" w:eastAsia="仿宋_GB2312" w:hAnsi="仿宋"/>
                <w:sz w:val="28"/>
                <w:szCs w:val="28"/>
              </w:rPr>
            </w:pP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10</w:t>
            </w:r>
          </w:p>
        </w:tc>
      </w:tr>
      <w:tr w:rsidR="004E76D1">
        <w:trPr>
          <w:trHeight w:val="275"/>
        </w:trPr>
        <w:tc>
          <w:tcPr>
            <w:tcW w:w="528" w:type="pct"/>
            <w:tcBorders>
              <w:top w:val="single" w:sz="4" w:space="0" w:color="auto"/>
              <w:left w:val="single" w:sz="4" w:space="0" w:color="auto"/>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7</w:t>
            </w:r>
          </w:p>
        </w:tc>
        <w:tc>
          <w:tcPr>
            <w:tcW w:w="15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招引有较大的纳税贡献的企业</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20</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家</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10</w:t>
            </w:r>
          </w:p>
        </w:tc>
      </w:tr>
      <w:tr w:rsidR="004E76D1">
        <w:trPr>
          <w:trHeight w:val="275"/>
        </w:trPr>
        <w:tc>
          <w:tcPr>
            <w:tcW w:w="528" w:type="pct"/>
            <w:tcBorders>
              <w:top w:val="single" w:sz="4" w:space="0" w:color="auto"/>
              <w:left w:val="single" w:sz="4" w:space="0" w:color="auto"/>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8</w:t>
            </w:r>
          </w:p>
        </w:tc>
        <w:tc>
          <w:tcPr>
            <w:tcW w:w="15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有较大的纳税贡献</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10</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万元</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10</w:t>
            </w:r>
          </w:p>
        </w:tc>
      </w:tr>
      <w:tr w:rsidR="004E76D1">
        <w:trPr>
          <w:trHeight w:val="275"/>
        </w:trPr>
        <w:tc>
          <w:tcPr>
            <w:tcW w:w="528" w:type="pct"/>
            <w:tcBorders>
              <w:top w:val="single" w:sz="4" w:space="0" w:color="auto"/>
              <w:left w:val="single" w:sz="4" w:space="0" w:color="auto"/>
              <w:bottom w:val="single" w:sz="4" w:space="0" w:color="auto"/>
              <w:right w:val="single" w:sz="4" w:space="0" w:color="auto"/>
            </w:tcBorders>
            <w:noWrap/>
            <w:vAlign w:val="bottom"/>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9</w:t>
            </w:r>
          </w:p>
        </w:tc>
        <w:tc>
          <w:tcPr>
            <w:tcW w:w="15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招商人员服务及专业度满意度询问</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95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10</w:t>
            </w:r>
          </w:p>
        </w:tc>
      </w:tr>
    </w:tbl>
    <w:p w:rsidR="004E76D1" w:rsidRDefault="00C02E0D">
      <w:pPr>
        <w:spacing w:line="560" w:lineRule="exact"/>
        <w:ind w:firstLine="641"/>
        <w:rPr>
          <w:rFonts w:ascii="楷体_GB2312" w:eastAsia="楷体_GB2312" w:hAnsi="Calibri"/>
          <w:b/>
          <w:sz w:val="28"/>
          <w:szCs w:val="28"/>
        </w:rPr>
      </w:pPr>
      <w:r>
        <w:rPr>
          <w:rFonts w:ascii="楷体_GB2312" w:eastAsia="楷体_GB2312" w:hint="eastAsia"/>
          <w:b/>
          <w:sz w:val="28"/>
          <w:szCs w:val="28"/>
        </w:rPr>
        <w:t>(二)当年预算执行情况</w:t>
      </w:r>
      <w:bookmarkEnd w:id="4"/>
      <w:r>
        <w:rPr>
          <w:rFonts w:ascii="仿宋_GB2312" w:eastAsia="仿宋_GB2312" w:hint="eastAsia"/>
          <w:sz w:val="28"/>
          <w:szCs w:val="28"/>
        </w:rPr>
        <w:t xml:space="preserve">  </w:t>
      </w:r>
    </w:p>
    <w:p w:rsidR="004E76D1" w:rsidRDefault="00C02E0D">
      <w:pPr>
        <w:spacing w:line="560" w:lineRule="exact"/>
        <w:ind w:firstLine="641"/>
        <w:rPr>
          <w:rFonts w:ascii="仿宋_GB2312" w:eastAsia="仿宋_GB2312"/>
          <w:sz w:val="28"/>
          <w:szCs w:val="28"/>
        </w:rPr>
      </w:pPr>
      <w:r>
        <w:rPr>
          <w:rFonts w:ascii="仿宋_GB2312" w:eastAsia="仿宋_GB2312" w:hint="eastAsia"/>
          <w:sz w:val="28"/>
          <w:szCs w:val="28"/>
        </w:rPr>
        <w:t xml:space="preserve">2025年全年预算数18,851,815.85元，其中，基本支出预算数15,993,785.61元，项目支出预算数2,858,030.24元。全年支出18,851,815.85元，其中，基本支出15,993,785.61元，项目支出2,858,030.24元。预算执行率为100%。                                </w:t>
      </w:r>
    </w:p>
    <w:p w:rsidR="004E76D1" w:rsidRDefault="00C02E0D">
      <w:pPr>
        <w:spacing w:line="560" w:lineRule="exact"/>
        <w:ind w:firstLine="641"/>
        <w:rPr>
          <w:rFonts w:ascii="仿宋_GB2312" w:eastAsia="仿宋_GB2312"/>
          <w:sz w:val="28"/>
          <w:szCs w:val="28"/>
        </w:rPr>
      </w:pPr>
      <w:r>
        <w:rPr>
          <w:rFonts w:ascii="仿宋_GB2312" w:eastAsia="仿宋_GB2312" w:hint="eastAsia"/>
          <w:sz w:val="28"/>
          <w:szCs w:val="28"/>
        </w:rPr>
        <w:t>2025年年末结转结余资金总额为0元，全年支出预算数为18,851,815.85元，资金结转结余率为0%；2024年年末结转结余资金总额为0元，全年支出预算数为27,033,370.56元，资金结转结余率为0%；2025年度部门结转结余率较上一年持平。</w:t>
      </w:r>
    </w:p>
    <w:p w:rsidR="004E76D1" w:rsidRDefault="00C02E0D">
      <w:pPr>
        <w:spacing w:line="560" w:lineRule="exact"/>
        <w:ind w:firstLine="641"/>
        <w:rPr>
          <w:rFonts w:ascii="楷体_GB2312" w:eastAsia="楷体_GB2312"/>
          <w:b/>
          <w:sz w:val="28"/>
          <w:szCs w:val="28"/>
        </w:rPr>
      </w:pPr>
      <w:r>
        <w:rPr>
          <w:rFonts w:ascii="楷体_GB2312" w:eastAsia="楷体_GB2312" w:hint="eastAsia"/>
          <w:b/>
          <w:sz w:val="28"/>
          <w:szCs w:val="28"/>
        </w:rPr>
        <w:t>（三）整体绩效目标实现情况</w:t>
      </w:r>
    </w:p>
    <w:p w:rsidR="004E76D1" w:rsidRDefault="00C02E0D">
      <w:pPr>
        <w:spacing w:line="560" w:lineRule="exact"/>
        <w:ind w:firstLine="641"/>
        <w:rPr>
          <w:rFonts w:ascii="仿宋_GB2312" w:eastAsia="仿宋_GB2312"/>
          <w:sz w:val="28"/>
          <w:szCs w:val="28"/>
        </w:rPr>
      </w:pPr>
      <w:r>
        <w:rPr>
          <w:rFonts w:ascii="仿宋_GB2312" w:eastAsia="仿宋_GB2312" w:hint="eastAsia"/>
          <w:sz w:val="28"/>
          <w:szCs w:val="28"/>
        </w:rPr>
        <w:t>1.产出完成情况分析</w:t>
      </w:r>
    </w:p>
    <w:tbl>
      <w:tblPr>
        <w:tblW w:w="14455" w:type="dxa"/>
        <w:tblInd w:w="108" w:type="dxa"/>
        <w:tblLayout w:type="fixed"/>
        <w:tblLook w:val="04A0"/>
      </w:tblPr>
      <w:tblGrid>
        <w:gridCol w:w="880"/>
        <w:gridCol w:w="4562"/>
        <w:gridCol w:w="1875"/>
        <w:gridCol w:w="2462"/>
        <w:gridCol w:w="4676"/>
      </w:tblGrid>
      <w:tr w:rsidR="004E76D1">
        <w:trPr>
          <w:trHeight w:val="510"/>
        </w:trPr>
        <w:tc>
          <w:tcPr>
            <w:tcW w:w="880" w:type="dxa"/>
            <w:tcBorders>
              <w:top w:val="single" w:sz="4" w:space="0" w:color="auto"/>
              <w:left w:val="single" w:sz="4" w:space="0" w:color="auto"/>
              <w:bottom w:val="single" w:sz="4" w:space="0" w:color="auto"/>
              <w:right w:val="single" w:sz="4" w:space="0" w:color="auto"/>
            </w:tcBorders>
            <w:vAlign w:val="center"/>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序号</w:t>
            </w:r>
          </w:p>
        </w:tc>
        <w:tc>
          <w:tcPr>
            <w:tcW w:w="4562" w:type="dxa"/>
            <w:tcBorders>
              <w:top w:val="single" w:sz="4" w:space="0" w:color="auto"/>
              <w:left w:val="nil"/>
              <w:bottom w:val="single" w:sz="4" w:space="0" w:color="auto"/>
              <w:right w:val="single" w:sz="4" w:space="0" w:color="auto"/>
            </w:tcBorders>
            <w:vAlign w:val="center"/>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三级指标</w:t>
            </w:r>
          </w:p>
        </w:tc>
        <w:tc>
          <w:tcPr>
            <w:tcW w:w="1875" w:type="dxa"/>
            <w:tcBorders>
              <w:top w:val="single" w:sz="4" w:space="0" w:color="auto"/>
              <w:left w:val="nil"/>
              <w:bottom w:val="single" w:sz="4" w:space="0" w:color="auto"/>
              <w:right w:val="single" w:sz="4" w:space="0" w:color="auto"/>
            </w:tcBorders>
            <w:vAlign w:val="center"/>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计划值</w:t>
            </w:r>
          </w:p>
        </w:tc>
        <w:tc>
          <w:tcPr>
            <w:tcW w:w="2462" w:type="dxa"/>
            <w:tcBorders>
              <w:top w:val="single" w:sz="4" w:space="0" w:color="auto"/>
              <w:left w:val="nil"/>
              <w:bottom w:val="single" w:sz="4" w:space="0" w:color="auto"/>
              <w:right w:val="single" w:sz="4" w:space="0" w:color="auto"/>
            </w:tcBorders>
            <w:vAlign w:val="center"/>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完成值</w:t>
            </w:r>
          </w:p>
        </w:tc>
        <w:tc>
          <w:tcPr>
            <w:tcW w:w="4676" w:type="dxa"/>
            <w:tcBorders>
              <w:top w:val="single" w:sz="4" w:space="0" w:color="auto"/>
              <w:left w:val="nil"/>
              <w:bottom w:val="single" w:sz="4" w:space="0" w:color="auto"/>
              <w:right w:val="single" w:sz="4" w:space="0" w:color="auto"/>
            </w:tcBorders>
            <w:vAlign w:val="center"/>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偏差原因</w:t>
            </w:r>
          </w:p>
        </w:tc>
      </w:tr>
      <w:tr w:rsidR="004E76D1">
        <w:trPr>
          <w:trHeight w:val="510"/>
        </w:trPr>
        <w:tc>
          <w:tcPr>
            <w:tcW w:w="880" w:type="dxa"/>
            <w:tcBorders>
              <w:top w:val="single" w:sz="4" w:space="0" w:color="auto"/>
              <w:left w:val="single" w:sz="4" w:space="0" w:color="auto"/>
              <w:bottom w:val="single" w:sz="4" w:space="0" w:color="auto"/>
              <w:right w:val="single" w:sz="4" w:space="0" w:color="auto"/>
            </w:tcBorders>
            <w:vAlign w:val="center"/>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1</w:t>
            </w:r>
          </w:p>
        </w:tc>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仿宋" w:hint="eastAsia"/>
                <w:sz w:val="28"/>
                <w:szCs w:val="28"/>
              </w:rPr>
              <w:t>京外招商次数</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7次</w:t>
            </w:r>
          </w:p>
        </w:tc>
        <w:tc>
          <w:tcPr>
            <w:tcW w:w="2462"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16次</w:t>
            </w:r>
          </w:p>
        </w:tc>
        <w:tc>
          <w:tcPr>
            <w:tcW w:w="4676"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 xml:space="preserve">无　</w:t>
            </w:r>
          </w:p>
        </w:tc>
      </w:tr>
      <w:tr w:rsidR="004E76D1">
        <w:trPr>
          <w:trHeight w:val="510"/>
        </w:trPr>
        <w:tc>
          <w:tcPr>
            <w:tcW w:w="880" w:type="dxa"/>
            <w:tcBorders>
              <w:top w:val="single" w:sz="4" w:space="0" w:color="auto"/>
              <w:left w:val="single" w:sz="4" w:space="0" w:color="auto"/>
              <w:bottom w:val="single" w:sz="4" w:space="0" w:color="auto"/>
              <w:right w:val="single" w:sz="4" w:space="0" w:color="auto"/>
            </w:tcBorders>
            <w:vAlign w:val="center"/>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2</w:t>
            </w:r>
          </w:p>
        </w:tc>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仿宋" w:hint="eastAsia"/>
                <w:sz w:val="28"/>
                <w:szCs w:val="28"/>
              </w:rPr>
              <w:t>招商宣传画册</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5500册</w:t>
            </w:r>
          </w:p>
        </w:tc>
        <w:tc>
          <w:tcPr>
            <w:tcW w:w="2462"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 xml:space="preserve">6000册　</w:t>
            </w:r>
          </w:p>
        </w:tc>
        <w:tc>
          <w:tcPr>
            <w:tcW w:w="4676"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无</w:t>
            </w:r>
          </w:p>
        </w:tc>
      </w:tr>
      <w:tr w:rsidR="004E76D1">
        <w:trPr>
          <w:trHeight w:val="510"/>
        </w:trPr>
        <w:tc>
          <w:tcPr>
            <w:tcW w:w="880" w:type="dxa"/>
            <w:tcBorders>
              <w:top w:val="single" w:sz="4" w:space="0" w:color="auto"/>
              <w:left w:val="single" w:sz="4" w:space="0" w:color="auto"/>
              <w:bottom w:val="single" w:sz="4" w:space="0" w:color="auto"/>
              <w:right w:val="single" w:sz="4" w:space="0" w:color="auto"/>
            </w:tcBorders>
            <w:vAlign w:val="center"/>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3</w:t>
            </w:r>
          </w:p>
        </w:tc>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仿宋" w:hint="eastAsia"/>
                <w:sz w:val="28"/>
                <w:szCs w:val="28"/>
              </w:rPr>
              <w:t>召开招商引资专题培训班</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1次</w:t>
            </w:r>
          </w:p>
        </w:tc>
        <w:tc>
          <w:tcPr>
            <w:tcW w:w="2462"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 xml:space="preserve">2次　</w:t>
            </w:r>
          </w:p>
        </w:tc>
        <w:tc>
          <w:tcPr>
            <w:tcW w:w="4676"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无</w:t>
            </w:r>
          </w:p>
        </w:tc>
      </w:tr>
      <w:tr w:rsidR="004E76D1">
        <w:trPr>
          <w:trHeight w:val="510"/>
        </w:trPr>
        <w:tc>
          <w:tcPr>
            <w:tcW w:w="880" w:type="dxa"/>
            <w:tcBorders>
              <w:top w:val="single" w:sz="4" w:space="0" w:color="auto"/>
              <w:left w:val="single" w:sz="4" w:space="0" w:color="auto"/>
              <w:bottom w:val="single" w:sz="4" w:space="0" w:color="auto"/>
              <w:right w:val="single" w:sz="4" w:space="0" w:color="auto"/>
            </w:tcBorders>
            <w:vAlign w:val="center"/>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lastRenderedPageBreak/>
              <w:t>4</w:t>
            </w:r>
          </w:p>
        </w:tc>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仿宋" w:hint="eastAsia"/>
                <w:sz w:val="28"/>
                <w:szCs w:val="28"/>
              </w:rPr>
              <w:t>开展多彩京西行活动</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1次</w:t>
            </w:r>
          </w:p>
        </w:tc>
        <w:tc>
          <w:tcPr>
            <w:tcW w:w="2462"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 xml:space="preserve">0次　</w:t>
            </w:r>
          </w:p>
        </w:tc>
        <w:tc>
          <w:tcPr>
            <w:tcW w:w="4676"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走访、在单位接待企业次数较多</w:t>
            </w:r>
          </w:p>
        </w:tc>
      </w:tr>
      <w:tr w:rsidR="004E76D1">
        <w:trPr>
          <w:trHeight w:val="510"/>
        </w:trPr>
        <w:tc>
          <w:tcPr>
            <w:tcW w:w="880" w:type="dxa"/>
            <w:tcBorders>
              <w:top w:val="single" w:sz="4" w:space="0" w:color="auto"/>
              <w:left w:val="single" w:sz="4" w:space="0" w:color="auto"/>
              <w:bottom w:val="single" w:sz="4" w:space="0" w:color="auto"/>
              <w:right w:val="single" w:sz="4" w:space="0" w:color="auto"/>
            </w:tcBorders>
            <w:vAlign w:val="center"/>
          </w:tcPr>
          <w:p w:rsidR="004E76D1" w:rsidRDefault="00C02E0D">
            <w:pPr>
              <w:spacing w:line="520" w:lineRule="exact"/>
              <w:jc w:val="center"/>
              <w:rPr>
                <w:rFonts w:ascii="仿宋_GB2312" w:eastAsia="仿宋_GB2312"/>
                <w:sz w:val="28"/>
                <w:szCs w:val="28"/>
              </w:rPr>
            </w:pPr>
            <w:r>
              <w:rPr>
                <w:rFonts w:ascii="仿宋_GB2312" w:eastAsia="仿宋_GB2312" w:hint="eastAsia"/>
                <w:sz w:val="28"/>
                <w:szCs w:val="28"/>
              </w:rPr>
              <w:t>5</w:t>
            </w:r>
          </w:p>
        </w:tc>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仿宋" w:hint="eastAsia"/>
                <w:sz w:val="28"/>
                <w:szCs w:val="28"/>
              </w:rPr>
              <w:t>开展招商引资活动</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仿宋"/>
                <w:sz w:val="28"/>
                <w:szCs w:val="28"/>
              </w:rPr>
            </w:pPr>
            <w:r>
              <w:rPr>
                <w:rFonts w:ascii="仿宋_GB2312" w:eastAsia="仿宋_GB2312" w:hAnsi="仿宋" w:hint="eastAsia"/>
                <w:sz w:val="28"/>
                <w:szCs w:val="28"/>
              </w:rPr>
              <w:t>10次</w:t>
            </w:r>
          </w:p>
        </w:tc>
        <w:tc>
          <w:tcPr>
            <w:tcW w:w="2462"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95次</w:t>
            </w:r>
          </w:p>
        </w:tc>
        <w:tc>
          <w:tcPr>
            <w:tcW w:w="4676" w:type="dxa"/>
            <w:tcBorders>
              <w:top w:val="single" w:sz="4" w:space="0" w:color="auto"/>
              <w:left w:val="single" w:sz="4" w:space="0" w:color="auto"/>
              <w:bottom w:val="single" w:sz="4" w:space="0" w:color="auto"/>
              <w:right w:val="single" w:sz="4" w:space="0" w:color="auto"/>
            </w:tcBorders>
            <w:shd w:val="clear" w:color="auto" w:fill="auto"/>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无</w:t>
            </w:r>
          </w:p>
        </w:tc>
      </w:tr>
    </w:tbl>
    <w:p w:rsidR="004E76D1" w:rsidRDefault="00C02E0D">
      <w:pPr>
        <w:spacing w:line="580" w:lineRule="exact"/>
        <w:ind w:firstLine="640"/>
        <w:rPr>
          <w:rFonts w:ascii="仿宋_GB2312" w:eastAsia="仿宋_GB2312"/>
          <w:sz w:val="28"/>
          <w:szCs w:val="28"/>
        </w:rPr>
      </w:pPr>
      <w:r>
        <w:rPr>
          <w:rFonts w:ascii="仿宋_GB2312" w:eastAsia="仿宋_GB2312" w:hint="eastAsia"/>
          <w:sz w:val="28"/>
          <w:szCs w:val="28"/>
        </w:rPr>
        <w:t>2.效果实现情况分析</w:t>
      </w:r>
    </w:p>
    <w:tbl>
      <w:tblPr>
        <w:tblW w:w="14480" w:type="dxa"/>
        <w:tblInd w:w="108" w:type="dxa"/>
        <w:tblLook w:val="04A0"/>
      </w:tblPr>
      <w:tblGrid>
        <w:gridCol w:w="892"/>
        <w:gridCol w:w="4550"/>
        <w:gridCol w:w="1875"/>
        <w:gridCol w:w="2450"/>
        <w:gridCol w:w="4713"/>
      </w:tblGrid>
      <w:tr w:rsidR="004E76D1">
        <w:trPr>
          <w:trHeight w:val="510"/>
        </w:trPr>
        <w:tc>
          <w:tcPr>
            <w:tcW w:w="892"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序号</w:t>
            </w:r>
          </w:p>
        </w:tc>
        <w:tc>
          <w:tcPr>
            <w:tcW w:w="4550" w:type="dxa"/>
            <w:tcBorders>
              <w:top w:val="single" w:sz="4" w:space="0" w:color="auto"/>
              <w:left w:val="nil"/>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三级指标</w:t>
            </w:r>
          </w:p>
        </w:tc>
        <w:tc>
          <w:tcPr>
            <w:tcW w:w="1875" w:type="dxa"/>
            <w:tcBorders>
              <w:top w:val="single" w:sz="4" w:space="0" w:color="auto"/>
              <w:left w:val="nil"/>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计划值</w:t>
            </w:r>
          </w:p>
        </w:tc>
        <w:tc>
          <w:tcPr>
            <w:tcW w:w="2450" w:type="dxa"/>
            <w:tcBorders>
              <w:top w:val="single" w:sz="4" w:space="0" w:color="auto"/>
              <w:left w:val="nil"/>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完成值</w:t>
            </w:r>
          </w:p>
        </w:tc>
        <w:tc>
          <w:tcPr>
            <w:tcW w:w="4713" w:type="dxa"/>
            <w:tcBorders>
              <w:top w:val="single" w:sz="4" w:space="0" w:color="auto"/>
              <w:left w:val="nil"/>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偏差原因</w:t>
            </w:r>
          </w:p>
        </w:tc>
      </w:tr>
      <w:tr w:rsidR="004E76D1">
        <w:trPr>
          <w:trHeight w:val="510"/>
        </w:trPr>
        <w:tc>
          <w:tcPr>
            <w:tcW w:w="892"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w:t>
            </w:r>
          </w:p>
        </w:tc>
        <w:tc>
          <w:tcPr>
            <w:tcW w:w="4550"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textAlignment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持续招商</w:t>
            </w:r>
          </w:p>
        </w:tc>
        <w:tc>
          <w:tcPr>
            <w:tcW w:w="1875"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color w:val="000000"/>
                <w:kern w:val="0"/>
                <w:sz w:val="28"/>
                <w:szCs w:val="28"/>
              </w:rPr>
              <w:t>持续招商</w:t>
            </w:r>
          </w:p>
        </w:tc>
        <w:tc>
          <w:tcPr>
            <w:tcW w:w="2450"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textAlignment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完成预期指标</w:t>
            </w:r>
          </w:p>
        </w:tc>
        <w:tc>
          <w:tcPr>
            <w:tcW w:w="4713"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 xml:space="preserve">无　</w:t>
            </w:r>
          </w:p>
        </w:tc>
      </w:tr>
      <w:tr w:rsidR="004E76D1">
        <w:trPr>
          <w:trHeight w:val="510"/>
        </w:trPr>
        <w:tc>
          <w:tcPr>
            <w:tcW w:w="892"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2</w:t>
            </w:r>
          </w:p>
        </w:tc>
        <w:tc>
          <w:tcPr>
            <w:tcW w:w="4550"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textAlignment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招引有较大的纳税贡献的企业</w:t>
            </w:r>
          </w:p>
        </w:tc>
        <w:tc>
          <w:tcPr>
            <w:tcW w:w="1875"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color w:val="000000"/>
                <w:kern w:val="0"/>
                <w:sz w:val="28"/>
                <w:szCs w:val="28"/>
              </w:rPr>
              <w:t>20家</w:t>
            </w:r>
          </w:p>
        </w:tc>
        <w:tc>
          <w:tcPr>
            <w:tcW w:w="2450"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textAlignment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&gt;20家</w:t>
            </w:r>
          </w:p>
        </w:tc>
        <w:tc>
          <w:tcPr>
            <w:tcW w:w="4713"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无</w:t>
            </w:r>
          </w:p>
        </w:tc>
      </w:tr>
      <w:tr w:rsidR="004E76D1">
        <w:trPr>
          <w:trHeight w:val="510"/>
        </w:trPr>
        <w:tc>
          <w:tcPr>
            <w:tcW w:w="892"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3</w:t>
            </w:r>
          </w:p>
        </w:tc>
        <w:tc>
          <w:tcPr>
            <w:tcW w:w="4550"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textAlignment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有较大的纳税贡献</w:t>
            </w:r>
          </w:p>
        </w:tc>
        <w:tc>
          <w:tcPr>
            <w:tcW w:w="1875"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color w:val="000000"/>
                <w:kern w:val="0"/>
                <w:sz w:val="28"/>
                <w:szCs w:val="28"/>
              </w:rPr>
              <w:t>10万元</w:t>
            </w:r>
          </w:p>
        </w:tc>
        <w:tc>
          <w:tcPr>
            <w:tcW w:w="2450"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textAlignment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完成预期指标</w:t>
            </w:r>
          </w:p>
        </w:tc>
        <w:tc>
          <w:tcPr>
            <w:tcW w:w="4713"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无</w:t>
            </w:r>
          </w:p>
        </w:tc>
      </w:tr>
      <w:tr w:rsidR="004E76D1">
        <w:trPr>
          <w:trHeight w:val="510"/>
        </w:trPr>
        <w:tc>
          <w:tcPr>
            <w:tcW w:w="892"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4</w:t>
            </w:r>
          </w:p>
        </w:tc>
        <w:tc>
          <w:tcPr>
            <w:tcW w:w="4550"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textAlignment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招商人员服务及专业度满意度询问</w:t>
            </w:r>
          </w:p>
        </w:tc>
        <w:tc>
          <w:tcPr>
            <w:tcW w:w="1875"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color w:val="000000"/>
                <w:kern w:val="0"/>
                <w:sz w:val="28"/>
                <w:szCs w:val="28"/>
              </w:rPr>
              <w:t>95%</w:t>
            </w:r>
          </w:p>
        </w:tc>
        <w:tc>
          <w:tcPr>
            <w:tcW w:w="2450"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textAlignment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96%</w:t>
            </w:r>
          </w:p>
        </w:tc>
        <w:tc>
          <w:tcPr>
            <w:tcW w:w="4713" w:type="dxa"/>
            <w:tcBorders>
              <w:top w:val="single" w:sz="4" w:space="0" w:color="auto"/>
              <w:left w:val="single" w:sz="4" w:space="0" w:color="auto"/>
              <w:bottom w:val="single" w:sz="4" w:space="0" w:color="auto"/>
              <w:right w:val="single" w:sz="4" w:space="0" w:color="auto"/>
            </w:tcBorders>
            <w:vAlign w:val="center"/>
          </w:tcPr>
          <w:p w:rsidR="004E76D1" w:rsidRDefault="00C02E0D">
            <w:pPr>
              <w:widowControl/>
              <w:spacing w:line="560" w:lineRule="atLeast"/>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无</w:t>
            </w:r>
          </w:p>
        </w:tc>
      </w:tr>
    </w:tbl>
    <w:p w:rsidR="004E76D1" w:rsidRDefault="00C02E0D">
      <w:pPr>
        <w:spacing w:line="560" w:lineRule="exact"/>
        <w:ind w:firstLine="640"/>
        <w:rPr>
          <w:rFonts w:ascii="楷体_GB2312" w:eastAsia="楷体_GB2312"/>
          <w:b/>
          <w:sz w:val="28"/>
          <w:szCs w:val="28"/>
        </w:rPr>
      </w:pPr>
      <w:r>
        <w:rPr>
          <w:rFonts w:ascii="楷体_GB2312" w:eastAsia="楷体_GB2312" w:hint="eastAsia"/>
          <w:b/>
          <w:sz w:val="28"/>
          <w:szCs w:val="28"/>
        </w:rPr>
        <w:t>（四）预算管理情况分析</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1.财务管理</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本年度进一步修订完善了《北京市门头沟区投资促进服务中心党组“三重一大”事项决策制度》《北京市门头沟区投资促进服务中心政府采购实施细则》《关于进一步规范北京市门头沟区投资促进服务中心招商引资管理办法的补充规定》。通过制度修订进一步强化决策规范性、采购的透明度，进一步明确和补充招商引资活动招待标准及经费支出审批程序、报销程序，为各项工作提供更精准的制度依据，有效防范廉政风险，保障资金使用合规，安全高效，夯实单位财务管理制度的基础。</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严格按照《政府会计制度》进行账务处理，会计科目使用准确，按时完成年度结账及决算报表的编制工作。会计</w:t>
      </w:r>
      <w:r>
        <w:rPr>
          <w:rFonts w:ascii="仿宋_GB2312" w:eastAsia="仿宋_GB2312" w:hint="eastAsia"/>
          <w:sz w:val="28"/>
          <w:szCs w:val="28"/>
        </w:rPr>
        <w:lastRenderedPageBreak/>
        <w:t>档案管理规范，确保了会计信息的真实性、准确性和完整性。</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2.资产管理</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为规范国有资产管理，提高资产使用效率，防止资产流失，按照《行政事业单位国有资产办法》，落实固定资产的购置、领用与调拨、保管和使用、处置、资产核算产权登记等各项工作。严格落实资产定期盘点制度，对固定资产进行全面清查，做到账实相符。加强资产日常维护管理，提高了资产使用效率。对于资产报废处置行为，均严格履行审批程序，防止国有资产流失。</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3.绩效管理</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（1）预算绩效管理制度情况</w:t>
      </w:r>
    </w:p>
    <w:p w:rsidR="004E76D1" w:rsidRDefault="00C02E0D">
      <w:pPr>
        <w:spacing w:line="560" w:lineRule="exact"/>
        <w:ind w:firstLine="641"/>
        <w:rPr>
          <w:rFonts w:ascii="仿宋_GB2312" w:eastAsia="仿宋_GB2312"/>
          <w:sz w:val="28"/>
          <w:szCs w:val="28"/>
        </w:rPr>
      </w:pPr>
      <w:r>
        <w:rPr>
          <w:rFonts w:ascii="仿宋_GB2312" w:eastAsia="仿宋_GB2312" w:hint="eastAsia"/>
          <w:sz w:val="28"/>
          <w:szCs w:val="28"/>
        </w:rPr>
        <w:t>严格按照《门头沟区预算绩效管理办法》，积极推进全方位、全过程、全覆盖的预算绩效管理，将绩效管理理念融入预算编制、执行、监督全过程。在申报预算时，同步编制项目绩效目标，确保目标科学合理，量化可考。在执行中，对绩效目标实现程度进行动态监控，对偏离目标的情况及时纠正。在年度终了，对所有项目支出开展绩效自评。</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（2）绩效目标管理情况</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2025年部门预算项目7个，部门预算公开绩效目标的预算项目7个，占本部门全部预算项目的100%。</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（3）绩效自评情况</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2025年对本部门及所属单位2024年项目支出实施了绩效自评，评价项目8个，涉及金额12,526,893.07元。</w:t>
      </w:r>
    </w:p>
    <w:p w:rsidR="004E76D1" w:rsidRDefault="00C02E0D">
      <w:pPr>
        <w:spacing w:line="560" w:lineRule="exact"/>
        <w:ind w:firstLine="640"/>
        <w:rPr>
          <w:rFonts w:ascii="楷体_GB2312" w:eastAsia="楷体_GB2312"/>
          <w:b/>
          <w:sz w:val="28"/>
          <w:szCs w:val="28"/>
        </w:rPr>
      </w:pPr>
      <w:r>
        <w:rPr>
          <w:rFonts w:ascii="楷体_GB2312" w:eastAsia="楷体_GB2312" w:hint="eastAsia"/>
          <w:b/>
          <w:sz w:val="28"/>
          <w:szCs w:val="28"/>
        </w:rPr>
        <w:t>（五）总体评价结论</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1.评价得分情况</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lastRenderedPageBreak/>
        <w:t>绩效自评总分：95分</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绩效自评等级：优秀</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2.存在的问题及原因分析</w:t>
      </w:r>
    </w:p>
    <w:p w:rsidR="004E76D1" w:rsidRDefault="00C02E0D">
      <w:pPr>
        <w:spacing w:line="560" w:lineRule="exact"/>
        <w:ind w:firstLine="641"/>
        <w:rPr>
          <w:rFonts w:ascii="仿宋_GB2312" w:eastAsia="仿宋_GB2312"/>
          <w:sz w:val="28"/>
          <w:szCs w:val="28"/>
        </w:rPr>
      </w:pPr>
      <w:r>
        <w:rPr>
          <w:rFonts w:ascii="仿宋_GB2312" w:eastAsia="仿宋_GB2312" w:hint="eastAsia"/>
          <w:sz w:val="28"/>
          <w:szCs w:val="28"/>
        </w:rPr>
        <w:t>（1）招商引资项目经费项目未开展“多彩京西行”活动：2025年招商引资活动多以走访、接待相关企业，开展京外招商引资活动，故“多彩京西行”活动未开展。</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（2）2025年内部审计提出固定资产管理问题：空调安装费用未计入固定资产。经核实，安装费应为冷凝水管、室外机底托的材料费用，未产生安装费用。该问题为支出明细有误。</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3.改进措施</w:t>
      </w:r>
    </w:p>
    <w:bookmarkEnd w:id="3"/>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（1）做好招商引资项目资金预算工作。根据全区招商引资活动的要求及本单位的招商引资活动开展的情况，严谨测算多彩京西行活动的必要性。</w:t>
      </w:r>
    </w:p>
    <w:p w:rsidR="004E76D1" w:rsidRDefault="00C02E0D">
      <w:pPr>
        <w:spacing w:line="560" w:lineRule="exact"/>
        <w:ind w:firstLine="640"/>
        <w:rPr>
          <w:rFonts w:ascii="仿宋_GB2312" w:eastAsia="仿宋_GB2312"/>
          <w:sz w:val="28"/>
          <w:szCs w:val="28"/>
        </w:rPr>
      </w:pPr>
      <w:r>
        <w:rPr>
          <w:rFonts w:ascii="仿宋_GB2312" w:eastAsia="仿宋_GB2312" w:hint="eastAsia"/>
          <w:sz w:val="28"/>
          <w:szCs w:val="28"/>
        </w:rPr>
        <w:t>（2）修改该笔凭证摘要中的“安装费”为“冷凝水管、室外机底托的材料费用”，并将该笔费用计入空调的固定资产。</w:t>
      </w:r>
    </w:p>
    <w:p w:rsidR="004E76D1" w:rsidRDefault="00C02E0D">
      <w:pPr>
        <w:spacing w:line="560" w:lineRule="exact"/>
        <w:ind w:firstLine="640"/>
        <w:rPr>
          <w:rFonts w:ascii="黑体" w:eastAsia="黑体" w:hAnsi="黑体"/>
          <w:sz w:val="28"/>
          <w:szCs w:val="28"/>
        </w:rPr>
      </w:pPr>
      <w:r>
        <w:rPr>
          <w:rFonts w:ascii="黑体" w:eastAsia="黑体" w:hAnsi="黑体" w:hint="eastAsia"/>
          <w:sz w:val="28"/>
          <w:szCs w:val="28"/>
        </w:rPr>
        <w:t>二、项目支出绩效自评情况</w:t>
      </w:r>
    </w:p>
    <w:p w:rsidR="004E76D1" w:rsidRDefault="00C02E0D" w:rsidP="00587405">
      <w:pPr>
        <w:spacing w:line="560" w:lineRule="exact"/>
        <w:ind w:firstLineChars="253" w:firstLine="711"/>
        <w:rPr>
          <w:rFonts w:ascii="楷体_GB2312" w:eastAsia="楷体_GB2312" w:hAnsi="仿宋"/>
          <w:b/>
          <w:sz w:val="28"/>
          <w:szCs w:val="28"/>
        </w:rPr>
      </w:pPr>
      <w:r>
        <w:rPr>
          <w:rFonts w:ascii="楷体_GB2312" w:eastAsia="楷体_GB2312" w:hAnsi="仿宋" w:hint="eastAsia"/>
          <w:b/>
          <w:sz w:val="28"/>
          <w:szCs w:val="28"/>
        </w:rPr>
        <w:t>（一）绩效自评开展总体情况</w:t>
      </w:r>
    </w:p>
    <w:p w:rsidR="004E76D1" w:rsidRDefault="00C02E0D">
      <w:pPr>
        <w:spacing w:line="560" w:lineRule="exact"/>
        <w:ind w:firstLineChars="253" w:firstLine="708"/>
        <w:rPr>
          <w:rFonts w:ascii="仿宋_GB2312" w:eastAsia="仿宋_GB2312" w:hAnsi="Calibri"/>
          <w:sz w:val="28"/>
          <w:szCs w:val="28"/>
        </w:rPr>
      </w:pPr>
      <w:r>
        <w:rPr>
          <w:rFonts w:ascii="仿宋_GB2312" w:eastAsia="仿宋_GB2312" w:hint="eastAsia"/>
          <w:sz w:val="28"/>
          <w:szCs w:val="28"/>
        </w:rPr>
        <w:t>2025年度区财政批复项目支出预算项目7个，涉及金额2,858,030.24元。本次实施绩效自评项目7个，涉及金额2,858,030.24元。评价得分在90分（含90分）以上的7个。</w:t>
      </w:r>
    </w:p>
    <w:p w:rsidR="004E76D1" w:rsidRDefault="00C02E0D" w:rsidP="00587405">
      <w:pPr>
        <w:spacing w:line="560" w:lineRule="exact"/>
        <w:ind w:firstLineChars="253" w:firstLine="711"/>
        <w:rPr>
          <w:rFonts w:ascii="楷体_GB2312" w:eastAsia="楷体_GB2312" w:hAnsi="仿宋"/>
          <w:b/>
          <w:sz w:val="28"/>
          <w:szCs w:val="28"/>
        </w:rPr>
      </w:pPr>
      <w:r>
        <w:rPr>
          <w:rFonts w:ascii="楷体_GB2312" w:eastAsia="楷体_GB2312" w:hAnsi="仿宋" w:hint="eastAsia"/>
          <w:b/>
          <w:sz w:val="28"/>
          <w:szCs w:val="28"/>
        </w:rPr>
        <w:t>（二）重点支出项目绩效自评报告</w:t>
      </w:r>
    </w:p>
    <w:p w:rsidR="004E76D1" w:rsidRDefault="00C02E0D">
      <w:pPr>
        <w:spacing w:line="560" w:lineRule="exact"/>
        <w:ind w:firstLineChars="200" w:firstLine="560"/>
        <w:outlineLvl w:val="0"/>
        <w:rPr>
          <w:rFonts w:ascii="仿宋_GB2312" w:eastAsia="仿宋_GB2312" w:hAnsi="Calibri"/>
          <w:sz w:val="28"/>
          <w:szCs w:val="28"/>
        </w:rPr>
      </w:pPr>
      <w:r>
        <w:rPr>
          <w:rFonts w:ascii="仿宋_GB2312" w:eastAsia="仿宋_GB2312" w:hint="eastAsia"/>
          <w:sz w:val="28"/>
          <w:szCs w:val="28"/>
        </w:rPr>
        <w:lastRenderedPageBreak/>
        <w:t>见附件1。</w:t>
      </w:r>
    </w:p>
    <w:p w:rsidR="004E76D1" w:rsidRDefault="00C02E0D">
      <w:pPr>
        <w:spacing w:line="560" w:lineRule="exact"/>
        <w:ind w:firstLine="640"/>
        <w:rPr>
          <w:rFonts w:ascii="楷体_GB2312" w:eastAsia="楷体_GB2312" w:hAnsi="仿宋"/>
          <w:b/>
          <w:sz w:val="28"/>
          <w:szCs w:val="28"/>
        </w:rPr>
      </w:pPr>
      <w:r>
        <w:rPr>
          <w:rFonts w:ascii="楷体_GB2312" w:eastAsia="楷体_GB2312" w:hAnsi="仿宋" w:hint="eastAsia"/>
          <w:b/>
          <w:sz w:val="28"/>
          <w:szCs w:val="28"/>
        </w:rPr>
        <w:t>（三）项目支出绩效自评表</w:t>
      </w:r>
    </w:p>
    <w:p w:rsidR="004E76D1" w:rsidRDefault="00C02E0D">
      <w:pPr>
        <w:spacing w:line="560" w:lineRule="exact"/>
        <w:ind w:firstLineChars="200" w:firstLine="560"/>
        <w:outlineLvl w:val="0"/>
        <w:rPr>
          <w:rFonts w:ascii="仿宋_GB2312" w:eastAsia="仿宋_GB2312" w:hAnsi="Calibri"/>
          <w:sz w:val="28"/>
          <w:szCs w:val="28"/>
        </w:rPr>
      </w:pPr>
      <w:r>
        <w:rPr>
          <w:rFonts w:ascii="仿宋_GB2312" w:eastAsia="仿宋_GB2312" w:hint="eastAsia"/>
          <w:sz w:val="28"/>
          <w:szCs w:val="28"/>
        </w:rPr>
        <w:t>见附件2。</w:t>
      </w:r>
    </w:p>
    <w:p w:rsidR="004E76D1" w:rsidRDefault="004E76D1">
      <w:pPr>
        <w:spacing w:line="560" w:lineRule="exact"/>
        <w:ind w:firstLineChars="200" w:firstLine="560"/>
        <w:rPr>
          <w:rFonts w:ascii="仿宋_GB2312" w:eastAsia="仿宋_GB2312"/>
          <w:sz w:val="28"/>
          <w:szCs w:val="28"/>
        </w:rPr>
      </w:pPr>
    </w:p>
    <w:p w:rsidR="004E76D1" w:rsidRDefault="00C02E0D">
      <w:pPr>
        <w:spacing w:line="560" w:lineRule="exact"/>
        <w:ind w:firstLineChars="200" w:firstLine="560"/>
        <w:rPr>
          <w:rFonts w:ascii="仿宋_GB2312" w:eastAsia="仿宋_GB2312"/>
          <w:sz w:val="28"/>
          <w:szCs w:val="28"/>
        </w:rPr>
      </w:pPr>
      <w:r>
        <w:rPr>
          <w:rFonts w:ascii="仿宋_GB2312" w:eastAsia="仿宋_GB2312" w:hint="eastAsia"/>
          <w:sz w:val="28"/>
          <w:szCs w:val="28"/>
        </w:rPr>
        <w:t>附件：1.重点支出项目绩效自评报告</w:t>
      </w:r>
    </w:p>
    <w:p w:rsidR="004E76D1" w:rsidRDefault="00C02E0D" w:rsidP="00AE0F50">
      <w:pPr>
        <w:spacing w:line="560" w:lineRule="exact"/>
        <w:ind w:firstLineChars="500" w:firstLine="1400"/>
        <w:rPr>
          <w:rFonts w:ascii="仿宋_GB2312" w:eastAsia="仿宋_GB2312"/>
          <w:sz w:val="28"/>
          <w:szCs w:val="28"/>
        </w:rPr>
      </w:pPr>
      <w:r>
        <w:rPr>
          <w:rFonts w:ascii="仿宋_GB2312" w:eastAsia="仿宋_GB2312" w:hint="eastAsia"/>
          <w:sz w:val="28"/>
          <w:szCs w:val="28"/>
        </w:rPr>
        <w:t>2.项目支出绩效自评表</w:t>
      </w:r>
    </w:p>
    <w:sectPr w:rsidR="004E76D1" w:rsidSect="004E76D1">
      <w:footerReference w:type="even" r:id="rId9"/>
      <w:footerReference w:type="default" r:id="rId10"/>
      <w:pgSz w:w="16838" w:h="11906" w:orient="landscape"/>
      <w:pgMar w:top="1134" w:right="1134" w:bottom="1134" w:left="1134" w:header="851" w:footer="992"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2150" w:rsidRDefault="00A12150" w:rsidP="004E76D1">
      <w:r>
        <w:separator/>
      </w:r>
    </w:p>
  </w:endnote>
  <w:endnote w:type="continuationSeparator" w:id="0">
    <w:p w:rsidR="00A12150" w:rsidRDefault="00A12150" w:rsidP="004E76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D1" w:rsidRDefault="00DF59BB">
    <w:pPr>
      <w:pStyle w:val="a7"/>
      <w:framePr w:wrap="around" w:vAnchor="text" w:hAnchor="margin" w:xAlign="center" w:y="1"/>
      <w:rPr>
        <w:rStyle w:val="ab"/>
      </w:rPr>
    </w:pPr>
    <w:r>
      <w:fldChar w:fldCharType="begin"/>
    </w:r>
    <w:r w:rsidR="00C02E0D">
      <w:rPr>
        <w:rStyle w:val="ab"/>
      </w:rPr>
      <w:instrText xml:space="preserve">PAGE  </w:instrText>
    </w:r>
    <w:r>
      <w:fldChar w:fldCharType="separate"/>
    </w:r>
    <w:r w:rsidR="00AE0F50">
      <w:rPr>
        <w:rStyle w:val="ab"/>
        <w:noProof/>
      </w:rPr>
      <w:t>3</w:t>
    </w:r>
    <w:r>
      <w:fldChar w:fldCharType="end"/>
    </w:r>
  </w:p>
  <w:p w:rsidR="004E76D1" w:rsidRDefault="004E76D1">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D1" w:rsidRDefault="00DF59BB">
    <w:pPr>
      <w:pStyle w:val="a7"/>
      <w:framePr w:wrap="around" w:vAnchor="text" w:hAnchor="margin" w:xAlign="center" w:y="1"/>
      <w:rPr>
        <w:rStyle w:val="ab"/>
      </w:rPr>
    </w:pPr>
    <w:r>
      <w:fldChar w:fldCharType="begin"/>
    </w:r>
    <w:r w:rsidR="00C02E0D">
      <w:rPr>
        <w:rStyle w:val="ab"/>
      </w:rPr>
      <w:instrText xml:space="preserve">PAGE  </w:instrText>
    </w:r>
    <w:r>
      <w:fldChar w:fldCharType="separate"/>
    </w:r>
    <w:r w:rsidR="00C02E0D">
      <w:rPr>
        <w:rStyle w:val="ab"/>
      </w:rPr>
      <w:t>15</w:t>
    </w:r>
    <w:r>
      <w:fldChar w:fldCharType="end"/>
    </w:r>
  </w:p>
  <w:p w:rsidR="004E76D1" w:rsidRDefault="004E76D1">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D1" w:rsidRDefault="00DF59BB">
    <w:pPr>
      <w:pStyle w:val="a7"/>
      <w:framePr w:wrap="around" w:vAnchor="text" w:hAnchor="margin" w:xAlign="center" w:y="1"/>
      <w:rPr>
        <w:rStyle w:val="ab"/>
      </w:rPr>
    </w:pPr>
    <w:r>
      <w:fldChar w:fldCharType="begin"/>
    </w:r>
    <w:r w:rsidR="00C02E0D">
      <w:rPr>
        <w:rStyle w:val="ab"/>
      </w:rPr>
      <w:instrText xml:space="preserve">PAGE  </w:instrText>
    </w:r>
    <w:r>
      <w:fldChar w:fldCharType="separate"/>
    </w:r>
    <w:r w:rsidR="00AE0F50">
      <w:rPr>
        <w:rStyle w:val="ab"/>
        <w:noProof/>
      </w:rPr>
      <w:t>19</w:t>
    </w:r>
    <w:r>
      <w:fldChar w:fldCharType="end"/>
    </w:r>
  </w:p>
  <w:p w:rsidR="004E76D1" w:rsidRDefault="004E76D1">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2150" w:rsidRDefault="00A12150" w:rsidP="004E76D1">
      <w:r>
        <w:separator/>
      </w:r>
    </w:p>
  </w:footnote>
  <w:footnote w:type="continuationSeparator" w:id="0">
    <w:p w:rsidR="00A12150" w:rsidRDefault="00A12150" w:rsidP="004E76D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stylePaneFormatFilter w:val="3F01"/>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WZmNWE4NzRhMTczNjJlZDE5ZTE5YTczN2QxMzcyMjAifQ=="/>
  </w:docVars>
  <w:rsids>
    <w:rsidRoot w:val="00100246"/>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E76D1"/>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87405"/>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150"/>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0F50"/>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2E0D"/>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9BB"/>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DC2156"/>
    <w:rsid w:val="02F120AB"/>
    <w:rsid w:val="032B5196"/>
    <w:rsid w:val="03962305"/>
    <w:rsid w:val="03AD0C6D"/>
    <w:rsid w:val="04C3537C"/>
    <w:rsid w:val="079004AC"/>
    <w:rsid w:val="0A342878"/>
    <w:rsid w:val="0A79028B"/>
    <w:rsid w:val="0AEB1A5E"/>
    <w:rsid w:val="0B5A1D64"/>
    <w:rsid w:val="0BA148CA"/>
    <w:rsid w:val="0BB43C70"/>
    <w:rsid w:val="0C1165C4"/>
    <w:rsid w:val="0CF31B3A"/>
    <w:rsid w:val="0D6D544B"/>
    <w:rsid w:val="0D75071D"/>
    <w:rsid w:val="0DD136FE"/>
    <w:rsid w:val="0F5239B5"/>
    <w:rsid w:val="0F8E2C57"/>
    <w:rsid w:val="1059665E"/>
    <w:rsid w:val="10AC13BA"/>
    <w:rsid w:val="11980797"/>
    <w:rsid w:val="1283614B"/>
    <w:rsid w:val="12F157AA"/>
    <w:rsid w:val="13117BFA"/>
    <w:rsid w:val="145A6C1B"/>
    <w:rsid w:val="14B73493"/>
    <w:rsid w:val="167A2FF9"/>
    <w:rsid w:val="176F6C9D"/>
    <w:rsid w:val="179E3336"/>
    <w:rsid w:val="17E05399"/>
    <w:rsid w:val="18581C69"/>
    <w:rsid w:val="186D28E5"/>
    <w:rsid w:val="1A642D06"/>
    <w:rsid w:val="1AEC0734"/>
    <w:rsid w:val="1C203C3A"/>
    <w:rsid w:val="1DEF20B0"/>
    <w:rsid w:val="20E34258"/>
    <w:rsid w:val="214243FA"/>
    <w:rsid w:val="21AD613C"/>
    <w:rsid w:val="21C347B6"/>
    <w:rsid w:val="21D00C81"/>
    <w:rsid w:val="21D34B21"/>
    <w:rsid w:val="22467189"/>
    <w:rsid w:val="22EC1AEA"/>
    <w:rsid w:val="24EC0600"/>
    <w:rsid w:val="257A14F5"/>
    <w:rsid w:val="258C3110"/>
    <w:rsid w:val="25C12DBA"/>
    <w:rsid w:val="25C24D84"/>
    <w:rsid w:val="26D0702D"/>
    <w:rsid w:val="27196C26"/>
    <w:rsid w:val="29EF086F"/>
    <w:rsid w:val="29F55728"/>
    <w:rsid w:val="2A014A0F"/>
    <w:rsid w:val="2EFFE297"/>
    <w:rsid w:val="30110DE2"/>
    <w:rsid w:val="301437CA"/>
    <w:rsid w:val="30C16364"/>
    <w:rsid w:val="32335040"/>
    <w:rsid w:val="326C4705"/>
    <w:rsid w:val="32791381"/>
    <w:rsid w:val="32AB72CC"/>
    <w:rsid w:val="342509B8"/>
    <w:rsid w:val="349D1F0A"/>
    <w:rsid w:val="34DD0473"/>
    <w:rsid w:val="35441312"/>
    <w:rsid w:val="384004B6"/>
    <w:rsid w:val="3C181CA7"/>
    <w:rsid w:val="3C684897"/>
    <w:rsid w:val="3D7B4FDD"/>
    <w:rsid w:val="3F3F4A4E"/>
    <w:rsid w:val="3F676329"/>
    <w:rsid w:val="41C6204F"/>
    <w:rsid w:val="433E495C"/>
    <w:rsid w:val="489F2FD7"/>
    <w:rsid w:val="4AC27CB3"/>
    <w:rsid w:val="4BF72BEF"/>
    <w:rsid w:val="4C9B5537"/>
    <w:rsid w:val="4CE03BBE"/>
    <w:rsid w:val="4D04165B"/>
    <w:rsid w:val="4EE01C53"/>
    <w:rsid w:val="4FA90297"/>
    <w:rsid w:val="4FC41A43"/>
    <w:rsid w:val="51DB3C59"/>
    <w:rsid w:val="52465F8C"/>
    <w:rsid w:val="525F10E1"/>
    <w:rsid w:val="550C0952"/>
    <w:rsid w:val="55747599"/>
    <w:rsid w:val="55762E42"/>
    <w:rsid w:val="55B46FA4"/>
    <w:rsid w:val="57A7B272"/>
    <w:rsid w:val="58470068"/>
    <w:rsid w:val="58747CAC"/>
    <w:rsid w:val="5A1720F9"/>
    <w:rsid w:val="5B9C37C2"/>
    <w:rsid w:val="5BA7C654"/>
    <w:rsid w:val="5C621EFA"/>
    <w:rsid w:val="5D3970FE"/>
    <w:rsid w:val="5E652175"/>
    <w:rsid w:val="5E6C52B2"/>
    <w:rsid w:val="60A54109"/>
    <w:rsid w:val="60DF620F"/>
    <w:rsid w:val="6138591F"/>
    <w:rsid w:val="61D01CDF"/>
    <w:rsid w:val="632B4C01"/>
    <w:rsid w:val="64326656"/>
    <w:rsid w:val="64C0607C"/>
    <w:rsid w:val="64E9765C"/>
    <w:rsid w:val="653F63C1"/>
    <w:rsid w:val="65756C86"/>
    <w:rsid w:val="674D385B"/>
    <w:rsid w:val="676F09E1"/>
    <w:rsid w:val="68625CEB"/>
    <w:rsid w:val="68E65C61"/>
    <w:rsid w:val="71793A80"/>
    <w:rsid w:val="7357290B"/>
    <w:rsid w:val="74EC1B8E"/>
    <w:rsid w:val="7535244A"/>
    <w:rsid w:val="79773031"/>
    <w:rsid w:val="798524E4"/>
    <w:rsid w:val="7A7F1C49"/>
    <w:rsid w:val="7A811C8D"/>
    <w:rsid w:val="7B5B7AE6"/>
    <w:rsid w:val="7B7B6628"/>
    <w:rsid w:val="7BA7071E"/>
    <w:rsid w:val="7BDF6DA8"/>
    <w:rsid w:val="7BDF7589"/>
    <w:rsid w:val="7C7EDC1A"/>
    <w:rsid w:val="7CCED98D"/>
    <w:rsid w:val="7D08410F"/>
    <w:rsid w:val="7D2759BE"/>
    <w:rsid w:val="7DB96DED"/>
    <w:rsid w:val="7DD3AD81"/>
    <w:rsid w:val="7F7FE70F"/>
    <w:rsid w:val="7FA91A6A"/>
    <w:rsid w:val="7FFF77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76D1"/>
    <w:pPr>
      <w:widowControl w:val="0"/>
      <w:jc w:val="both"/>
    </w:pPr>
    <w:rPr>
      <w:kern w:val="2"/>
      <w:sz w:val="21"/>
      <w:szCs w:val="24"/>
    </w:rPr>
  </w:style>
  <w:style w:type="paragraph" w:styleId="2">
    <w:name w:val="heading 2"/>
    <w:basedOn w:val="a"/>
    <w:next w:val="a"/>
    <w:qFormat/>
    <w:rsid w:val="004E76D1"/>
    <w:pPr>
      <w:keepNext/>
      <w:keepLines/>
      <w:spacing w:before="100" w:beforeAutospacing="1" w:after="100" w:afterAutospacing="1"/>
      <w:outlineLvl w:val="1"/>
    </w:pPr>
    <w:rPr>
      <w:rFonts w:ascii="Cambria" w:eastAsia="黑体" w:hAnsi="Cambria"/>
      <w:b/>
      <w:bCs/>
      <w:kern w:val="0"/>
      <w:sz w:val="36"/>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4E76D1"/>
    <w:pPr>
      <w:ind w:firstLineChars="200" w:firstLine="200"/>
    </w:pPr>
  </w:style>
  <w:style w:type="paragraph" w:styleId="a4">
    <w:name w:val="Body Text Indent"/>
    <w:basedOn w:val="a"/>
    <w:qFormat/>
    <w:rsid w:val="004E76D1"/>
    <w:pPr>
      <w:ind w:firstLine="645"/>
    </w:pPr>
    <w:rPr>
      <w:rFonts w:ascii="仿宋_GB2312" w:eastAsia="仿宋_GB2312" w:hAnsi="Calibri"/>
      <w:sz w:val="32"/>
      <w:szCs w:val="32"/>
    </w:rPr>
  </w:style>
  <w:style w:type="paragraph" w:styleId="a5">
    <w:name w:val="Date"/>
    <w:basedOn w:val="a"/>
    <w:next w:val="a"/>
    <w:qFormat/>
    <w:rsid w:val="004E76D1"/>
    <w:pPr>
      <w:ind w:leftChars="2500" w:left="100"/>
    </w:pPr>
  </w:style>
  <w:style w:type="paragraph" w:styleId="a6">
    <w:name w:val="Balloon Text"/>
    <w:basedOn w:val="a"/>
    <w:semiHidden/>
    <w:qFormat/>
    <w:rsid w:val="004E76D1"/>
    <w:rPr>
      <w:sz w:val="18"/>
      <w:szCs w:val="18"/>
    </w:rPr>
  </w:style>
  <w:style w:type="paragraph" w:styleId="a7">
    <w:name w:val="footer"/>
    <w:basedOn w:val="a"/>
    <w:link w:val="Char"/>
    <w:qFormat/>
    <w:rsid w:val="004E76D1"/>
    <w:pPr>
      <w:tabs>
        <w:tab w:val="center" w:pos="4153"/>
        <w:tab w:val="right" w:pos="8306"/>
      </w:tabs>
      <w:snapToGrid w:val="0"/>
      <w:jc w:val="left"/>
    </w:pPr>
    <w:rPr>
      <w:sz w:val="18"/>
      <w:szCs w:val="18"/>
    </w:rPr>
  </w:style>
  <w:style w:type="paragraph" w:styleId="a8">
    <w:name w:val="header"/>
    <w:basedOn w:val="a"/>
    <w:link w:val="Char0"/>
    <w:qFormat/>
    <w:rsid w:val="004E76D1"/>
    <w:pPr>
      <w:pBdr>
        <w:bottom w:val="single" w:sz="6" w:space="1" w:color="auto"/>
      </w:pBdr>
      <w:tabs>
        <w:tab w:val="center" w:pos="4153"/>
        <w:tab w:val="right" w:pos="8306"/>
      </w:tabs>
      <w:snapToGrid w:val="0"/>
      <w:jc w:val="center"/>
    </w:pPr>
    <w:rPr>
      <w:rFonts w:ascii="Calibri" w:hAnsi="Calibri"/>
      <w:sz w:val="18"/>
      <w:szCs w:val="18"/>
    </w:rPr>
  </w:style>
  <w:style w:type="paragraph" w:styleId="a9">
    <w:name w:val="Normal (Web)"/>
    <w:basedOn w:val="a"/>
    <w:unhideWhenUsed/>
    <w:qFormat/>
    <w:rsid w:val="004E76D1"/>
    <w:pPr>
      <w:spacing w:before="100" w:beforeAutospacing="1" w:after="100" w:afterAutospacing="1"/>
      <w:ind w:right="238"/>
      <w:jc w:val="left"/>
    </w:pPr>
    <w:rPr>
      <w:b/>
      <w:kern w:val="0"/>
      <w:sz w:val="24"/>
      <w:szCs w:val="20"/>
    </w:rPr>
  </w:style>
  <w:style w:type="character" w:styleId="aa">
    <w:name w:val="Strong"/>
    <w:qFormat/>
    <w:rsid w:val="004E76D1"/>
    <w:rPr>
      <w:b/>
    </w:rPr>
  </w:style>
  <w:style w:type="character" w:styleId="ab">
    <w:name w:val="page number"/>
    <w:qFormat/>
    <w:rsid w:val="004E76D1"/>
  </w:style>
  <w:style w:type="character" w:customStyle="1" w:styleId="Char">
    <w:name w:val="页脚 Char"/>
    <w:link w:val="a7"/>
    <w:qFormat/>
    <w:rsid w:val="004E76D1"/>
    <w:rPr>
      <w:rFonts w:eastAsia="宋体"/>
      <w:kern w:val="2"/>
      <w:sz w:val="18"/>
      <w:szCs w:val="18"/>
      <w:lang w:val="en-US" w:eastAsia="zh-CN" w:bidi="ar-SA"/>
    </w:rPr>
  </w:style>
  <w:style w:type="character" w:customStyle="1" w:styleId="Char0">
    <w:name w:val="页眉 Char"/>
    <w:link w:val="a8"/>
    <w:qFormat/>
    <w:rsid w:val="004E76D1"/>
    <w:rPr>
      <w:rFonts w:ascii="Calibri" w:eastAsia="宋体" w:hAnsi="Calibri"/>
      <w:kern w:val="2"/>
      <w:sz w:val="18"/>
      <w:szCs w:val="18"/>
      <w:lang w:val="en-US" w:eastAsia="zh-CN" w:bidi="ar-SA"/>
    </w:rPr>
  </w:style>
  <w:style w:type="paragraph" w:customStyle="1" w:styleId="CharCharCharCharCharCharChar">
    <w:name w:val="Char Char Char Char Char Char Char"/>
    <w:basedOn w:val="a"/>
    <w:qFormat/>
    <w:rsid w:val="004E76D1"/>
    <w:rPr>
      <w:rFonts w:ascii="Tahoma" w:hAnsi="Tahoma"/>
      <w:sz w:val="24"/>
      <w:szCs w:val="20"/>
    </w:rPr>
  </w:style>
  <w:style w:type="paragraph" w:customStyle="1" w:styleId="Char1CharCharChar">
    <w:name w:val="Char1 Char Char Char"/>
    <w:basedOn w:val="a"/>
    <w:qFormat/>
    <w:rsid w:val="004E76D1"/>
    <w:pPr>
      <w:widowControl/>
      <w:spacing w:after="160" w:line="240" w:lineRule="exact"/>
      <w:jc w:val="left"/>
    </w:pPr>
    <w:rPr>
      <w:szCs w:val="20"/>
    </w:rPr>
  </w:style>
  <w:style w:type="paragraph" w:customStyle="1" w:styleId="Char1">
    <w:name w:val="Char"/>
    <w:basedOn w:val="a"/>
    <w:qFormat/>
    <w:rsid w:val="004E76D1"/>
    <w:rPr>
      <w:rFonts w:ascii="Tahoma" w:hAnsi="Tahoma"/>
      <w:sz w:val="24"/>
      <w:szCs w:val="20"/>
    </w:rPr>
  </w:style>
  <w:style w:type="paragraph" w:customStyle="1" w:styleId="CharChar3CharChar">
    <w:name w:val="Char Char3 Char Char"/>
    <w:basedOn w:val="a"/>
    <w:qFormat/>
    <w:rsid w:val="004E76D1"/>
    <w:rPr>
      <w:szCs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111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121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Sheet1!$B$1</c:f>
              <c:strCache>
                <c:ptCount val="1"/>
                <c:pt idx="0">
                  <c:v>收入</c:v>
                </c:pt>
              </c:strCache>
            </c:strRef>
          </c:tx>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1885.1799999999998</c:v>
                </c:pt>
                <c:pt idx="1">
                  <c:v>0</c:v>
                </c:pt>
                <c:pt idx="2">
                  <c:v>0</c:v>
                </c:pt>
                <c:pt idx="3">
                  <c:v>0</c:v>
                </c:pt>
                <c:pt idx="4">
                  <c:v>0</c:v>
                </c:pt>
                <c:pt idx="5">
                  <c:v>0</c:v>
                </c:pt>
              </c:numCache>
            </c:numRef>
          </c:val>
        </c:ser>
        <c:dLbls>
          <c:showVal val="1"/>
        </c:dLbls>
        <c:firstSliceAng val="0"/>
      </c:pieChart>
    </c:plotArea>
    <c:legend>
      <c:legendPos val="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870174ca-5003-4854-8626-6ca8bc95ad1a}"/>
      </c:ext>
    </c:extLst>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Sheet0!$B$1</c:f>
              <c:strCache>
                <c:ptCount val="1"/>
                <c:pt idx="0">
                  <c:v>支出</c:v>
                </c:pt>
              </c:strCache>
            </c:strRef>
          </c:tx>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Pt>
            <c:idx val="3"/>
            <c:spPr>
              <a:solidFill>
                <a:srgbClr val="8064A2"/>
              </a:solidFill>
              <a:ln w="19050">
                <a:solidFill>
                  <a:srgbClr val="FFFFFF"/>
                </a:solidFill>
              </a:ln>
              <a:effectLst/>
            </c:spPr>
          </c:dPt>
          <c:dPt>
            <c:idx val="4"/>
            <c:spPr>
              <a:solidFill>
                <a:srgbClr val="4BACC6"/>
              </a:solidFill>
              <a:ln w="19050">
                <a:solidFill>
                  <a:srgbClr val="FFFFFF"/>
                </a:solidFill>
              </a:ln>
              <a:effectLst/>
            </c:spPr>
          </c:dPt>
          <c:dLbls>
            <c:dLbl>
              <c:idx val="2"/>
              <c:layout>
                <c:manualLayout>
                  <c:x val="-3.9003729401150038E-2"/>
                  <c:y val="3.2827143610787812E-2"/>
                </c:manualLayout>
              </c:layout>
              <c:dLblPos val="bestFit"/>
              <c:showPercent val="1"/>
              <c:extLst>
                <c:ext xmlns:c15="http://schemas.microsoft.com/office/drawing/2012/chart" uri="{CE6537A1-D6FC-4f65-9D91-7224C49458BB}">
                  <c15:layout/>
                </c:ext>
              </c:extLst>
            </c:dLbl>
            <c:dLbl>
              <c:idx val="4"/>
              <c:layout>
                <c:manualLayout>
                  <c:x val="3.8988769358610204E-2"/>
                  <c:y val="1.0511229510062311E-2"/>
                </c:manualLayout>
              </c:layout>
              <c:dLblPos val="bestFit"/>
              <c:showPercent val="1"/>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1599.3799999999999</c:v>
                </c:pt>
                <c:pt idx="1">
                  <c:v>285.8</c:v>
                </c:pt>
                <c:pt idx="2">
                  <c:v>0</c:v>
                </c:pt>
                <c:pt idx="3">
                  <c:v>0</c:v>
                </c:pt>
                <c:pt idx="4">
                  <c:v>0</c:v>
                </c:pt>
              </c:numCache>
            </c:numRef>
          </c:val>
        </c:ser>
        <c:dLbls>
          <c:showPercent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63f5d55d-a14a-40b4-bb11-881e407715f5}"/>
      </c:ext>
    </c:extLst>
  </c:chart>
  <c:spPr>
    <a:ln w="9525" cap="flat" cmpd="sng" algn="ctr">
      <a:solidFill>
        <a:srgbClr val="D9D9D9">
          <a:lumMod val="15000"/>
          <a:lumOff val="85000"/>
        </a:srgbClr>
      </a:solidFill>
      <a:prstDash val="solid"/>
      <a:round/>
    </a:ln>
    <a:effectLst/>
  </c:spPr>
  <c:txPr>
    <a:bodyPr/>
    <a:lstStyle/>
    <a:p>
      <a:pPr>
        <a:defRPr lang="zh-CN"/>
      </a:pPr>
      <a:endParaRPr lang="zh-CN"/>
    </a:p>
  </c:txPr>
  <c:externalData r:id="rId1"/>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19</Pages>
  <Words>1207</Words>
  <Characters>6886</Characters>
  <Application>Microsoft Office Word</Application>
  <DocSecurity>0</DocSecurity>
  <Lines>57</Lines>
  <Paragraphs>16</Paragraphs>
  <ScaleCrop>false</ScaleCrop>
  <Company/>
  <LinksUpToDate>false</LinksUpToDate>
  <CharactersWithSpaces>8077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北京市财政局关于做好向市人大常委会报送2015年度市级部门决算（草案）</dc:title>
  <dc:creator>常程</dc:creator>
  <cp:lastModifiedBy>Administrator</cp:lastModifiedBy>
  <cp:revision>27</cp:revision>
  <cp:lastPrinted>2026-08-19T08:02:00Z</cp:lastPrinted>
  <dcterms:created xsi:type="dcterms:W3CDTF">2017-07-11T15:16:00Z</dcterms:created>
  <dcterms:modified xsi:type="dcterms:W3CDTF">2026-08-21T07:37:00Z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435078ACFECC4A5A8A519EF4C3681114_13</vt:lpwstr>
  </property>
  <property fmtid="{D5CDD505-2E9C-101B-9397-08002B2CF9AE}" pid="4" name="KSOTemplateDocerSaveRecord">
    <vt:lpwstr>eyJoZGlkIjoiYjU0MjFhZThlODRhODg5ODNlY2UxZjllZmJmZGQwMDIiLCJ1c2VySWQiOiIyNTY0OTAwMjIifQ==</vt:lpwstr>
  </property>
</Properties>
</file>