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1318" w:firstLineChars="471"/>
        <w:rPr>
          <w:rFonts w:hint="eastAsia" w:ascii="仿宋_GB2312" w:eastAsia="仿宋_GB2312"/>
          <w:sz w:val="28"/>
          <w:szCs w:val="28"/>
          <w:lang w:val="en-US" w:eastAsia="zh-CN"/>
        </w:rPr>
      </w:pPr>
      <w:r>
        <w:rPr>
          <w:rFonts w:hint="eastAsia" w:ascii="仿宋_GB2312" w:eastAsia="仿宋_GB2312"/>
          <w:sz w:val="28"/>
          <w:szCs w:val="28"/>
          <w:lang w:val="en-US" w:eastAsia="zh-CN"/>
        </w:rPr>
        <w:t>门头沟区环境卫生服务中心为区政府直属公益一类事业单位，机构规格为正处级，经费形式为财政补助（全额拨款）。</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val="en-US" w:eastAsia="zh-CN"/>
        </w:rPr>
        <w:t>1.负责贯彻落实本区市容环境卫生发展规划和年度计划。</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val="en-US" w:eastAsia="zh-CN"/>
        </w:rPr>
        <w:t>2.根据区政府下达的环境卫生作业任务、指标和要求，承担作业范围内道路的清扫保洁工作，以及垃圾的收集、清运、转运工作，公厕的保洁和粪便的清运、消纳处理工作。</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val="en-US" w:eastAsia="zh-CN"/>
        </w:rPr>
        <w:t>3.负责本区域内环境卫生相关服务性、技术性、事务性工作。</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val="en-US" w:eastAsia="zh-CN"/>
        </w:rPr>
        <w:t>4.完成区委、区政府交办的其他任务。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val="en-US" w:eastAsia="zh-CN"/>
        </w:rPr>
        <w:t>本部门共设13个内设机构，下设0个事业单位。行政编制0名，实际0人；事业编制118名，实际97人；离退休人员222人，其中：离休0人，行政退休12人，事业退休210人；其他人员919人，其中：社会化用工917人。</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257</w:t>
      </w:r>
      <w:r>
        <w:rPr>
          <w:rFonts w:hint="eastAsia" w:ascii="仿宋_GB2312" w:eastAsia="仿宋_GB2312"/>
          <w:sz w:val="28"/>
          <w:szCs w:val="28"/>
          <w:lang w:val="en-US" w:eastAsia="zh-CN"/>
        </w:rPr>
        <w:t>,</w:t>
      </w:r>
      <w:r>
        <w:rPr>
          <w:rFonts w:ascii="仿宋_GB2312" w:eastAsia="仿宋_GB2312"/>
          <w:sz w:val="28"/>
          <w:szCs w:val="28"/>
        </w:rPr>
        <w:t>234</w:t>
      </w:r>
      <w:r>
        <w:rPr>
          <w:rFonts w:hint="eastAsia" w:ascii="仿宋_GB2312" w:eastAsia="仿宋_GB2312"/>
          <w:sz w:val="28"/>
          <w:szCs w:val="28"/>
          <w:lang w:val="en-US" w:eastAsia="zh-CN"/>
        </w:rPr>
        <w:t>,</w:t>
      </w:r>
      <w:r>
        <w:rPr>
          <w:rFonts w:ascii="仿宋_GB2312" w:eastAsia="仿宋_GB2312"/>
          <w:sz w:val="28"/>
          <w:szCs w:val="28"/>
        </w:rPr>
        <w:t>273.77</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减少121,694,371.72元，下降</w:t>
      </w:r>
      <w:r>
        <w:rPr>
          <w:rFonts w:hint="eastAsia" w:ascii="仿宋_GB2312" w:eastAsia="仿宋_GB2312"/>
          <w:sz w:val="28"/>
          <w:szCs w:val="28"/>
          <w:lang w:val="en-US" w:eastAsia="zh-CN"/>
        </w:rPr>
        <w:t>32.1</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248</w:t>
      </w:r>
      <w:r>
        <w:rPr>
          <w:rFonts w:hint="eastAsia" w:ascii="仿宋_GB2312" w:eastAsia="仿宋_GB2312"/>
          <w:sz w:val="28"/>
          <w:szCs w:val="28"/>
          <w:lang w:val="en-US" w:eastAsia="zh-CN"/>
        </w:rPr>
        <w:t>,</w:t>
      </w:r>
      <w:r>
        <w:rPr>
          <w:rFonts w:ascii="仿宋_GB2312" w:eastAsia="仿宋_GB2312"/>
          <w:sz w:val="28"/>
          <w:szCs w:val="28"/>
        </w:rPr>
        <w:t>848</w:t>
      </w:r>
      <w:r>
        <w:rPr>
          <w:rFonts w:hint="eastAsia" w:ascii="仿宋_GB2312" w:eastAsia="仿宋_GB2312"/>
          <w:sz w:val="28"/>
          <w:szCs w:val="28"/>
          <w:lang w:val="en-US" w:eastAsia="zh-CN"/>
        </w:rPr>
        <w:t>,</w:t>
      </w:r>
      <w:r>
        <w:rPr>
          <w:rFonts w:ascii="仿宋_GB2312" w:eastAsia="仿宋_GB2312"/>
          <w:sz w:val="28"/>
          <w:szCs w:val="28"/>
        </w:rPr>
        <w:t>513.78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减少107,203,788.51元，下降</w:t>
      </w:r>
      <w:r>
        <w:rPr>
          <w:rFonts w:hint="eastAsia" w:ascii="仿宋_GB2312" w:eastAsia="仿宋_GB2312"/>
          <w:sz w:val="28"/>
          <w:szCs w:val="28"/>
          <w:lang w:val="en-US" w:eastAsia="zh-CN"/>
        </w:rPr>
        <w:t>30.1</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235</w:t>
      </w:r>
      <w:r>
        <w:rPr>
          <w:rFonts w:hint="eastAsia" w:ascii="仿宋_GB2312" w:eastAsia="仿宋_GB2312"/>
          <w:sz w:val="28"/>
          <w:szCs w:val="28"/>
          <w:lang w:val="en-US" w:eastAsia="zh-CN"/>
        </w:rPr>
        <w:t>,</w:t>
      </w:r>
      <w:r>
        <w:rPr>
          <w:rFonts w:ascii="仿宋_GB2312" w:eastAsia="仿宋_GB2312"/>
          <w:sz w:val="28"/>
          <w:szCs w:val="28"/>
        </w:rPr>
        <w:t>026</w:t>
      </w:r>
      <w:r>
        <w:rPr>
          <w:rFonts w:hint="eastAsia" w:ascii="仿宋_GB2312" w:eastAsia="仿宋_GB2312"/>
          <w:sz w:val="28"/>
          <w:szCs w:val="28"/>
          <w:lang w:val="en-US" w:eastAsia="zh-CN"/>
        </w:rPr>
        <w:t>,</w:t>
      </w:r>
      <w:r>
        <w:rPr>
          <w:rFonts w:ascii="仿宋_GB2312" w:eastAsia="仿宋_GB2312"/>
          <w:sz w:val="28"/>
          <w:szCs w:val="28"/>
        </w:rPr>
        <w:t>482.78</w:t>
      </w:r>
      <w:r>
        <w:rPr>
          <w:rFonts w:hint="eastAsia" w:ascii="仿宋_GB2312" w:eastAsia="仿宋_GB2312"/>
          <w:sz w:val="28"/>
          <w:szCs w:val="28"/>
        </w:rPr>
        <w:t>元，占收入合计的94.5%。其中：一般公共预算财政拨款收入</w:t>
      </w:r>
      <w:r>
        <w:rPr>
          <w:rFonts w:ascii="仿宋_GB2312" w:eastAsia="仿宋_GB2312"/>
          <w:sz w:val="28"/>
          <w:szCs w:val="28"/>
        </w:rPr>
        <w:t>228</w:t>
      </w:r>
      <w:r>
        <w:rPr>
          <w:rFonts w:hint="eastAsia" w:ascii="仿宋_GB2312" w:eastAsia="仿宋_GB2312"/>
          <w:sz w:val="28"/>
          <w:szCs w:val="28"/>
          <w:lang w:val="en-US" w:eastAsia="zh-CN"/>
        </w:rPr>
        <w:t>,</w:t>
      </w:r>
      <w:r>
        <w:rPr>
          <w:rFonts w:ascii="仿宋_GB2312" w:eastAsia="仿宋_GB2312"/>
          <w:sz w:val="28"/>
          <w:szCs w:val="28"/>
        </w:rPr>
        <w:t>126</w:t>
      </w:r>
      <w:r>
        <w:rPr>
          <w:rFonts w:hint="eastAsia" w:ascii="仿宋_GB2312" w:eastAsia="仿宋_GB2312"/>
          <w:sz w:val="28"/>
          <w:szCs w:val="28"/>
          <w:lang w:val="en-US" w:eastAsia="zh-CN"/>
        </w:rPr>
        <w:t>,</w:t>
      </w:r>
      <w:r>
        <w:rPr>
          <w:rFonts w:ascii="仿宋_GB2312" w:eastAsia="仿宋_GB2312"/>
          <w:sz w:val="28"/>
          <w:szCs w:val="28"/>
        </w:rPr>
        <w:t>925.89</w:t>
      </w:r>
      <w:r>
        <w:rPr>
          <w:rFonts w:hint="eastAsia" w:ascii="仿宋_GB2312" w:eastAsia="仿宋_GB2312"/>
          <w:sz w:val="28"/>
          <w:szCs w:val="28"/>
        </w:rPr>
        <w:t>元，占收入合计的91.7%；政府性基金预算财政拨款收入</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899</w:t>
      </w:r>
      <w:r>
        <w:rPr>
          <w:rFonts w:hint="eastAsia" w:ascii="仿宋_GB2312" w:eastAsia="仿宋_GB2312"/>
          <w:sz w:val="28"/>
          <w:szCs w:val="28"/>
          <w:lang w:val="en-US" w:eastAsia="zh-CN"/>
        </w:rPr>
        <w:t>,</w:t>
      </w:r>
      <w:r>
        <w:rPr>
          <w:rFonts w:ascii="仿宋_GB2312" w:eastAsia="仿宋_GB2312"/>
          <w:sz w:val="28"/>
          <w:szCs w:val="28"/>
        </w:rPr>
        <w:t>556.89</w:t>
      </w:r>
      <w:r>
        <w:rPr>
          <w:rFonts w:hint="eastAsia" w:ascii="仿宋_GB2312" w:eastAsia="仿宋_GB2312"/>
          <w:sz w:val="28"/>
          <w:szCs w:val="28"/>
        </w:rPr>
        <w:t>元，占收入合计的2.</w:t>
      </w:r>
      <w:r>
        <w:rPr>
          <w:rFonts w:hint="eastAsia" w:ascii="仿宋_GB2312" w:eastAsia="仿宋_GB2312"/>
          <w:sz w:val="28"/>
          <w:szCs w:val="28"/>
          <w:lang w:val="en-US" w:eastAsia="zh-CN"/>
        </w:rPr>
        <w:t>8</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822</w:t>
      </w:r>
      <w:r>
        <w:rPr>
          <w:rFonts w:hint="eastAsia" w:ascii="仿宋_GB2312" w:eastAsia="仿宋_GB2312"/>
          <w:sz w:val="28"/>
          <w:szCs w:val="28"/>
          <w:lang w:val="en-US" w:eastAsia="zh-CN"/>
        </w:rPr>
        <w:t>,</w:t>
      </w:r>
      <w:r>
        <w:rPr>
          <w:rFonts w:ascii="仿宋_GB2312" w:eastAsia="仿宋_GB2312"/>
          <w:sz w:val="28"/>
          <w:szCs w:val="28"/>
        </w:rPr>
        <w:t>031</w:t>
      </w:r>
      <w:r>
        <w:rPr>
          <w:rFonts w:hint="eastAsia" w:ascii="仿宋_GB2312" w:eastAsia="仿宋_GB2312"/>
          <w:sz w:val="28"/>
          <w:szCs w:val="28"/>
        </w:rPr>
        <w:t>元，占收入合计的5.</w:t>
      </w:r>
      <w:r>
        <w:rPr>
          <w:rFonts w:hint="eastAsia" w:ascii="仿宋_GB2312" w:eastAsia="仿宋_GB2312"/>
          <w:sz w:val="28"/>
          <w:szCs w:val="28"/>
          <w:lang w:val="en-US" w:eastAsia="zh-CN"/>
        </w:rPr>
        <w:t>6</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114300" distR="114300">
            <wp:extent cx="4572000" cy="2819400"/>
            <wp:effectExtent l="4445" t="4445" r="14605" b="14605"/>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252</w:t>
      </w:r>
      <w:r>
        <w:rPr>
          <w:rFonts w:hint="eastAsia" w:ascii="仿宋_GB2312" w:eastAsia="仿宋_GB2312"/>
          <w:sz w:val="28"/>
          <w:szCs w:val="28"/>
          <w:lang w:val="en-US" w:eastAsia="zh-CN"/>
        </w:rPr>
        <w:t>,</w:t>
      </w:r>
      <w:r>
        <w:rPr>
          <w:rFonts w:ascii="仿宋_GB2312" w:eastAsia="仿宋_GB2312"/>
          <w:sz w:val="28"/>
          <w:szCs w:val="28"/>
        </w:rPr>
        <w:t>314</w:t>
      </w:r>
      <w:r>
        <w:rPr>
          <w:rFonts w:hint="eastAsia" w:ascii="仿宋_GB2312" w:eastAsia="仿宋_GB2312"/>
          <w:sz w:val="28"/>
          <w:szCs w:val="28"/>
          <w:lang w:val="en-US" w:eastAsia="zh-CN"/>
        </w:rPr>
        <w:t>,</w:t>
      </w:r>
      <w:r>
        <w:rPr>
          <w:rFonts w:ascii="仿宋_GB2312" w:eastAsia="仿宋_GB2312"/>
          <w:sz w:val="28"/>
          <w:szCs w:val="28"/>
        </w:rPr>
        <w:t>011.35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减少120,871,276.42元，下降</w:t>
      </w:r>
      <w:r>
        <w:rPr>
          <w:rFonts w:hint="eastAsia" w:ascii="仿宋_GB2312" w:eastAsia="仿宋_GB2312"/>
          <w:sz w:val="28"/>
          <w:szCs w:val="28"/>
          <w:lang w:val="en-US" w:eastAsia="zh-CN"/>
        </w:rPr>
        <w:t>32.4</w:t>
      </w:r>
      <w:r>
        <w:rPr>
          <w:rFonts w:hint="eastAsia" w:ascii="仿宋_GB2312" w:eastAsia="仿宋_GB2312"/>
          <w:sz w:val="28"/>
          <w:szCs w:val="28"/>
        </w:rPr>
        <w:t>%，其中：基本支出</w:t>
      </w:r>
      <w:r>
        <w:rPr>
          <w:rFonts w:ascii="仿宋_GB2312" w:eastAsia="仿宋_GB2312"/>
          <w:sz w:val="28"/>
          <w:szCs w:val="28"/>
        </w:rPr>
        <w:t>133</w:t>
      </w:r>
      <w:r>
        <w:rPr>
          <w:rFonts w:hint="eastAsia" w:ascii="仿宋_GB2312" w:eastAsia="仿宋_GB2312"/>
          <w:sz w:val="28"/>
          <w:szCs w:val="28"/>
          <w:lang w:val="en-US" w:eastAsia="zh-CN"/>
        </w:rPr>
        <w:t>,</w:t>
      </w:r>
      <w:r>
        <w:rPr>
          <w:rFonts w:ascii="仿宋_GB2312" w:eastAsia="仿宋_GB2312"/>
          <w:sz w:val="28"/>
          <w:szCs w:val="28"/>
        </w:rPr>
        <w:t>002</w:t>
      </w:r>
      <w:r>
        <w:rPr>
          <w:rFonts w:hint="eastAsia" w:ascii="仿宋_GB2312" w:eastAsia="仿宋_GB2312"/>
          <w:sz w:val="28"/>
          <w:szCs w:val="28"/>
          <w:lang w:val="en-US" w:eastAsia="zh-CN"/>
        </w:rPr>
        <w:t>,</w:t>
      </w:r>
      <w:r>
        <w:rPr>
          <w:rFonts w:ascii="仿宋_GB2312" w:eastAsia="仿宋_GB2312"/>
          <w:sz w:val="28"/>
          <w:szCs w:val="28"/>
        </w:rPr>
        <w:t>976.01</w:t>
      </w:r>
      <w:r>
        <w:rPr>
          <w:rFonts w:hint="eastAsia" w:ascii="仿宋_GB2312" w:eastAsia="仿宋_GB2312"/>
          <w:sz w:val="28"/>
          <w:szCs w:val="28"/>
        </w:rPr>
        <w:t>元，占支出合计的52.7%；项目支出</w:t>
      </w:r>
      <w:r>
        <w:rPr>
          <w:rFonts w:ascii="仿宋_GB2312" w:eastAsia="仿宋_GB2312"/>
          <w:sz w:val="28"/>
          <w:szCs w:val="28"/>
        </w:rPr>
        <w:t>110</w:t>
      </w:r>
      <w:r>
        <w:rPr>
          <w:rFonts w:hint="eastAsia" w:ascii="仿宋_GB2312" w:eastAsia="仿宋_GB2312"/>
          <w:sz w:val="28"/>
          <w:szCs w:val="28"/>
          <w:lang w:val="en-US" w:eastAsia="zh-CN"/>
        </w:rPr>
        <w:t>,</w:t>
      </w:r>
      <w:r>
        <w:rPr>
          <w:rFonts w:ascii="仿宋_GB2312" w:eastAsia="仿宋_GB2312"/>
          <w:sz w:val="28"/>
          <w:szCs w:val="28"/>
        </w:rPr>
        <w:t>362</w:t>
      </w:r>
      <w:r>
        <w:rPr>
          <w:rFonts w:hint="eastAsia" w:ascii="仿宋_GB2312" w:eastAsia="仿宋_GB2312"/>
          <w:sz w:val="28"/>
          <w:szCs w:val="28"/>
          <w:lang w:val="en-US" w:eastAsia="zh-CN"/>
        </w:rPr>
        <w:t>,</w:t>
      </w:r>
      <w:r>
        <w:rPr>
          <w:rFonts w:ascii="仿宋_GB2312" w:eastAsia="仿宋_GB2312"/>
          <w:sz w:val="28"/>
          <w:szCs w:val="28"/>
        </w:rPr>
        <w:t>982.01</w:t>
      </w:r>
      <w:r>
        <w:rPr>
          <w:rFonts w:hint="eastAsia" w:ascii="仿宋_GB2312" w:eastAsia="仿宋_GB2312"/>
          <w:sz w:val="28"/>
          <w:szCs w:val="28"/>
        </w:rPr>
        <w:t>元，占支出合计的43.7%;上缴上级支出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948</w:t>
      </w:r>
      <w:r>
        <w:rPr>
          <w:rFonts w:hint="eastAsia" w:ascii="仿宋_GB2312" w:eastAsia="仿宋_GB2312"/>
          <w:sz w:val="28"/>
          <w:szCs w:val="28"/>
          <w:lang w:val="en-US" w:eastAsia="zh-CN"/>
        </w:rPr>
        <w:t>,</w:t>
      </w:r>
      <w:r>
        <w:rPr>
          <w:rFonts w:ascii="仿宋_GB2312" w:eastAsia="仿宋_GB2312"/>
          <w:sz w:val="28"/>
          <w:szCs w:val="28"/>
        </w:rPr>
        <w:t>053.33</w:t>
      </w:r>
      <w:r>
        <w:rPr>
          <w:rFonts w:hint="eastAsia" w:ascii="仿宋_GB2312" w:eastAsia="仿宋_GB2312"/>
          <w:sz w:val="28"/>
          <w:szCs w:val="28"/>
        </w:rPr>
        <w:t>元，占支出合计的3.</w:t>
      </w:r>
      <w:r>
        <w:rPr>
          <w:rFonts w:hint="eastAsia" w:ascii="仿宋_GB2312" w:eastAsia="仿宋_GB2312"/>
          <w:sz w:val="28"/>
          <w:szCs w:val="28"/>
          <w:lang w:val="en-US" w:eastAsia="zh-CN"/>
        </w:rPr>
        <w:t>6</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元，占支出合计的0%。</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238</w:t>
      </w:r>
      <w:r>
        <w:rPr>
          <w:rFonts w:hint="eastAsia" w:ascii="仿宋_GB2312" w:eastAsia="仿宋_GB2312"/>
          <w:sz w:val="28"/>
          <w:szCs w:val="28"/>
          <w:lang w:val="en-US" w:eastAsia="zh-CN"/>
        </w:rPr>
        <w:t>,</w:t>
      </w:r>
      <w:r>
        <w:rPr>
          <w:rFonts w:ascii="仿宋_GB2312" w:eastAsia="仿宋_GB2312"/>
          <w:sz w:val="28"/>
          <w:szCs w:val="28"/>
        </w:rPr>
        <w:t>108</w:t>
      </w:r>
      <w:r>
        <w:rPr>
          <w:rFonts w:hint="eastAsia" w:ascii="仿宋_GB2312" w:eastAsia="仿宋_GB2312"/>
          <w:sz w:val="28"/>
          <w:szCs w:val="28"/>
          <w:lang w:val="en-US" w:eastAsia="zh-CN"/>
        </w:rPr>
        <w:t>,</w:t>
      </w:r>
      <w:r>
        <w:rPr>
          <w:rFonts w:ascii="仿宋_GB2312" w:eastAsia="仿宋_GB2312"/>
          <w:sz w:val="28"/>
          <w:szCs w:val="28"/>
        </w:rPr>
        <w:t>927.62</w:t>
      </w:r>
      <w:r>
        <w:rPr>
          <w:rFonts w:hint="eastAsia" w:ascii="仿宋_GB2312" w:eastAsia="仿宋_GB2312"/>
          <w:sz w:val="28"/>
          <w:szCs w:val="28"/>
        </w:rPr>
        <w:t>元，比上年减少118,670,399.04元，下降</w:t>
      </w:r>
      <w:r>
        <w:rPr>
          <w:rFonts w:hint="eastAsia" w:ascii="仿宋_GB2312" w:eastAsia="仿宋_GB2312"/>
          <w:sz w:val="28"/>
          <w:szCs w:val="28"/>
          <w:lang w:val="en-US" w:eastAsia="zh-CN"/>
        </w:rPr>
        <w:t>33.3</w:t>
      </w:r>
      <w:r>
        <w:rPr>
          <w:rFonts w:hint="eastAsia" w:ascii="仿宋_GB2312" w:eastAsia="仿宋_GB2312"/>
          <w:sz w:val="28"/>
          <w:szCs w:val="28"/>
        </w:rPr>
        <w:t>%。主要原因：落实习惯过紧日子要求，减少非急需非刚性支出（项目经费支出减少）。</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w:t>
      </w:r>
      <w:r>
        <w:rPr>
          <w:rFonts w:hint="eastAsia" w:ascii="仿宋_GB2312" w:eastAsia="仿宋_GB2312"/>
          <w:sz w:val="28"/>
          <w:szCs w:val="28"/>
          <w:highlight w:val="none"/>
        </w:rPr>
        <w:t>般公共预算财政拨款支出</w:t>
      </w:r>
      <w:r>
        <w:rPr>
          <w:rFonts w:ascii="仿宋_GB2312" w:eastAsia="仿宋_GB2312"/>
          <w:sz w:val="28"/>
          <w:szCs w:val="28"/>
          <w:highlight w:val="none"/>
        </w:rPr>
        <w:t>231</w:t>
      </w:r>
      <w:r>
        <w:rPr>
          <w:rFonts w:hint="eastAsia" w:ascii="仿宋_GB2312" w:eastAsia="仿宋_GB2312"/>
          <w:sz w:val="28"/>
          <w:szCs w:val="28"/>
          <w:highlight w:val="none"/>
          <w:lang w:val="en-US" w:eastAsia="zh-CN"/>
        </w:rPr>
        <w:t>,</w:t>
      </w:r>
      <w:r>
        <w:rPr>
          <w:rFonts w:ascii="仿宋_GB2312" w:eastAsia="仿宋_GB2312"/>
          <w:sz w:val="28"/>
          <w:szCs w:val="28"/>
          <w:highlight w:val="none"/>
        </w:rPr>
        <w:t>209</w:t>
      </w:r>
      <w:r>
        <w:rPr>
          <w:rFonts w:hint="eastAsia" w:ascii="仿宋_GB2312" w:eastAsia="仿宋_GB2312"/>
          <w:sz w:val="28"/>
          <w:szCs w:val="28"/>
          <w:highlight w:val="none"/>
          <w:lang w:val="en-US" w:eastAsia="zh-CN"/>
        </w:rPr>
        <w:t>,</w:t>
      </w:r>
      <w:r>
        <w:rPr>
          <w:rFonts w:ascii="仿宋_GB2312" w:eastAsia="仿宋_GB2312"/>
          <w:sz w:val="28"/>
          <w:szCs w:val="28"/>
          <w:highlight w:val="none"/>
        </w:rPr>
        <w:t>370.73</w:t>
      </w:r>
      <w:r>
        <w:rPr>
          <w:rFonts w:hint="eastAsia" w:ascii="仿宋_GB2312" w:eastAsia="仿宋_GB2312"/>
          <w:sz w:val="28"/>
          <w:szCs w:val="28"/>
          <w:highlight w:val="none"/>
        </w:rPr>
        <w:t>元，主要用于以下方面（按大类）：社会保障和就业支出3,675,153元，占本年财政拨款支出1.</w:t>
      </w:r>
      <w:r>
        <w:rPr>
          <w:rFonts w:hint="eastAsia" w:ascii="仿宋_GB2312" w:eastAsia="仿宋_GB2312"/>
          <w:sz w:val="28"/>
          <w:szCs w:val="28"/>
          <w:highlight w:val="none"/>
          <w:lang w:val="en-US" w:eastAsia="zh-CN"/>
        </w:rPr>
        <w:t>6</w:t>
      </w:r>
      <w:r>
        <w:rPr>
          <w:rFonts w:hint="eastAsia" w:ascii="仿宋_GB2312" w:eastAsia="仿宋_GB2312"/>
          <w:sz w:val="28"/>
          <w:szCs w:val="28"/>
          <w:highlight w:val="none"/>
        </w:rPr>
        <w:t>%；节能环保支出1,898,980.44元，占本年财政拨款支出0.8%；城乡社区支出225,626,363.29元，占本年财政拨款支出97.</w:t>
      </w:r>
      <w:r>
        <w:rPr>
          <w:rFonts w:hint="eastAsia" w:ascii="仿宋_GB2312" w:eastAsia="仿宋_GB2312"/>
          <w:sz w:val="28"/>
          <w:szCs w:val="28"/>
          <w:highlight w:val="none"/>
          <w:lang w:val="en-US" w:eastAsia="zh-CN"/>
        </w:rPr>
        <w:t>6</w:t>
      </w:r>
      <w:r>
        <w:rPr>
          <w:rFonts w:hint="eastAsia" w:ascii="仿宋_GB2312" w:eastAsia="仿宋_GB2312"/>
          <w:sz w:val="28"/>
          <w:szCs w:val="28"/>
          <w:highlight w:val="none"/>
        </w:rPr>
        <w:t>%；资源勘探工业信息等支出8,874元，占本年财政拨款支出0%。</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color w:val="auto"/>
          <w:sz w:val="28"/>
          <w:szCs w:val="28"/>
          <w:highlight w:val="none"/>
        </w:rPr>
      </w:pPr>
      <w:r>
        <w:rPr>
          <w:rFonts w:hint="eastAsia" w:ascii="仿宋_GB2312" w:eastAsia="仿宋_GB2312"/>
          <w:color w:val="auto"/>
          <w:sz w:val="28"/>
          <w:szCs w:val="28"/>
          <w:highlight w:val="none"/>
        </w:rPr>
        <w:t>1、“社会保障和就业支出”（类）2025年度年初预算</w:t>
      </w:r>
      <w:r>
        <w:rPr>
          <w:rFonts w:hint="eastAsia" w:ascii="仿宋_GB2312" w:eastAsia="仿宋_GB2312"/>
          <w:color w:val="auto"/>
          <w:sz w:val="28"/>
          <w:szCs w:val="28"/>
          <w:highlight w:val="none"/>
          <w:lang w:val="en-US" w:eastAsia="zh-CN"/>
        </w:rPr>
        <w:t>2,329,838</w:t>
      </w:r>
      <w:r>
        <w:rPr>
          <w:rFonts w:hint="eastAsia" w:ascii="仿宋_GB2312" w:eastAsia="仿宋_GB2312"/>
          <w:color w:val="auto"/>
          <w:sz w:val="28"/>
          <w:szCs w:val="28"/>
          <w:highlight w:val="none"/>
        </w:rPr>
        <w:t>元，2025年度决算3,675,153元，完成年初预算的</w:t>
      </w:r>
      <w:r>
        <w:rPr>
          <w:rFonts w:hint="eastAsia" w:ascii="仿宋_GB2312" w:eastAsia="仿宋_GB2312"/>
          <w:color w:val="auto"/>
          <w:sz w:val="28"/>
          <w:szCs w:val="28"/>
          <w:highlight w:val="none"/>
          <w:lang w:val="en-US" w:eastAsia="zh-CN"/>
        </w:rPr>
        <w:t>157.8</w:t>
      </w:r>
      <w:r>
        <w:rPr>
          <w:rFonts w:hint="eastAsia" w:ascii="仿宋_GB2312" w:eastAsia="仿宋_GB2312"/>
          <w:color w:val="auto"/>
          <w:sz w:val="28"/>
          <w:szCs w:val="28"/>
          <w:highlight w:val="none"/>
        </w:rPr>
        <w:t>%。</w:t>
      </w:r>
    </w:p>
    <w:p>
      <w:pPr>
        <w:autoSpaceDE w:val="0"/>
        <w:autoSpaceDN w:val="0"/>
        <w:adjustRightInd w:val="0"/>
        <w:spacing w:line="580" w:lineRule="exact"/>
        <w:jc w:val="left"/>
        <w:rPr>
          <w:rFonts w:ascii="仿宋_GB2312" w:eastAsia="仿宋_GB2312"/>
          <w:color w:val="auto"/>
          <w:sz w:val="28"/>
          <w:szCs w:val="28"/>
          <w:highlight w:val="none"/>
        </w:rPr>
      </w:pPr>
      <w:r>
        <w:rPr>
          <w:rFonts w:hint="eastAsia" w:ascii="仿宋_GB2312" w:eastAsia="仿宋_GB2312"/>
          <w:color w:val="auto"/>
          <w:sz w:val="28"/>
          <w:szCs w:val="28"/>
          <w:highlight w:val="none"/>
        </w:rPr>
        <w:t>其中：</w:t>
      </w:r>
    </w:p>
    <w:p>
      <w:pPr>
        <w:spacing w:line="580" w:lineRule="exact"/>
        <w:ind w:firstLine="560" w:firstLineChars="200"/>
        <w:rPr>
          <w:color w:val="auto"/>
          <w:highlight w:val="none"/>
        </w:rPr>
      </w:pPr>
      <w:r>
        <w:rPr>
          <w:rFonts w:hint="eastAsia" w:ascii="仿宋_GB2312" w:eastAsia="仿宋_GB2312"/>
          <w:color w:val="auto"/>
          <w:sz w:val="28"/>
          <w:szCs w:val="28"/>
          <w:highlight w:val="none"/>
        </w:rPr>
        <w:t>“行政事业单位养老支出”（款，下同）2025年度年初预算</w:t>
      </w:r>
      <w:r>
        <w:rPr>
          <w:rFonts w:hint="eastAsia" w:ascii="仿宋_GB2312" w:eastAsia="仿宋_GB2312"/>
          <w:color w:val="auto"/>
          <w:sz w:val="28"/>
          <w:szCs w:val="28"/>
          <w:highlight w:val="none"/>
          <w:lang w:val="en-US" w:eastAsia="zh-CN"/>
        </w:rPr>
        <w:t>2,329,838</w:t>
      </w:r>
      <w:r>
        <w:rPr>
          <w:rFonts w:hint="eastAsia" w:ascii="仿宋_GB2312" w:eastAsia="仿宋_GB2312"/>
          <w:color w:val="auto"/>
          <w:sz w:val="28"/>
          <w:szCs w:val="28"/>
          <w:highlight w:val="none"/>
        </w:rPr>
        <w:t>元，2025年度决算3,675,153元，完成年初预算的</w:t>
      </w:r>
      <w:r>
        <w:rPr>
          <w:rFonts w:hint="eastAsia" w:ascii="仿宋_GB2312" w:eastAsia="仿宋_GB2312"/>
          <w:color w:val="auto"/>
          <w:sz w:val="28"/>
          <w:szCs w:val="28"/>
          <w:highlight w:val="none"/>
          <w:lang w:val="en-US" w:eastAsia="zh-CN"/>
        </w:rPr>
        <w:t>157.8</w:t>
      </w:r>
      <w:r>
        <w:rPr>
          <w:rFonts w:hint="eastAsia" w:ascii="仿宋_GB2312" w:eastAsia="仿宋_GB2312"/>
          <w:color w:val="auto"/>
          <w:sz w:val="28"/>
          <w:szCs w:val="28"/>
          <w:highlight w:val="none"/>
        </w:rPr>
        <w:t>%。主要原因：本年度</w:t>
      </w:r>
      <w:r>
        <w:rPr>
          <w:rFonts w:hint="eastAsia" w:ascii="仿宋_GB2312" w:eastAsia="仿宋_GB2312"/>
          <w:color w:val="auto"/>
          <w:sz w:val="28"/>
          <w:szCs w:val="28"/>
          <w:highlight w:val="none"/>
          <w:lang w:eastAsia="zh-CN"/>
        </w:rPr>
        <w:t>追加</w:t>
      </w:r>
      <w:r>
        <w:rPr>
          <w:rFonts w:hint="eastAsia" w:ascii="仿宋_GB2312" w:eastAsia="仿宋_GB2312"/>
          <w:color w:val="auto"/>
          <w:sz w:val="28"/>
          <w:szCs w:val="28"/>
          <w:highlight w:val="none"/>
        </w:rPr>
        <w:t>抚恤金金额增加。</w:t>
      </w:r>
    </w:p>
    <w:p>
      <w:pPr>
        <w:spacing w:line="58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2、“节能环保支出”(类)2025年度年初预算</w:t>
      </w:r>
      <w:r>
        <w:rPr>
          <w:rFonts w:hint="eastAsia" w:ascii="仿宋_GB2312" w:eastAsia="仿宋_GB2312"/>
          <w:color w:val="auto"/>
          <w:sz w:val="28"/>
          <w:szCs w:val="28"/>
          <w:highlight w:val="none"/>
          <w:lang w:val="en-US" w:eastAsia="zh-CN"/>
        </w:rPr>
        <w:t>1,900,000</w:t>
      </w:r>
      <w:r>
        <w:rPr>
          <w:rFonts w:hint="eastAsia" w:ascii="仿宋_GB2312" w:eastAsia="仿宋_GB2312"/>
          <w:color w:val="auto"/>
          <w:sz w:val="28"/>
          <w:szCs w:val="28"/>
          <w:highlight w:val="none"/>
        </w:rPr>
        <w:t>元，2025年度决算1,898,980.44元，完成年初预算的</w:t>
      </w:r>
      <w:r>
        <w:rPr>
          <w:rFonts w:hint="eastAsia" w:ascii="仿宋_GB2312" w:eastAsia="仿宋_GB2312"/>
          <w:color w:val="auto"/>
          <w:sz w:val="28"/>
          <w:szCs w:val="28"/>
          <w:highlight w:val="none"/>
          <w:lang w:val="en-US" w:eastAsia="zh-CN"/>
        </w:rPr>
        <w:t>100</w:t>
      </w:r>
      <w:r>
        <w:rPr>
          <w:rFonts w:hint="eastAsia" w:ascii="仿宋_GB2312" w:eastAsia="仿宋_GB2312"/>
          <w:color w:val="auto"/>
          <w:sz w:val="28"/>
          <w:szCs w:val="28"/>
          <w:highlight w:val="none"/>
        </w:rPr>
        <w:t>%。其中：</w:t>
      </w:r>
    </w:p>
    <w:p>
      <w:pPr>
        <w:spacing w:line="58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“污染防治”（款）2025年度年初预算</w:t>
      </w:r>
      <w:r>
        <w:rPr>
          <w:rFonts w:hint="eastAsia" w:ascii="仿宋_GB2312" w:eastAsia="仿宋_GB2312"/>
          <w:color w:val="auto"/>
          <w:sz w:val="28"/>
          <w:szCs w:val="28"/>
          <w:highlight w:val="none"/>
          <w:lang w:val="en-US" w:eastAsia="zh-CN"/>
        </w:rPr>
        <w:t>1,900,000</w:t>
      </w:r>
      <w:r>
        <w:rPr>
          <w:rFonts w:hint="eastAsia" w:ascii="仿宋_GB2312" w:eastAsia="仿宋_GB2312"/>
          <w:color w:val="auto"/>
          <w:sz w:val="28"/>
          <w:szCs w:val="28"/>
          <w:highlight w:val="none"/>
        </w:rPr>
        <w:t>元，2025年度决算决算1,898,980.44元，完成年初预算的</w:t>
      </w:r>
      <w:r>
        <w:rPr>
          <w:rFonts w:hint="eastAsia" w:ascii="仿宋_GB2312" w:eastAsia="仿宋_GB2312"/>
          <w:color w:val="auto"/>
          <w:sz w:val="28"/>
          <w:szCs w:val="28"/>
          <w:highlight w:val="none"/>
          <w:lang w:val="en-US" w:eastAsia="zh-CN"/>
        </w:rPr>
        <w:t>100</w:t>
      </w:r>
      <w:r>
        <w:rPr>
          <w:rFonts w:hint="eastAsia" w:ascii="仿宋_GB2312" w:eastAsia="仿宋_GB2312"/>
          <w:color w:val="auto"/>
          <w:sz w:val="28"/>
          <w:szCs w:val="28"/>
          <w:highlight w:val="none"/>
        </w:rPr>
        <w:t>%。主要原因：</w:t>
      </w:r>
      <w:r>
        <w:rPr>
          <w:rFonts w:hint="eastAsia" w:ascii="仿宋_GB2312" w:eastAsia="仿宋_GB2312"/>
          <w:color w:val="auto"/>
          <w:sz w:val="28"/>
          <w:szCs w:val="28"/>
          <w:highlight w:val="none"/>
          <w:lang w:eastAsia="zh-CN"/>
        </w:rPr>
        <w:t>剩余中标差1,019.56</w:t>
      </w:r>
      <w:r>
        <w:rPr>
          <w:rFonts w:hint="eastAsia" w:ascii="仿宋_GB2312" w:eastAsia="仿宋_GB2312"/>
          <w:color w:val="auto"/>
          <w:sz w:val="28"/>
          <w:szCs w:val="28"/>
          <w:highlight w:val="none"/>
          <w:lang w:val="en-US" w:eastAsia="zh-CN"/>
        </w:rPr>
        <w:t>元</w:t>
      </w:r>
      <w:r>
        <w:rPr>
          <w:rFonts w:hint="eastAsia" w:ascii="仿宋_GB2312" w:eastAsia="仿宋_GB2312"/>
          <w:color w:val="auto"/>
          <w:sz w:val="28"/>
          <w:szCs w:val="28"/>
          <w:highlight w:val="none"/>
        </w:rPr>
        <w:t>。</w:t>
      </w:r>
    </w:p>
    <w:p>
      <w:pPr>
        <w:autoSpaceDE w:val="0"/>
        <w:autoSpaceDN w:val="0"/>
        <w:adjustRightInd w:val="0"/>
        <w:spacing w:line="580" w:lineRule="exact"/>
        <w:ind w:firstLine="560" w:firstLineChars="200"/>
        <w:jc w:val="left"/>
        <w:rPr>
          <w:rFonts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3</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城乡社区支出</w:t>
      </w:r>
      <w:r>
        <w:rPr>
          <w:rFonts w:hint="eastAsia" w:ascii="仿宋_GB2312" w:eastAsia="仿宋_GB2312"/>
          <w:color w:val="auto"/>
          <w:sz w:val="28"/>
          <w:szCs w:val="28"/>
          <w:highlight w:val="none"/>
        </w:rPr>
        <w:t>”（类）2025年度年初预算</w:t>
      </w:r>
      <w:r>
        <w:rPr>
          <w:rFonts w:hint="eastAsia" w:ascii="仿宋_GB2312" w:eastAsia="仿宋_GB2312"/>
          <w:color w:val="auto"/>
          <w:sz w:val="28"/>
          <w:szCs w:val="28"/>
          <w:highlight w:val="none"/>
          <w:lang w:val="en-US" w:eastAsia="zh-CN"/>
        </w:rPr>
        <w:t>162,119,166.86</w:t>
      </w:r>
      <w:r>
        <w:rPr>
          <w:rFonts w:hint="eastAsia" w:ascii="仿宋_GB2312" w:eastAsia="仿宋_GB2312"/>
          <w:color w:val="auto"/>
          <w:sz w:val="28"/>
          <w:szCs w:val="28"/>
          <w:highlight w:val="none"/>
        </w:rPr>
        <w:t>元，2025年度决算225,626,363.29元，完成年初预算的</w:t>
      </w:r>
      <w:r>
        <w:rPr>
          <w:rFonts w:hint="eastAsia" w:ascii="仿宋_GB2312" w:eastAsia="仿宋_GB2312"/>
          <w:color w:val="auto"/>
          <w:sz w:val="28"/>
          <w:szCs w:val="28"/>
          <w:highlight w:val="none"/>
          <w:lang w:val="en-US" w:eastAsia="zh-CN"/>
        </w:rPr>
        <w:t>139.2</w:t>
      </w:r>
      <w:r>
        <w:rPr>
          <w:rFonts w:hint="eastAsia" w:ascii="仿宋_GB2312" w:eastAsia="仿宋_GB2312"/>
          <w:color w:val="auto"/>
          <w:sz w:val="28"/>
          <w:szCs w:val="28"/>
          <w:highlight w:val="none"/>
        </w:rPr>
        <w:t>%。</w:t>
      </w:r>
    </w:p>
    <w:p>
      <w:pPr>
        <w:autoSpaceDE w:val="0"/>
        <w:autoSpaceDN w:val="0"/>
        <w:adjustRightInd w:val="0"/>
        <w:spacing w:line="580" w:lineRule="exact"/>
        <w:jc w:val="left"/>
        <w:rPr>
          <w:rFonts w:ascii="仿宋_GB2312" w:eastAsia="仿宋_GB2312"/>
          <w:color w:val="auto"/>
          <w:sz w:val="28"/>
          <w:szCs w:val="28"/>
          <w:highlight w:val="none"/>
        </w:rPr>
      </w:pPr>
      <w:r>
        <w:rPr>
          <w:rFonts w:hint="eastAsia" w:ascii="仿宋_GB2312" w:eastAsia="仿宋_GB2312"/>
          <w:color w:val="auto"/>
          <w:sz w:val="28"/>
          <w:szCs w:val="28"/>
          <w:highlight w:val="none"/>
        </w:rPr>
        <w:t>其中：</w:t>
      </w:r>
    </w:p>
    <w:p>
      <w:pPr>
        <w:spacing w:line="58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“城乡社区公共设施”（款，下同）2025年度年初预算</w:t>
      </w:r>
      <w:r>
        <w:rPr>
          <w:rFonts w:hint="eastAsia" w:ascii="仿宋_GB2312" w:eastAsia="仿宋_GB2312"/>
          <w:color w:val="auto"/>
          <w:sz w:val="28"/>
          <w:szCs w:val="28"/>
          <w:highlight w:val="none"/>
          <w:lang w:val="en-US" w:eastAsia="zh-CN"/>
        </w:rPr>
        <w:t>0</w:t>
      </w:r>
      <w:r>
        <w:rPr>
          <w:rFonts w:hint="eastAsia" w:ascii="仿宋_GB2312" w:eastAsia="仿宋_GB2312"/>
          <w:color w:val="auto"/>
          <w:sz w:val="28"/>
          <w:szCs w:val="28"/>
          <w:highlight w:val="none"/>
        </w:rPr>
        <w:t>万元，2025年度决算35,686,457.55元。主要原因：</w:t>
      </w:r>
      <w:r>
        <w:rPr>
          <w:rFonts w:hint="eastAsia" w:ascii="仿宋_GB2312" w:eastAsia="仿宋_GB2312"/>
          <w:color w:val="auto"/>
          <w:sz w:val="28"/>
          <w:szCs w:val="28"/>
          <w:highlight w:val="none"/>
          <w:lang w:eastAsia="zh-CN"/>
        </w:rPr>
        <w:t>追加门头沟区生活垃圾转运站及环卫车辆中心工程、门头沟区城乡生活垃圾收运一体化体系项目资金</w:t>
      </w:r>
      <w:r>
        <w:rPr>
          <w:rFonts w:hint="eastAsia" w:ascii="仿宋_GB2312" w:eastAsia="仿宋_GB2312"/>
          <w:color w:val="auto"/>
          <w:sz w:val="28"/>
          <w:szCs w:val="28"/>
          <w:highlight w:val="none"/>
        </w:rPr>
        <w:t>。</w:t>
      </w:r>
    </w:p>
    <w:p>
      <w:pPr>
        <w:spacing w:line="58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“城乡社区环境卫生”（款，下同）2025年度年初预算</w:t>
      </w:r>
      <w:r>
        <w:rPr>
          <w:rFonts w:hint="eastAsia" w:ascii="仿宋_GB2312" w:eastAsia="仿宋_GB2312"/>
          <w:color w:val="auto"/>
          <w:sz w:val="28"/>
          <w:szCs w:val="28"/>
          <w:highlight w:val="none"/>
          <w:lang w:val="en-US" w:eastAsia="zh-CN"/>
        </w:rPr>
        <w:t>162,119,166.86</w:t>
      </w:r>
      <w:r>
        <w:rPr>
          <w:rFonts w:hint="eastAsia" w:ascii="仿宋_GB2312" w:eastAsia="仿宋_GB2312"/>
          <w:color w:val="auto"/>
          <w:sz w:val="28"/>
          <w:szCs w:val="28"/>
          <w:highlight w:val="none"/>
        </w:rPr>
        <w:t>元，2025年度决算189,750,494.74元，完成年初预算的</w:t>
      </w:r>
      <w:r>
        <w:rPr>
          <w:rFonts w:hint="eastAsia" w:ascii="仿宋_GB2312" w:eastAsia="仿宋_GB2312"/>
          <w:color w:val="auto"/>
          <w:sz w:val="28"/>
          <w:szCs w:val="28"/>
          <w:highlight w:val="none"/>
          <w:lang w:val="en-US" w:eastAsia="zh-CN"/>
        </w:rPr>
        <w:t>117.1</w:t>
      </w:r>
      <w:r>
        <w:rPr>
          <w:rFonts w:hint="eastAsia" w:ascii="仿宋_GB2312" w:eastAsia="仿宋_GB2312"/>
          <w:color w:val="auto"/>
          <w:sz w:val="28"/>
          <w:szCs w:val="28"/>
          <w:highlight w:val="none"/>
        </w:rPr>
        <w:t>%。主要原因：</w:t>
      </w:r>
      <w:r>
        <w:rPr>
          <w:rFonts w:hint="eastAsia" w:ascii="仿宋_GB2312" w:eastAsia="仿宋_GB2312"/>
          <w:color w:val="auto"/>
          <w:sz w:val="28"/>
          <w:szCs w:val="28"/>
          <w:highlight w:val="none"/>
          <w:lang w:eastAsia="zh-CN"/>
        </w:rPr>
        <w:t>追加人员经费等</w:t>
      </w:r>
      <w:r>
        <w:rPr>
          <w:rFonts w:hint="eastAsia" w:ascii="仿宋_GB2312" w:eastAsia="仿宋_GB2312"/>
          <w:color w:val="auto"/>
          <w:sz w:val="28"/>
          <w:szCs w:val="28"/>
          <w:highlight w:val="none"/>
        </w:rPr>
        <w:t>。</w:t>
      </w:r>
    </w:p>
    <w:p>
      <w:pPr>
        <w:spacing w:line="58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“其他城乡社区支出”（款，下同）2025年度年初预算</w:t>
      </w:r>
      <w:r>
        <w:rPr>
          <w:rFonts w:hint="eastAsia" w:ascii="仿宋_GB2312" w:eastAsia="仿宋_GB2312"/>
          <w:color w:val="auto"/>
          <w:sz w:val="28"/>
          <w:szCs w:val="28"/>
          <w:highlight w:val="none"/>
          <w:lang w:val="en-US" w:eastAsia="zh-CN"/>
        </w:rPr>
        <w:t>0</w:t>
      </w:r>
      <w:r>
        <w:rPr>
          <w:rFonts w:hint="eastAsia" w:ascii="仿宋_GB2312" w:eastAsia="仿宋_GB2312"/>
          <w:color w:val="auto"/>
          <w:sz w:val="28"/>
          <w:szCs w:val="28"/>
          <w:highlight w:val="none"/>
        </w:rPr>
        <w:t>万元，2025年度决算189,411元。主要原因：</w:t>
      </w:r>
      <w:r>
        <w:rPr>
          <w:rFonts w:hint="eastAsia" w:ascii="仿宋_GB2312" w:eastAsia="仿宋_GB2312"/>
          <w:color w:val="auto"/>
          <w:sz w:val="28"/>
          <w:szCs w:val="28"/>
          <w:highlight w:val="none"/>
          <w:lang w:eastAsia="zh-CN"/>
        </w:rPr>
        <w:t>追加</w:t>
      </w:r>
      <w:r>
        <w:rPr>
          <w:rFonts w:hint="eastAsia" w:ascii="仿宋_GB2312" w:eastAsia="仿宋_GB2312"/>
          <w:color w:val="auto"/>
          <w:sz w:val="28"/>
          <w:szCs w:val="28"/>
          <w:highlight w:val="none"/>
        </w:rPr>
        <w:t>2025年“身边事”基金重点民生保障资金-环卫中心采购小型移动冲洗设备惠民项目</w:t>
      </w:r>
      <w:r>
        <w:rPr>
          <w:rFonts w:hint="eastAsia" w:ascii="仿宋_GB2312" w:eastAsia="仿宋_GB2312"/>
          <w:color w:val="auto"/>
          <w:sz w:val="28"/>
          <w:szCs w:val="28"/>
          <w:highlight w:val="none"/>
          <w:lang w:eastAsia="zh-CN"/>
        </w:rPr>
        <w:t>资金</w:t>
      </w:r>
      <w:r>
        <w:rPr>
          <w:rFonts w:hint="eastAsia" w:ascii="仿宋_GB2312" w:eastAsia="仿宋_GB2312"/>
          <w:color w:val="auto"/>
          <w:sz w:val="28"/>
          <w:szCs w:val="28"/>
          <w:highlight w:val="none"/>
        </w:rPr>
        <w:t>。</w:t>
      </w:r>
    </w:p>
    <w:p>
      <w:pPr>
        <w:autoSpaceDE w:val="0"/>
        <w:autoSpaceDN w:val="0"/>
        <w:adjustRightInd w:val="0"/>
        <w:spacing w:line="580" w:lineRule="exact"/>
        <w:ind w:firstLine="560" w:firstLineChars="200"/>
        <w:jc w:val="left"/>
        <w:rPr>
          <w:rFonts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4</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资源勘探工业信息等支出</w:t>
      </w:r>
      <w:r>
        <w:rPr>
          <w:rFonts w:hint="eastAsia" w:ascii="仿宋_GB2312" w:eastAsia="仿宋_GB2312"/>
          <w:color w:val="auto"/>
          <w:sz w:val="28"/>
          <w:szCs w:val="28"/>
          <w:highlight w:val="none"/>
        </w:rPr>
        <w:t>”（类）2025年度年初预算</w:t>
      </w:r>
      <w:r>
        <w:rPr>
          <w:rFonts w:hint="eastAsia" w:ascii="仿宋_GB2312" w:eastAsia="仿宋_GB2312"/>
          <w:color w:val="auto"/>
          <w:sz w:val="28"/>
          <w:szCs w:val="28"/>
          <w:highlight w:val="none"/>
          <w:lang w:val="en-US" w:eastAsia="zh-CN"/>
        </w:rPr>
        <w:t>0</w:t>
      </w:r>
      <w:r>
        <w:rPr>
          <w:rFonts w:hint="eastAsia" w:ascii="仿宋_GB2312" w:eastAsia="仿宋_GB2312"/>
          <w:color w:val="auto"/>
          <w:sz w:val="28"/>
          <w:szCs w:val="28"/>
          <w:highlight w:val="none"/>
        </w:rPr>
        <w:t>万元，2025年度决算8,874元。</w:t>
      </w:r>
    </w:p>
    <w:p>
      <w:pPr>
        <w:autoSpaceDE w:val="0"/>
        <w:autoSpaceDN w:val="0"/>
        <w:adjustRightInd w:val="0"/>
        <w:spacing w:line="580" w:lineRule="exact"/>
        <w:jc w:val="left"/>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其中：</w:t>
      </w:r>
    </w:p>
    <w:p>
      <w:pPr>
        <w:autoSpaceDE w:val="0"/>
        <w:autoSpaceDN w:val="0"/>
        <w:adjustRightInd w:val="0"/>
        <w:spacing w:line="580" w:lineRule="exact"/>
        <w:ind w:firstLine="560" w:firstLineChars="200"/>
        <w:jc w:val="left"/>
        <w:rPr>
          <w:rFonts w:hint="eastAsia" w:ascii="仿宋_GB2312" w:hAnsi="Calibri" w:eastAsia="仿宋_GB2312" w:cs="Times New Roman"/>
          <w:b w:val="0"/>
          <w:bCs w:val="0"/>
          <w:color w:val="auto"/>
          <w:kern w:val="2"/>
          <w:sz w:val="28"/>
          <w:szCs w:val="28"/>
          <w:highlight w:val="none"/>
          <w:lang w:val="en-US" w:eastAsia="zh-CN" w:bidi="ar-SA"/>
        </w:rPr>
      </w:pPr>
      <w:r>
        <w:rPr>
          <w:rFonts w:hint="eastAsia" w:ascii="仿宋_GB2312" w:hAnsi="Calibri" w:eastAsia="仿宋_GB2312" w:cs="Times New Roman"/>
          <w:b w:val="0"/>
          <w:bCs w:val="0"/>
          <w:color w:val="auto"/>
          <w:kern w:val="2"/>
          <w:sz w:val="28"/>
          <w:szCs w:val="28"/>
          <w:highlight w:val="none"/>
          <w:lang w:val="en-US" w:eastAsia="zh-CN" w:bidi="ar-SA"/>
        </w:rPr>
        <w:t>“制造业”（款，下同）2025年度年初预算</w:t>
      </w:r>
      <w:r>
        <w:rPr>
          <w:rFonts w:hint="eastAsia" w:ascii="仿宋_GB2312" w:eastAsia="仿宋_GB2312" w:cs="Times New Roman"/>
          <w:b w:val="0"/>
          <w:bCs w:val="0"/>
          <w:color w:val="auto"/>
          <w:kern w:val="2"/>
          <w:sz w:val="28"/>
          <w:szCs w:val="28"/>
          <w:highlight w:val="none"/>
          <w:lang w:val="en-US" w:eastAsia="zh-CN" w:bidi="ar-SA"/>
        </w:rPr>
        <w:t>0</w:t>
      </w:r>
      <w:r>
        <w:rPr>
          <w:rFonts w:hint="eastAsia" w:ascii="仿宋_GB2312" w:hAnsi="Calibri" w:eastAsia="仿宋_GB2312" w:cs="Times New Roman"/>
          <w:b w:val="0"/>
          <w:bCs w:val="0"/>
          <w:color w:val="auto"/>
          <w:kern w:val="2"/>
          <w:sz w:val="28"/>
          <w:szCs w:val="28"/>
          <w:highlight w:val="none"/>
          <w:lang w:val="en-US" w:eastAsia="zh-CN" w:bidi="ar-SA"/>
        </w:rPr>
        <w:t>元，2025年度决算</w:t>
      </w:r>
      <w:r>
        <w:rPr>
          <w:rFonts w:hint="eastAsia" w:ascii="仿宋_GB2312" w:eastAsia="仿宋_GB2312"/>
          <w:color w:val="auto"/>
          <w:sz w:val="28"/>
          <w:szCs w:val="28"/>
          <w:highlight w:val="none"/>
        </w:rPr>
        <w:t>8,874</w:t>
      </w:r>
      <w:r>
        <w:rPr>
          <w:rFonts w:hint="eastAsia" w:ascii="仿宋_GB2312" w:hAnsi="Calibri" w:eastAsia="仿宋_GB2312" w:cs="Times New Roman"/>
          <w:b w:val="0"/>
          <w:bCs w:val="0"/>
          <w:color w:val="auto"/>
          <w:kern w:val="2"/>
          <w:sz w:val="28"/>
          <w:szCs w:val="28"/>
          <w:highlight w:val="none"/>
          <w:lang w:val="en-US" w:eastAsia="zh-CN" w:bidi="ar-SA"/>
        </w:rPr>
        <w:t>元。主要原因：</w:t>
      </w:r>
      <w:r>
        <w:rPr>
          <w:rFonts w:hint="eastAsia" w:ascii="仿宋_GB2312" w:eastAsia="仿宋_GB2312" w:cs="Times New Roman"/>
          <w:b w:val="0"/>
          <w:bCs w:val="0"/>
          <w:color w:val="auto"/>
          <w:kern w:val="2"/>
          <w:sz w:val="28"/>
          <w:szCs w:val="28"/>
          <w:highlight w:val="none"/>
          <w:lang w:val="en-US" w:eastAsia="zh-CN" w:bidi="ar-SA"/>
        </w:rPr>
        <w:t>追加能力提升设备采购项目资金</w:t>
      </w:r>
      <w:r>
        <w:rPr>
          <w:rFonts w:hint="eastAsia" w:ascii="仿宋_GB2312" w:hAnsi="Calibri" w:eastAsia="仿宋_GB2312" w:cs="Times New Roman"/>
          <w:b w:val="0"/>
          <w:bCs w:val="0"/>
          <w:color w:val="auto"/>
          <w:kern w:val="2"/>
          <w:sz w:val="28"/>
          <w:szCs w:val="28"/>
          <w:highlight w:val="none"/>
          <w:lang w:val="en-US" w:eastAsia="zh-CN" w:bidi="ar-SA"/>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899</w:t>
      </w:r>
      <w:r>
        <w:rPr>
          <w:rFonts w:hint="eastAsia" w:ascii="仿宋_GB2312" w:eastAsia="仿宋_GB2312"/>
          <w:sz w:val="28"/>
          <w:szCs w:val="28"/>
          <w:lang w:val="en-US" w:eastAsia="zh-CN"/>
        </w:rPr>
        <w:t>,</w:t>
      </w:r>
      <w:r>
        <w:rPr>
          <w:rFonts w:ascii="仿宋_GB2312" w:eastAsia="仿宋_GB2312"/>
          <w:sz w:val="28"/>
          <w:szCs w:val="28"/>
        </w:rPr>
        <w:t>556.89</w:t>
      </w:r>
      <w:r>
        <w:rPr>
          <w:rFonts w:hint="eastAsia" w:ascii="仿宋_GB2312" w:eastAsia="仿宋_GB2312"/>
          <w:sz w:val="28"/>
          <w:szCs w:val="28"/>
        </w:rPr>
        <w:t>元，主要用于以下方面（按大类）：城乡社区支出6,899,556.89元，占本年财政拨款支出</w:t>
      </w:r>
      <w:r>
        <w:rPr>
          <w:rFonts w:hint="eastAsia" w:ascii="仿宋_GB2312" w:eastAsia="仿宋_GB2312"/>
          <w:sz w:val="28"/>
          <w:szCs w:val="28"/>
          <w:lang w:val="en-US" w:eastAsia="zh-CN"/>
        </w:rPr>
        <w:t>100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autoSpaceDE w:val="0"/>
        <w:autoSpaceDN w:val="0"/>
        <w:adjustRightInd w:val="0"/>
        <w:spacing w:line="580" w:lineRule="exact"/>
        <w:ind w:firstLine="700" w:firstLineChars="250"/>
        <w:jc w:val="left"/>
        <w:rPr>
          <w:rFonts w:ascii="仿宋_GB2312" w:eastAsia="仿宋_GB2312"/>
          <w:sz w:val="28"/>
          <w:szCs w:val="28"/>
        </w:rPr>
      </w:pPr>
      <w:r>
        <w:rPr>
          <w:rFonts w:hint="eastAsia" w:ascii="仿宋_GB2312" w:eastAsia="仿宋_GB2312"/>
          <w:sz w:val="28"/>
          <w:szCs w:val="28"/>
        </w:rPr>
        <w:t>1、“城乡社区支出”（类，下同）2025年度年初预算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899</w:t>
      </w:r>
      <w:r>
        <w:rPr>
          <w:rFonts w:hint="eastAsia" w:ascii="仿宋_GB2312" w:eastAsia="仿宋_GB2312"/>
          <w:sz w:val="28"/>
          <w:szCs w:val="28"/>
          <w:lang w:val="en-US" w:eastAsia="zh-CN"/>
        </w:rPr>
        <w:t>,</w:t>
      </w:r>
      <w:r>
        <w:rPr>
          <w:rFonts w:ascii="仿宋_GB2312" w:eastAsia="仿宋_GB2312"/>
          <w:sz w:val="28"/>
          <w:szCs w:val="28"/>
        </w:rPr>
        <w:t>556.89</w:t>
      </w:r>
      <w:r>
        <w:rPr>
          <w:rFonts w:hint="eastAsia" w:ascii="仿宋_GB2312" w:eastAsia="仿宋_GB2312"/>
          <w:sz w:val="28"/>
          <w:szCs w:val="28"/>
        </w:rPr>
        <w:t>元。其中：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“国有土地收益基金安排的支出”（款，下同）2025年度年初预算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899</w:t>
      </w:r>
      <w:r>
        <w:rPr>
          <w:rFonts w:hint="eastAsia" w:ascii="仿宋_GB2312" w:eastAsia="仿宋_GB2312"/>
          <w:sz w:val="28"/>
          <w:szCs w:val="28"/>
          <w:lang w:val="en-US" w:eastAsia="zh-CN"/>
        </w:rPr>
        <w:t>,</w:t>
      </w:r>
      <w:r>
        <w:rPr>
          <w:rFonts w:ascii="仿宋_GB2312" w:eastAsia="仿宋_GB2312"/>
          <w:sz w:val="28"/>
          <w:szCs w:val="28"/>
        </w:rPr>
        <w:t>556.89</w:t>
      </w:r>
      <w:r>
        <w:rPr>
          <w:rFonts w:hint="eastAsia" w:ascii="仿宋_GB2312" w:eastAsia="仿宋_GB2312"/>
          <w:sz w:val="28"/>
          <w:szCs w:val="28"/>
        </w:rPr>
        <w:t>元。主要原因：</w:t>
      </w:r>
      <w:r>
        <w:rPr>
          <w:rFonts w:hint="eastAsia" w:ascii="仿宋_GB2312" w:eastAsia="仿宋_GB2312"/>
          <w:sz w:val="28"/>
          <w:szCs w:val="28"/>
          <w:lang w:eastAsia="zh-CN"/>
        </w:rPr>
        <w:t>追加</w:t>
      </w:r>
      <w:r>
        <w:rPr>
          <w:rFonts w:hint="eastAsia" w:ascii="仿宋_GB2312" w:eastAsia="仿宋_GB2312"/>
          <w:sz w:val="28"/>
          <w:szCs w:val="28"/>
        </w:rPr>
        <w:t>门头沟区斋堂填埋场修复工程</w:t>
      </w:r>
      <w:r>
        <w:rPr>
          <w:rFonts w:hint="eastAsia" w:ascii="仿宋_GB2312" w:eastAsia="仿宋_GB2312"/>
          <w:sz w:val="28"/>
          <w:szCs w:val="28"/>
          <w:lang w:eastAsia="zh-CN"/>
        </w:rPr>
        <w:t>资金</w:t>
      </w:r>
      <w:r>
        <w:rPr>
          <w:rFonts w:hint="eastAsia" w:ascii="仿宋_GB2312" w:eastAsia="仿宋_GB2312"/>
          <w:sz w:val="28"/>
          <w:szCs w:val="28"/>
        </w:rPr>
        <w:t>。</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133</w:t>
      </w:r>
      <w:r>
        <w:rPr>
          <w:rFonts w:hint="eastAsia" w:ascii="仿宋_GB2312" w:eastAsia="仿宋_GB2312"/>
          <w:sz w:val="28"/>
          <w:szCs w:val="28"/>
          <w:lang w:val="en-US" w:eastAsia="zh-CN"/>
        </w:rPr>
        <w:t>,</w:t>
      </w:r>
      <w:r>
        <w:rPr>
          <w:rFonts w:ascii="仿宋_GB2312" w:eastAsia="仿宋_GB2312"/>
          <w:sz w:val="28"/>
          <w:szCs w:val="28"/>
        </w:rPr>
        <w:t>002</w:t>
      </w:r>
      <w:r>
        <w:rPr>
          <w:rFonts w:hint="eastAsia" w:ascii="仿宋_GB2312" w:eastAsia="仿宋_GB2312"/>
          <w:sz w:val="28"/>
          <w:szCs w:val="28"/>
          <w:lang w:val="en-US" w:eastAsia="zh-CN"/>
        </w:rPr>
        <w:t>,</w:t>
      </w:r>
      <w:r>
        <w:rPr>
          <w:rFonts w:ascii="仿宋_GB2312" w:eastAsia="仿宋_GB2312"/>
          <w:sz w:val="28"/>
          <w:szCs w:val="28"/>
        </w:rPr>
        <w:t>976.01</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860</w:t>
      </w:r>
      <w:r>
        <w:rPr>
          <w:rFonts w:hint="eastAsia" w:ascii="仿宋_GB2312" w:eastAsia="仿宋_GB2312"/>
          <w:sz w:val="28"/>
          <w:szCs w:val="28"/>
          <w:lang w:val="en-US" w:eastAsia="zh-CN"/>
        </w:rPr>
        <w:t>,</w:t>
      </w:r>
      <w:r>
        <w:rPr>
          <w:rFonts w:ascii="仿宋_GB2312" w:eastAsia="仿宋_GB2312"/>
          <w:sz w:val="28"/>
          <w:szCs w:val="28"/>
        </w:rPr>
        <w:t>690.94</w:t>
      </w:r>
      <w:r>
        <w:rPr>
          <w:rFonts w:hint="eastAsia" w:ascii="仿宋_GB2312" w:eastAsia="仿宋_GB2312"/>
          <w:sz w:val="28"/>
          <w:szCs w:val="28"/>
        </w:rPr>
        <w:t>元，比2025年度“三公”经费财政拨款年初预算</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088</w:t>
      </w:r>
      <w:r>
        <w:rPr>
          <w:rFonts w:hint="eastAsia" w:ascii="仿宋_GB2312" w:eastAsia="仿宋_GB2312"/>
          <w:sz w:val="28"/>
          <w:szCs w:val="28"/>
          <w:lang w:val="en-US" w:eastAsia="zh-CN"/>
        </w:rPr>
        <w:t>,</w:t>
      </w:r>
      <w:r>
        <w:rPr>
          <w:rFonts w:ascii="仿宋_GB2312" w:eastAsia="仿宋_GB2312"/>
          <w:sz w:val="28"/>
          <w:szCs w:val="28"/>
        </w:rPr>
        <w:t>652</w:t>
      </w:r>
      <w:r>
        <w:rPr>
          <w:rFonts w:hint="eastAsia" w:ascii="仿宋_GB2312" w:eastAsia="仿宋_GB2312"/>
          <w:sz w:val="28"/>
          <w:szCs w:val="28"/>
        </w:rPr>
        <w:t>元减少</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227</w:t>
      </w:r>
      <w:r>
        <w:rPr>
          <w:rFonts w:hint="eastAsia" w:ascii="仿宋_GB2312" w:eastAsia="仿宋_GB2312"/>
          <w:sz w:val="28"/>
          <w:szCs w:val="28"/>
          <w:lang w:val="en-US" w:eastAsia="zh-CN"/>
        </w:rPr>
        <w:t>,</w:t>
      </w:r>
      <w:r>
        <w:rPr>
          <w:rFonts w:ascii="仿宋_GB2312" w:eastAsia="仿宋_GB2312"/>
          <w:sz w:val="28"/>
          <w:szCs w:val="28"/>
        </w:rPr>
        <w:t>961.06</w:t>
      </w:r>
      <w:r>
        <w:rPr>
          <w:rFonts w:hint="eastAsia" w:ascii="仿宋_GB2312" w:eastAsia="仿宋_GB2312"/>
          <w:sz w:val="28"/>
          <w:szCs w:val="28"/>
        </w:rPr>
        <w:t>元。其中：</w:t>
      </w:r>
    </w:p>
    <w:p>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rPr>
        <w:t>元。</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652</w:t>
      </w:r>
      <w:r>
        <w:rPr>
          <w:rFonts w:hint="eastAsia" w:ascii="仿宋_GB2312" w:eastAsia="仿宋_GB2312"/>
          <w:sz w:val="28"/>
          <w:szCs w:val="28"/>
        </w:rPr>
        <w:t>元减少</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652</w:t>
      </w:r>
      <w:r>
        <w:rPr>
          <w:rFonts w:hint="eastAsia" w:ascii="仿宋_GB2312" w:eastAsia="仿宋_GB2312"/>
          <w:sz w:val="28"/>
          <w:szCs w:val="28"/>
        </w:rPr>
        <w:t>元。主要原因：</w:t>
      </w:r>
      <w:r>
        <w:rPr>
          <w:rFonts w:hint="eastAsia" w:ascii="仿宋_GB2312" w:eastAsia="仿宋_GB2312"/>
          <w:color w:val="000000"/>
          <w:sz w:val="28"/>
          <w:szCs w:val="28"/>
          <w:lang w:eastAsia="zh-CN"/>
        </w:rPr>
        <w:t>落实政府过紧日子要求，厉行节约要求，严格控制公务接待</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860</w:t>
      </w:r>
      <w:r>
        <w:rPr>
          <w:rFonts w:hint="eastAsia" w:ascii="仿宋_GB2312" w:eastAsia="仿宋_GB2312"/>
          <w:sz w:val="28"/>
          <w:szCs w:val="28"/>
          <w:lang w:val="en-US" w:eastAsia="zh-CN"/>
        </w:rPr>
        <w:t>,</w:t>
      </w:r>
      <w:r>
        <w:rPr>
          <w:rFonts w:ascii="仿宋_GB2312" w:eastAsia="仿宋_GB2312"/>
          <w:sz w:val="28"/>
          <w:szCs w:val="28"/>
        </w:rPr>
        <w:t>690.94</w:t>
      </w:r>
      <w:r>
        <w:rPr>
          <w:rFonts w:hint="eastAsia" w:ascii="仿宋_GB2312" w:eastAsia="仿宋_GB2312"/>
          <w:sz w:val="28"/>
          <w:szCs w:val="28"/>
        </w:rPr>
        <w:t>元，比2025年度年初预算数</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080</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219</w:t>
      </w:r>
      <w:r>
        <w:rPr>
          <w:rFonts w:hint="eastAsia" w:ascii="仿宋_GB2312" w:eastAsia="仿宋_GB2312"/>
          <w:sz w:val="28"/>
          <w:szCs w:val="28"/>
          <w:lang w:val="en-US" w:eastAsia="zh-CN"/>
        </w:rPr>
        <w:t>,</w:t>
      </w:r>
      <w:r>
        <w:rPr>
          <w:rFonts w:ascii="仿宋_GB2312" w:eastAsia="仿宋_GB2312"/>
          <w:sz w:val="28"/>
          <w:szCs w:val="28"/>
        </w:rPr>
        <w:t>309.06</w:t>
      </w:r>
      <w:r>
        <w:rPr>
          <w:rFonts w:hint="eastAsia" w:ascii="仿宋_GB2312" w:eastAsia="仿宋_GB2312"/>
          <w:sz w:val="28"/>
          <w:szCs w:val="28"/>
        </w:rPr>
        <w:t>元。其中，公务用车购置费2025年度决算数178</w:t>
      </w:r>
      <w:r>
        <w:rPr>
          <w:rFonts w:hint="eastAsia" w:ascii="仿宋_GB2312" w:eastAsia="仿宋_GB2312"/>
          <w:sz w:val="28"/>
          <w:szCs w:val="28"/>
          <w:lang w:val="en-US" w:eastAsia="zh-CN"/>
        </w:rPr>
        <w:t>,</w:t>
      </w:r>
      <w:r>
        <w:rPr>
          <w:rFonts w:hint="eastAsia" w:ascii="仿宋_GB2312" w:eastAsia="仿宋_GB2312"/>
          <w:sz w:val="28"/>
          <w:szCs w:val="28"/>
        </w:rPr>
        <w:t>000元，主要原因：</w:t>
      </w:r>
      <w:r>
        <w:rPr>
          <w:rFonts w:hint="eastAsia" w:ascii="仿宋_GB2312" w:eastAsia="仿宋_GB2312"/>
          <w:sz w:val="28"/>
          <w:szCs w:val="28"/>
          <w:lang w:eastAsia="zh-CN"/>
        </w:rPr>
        <w:t>购置公务用车</w:t>
      </w:r>
      <w:r>
        <w:rPr>
          <w:rFonts w:hint="eastAsia" w:ascii="仿宋_GB2312" w:eastAsia="仿宋_GB2312"/>
          <w:sz w:val="28"/>
          <w:szCs w:val="28"/>
        </w:rPr>
        <w:t>，2025年度购置（更新）1辆。公务用车运行维护费2025年度决算数5</w:t>
      </w:r>
      <w:r>
        <w:rPr>
          <w:rFonts w:hint="eastAsia" w:ascii="仿宋_GB2312" w:eastAsia="仿宋_GB2312"/>
          <w:sz w:val="28"/>
          <w:szCs w:val="28"/>
          <w:lang w:val="en-US" w:eastAsia="zh-CN"/>
        </w:rPr>
        <w:t>,</w:t>
      </w:r>
      <w:r>
        <w:rPr>
          <w:rFonts w:hint="eastAsia" w:ascii="仿宋_GB2312" w:eastAsia="仿宋_GB2312"/>
          <w:sz w:val="28"/>
          <w:szCs w:val="28"/>
        </w:rPr>
        <w:t>682</w:t>
      </w:r>
      <w:r>
        <w:rPr>
          <w:rFonts w:hint="eastAsia" w:ascii="仿宋_GB2312" w:eastAsia="仿宋_GB2312"/>
          <w:sz w:val="28"/>
          <w:szCs w:val="28"/>
          <w:lang w:val="en-US" w:eastAsia="zh-CN"/>
        </w:rPr>
        <w:t>,</w:t>
      </w:r>
      <w:r>
        <w:rPr>
          <w:rFonts w:hint="eastAsia" w:ascii="仿宋_GB2312" w:eastAsia="仿宋_GB2312"/>
          <w:sz w:val="28"/>
          <w:szCs w:val="28"/>
        </w:rPr>
        <w:t>690.94元，主要原因：</w:t>
      </w:r>
      <w:r>
        <w:rPr>
          <w:rFonts w:hint="eastAsia" w:ascii="仿宋_GB2312" w:eastAsia="仿宋_GB2312"/>
          <w:sz w:val="28"/>
          <w:szCs w:val="28"/>
          <w:lang w:eastAsia="zh-CN"/>
        </w:rPr>
        <w:t>用于专业技术作业车的运行维护</w:t>
      </w:r>
      <w:r>
        <w:rPr>
          <w:rFonts w:hint="eastAsia" w:ascii="仿宋_GB2312" w:eastAsia="仿宋_GB2312"/>
          <w:sz w:val="28"/>
          <w:szCs w:val="28"/>
        </w:rPr>
        <w:t>。2025年度公务用车保有量</w:t>
      </w:r>
      <w:r>
        <w:rPr>
          <w:rFonts w:ascii="仿宋_GB2312" w:eastAsia="仿宋_GB2312"/>
          <w:sz w:val="28"/>
          <w:szCs w:val="28"/>
        </w:rPr>
        <w:t>355</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本部门2025年无机关运行经费</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114</w:t>
      </w:r>
      <w:r>
        <w:rPr>
          <w:rFonts w:hint="eastAsia" w:ascii="仿宋_GB2312" w:eastAsia="仿宋_GB2312"/>
          <w:sz w:val="28"/>
          <w:szCs w:val="28"/>
          <w:lang w:val="en-US" w:eastAsia="zh-CN"/>
        </w:rPr>
        <w:t>,</w:t>
      </w:r>
      <w:r>
        <w:rPr>
          <w:rFonts w:ascii="仿宋_GB2312" w:eastAsia="仿宋_GB2312"/>
          <w:sz w:val="28"/>
          <w:szCs w:val="28"/>
        </w:rPr>
        <w:t>267</w:t>
      </w:r>
      <w:r>
        <w:rPr>
          <w:rFonts w:hint="eastAsia" w:ascii="仿宋_GB2312" w:eastAsia="仿宋_GB2312"/>
          <w:sz w:val="28"/>
          <w:szCs w:val="28"/>
          <w:lang w:val="en-US" w:eastAsia="zh-CN"/>
        </w:rPr>
        <w:t>,</w:t>
      </w:r>
      <w:r>
        <w:rPr>
          <w:rFonts w:ascii="仿宋_GB2312" w:eastAsia="仿宋_GB2312"/>
          <w:sz w:val="28"/>
          <w:szCs w:val="28"/>
        </w:rPr>
        <w:t>313.78</w:t>
      </w:r>
      <w:r>
        <w:rPr>
          <w:rFonts w:hint="eastAsia" w:ascii="仿宋_GB2312" w:eastAsia="仿宋_GB2312"/>
          <w:sz w:val="28"/>
          <w:szCs w:val="28"/>
        </w:rPr>
        <w:t>元，其中：政府采购货物支出</w:t>
      </w:r>
      <w:r>
        <w:rPr>
          <w:rFonts w:ascii="仿宋_GB2312" w:eastAsia="仿宋_GB2312"/>
          <w:sz w:val="28"/>
          <w:szCs w:val="28"/>
        </w:rPr>
        <w:t>38</w:t>
      </w:r>
      <w:r>
        <w:rPr>
          <w:rFonts w:hint="eastAsia" w:ascii="仿宋_GB2312" w:eastAsia="仿宋_GB2312"/>
          <w:sz w:val="28"/>
          <w:szCs w:val="28"/>
          <w:lang w:val="en-US" w:eastAsia="zh-CN"/>
        </w:rPr>
        <w:t>,</w:t>
      </w:r>
      <w:r>
        <w:rPr>
          <w:rFonts w:ascii="仿宋_GB2312" w:eastAsia="仿宋_GB2312"/>
          <w:sz w:val="28"/>
          <w:szCs w:val="28"/>
        </w:rPr>
        <w:t>364</w:t>
      </w:r>
      <w:r>
        <w:rPr>
          <w:rFonts w:hint="eastAsia" w:ascii="仿宋_GB2312" w:eastAsia="仿宋_GB2312"/>
          <w:sz w:val="28"/>
          <w:szCs w:val="28"/>
          <w:lang w:val="en-US" w:eastAsia="zh-CN"/>
        </w:rPr>
        <w:t>,</w:t>
      </w:r>
      <w:r>
        <w:rPr>
          <w:rFonts w:ascii="仿宋_GB2312" w:eastAsia="仿宋_GB2312"/>
          <w:sz w:val="28"/>
          <w:szCs w:val="28"/>
        </w:rPr>
        <w:t>786.98</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75</w:t>
      </w:r>
      <w:r>
        <w:rPr>
          <w:rFonts w:hint="eastAsia" w:ascii="仿宋_GB2312" w:eastAsia="仿宋_GB2312"/>
          <w:sz w:val="28"/>
          <w:szCs w:val="28"/>
          <w:lang w:val="en-US" w:eastAsia="zh-CN"/>
        </w:rPr>
        <w:t>,</w:t>
      </w:r>
      <w:r>
        <w:rPr>
          <w:rFonts w:ascii="仿宋_GB2312" w:eastAsia="仿宋_GB2312"/>
          <w:sz w:val="28"/>
          <w:szCs w:val="28"/>
        </w:rPr>
        <w:t>902</w:t>
      </w:r>
      <w:r>
        <w:rPr>
          <w:rFonts w:hint="eastAsia" w:ascii="仿宋_GB2312" w:eastAsia="仿宋_GB2312"/>
          <w:sz w:val="28"/>
          <w:szCs w:val="28"/>
          <w:lang w:val="en-US" w:eastAsia="zh-CN"/>
        </w:rPr>
        <w:t>,</w:t>
      </w:r>
      <w:r>
        <w:rPr>
          <w:rFonts w:ascii="仿宋_GB2312" w:eastAsia="仿宋_GB2312"/>
          <w:sz w:val="28"/>
          <w:szCs w:val="28"/>
        </w:rPr>
        <w:t>526.8</w:t>
      </w:r>
      <w:r>
        <w:rPr>
          <w:rFonts w:hint="eastAsia" w:ascii="仿宋_GB2312" w:eastAsia="仿宋_GB2312"/>
          <w:sz w:val="28"/>
          <w:szCs w:val="28"/>
        </w:rPr>
        <w:t>元。授予中小企业合同金额</w:t>
      </w:r>
      <w:r>
        <w:rPr>
          <w:rFonts w:ascii="仿宋_GB2312" w:eastAsia="仿宋_GB2312"/>
          <w:sz w:val="28"/>
          <w:szCs w:val="28"/>
        </w:rPr>
        <w:t>109</w:t>
      </w:r>
      <w:r>
        <w:rPr>
          <w:rFonts w:hint="eastAsia" w:ascii="仿宋_GB2312" w:eastAsia="仿宋_GB2312"/>
          <w:sz w:val="28"/>
          <w:szCs w:val="28"/>
          <w:lang w:val="en-US" w:eastAsia="zh-CN"/>
        </w:rPr>
        <w:t>,</w:t>
      </w:r>
      <w:r>
        <w:rPr>
          <w:rFonts w:ascii="仿宋_GB2312" w:eastAsia="仿宋_GB2312"/>
          <w:sz w:val="28"/>
          <w:szCs w:val="28"/>
        </w:rPr>
        <w:t>471</w:t>
      </w:r>
      <w:r>
        <w:rPr>
          <w:rFonts w:hint="eastAsia" w:ascii="仿宋_GB2312" w:eastAsia="仿宋_GB2312"/>
          <w:sz w:val="28"/>
          <w:szCs w:val="28"/>
          <w:lang w:val="en-US" w:eastAsia="zh-CN"/>
        </w:rPr>
        <w:t>,</w:t>
      </w:r>
      <w:r>
        <w:rPr>
          <w:rFonts w:ascii="仿宋_GB2312" w:eastAsia="仿宋_GB2312"/>
          <w:sz w:val="28"/>
          <w:szCs w:val="28"/>
        </w:rPr>
        <w:t>746.09</w:t>
      </w:r>
      <w:r>
        <w:rPr>
          <w:rFonts w:hint="eastAsia" w:ascii="仿宋_GB2312" w:eastAsia="仿宋_GB2312"/>
          <w:sz w:val="28"/>
          <w:szCs w:val="28"/>
        </w:rPr>
        <w:t>元，占政府采购支出总额的95.8%，其中：授予小微企业合同金额</w:t>
      </w:r>
      <w:r>
        <w:rPr>
          <w:rFonts w:ascii="仿宋_GB2312" w:eastAsia="仿宋_GB2312"/>
          <w:sz w:val="28"/>
          <w:szCs w:val="28"/>
        </w:rPr>
        <w:t>87</w:t>
      </w:r>
      <w:r>
        <w:rPr>
          <w:rFonts w:hint="eastAsia" w:ascii="仿宋_GB2312" w:eastAsia="仿宋_GB2312"/>
          <w:sz w:val="28"/>
          <w:szCs w:val="28"/>
          <w:lang w:val="en-US" w:eastAsia="zh-CN"/>
        </w:rPr>
        <w:t>,</w:t>
      </w:r>
      <w:r>
        <w:rPr>
          <w:rFonts w:ascii="仿宋_GB2312" w:eastAsia="仿宋_GB2312"/>
          <w:sz w:val="28"/>
          <w:szCs w:val="28"/>
        </w:rPr>
        <w:t>506</w:t>
      </w:r>
      <w:r>
        <w:rPr>
          <w:rFonts w:hint="eastAsia" w:ascii="仿宋_GB2312" w:eastAsia="仿宋_GB2312"/>
          <w:sz w:val="28"/>
          <w:szCs w:val="28"/>
          <w:lang w:val="en-US" w:eastAsia="zh-CN"/>
        </w:rPr>
        <w:t>,</w:t>
      </w:r>
      <w:r>
        <w:rPr>
          <w:rFonts w:ascii="仿宋_GB2312" w:eastAsia="仿宋_GB2312"/>
          <w:sz w:val="28"/>
          <w:szCs w:val="28"/>
        </w:rPr>
        <w:t>566.83</w:t>
      </w:r>
      <w:r>
        <w:rPr>
          <w:rFonts w:hint="eastAsia" w:ascii="仿宋_GB2312" w:eastAsia="仿宋_GB2312"/>
          <w:sz w:val="28"/>
          <w:szCs w:val="28"/>
        </w:rPr>
        <w:t>元，占政府采购支出总额的</w:t>
      </w:r>
      <w:r>
        <w:rPr>
          <w:rFonts w:ascii="仿宋_GB2312" w:eastAsia="仿宋_GB2312"/>
          <w:sz w:val="28"/>
          <w:szCs w:val="28"/>
        </w:rPr>
        <w:t>76.</w:t>
      </w:r>
      <w:r>
        <w:rPr>
          <w:rFonts w:hint="eastAsia" w:ascii="仿宋_GB2312" w:eastAsia="仿宋_GB2312"/>
          <w:sz w:val="28"/>
          <w:szCs w:val="28"/>
          <w:lang w:val="en-US" w:eastAsia="zh-CN"/>
        </w:rPr>
        <w:t>6</w:t>
      </w:r>
      <w:bookmarkStart w:id="4" w:name="_GoBack"/>
      <w:bookmarkEnd w:id="4"/>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截至12月31日，北京市门头沟区环境卫生服务中心（部门）共有车辆355台；单位价值100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元（含）以上的设备9台（套）。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eastAsia="仿宋_GB2312"/>
          <w:bCs/>
          <w:sz w:val="28"/>
          <w:szCs w:val="28"/>
        </w:rPr>
      </w:pPr>
      <w:r>
        <w:rPr>
          <w:rFonts w:hint="eastAsia" w:ascii="仿宋_GB2312" w:eastAsia="仿宋_GB2312"/>
          <w:sz w:val="28"/>
          <w:szCs w:val="28"/>
        </w:rPr>
        <w:t>6.</w:t>
      </w:r>
      <w:r>
        <w:rPr>
          <w:rFonts w:hint="eastAsia" w:ascii="仿宋_GB2312" w:hAnsi="Times New Roman" w:eastAsia="仿宋_GB2312" w:cs="Times New Roman"/>
          <w:sz w:val="28"/>
          <w:szCs w:val="28"/>
          <w:lang w:eastAsia="zh-CN"/>
        </w:rPr>
        <w:t>环卫综合业务费</w:t>
      </w:r>
      <w:r>
        <w:rPr>
          <w:rFonts w:hint="eastAsia" w:ascii="仿宋_GB2312" w:hAnsi="Times New Roman" w:eastAsia="仿宋_GB2312" w:cs="Times New Roman"/>
          <w:sz w:val="28"/>
          <w:szCs w:val="28"/>
        </w:rPr>
        <w:t>：指为完成环卫中心管辖的作业范围的业务所发生的</w:t>
      </w:r>
      <w:r>
        <w:rPr>
          <w:rFonts w:hint="eastAsia" w:ascii="仿宋_GB2312" w:hAnsi="Times New Roman" w:eastAsia="仿宋_GB2312" w:cs="Times New Roman"/>
          <w:sz w:val="28"/>
          <w:szCs w:val="28"/>
          <w:lang w:eastAsia="zh-CN"/>
        </w:rPr>
        <w:t>相关综合</w:t>
      </w:r>
      <w:r>
        <w:rPr>
          <w:rFonts w:hint="eastAsia" w:ascii="仿宋_GB2312" w:hAnsi="Times New Roman" w:eastAsia="仿宋_GB2312" w:cs="Times New Roman"/>
          <w:sz w:val="28"/>
          <w:szCs w:val="28"/>
        </w:rPr>
        <w:t>费用。例如：道路保洁、垃圾清转运、公共卫生间的管理保洁等</w:t>
      </w:r>
      <w:r>
        <w:rPr>
          <w:rFonts w:hint="eastAsia" w:ascii="仿宋_GB2312" w:hAnsi="Times New Roman" w:eastAsia="仿宋_GB2312" w:cs="Times New Roman"/>
          <w:sz w:val="28"/>
          <w:szCs w:val="28"/>
          <w:lang w:eastAsia="zh-CN"/>
        </w:rPr>
        <w:t>环卫综合业务</w:t>
      </w:r>
      <w:r>
        <w:rPr>
          <w:rFonts w:hint="eastAsia" w:ascii="仿宋_GB2312" w:hAnsi="Times New Roman" w:eastAsia="仿宋_GB2312" w:cs="Times New Roman"/>
          <w:sz w:val="28"/>
          <w:szCs w:val="28"/>
        </w:rPr>
        <w:t>费</w:t>
      </w:r>
      <w:r>
        <w:rPr>
          <w:rFonts w:hint="eastAsia" w:ascii="仿宋_GB2312" w:eastAsia="仿宋_GB2312"/>
          <w:sz w:val="28"/>
          <w:szCs w:val="28"/>
        </w:rPr>
        <w:t>。</w:t>
      </w: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pStyle w:val="2"/>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hint="eastAsia" w:asciiTheme="minorEastAsia" w:hAnsiTheme="minorEastAsia" w:eastAsiaTheme="minorEastAsia"/>
          <w:b/>
          <w:sz w:val="36"/>
          <w:szCs w:val="36"/>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1"/>
        <w:rPr>
          <w:rFonts w:hint="eastAsia" w:ascii="仿宋_GB2312" w:eastAsia="仿宋_GB2312"/>
          <w:sz w:val="32"/>
          <w:szCs w:val="32"/>
          <w:lang w:val="en-US" w:eastAsia="zh-CN"/>
        </w:rPr>
      </w:pPr>
      <w:r>
        <w:rPr>
          <w:rFonts w:hint="eastAsia" w:ascii="仿宋_GB2312" w:eastAsia="仿宋_GB2312"/>
          <w:sz w:val="32"/>
          <w:szCs w:val="32"/>
          <w:lang w:val="en-US" w:eastAsia="zh-CN"/>
        </w:rPr>
        <w:t>门头沟区环境卫生服务中心为区政府直属公益一类事业单位，机构规格为正处级，经费形式为财政补助（全额拨款）。负责贯彻落实本区市容环境卫生发展规划和年度计划。根据区政府下达的环境卫生作业任务、指标和要求，承担作业范围内道路的清扫保洁工作，以及垃圾的收集、清运、转运工作，公厕的保洁和粪便的清运、消纳处理工作。负责本区域内环境卫生相关服务性、技术性、事务性工作。完成区委、区政府交办的其他任务。</w:t>
      </w:r>
    </w:p>
    <w:bookmarkEnd w:id="0"/>
    <w:p>
      <w:pPr>
        <w:spacing w:line="580" w:lineRule="exact"/>
        <w:ind w:firstLine="641"/>
        <w:rPr>
          <w:rFonts w:hint="eastAsia" w:ascii="仿宋_GB2312" w:eastAsia="仿宋_GB2312"/>
          <w:sz w:val="32"/>
          <w:szCs w:val="32"/>
        </w:rPr>
      </w:pPr>
      <w:bookmarkStart w:id="1" w:name="_Toc268005761"/>
      <w:bookmarkStart w:id="2" w:name="_Toc263686375"/>
      <w:r>
        <w:rPr>
          <w:rFonts w:hint="eastAsia" w:ascii="仿宋_GB2312" w:eastAsia="仿宋_GB2312"/>
          <w:sz w:val="32"/>
          <w:szCs w:val="32"/>
        </w:rPr>
        <w:t>2.部门机构设置情况</w:t>
      </w:r>
    </w:p>
    <w:p>
      <w:pPr>
        <w:spacing w:line="580" w:lineRule="exact"/>
        <w:ind w:firstLine="641"/>
        <w:rPr>
          <w:rFonts w:hint="eastAsia" w:ascii="仿宋_GB2312" w:eastAsia="仿宋_GB2312"/>
          <w:sz w:val="32"/>
          <w:szCs w:val="32"/>
          <w:lang w:val="en-US" w:eastAsia="zh-CN"/>
        </w:rPr>
      </w:pPr>
      <w:r>
        <w:rPr>
          <w:rFonts w:hint="eastAsia" w:ascii="仿宋_GB2312" w:eastAsia="仿宋_GB2312"/>
          <w:sz w:val="32"/>
          <w:szCs w:val="32"/>
          <w:lang w:val="en-US" w:eastAsia="zh-CN"/>
        </w:rPr>
        <w:t>本部门共设13个内设机构，下设0个事业单位。行政编制0名，实际0人；事业编制118名，实际97人；离退休人员222人，其中：离休0人，行政退休12人，事业退休210人；其他人员921人，其中：社会化用工919人。</w:t>
      </w:r>
    </w:p>
    <w:p>
      <w:pPr>
        <w:spacing w:line="580" w:lineRule="exact"/>
        <w:ind w:firstLine="641"/>
        <w:rPr>
          <w:rFonts w:hint="eastAsia" w:ascii="仿宋_GB2312" w:eastAsia="仿宋_GB2312"/>
          <w:sz w:val="32"/>
          <w:szCs w:val="32"/>
        </w:rPr>
      </w:pPr>
      <w:r>
        <w:rPr>
          <w:rFonts w:hint="eastAsia" w:ascii="仿宋_GB2312" w:eastAsia="仿宋_GB2312"/>
          <w:sz w:val="32"/>
          <w:szCs w:val="32"/>
        </w:rPr>
        <w:t>3.2025年主要工作任务</w:t>
      </w:r>
    </w:p>
    <w:p>
      <w:pPr>
        <w:spacing w:line="580" w:lineRule="exact"/>
        <w:ind w:firstLine="641"/>
        <w:rPr>
          <w:rFonts w:hint="eastAsia" w:ascii="仿宋_GB2312" w:eastAsia="仿宋_GB2312"/>
          <w:sz w:val="32"/>
          <w:szCs w:val="32"/>
          <w:lang w:val="en-US" w:eastAsia="zh-CN"/>
        </w:rPr>
      </w:pPr>
      <w:r>
        <w:rPr>
          <w:rFonts w:hint="eastAsia" w:ascii="仿宋_GB2312" w:eastAsia="仿宋_GB2312"/>
          <w:sz w:val="32"/>
          <w:szCs w:val="32"/>
          <w:lang w:val="en-US" w:eastAsia="zh-CN"/>
        </w:rPr>
        <w:t>贯彻、落实本区制定的市容环境卫生发展规划和年度计划并组织落实；根据区政府核定下达的环境卫生作业任务、指标和要求，组织专业单位作业并对其实施监督、检查和指导；负责指导、监督、检查所属工作队对门城新城、石龙工业区、斋堂小城镇的道路清扫保洁和本区域内的垃圾收集、清运、转运工作，以及对全区公厕的保洁和粪便的清运、消纳处理工作；负责本区域内环境卫生服务性、技术性、事务性工作；完成区委、区政府交办的其他工作。</w:t>
      </w:r>
    </w:p>
    <w:p>
      <w:pPr>
        <w:spacing w:line="580" w:lineRule="exact"/>
        <w:ind w:firstLine="641"/>
        <w:rPr>
          <w:rFonts w:hint="eastAsia" w:ascii="仿宋_GB2312" w:eastAsia="仿宋_GB2312"/>
          <w:sz w:val="32"/>
          <w:szCs w:val="32"/>
        </w:rPr>
      </w:pPr>
      <w:bookmarkStart w:id="3" w:name="_Toc268005759"/>
      <w:r>
        <w:rPr>
          <w:rFonts w:hint="eastAsia" w:ascii="仿宋_GB2312" w:eastAsia="仿宋_GB2312"/>
          <w:sz w:val="32"/>
          <w:szCs w:val="32"/>
        </w:rPr>
        <w:t>4.部门</w:t>
      </w:r>
      <w:bookmarkEnd w:id="3"/>
      <w:r>
        <w:rPr>
          <w:rFonts w:hint="eastAsia" w:ascii="仿宋_GB2312" w:eastAsia="仿宋_GB2312"/>
          <w:sz w:val="32"/>
          <w:szCs w:val="32"/>
        </w:rPr>
        <w:t>整体绩效目标设立情况</w:t>
      </w:r>
    </w:p>
    <w:tbl>
      <w:tblPr>
        <w:tblStyle w:val="10"/>
        <w:tblW w:w="4694" w:type="pct"/>
        <w:tblInd w:w="0" w:type="dxa"/>
        <w:tblLayout w:type="fixed"/>
        <w:tblCellMar>
          <w:top w:w="0" w:type="dxa"/>
          <w:left w:w="108" w:type="dxa"/>
          <w:bottom w:w="0" w:type="dxa"/>
          <w:right w:w="108" w:type="dxa"/>
        </w:tblCellMar>
      </w:tblPr>
      <w:tblGrid>
        <w:gridCol w:w="913"/>
        <w:gridCol w:w="3200"/>
        <w:gridCol w:w="2426"/>
        <w:gridCol w:w="2232"/>
        <w:gridCol w:w="1919"/>
        <w:gridCol w:w="3191"/>
      </w:tblGrid>
      <w:tr>
        <w:tblPrEx>
          <w:tblCellMar>
            <w:top w:w="0" w:type="dxa"/>
            <w:left w:w="108" w:type="dxa"/>
            <w:bottom w:w="0" w:type="dxa"/>
            <w:right w:w="108" w:type="dxa"/>
          </w:tblCellMar>
        </w:tblPrEx>
        <w:trPr>
          <w:trHeight w:val="614" w:hRule="atLeast"/>
        </w:trPr>
        <w:tc>
          <w:tcPr>
            <w:tcW w:w="328" w:type="pct"/>
            <w:tcBorders>
              <w:top w:val="single" w:color="auto" w:sz="4" w:space="0"/>
              <w:left w:val="single" w:color="auto" w:sz="4" w:space="0"/>
              <w:bottom w:val="single" w:color="auto" w:sz="4" w:space="0"/>
              <w:right w:val="single" w:color="auto" w:sz="4" w:space="0"/>
            </w:tcBorders>
            <w:noWrap/>
            <w:vAlign w:val="bottom"/>
          </w:tcPr>
          <w:p>
            <w:pPr>
              <w:spacing w:line="580" w:lineRule="exact"/>
              <w:jc w:val="center"/>
              <w:rPr>
                <w:rFonts w:hint="eastAsia" w:ascii="仿宋_GB2312" w:eastAsia="仿宋_GB2312"/>
                <w:sz w:val="32"/>
                <w:szCs w:val="32"/>
              </w:rPr>
            </w:pPr>
            <w:r>
              <w:rPr>
                <w:rFonts w:hint="eastAsia" w:ascii="仿宋_GB2312" w:eastAsia="仿宋_GB2312"/>
                <w:sz w:val="32"/>
                <w:szCs w:val="32"/>
              </w:rPr>
              <w:t>序号</w:t>
            </w:r>
          </w:p>
        </w:tc>
        <w:tc>
          <w:tcPr>
            <w:tcW w:w="1152" w:type="pct"/>
            <w:tcBorders>
              <w:top w:val="single" w:color="auto" w:sz="4" w:space="0"/>
              <w:left w:val="nil"/>
              <w:bottom w:val="single" w:color="auto" w:sz="4" w:space="0"/>
              <w:right w:val="single" w:color="auto" w:sz="4" w:space="0"/>
            </w:tcBorders>
            <w:noWrap/>
            <w:vAlign w:val="bottom"/>
          </w:tcPr>
          <w:p>
            <w:pPr>
              <w:spacing w:line="580" w:lineRule="exact"/>
              <w:jc w:val="center"/>
              <w:rPr>
                <w:rFonts w:hint="eastAsia" w:ascii="仿宋_GB2312" w:eastAsia="仿宋_GB2312"/>
                <w:sz w:val="32"/>
                <w:szCs w:val="32"/>
              </w:rPr>
            </w:pPr>
            <w:r>
              <w:rPr>
                <w:rFonts w:hint="eastAsia" w:ascii="仿宋_GB2312" w:eastAsia="仿宋_GB2312"/>
                <w:sz w:val="32"/>
                <w:szCs w:val="32"/>
              </w:rPr>
              <w:t>三级指标</w:t>
            </w:r>
          </w:p>
        </w:tc>
        <w:tc>
          <w:tcPr>
            <w:tcW w:w="873" w:type="pct"/>
            <w:tcBorders>
              <w:top w:val="single" w:color="auto" w:sz="4" w:space="0"/>
              <w:left w:val="nil"/>
              <w:bottom w:val="single" w:color="auto" w:sz="4" w:space="0"/>
              <w:right w:val="single" w:color="auto" w:sz="4" w:space="0"/>
            </w:tcBorders>
            <w:noWrap/>
            <w:vAlign w:val="bottom"/>
          </w:tcPr>
          <w:p>
            <w:pPr>
              <w:spacing w:line="580" w:lineRule="exact"/>
              <w:jc w:val="center"/>
              <w:rPr>
                <w:rFonts w:hint="eastAsia" w:ascii="仿宋_GB2312" w:eastAsia="仿宋_GB2312"/>
                <w:sz w:val="32"/>
                <w:szCs w:val="32"/>
              </w:rPr>
            </w:pPr>
            <w:r>
              <w:rPr>
                <w:rFonts w:hint="eastAsia" w:ascii="仿宋_GB2312" w:eastAsia="仿宋_GB2312"/>
                <w:sz w:val="32"/>
                <w:szCs w:val="32"/>
              </w:rPr>
              <w:t>指标性质</w:t>
            </w:r>
          </w:p>
        </w:tc>
        <w:tc>
          <w:tcPr>
            <w:tcW w:w="803" w:type="pct"/>
            <w:tcBorders>
              <w:top w:val="single" w:color="auto" w:sz="4" w:space="0"/>
              <w:left w:val="nil"/>
              <w:bottom w:val="single" w:color="auto" w:sz="4" w:space="0"/>
              <w:right w:val="single" w:color="auto" w:sz="4" w:space="0"/>
            </w:tcBorders>
            <w:noWrap/>
            <w:vAlign w:val="bottom"/>
          </w:tcPr>
          <w:p>
            <w:pPr>
              <w:spacing w:line="580" w:lineRule="exact"/>
              <w:jc w:val="center"/>
              <w:rPr>
                <w:rFonts w:hint="eastAsia" w:ascii="仿宋_GB2312" w:eastAsia="仿宋_GB2312"/>
                <w:sz w:val="32"/>
                <w:szCs w:val="32"/>
              </w:rPr>
            </w:pPr>
            <w:r>
              <w:rPr>
                <w:rFonts w:hint="eastAsia" w:ascii="仿宋_GB2312" w:eastAsia="仿宋_GB2312"/>
                <w:sz w:val="32"/>
                <w:szCs w:val="32"/>
              </w:rPr>
              <w:t>指标值</w:t>
            </w:r>
          </w:p>
        </w:tc>
        <w:tc>
          <w:tcPr>
            <w:tcW w:w="691" w:type="pct"/>
            <w:tcBorders>
              <w:top w:val="single" w:color="auto" w:sz="4" w:space="0"/>
              <w:left w:val="nil"/>
              <w:bottom w:val="single" w:color="auto" w:sz="4" w:space="0"/>
              <w:right w:val="single" w:color="auto" w:sz="4" w:space="0"/>
            </w:tcBorders>
            <w:noWrap w:val="0"/>
            <w:vAlign w:val="top"/>
          </w:tcPr>
          <w:p>
            <w:pPr>
              <w:spacing w:line="580" w:lineRule="exact"/>
              <w:jc w:val="center"/>
              <w:rPr>
                <w:rFonts w:hint="eastAsia" w:ascii="仿宋_GB2312" w:eastAsia="仿宋_GB2312"/>
                <w:sz w:val="32"/>
                <w:szCs w:val="32"/>
              </w:rPr>
            </w:pPr>
            <w:r>
              <w:rPr>
                <w:rFonts w:hint="eastAsia" w:ascii="仿宋_GB2312" w:eastAsia="仿宋_GB2312"/>
                <w:sz w:val="32"/>
                <w:szCs w:val="32"/>
              </w:rPr>
              <w:t>度量单位</w:t>
            </w:r>
          </w:p>
        </w:tc>
        <w:tc>
          <w:tcPr>
            <w:tcW w:w="1149" w:type="pct"/>
            <w:tcBorders>
              <w:top w:val="single" w:color="auto" w:sz="4" w:space="0"/>
              <w:left w:val="nil"/>
              <w:bottom w:val="single" w:color="auto" w:sz="4" w:space="0"/>
              <w:right w:val="single" w:color="auto" w:sz="4" w:space="0"/>
            </w:tcBorders>
            <w:noWrap w:val="0"/>
            <w:vAlign w:val="top"/>
          </w:tcPr>
          <w:p>
            <w:pPr>
              <w:spacing w:line="580" w:lineRule="exact"/>
              <w:jc w:val="center"/>
              <w:rPr>
                <w:rFonts w:hint="eastAsia" w:ascii="仿宋_GB2312" w:eastAsia="仿宋_GB2312"/>
                <w:sz w:val="32"/>
                <w:szCs w:val="32"/>
              </w:rPr>
            </w:pPr>
            <w:r>
              <w:rPr>
                <w:rFonts w:hint="eastAsia" w:ascii="仿宋_GB2312" w:eastAsia="仿宋_GB2312"/>
                <w:sz w:val="32"/>
                <w:szCs w:val="32"/>
              </w:rPr>
              <w:t>指标权重</w:t>
            </w:r>
          </w:p>
        </w:tc>
      </w:tr>
      <w:tr>
        <w:tblPrEx>
          <w:tblCellMar>
            <w:top w:w="0" w:type="dxa"/>
            <w:left w:w="108" w:type="dxa"/>
            <w:bottom w:w="0" w:type="dxa"/>
            <w:right w:w="108" w:type="dxa"/>
          </w:tblCellMar>
        </w:tblPrEx>
        <w:trPr>
          <w:trHeight w:val="4284" w:hRule="atLeast"/>
        </w:trPr>
        <w:tc>
          <w:tcPr>
            <w:tcW w:w="328" w:type="pct"/>
            <w:tcBorders>
              <w:top w:val="nil"/>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rPr>
              <w:t>1</w:t>
            </w:r>
          </w:p>
        </w:tc>
        <w:tc>
          <w:tcPr>
            <w:tcW w:w="1152" w:type="pct"/>
            <w:tcBorders>
              <w:top w:val="nil"/>
              <w:left w:val="nil"/>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数量指标</w:t>
            </w:r>
            <w:r>
              <w:rPr>
                <w:rFonts w:hint="eastAsia" w:ascii="仿宋_GB2312" w:eastAsia="仿宋_GB2312"/>
                <w:sz w:val="32"/>
                <w:szCs w:val="32"/>
                <w:lang w:val="en-US" w:eastAsia="zh-CN"/>
              </w:rPr>
              <w:t>:</w:t>
            </w:r>
            <w:r>
              <w:rPr>
                <w:rFonts w:hint="eastAsia" w:ascii="仿宋_GB2312" w:eastAsia="仿宋_GB2312"/>
                <w:sz w:val="32"/>
                <w:szCs w:val="32"/>
                <w:lang w:eastAsia="zh-CN"/>
              </w:rPr>
              <w:t>含城区495万平方米道路，斋堂13.2万平方米道路，20座垃圾楼131座小区261个社会单位114个商户24个垃圾点；2</w:t>
            </w:r>
            <w:r>
              <w:rPr>
                <w:rFonts w:hint="eastAsia" w:ascii="仿宋_GB2312" w:eastAsia="仿宋_GB2312"/>
                <w:sz w:val="32"/>
                <w:szCs w:val="32"/>
                <w:lang w:val="en-US" w:eastAsia="zh-CN"/>
              </w:rPr>
              <w:t>61</w:t>
            </w:r>
            <w:r>
              <w:rPr>
                <w:rFonts w:hint="eastAsia" w:ascii="仿宋_GB2312" w:eastAsia="仿宋_GB2312"/>
                <w:sz w:val="32"/>
                <w:szCs w:val="32"/>
                <w:lang w:eastAsia="zh-CN"/>
              </w:rPr>
              <w:t>座公厕，本区垃圾压缩转运及渗沥液处理。</w:t>
            </w:r>
          </w:p>
        </w:tc>
        <w:tc>
          <w:tcPr>
            <w:tcW w:w="873" w:type="pct"/>
            <w:tcBorders>
              <w:top w:val="nil"/>
              <w:left w:val="nil"/>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等于</w:t>
            </w:r>
          </w:p>
        </w:tc>
        <w:tc>
          <w:tcPr>
            <w:tcW w:w="803" w:type="pct"/>
            <w:tcBorders>
              <w:top w:val="nil"/>
              <w:left w:val="nil"/>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lang w:val="en-US" w:eastAsia="zh-CN"/>
              </w:rPr>
              <w:t>1</w:t>
            </w:r>
          </w:p>
        </w:tc>
        <w:tc>
          <w:tcPr>
            <w:tcW w:w="691" w:type="pct"/>
            <w:tcBorders>
              <w:top w:val="nil"/>
              <w:left w:val="nil"/>
              <w:bottom w:val="single" w:color="auto" w:sz="4" w:space="0"/>
              <w:right w:val="single" w:color="auto" w:sz="4" w:space="0"/>
            </w:tcBorders>
            <w:noWrap w:val="0"/>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项</w:t>
            </w:r>
          </w:p>
        </w:tc>
        <w:tc>
          <w:tcPr>
            <w:tcW w:w="1149" w:type="pct"/>
            <w:tcBorders>
              <w:top w:val="nil"/>
              <w:left w:val="nil"/>
              <w:bottom w:val="single" w:color="auto" w:sz="4" w:space="0"/>
              <w:right w:val="single" w:color="auto" w:sz="4" w:space="0"/>
            </w:tcBorders>
            <w:noWrap w:val="0"/>
            <w:vAlign w:val="center"/>
          </w:tcPr>
          <w:p>
            <w:pPr>
              <w:spacing w:line="580" w:lineRule="exact"/>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10</w:t>
            </w:r>
          </w:p>
        </w:tc>
      </w:tr>
      <w:tr>
        <w:tblPrEx>
          <w:tblCellMar>
            <w:top w:w="0" w:type="dxa"/>
            <w:left w:w="108" w:type="dxa"/>
            <w:bottom w:w="0" w:type="dxa"/>
            <w:right w:w="108" w:type="dxa"/>
          </w:tblCellMar>
        </w:tblPrEx>
        <w:trPr>
          <w:trHeight w:val="953" w:hRule="atLeast"/>
        </w:trPr>
        <w:tc>
          <w:tcPr>
            <w:tcW w:w="328" w:type="pct"/>
            <w:tcBorders>
              <w:top w:val="nil"/>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rPr>
              <w:t>2</w:t>
            </w:r>
          </w:p>
        </w:tc>
        <w:tc>
          <w:tcPr>
            <w:tcW w:w="1152" w:type="pct"/>
            <w:tcBorders>
              <w:top w:val="nil"/>
              <w:left w:val="nil"/>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rPr>
              <w:t>质量指标</w:t>
            </w:r>
            <w:r>
              <w:rPr>
                <w:rFonts w:hint="eastAsia" w:ascii="仿宋_GB2312" w:eastAsia="仿宋_GB2312"/>
                <w:sz w:val="32"/>
                <w:szCs w:val="32"/>
                <w:lang w:val="en-US" w:eastAsia="zh-CN"/>
              </w:rPr>
              <w:t>:</w:t>
            </w:r>
            <w:r>
              <w:rPr>
                <w:rFonts w:hint="eastAsia" w:ascii="仿宋_GB2312" w:eastAsia="仿宋_GB2312"/>
                <w:sz w:val="32"/>
                <w:szCs w:val="32"/>
              </w:rPr>
              <w:t>业务达标，符合北京市环境卫生专业检查考评办法（京政容函[2014]800号文）及北京市生活垃圾处理设施运行管理检查考评办法的标准</w:t>
            </w:r>
          </w:p>
        </w:tc>
        <w:tc>
          <w:tcPr>
            <w:tcW w:w="873" w:type="pct"/>
            <w:tcBorders>
              <w:top w:val="nil"/>
              <w:left w:val="nil"/>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eastAsia="zh-CN"/>
              </w:rPr>
              <w:t>等于</w:t>
            </w:r>
          </w:p>
        </w:tc>
        <w:tc>
          <w:tcPr>
            <w:tcW w:w="803" w:type="pct"/>
            <w:tcBorders>
              <w:top w:val="nil"/>
              <w:left w:val="nil"/>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1</w:t>
            </w:r>
          </w:p>
        </w:tc>
        <w:tc>
          <w:tcPr>
            <w:tcW w:w="691" w:type="pct"/>
            <w:tcBorders>
              <w:top w:val="nil"/>
              <w:left w:val="nil"/>
              <w:bottom w:val="single" w:color="auto" w:sz="4" w:space="0"/>
              <w:right w:val="single" w:color="auto" w:sz="4" w:space="0"/>
            </w:tcBorders>
            <w:noWrap w:val="0"/>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eastAsia="zh-CN"/>
              </w:rPr>
              <w:t>项</w:t>
            </w:r>
          </w:p>
        </w:tc>
        <w:tc>
          <w:tcPr>
            <w:tcW w:w="1149" w:type="pct"/>
            <w:tcBorders>
              <w:top w:val="nil"/>
              <w:left w:val="nil"/>
              <w:bottom w:val="single" w:color="auto" w:sz="4" w:space="0"/>
              <w:right w:val="single" w:color="auto" w:sz="4" w:space="0"/>
            </w:tcBorders>
            <w:noWrap w:val="0"/>
            <w:vAlign w:val="center"/>
          </w:tcPr>
          <w:p>
            <w:pPr>
              <w:spacing w:line="580" w:lineRule="exact"/>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20</w:t>
            </w:r>
          </w:p>
        </w:tc>
      </w:tr>
      <w:tr>
        <w:tblPrEx>
          <w:tblCellMar>
            <w:top w:w="0" w:type="dxa"/>
            <w:left w:w="108" w:type="dxa"/>
            <w:bottom w:w="0" w:type="dxa"/>
            <w:right w:w="108" w:type="dxa"/>
          </w:tblCellMar>
        </w:tblPrEx>
        <w:trPr>
          <w:trHeight w:val="275" w:hRule="atLeast"/>
        </w:trPr>
        <w:tc>
          <w:tcPr>
            <w:tcW w:w="328"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rPr>
              <w:t>3</w:t>
            </w:r>
          </w:p>
        </w:tc>
        <w:tc>
          <w:tcPr>
            <w:tcW w:w="1152"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rPr>
              <w:t>时效指标</w:t>
            </w:r>
            <w:r>
              <w:rPr>
                <w:rFonts w:hint="eastAsia" w:ascii="仿宋_GB2312" w:eastAsia="仿宋_GB2312"/>
                <w:sz w:val="32"/>
                <w:szCs w:val="32"/>
                <w:lang w:val="en-US" w:eastAsia="zh-CN"/>
              </w:rPr>
              <w:t>:2025年</w:t>
            </w:r>
          </w:p>
        </w:tc>
        <w:tc>
          <w:tcPr>
            <w:tcW w:w="87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lang w:eastAsia="zh-CN"/>
              </w:rPr>
              <w:t>等于</w:t>
            </w:r>
          </w:p>
        </w:tc>
        <w:tc>
          <w:tcPr>
            <w:tcW w:w="80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1</w:t>
            </w:r>
          </w:p>
        </w:tc>
        <w:tc>
          <w:tcPr>
            <w:tcW w:w="691"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年</w:t>
            </w:r>
          </w:p>
        </w:tc>
        <w:tc>
          <w:tcPr>
            <w:tcW w:w="1149"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20</w:t>
            </w:r>
          </w:p>
        </w:tc>
      </w:tr>
      <w:tr>
        <w:tblPrEx>
          <w:tblCellMar>
            <w:top w:w="0" w:type="dxa"/>
            <w:left w:w="108" w:type="dxa"/>
            <w:bottom w:w="0" w:type="dxa"/>
            <w:right w:w="108" w:type="dxa"/>
          </w:tblCellMar>
        </w:tblPrEx>
        <w:trPr>
          <w:trHeight w:val="275" w:hRule="atLeast"/>
        </w:trPr>
        <w:tc>
          <w:tcPr>
            <w:tcW w:w="328"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4</w:t>
            </w:r>
          </w:p>
        </w:tc>
        <w:tc>
          <w:tcPr>
            <w:tcW w:w="1152"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rPr>
              <w:t>社会效益指标</w:t>
            </w:r>
            <w:r>
              <w:rPr>
                <w:rFonts w:hint="eastAsia" w:ascii="仿宋_GB2312" w:eastAsia="仿宋_GB2312"/>
                <w:sz w:val="32"/>
                <w:szCs w:val="32"/>
                <w:lang w:eastAsia="zh-CN"/>
              </w:rPr>
              <w:t>：环境干净整洁</w:t>
            </w:r>
          </w:p>
        </w:tc>
        <w:tc>
          <w:tcPr>
            <w:tcW w:w="87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lang w:eastAsia="zh-CN"/>
              </w:rPr>
              <w:t>等于</w:t>
            </w:r>
          </w:p>
        </w:tc>
        <w:tc>
          <w:tcPr>
            <w:tcW w:w="80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1</w:t>
            </w:r>
          </w:p>
        </w:tc>
        <w:tc>
          <w:tcPr>
            <w:tcW w:w="691"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项</w:t>
            </w:r>
          </w:p>
        </w:tc>
        <w:tc>
          <w:tcPr>
            <w:tcW w:w="1149"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10</w:t>
            </w:r>
          </w:p>
        </w:tc>
      </w:tr>
      <w:tr>
        <w:tblPrEx>
          <w:tblCellMar>
            <w:top w:w="0" w:type="dxa"/>
            <w:left w:w="108" w:type="dxa"/>
            <w:bottom w:w="0" w:type="dxa"/>
            <w:right w:w="108" w:type="dxa"/>
          </w:tblCellMar>
        </w:tblPrEx>
        <w:trPr>
          <w:trHeight w:val="275" w:hRule="atLeast"/>
        </w:trPr>
        <w:tc>
          <w:tcPr>
            <w:tcW w:w="328"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5</w:t>
            </w:r>
          </w:p>
        </w:tc>
        <w:tc>
          <w:tcPr>
            <w:tcW w:w="1152"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生态效益指标：环境干净整洁</w:t>
            </w:r>
          </w:p>
        </w:tc>
        <w:tc>
          <w:tcPr>
            <w:tcW w:w="87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lang w:eastAsia="zh-CN"/>
              </w:rPr>
              <w:t>等于</w:t>
            </w:r>
          </w:p>
        </w:tc>
        <w:tc>
          <w:tcPr>
            <w:tcW w:w="80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1</w:t>
            </w:r>
          </w:p>
        </w:tc>
        <w:tc>
          <w:tcPr>
            <w:tcW w:w="691"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项</w:t>
            </w:r>
          </w:p>
        </w:tc>
        <w:tc>
          <w:tcPr>
            <w:tcW w:w="1149"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10</w:t>
            </w:r>
          </w:p>
        </w:tc>
      </w:tr>
      <w:tr>
        <w:tblPrEx>
          <w:tblCellMar>
            <w:top w:w="0" w:type="dxa"/>
            <w:left w:w="108" w:type="dxa"/>
            <w:bottom w:w="0" w:type="dxa"/>
            <w:right w:w="108" w:type="dxa"/>
          </w:tblCellMar>
        </w:tblPrEx>
        <w:trPr>
          <w:trHeight w:val="275" w:hRule="atLeast"/>
        </w:trPr>
        <w:tc>
          <w:tcPr>
            <w:tcW w:w="328"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6</w:t>
            </w:r>
          </w:p>
        </w:tc>
        <w:tc>
          <w:tcPr>
            <w:tcW w:w="1152"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rPr>
              <w:t>服务对象满意度指标</w:t>
            </w:r>
            <w:r>
              <w:rPr>
                <w:rFonts w:hint="eastAsia" w:ascii="仿宋_GB2312" w:eastAsia="仿宋_GB2312"/>
                <w:sz w:val="32"/>
                <w:szCs w:val="32"/>
                <w:lang w:eastAsia="zh-CN"/>
              </w:rPr>
              <w:t>：提高群众满意度</w:t>
            </w:r>
          </w:p>
        </w:tc>
        <w:tc>
          <w:tcPr>
            <w:tcW w:w="87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等于</w:t>
            </w:r>
          </w:p>
        </w:tc>
        <w:tc>
          <w:tcPr>
            <w:tcW w:w="803" w:type="pct"/>
            <w:tcBorders>
              <w:top w:val="single" w:color="auto" w:sz="4" w:space="0"/>
              <w:left w:val="single" w:color="auto" w:sz="4" w:space="0"/>
              <w:bottom w:val="single" w:color="auto" w:sz="4" w:space="0"/>
              <w:right w:val="single" w:color="auto" w:sz="4" w:space="0"/>
            </w:tcBorders>
            <w:noWrap/>
            <w:vAlign w:val="center"/>
          </w:tcPr>
          <w:p>
            <w:pPr>
              <w:spacing w:line="580" w:lineRule="exact"/>
              <w:ind w:firstLine="641"/>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90</w:t>
            </w:r>
          </w:p>
        </w:tc>
        <w:tc>
          <w:tcPr>
            <w:tcW w:w="691" w:type="pct"/>
            <w:tcBorders>
              <w:top w:val="single" w:color="auto" w:sz="4" w:space="0"/>
              <w:left w:val="single" w:color="auto" w:sz="4" w:space="0"/>
              <w:bottom w:val="single" w:color="auto" w:sz="4" w:space="0"/>
              <w:right w:val="single" w:color="auto" w:sz="4" w:space="0"/>
            </w:tcBorders>
            <w:noWrap w:val="0"/>
            <w:vAlign w:val="center"/>
          </w:tcPr>
          <w:p>
            <w:pPr>
              <w:spacing w:line="580" w:lineRule="exact"/>
              <w:ind w:firstLine="641"/>
              <w:jc w:val="center"/>
              <w:rPr>
                <w:rFonts w:hint="eastAsia" w:ascii="仿宋_GB2312" w:eastAsia="仿宋_GB2312"/>
                <w:sz w:val="32"/>
                <w:szCs w:val="32"/>
                <w:lang w:val="en-US" w:eastAsia="zh-CN"/>
              </w:rPr>
            </w:pPr>
          </w:p>
          <w:p>
            <w:pPr>
              <w:spacing w:line="580" w:lineRule="exact"/>
              <w:ind w:firstLine="641"/>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w:t>
            </w:r>
          </w:p>
        </w:tc>
        <w:tc>
          <w:tcPr>
            <w:tcW w:w="1149"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10</w:t>
            </w:r>
          </w:p>
        </w:tc>
      </w:tr>
      <w:tr>
        <w:tblPrEx>
          <w:tblCellMar>
            <w:top w:w="0" w:type="dxa"/>
            <w:left w:w="108" w:type="dxa"/>
            <w:bottom w:w="0" w:type="dxa"/>
            <w:right w:w="108" w:type="dxa"/>
          </w:tblCellMar>
        </w:tblPrEx>
        <w:trPr>
          <w:trHeight w:val="275" w:hRule="atLeast"/>
        </w:trPr>
        <w:tc>
          <w:tcPr>
            <w:tcW w:w="328"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7</w:t>
            </w:r>
          </w:p>
        </w:tc>
        <w:tc>
          <w:tcPr>
            <w:tcW w:w="1152"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rPr>
              <w:t>经济成本指标</w:t>
            </w:r>
            <w:r>
              <w:rPr>
                <w:rFonts w:hint="eastAsia" w:ascii="仿宋_GB2312" w:eastAsia="仿宋_GB2312"/>
                <w:sz w:val="32"/>
                <w:szCs w:val="32"/>
                <w:lang w:eastAsia="zh-CN"/>
              </w:rPr>
              <w:t>：控制在预算成本内</w:t>
            </w:r>
            <w:r>
              <w:rPr>
                <w:rFonts w:hint="eastAsia" w:ascii="仿宋_GB2312" w:eastAsia="仿宋_GB2312"/>
                <w:sz w:val="32"/>
                <w:szCs w:val="32"/>
                <w:lang w:val="en-US" w:eastAsia="zh-CN"/>
              </w:rPr>
              <w:t>279433218.4</w:t>
            </w:r>
            <w:r>
              <w:rPr>
                <w:rFonts w:hint="eastAsia" w:ascii="仿宋_GB2312" w:eastAsia="仿宋_GB2312"/>
                <w:sz w:val="32"/>
                <w:szCs w:val="32"/>
                <w:lang w:eastAsia="zh-CN"/>
              </w:rPr>
              <w:t>元。</w:t>
            </w:r>
          </w:p>
        </w:tc>
        <w:tc>
          <w:tcPr>
            <w:tcW w:w="87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等于</w:t>
            </w:r>
          </w:p>
        </w:tc>
        <w:tc>
          <w:tcPr>
            <w:tcW w:w="803" w:type="pct"/>
            <w:tcBorders>
              <w:top w:val="single" w:color="auto" w:sz="4" w:space="0"/>
              <w:left w:val="single" w:color="auto" w:sz="4" w:space="0"/>
              <w:bottom w:val="single" w:color="auto" w:sz="4" w:space="0"/>
              <w:right w:val="single" w:color="auto" w:sz="4" w:space="0"/>
            </w:tcBorders>
            <w:noWrap/>
            <w:vAlign w:val="center"/>
          </w:tcPr>
          <w:p>
            <w:pPr>
              <w:spacing w:line="580" w:lineRule="exact"/>
              <w:jc w:val="center"/>
              <w:rPr>
                <w:rFonts w:hint="eastAsia" w:ascii="仿宋_GB2312" w:eastAsia="仿宋_GB2312"/>
                <w:sz w:val="32"/>
                <w:szCs w:val="32"/>
              </w:rPr>
            </w:pPr>
            <w:r>
              <w:rPr>
                <w:rFonts w:hint="eastAsia" w:ascii="仿宋_GB2312" w:eastAsia="仿宋_GB2312"/>
                <w:sz w:val="32"/>
                <w:szCs w:val="32"/>
                <w:lang w:val="en-US" w:eastAsia="zh-CN"/>
              </w:rPr>
              <w:t>279433218.4</w:t>
            </w:r>
          </w:p>
        </w:tc>
        <w:tc>
          <w:tcPr>
            <w:tcW w:w="691"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eastAsia" w:ascii="仿宋_GB2312" w:eastAsia="仿宋_GB2312"/>
                <w:sz w:val="32"/>
                <w:szCs w:val="32"/>
                <w:lang w:eastAsia="zh-CN"/>
              </w:rPr>
            </w:pPr>
            <w:r>
              <w:rPr>
                <w:rFonts w:hint="eastAsia" w:ascii="仿宋_GB2312" w:eastAsia="仿宋_GB2312"/>
                <w:sz w:val="32"/>
                <w:szCs w:val="32"/>
                <w:lang w:eastAsia="zh-CN"/>
              </w:rPr>
              <w:t>元</w:t>
            </w:r>
          </w:p>
        </w:tc>
        <w:tc>
          <w:tcPr>
            <w:tcW w:w="1149" w:type="pct"/>
            <w:tcBorders>
              <w:top w:val="single" w:color="auto" w:sz="4" w:space="0"/>
              <w:left w:val="single" w:color="auto" w:sz="4" w:space="0"/>
              <w:bottom w:val="single" w:color="auto" w:sz="4" w:space="0"/>
              <w:right w:val="single" w:color="auto" w:sz="4" w:space="0"/>
            </w:tcBorders>
            <w:noWrap w:val="0"/>
            <w:vAlign w:val="center"/>
          </w:tcPr>
          <w:p>
            <w:pPr>
              <w:spacing w:line="580" w:lineRule="exact"/>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20</w:t>
            </w:r>
          </w:p>
        </w:tc>
      </w:tr>
    </w:tbl>
    <w:p>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1"/>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2025年全年预算数238,108,927.62元，其中，基本支出预算数133,002,976.01元，项目支出预算数105,105,951.61元。全年支出238,108,927.62元，其中，基本支出133,002,976.01元，项目支出105,105,951.61元。预算执行率为</w:t>
      </w:r>
      <w:r>
        <w:rPr>
          <w:rFonts w:hint="eastAsia" w:ascii="仿宋_GB2312" w:eastAsia="仿宋_GB2312"/>
          <w:sz w:val="32"/>
          <w:szCs w:val="32"/>
          <w:lang w:val="en-US" w:eastAsia="zh-CN"/>
        </w:rPr>
        <w:t>100</w:t>
      </w:r>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元，全年支出预算数为238,108,927.62元，资金结转结余率为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元，全年支出预算数为356,779,326.66元，资金结转结余率为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%；2025年度部门结转结余率较上一年上升/下降了</w:t>
      </w:r>
      <w:r>
        <w:rPr>
          <w:rFonts w:hint="eastAsia" w:ascii="仿宋_GB2312" w:eastAsia="仿宋_GB2312"/>
          <w:sz w:val="32"/>
          <w:szCs w:val="32"/>
          <w:lang w:val="en-US" w:eastAsia="zh-CN"/>
        </w:rPr>
        <w:t>0</w:t>
      </w:r>
      <w:r>
        <w:rPr>
          <w:rFonts w:hint="eastAsia" w:ascii="仿宋_GB2312" w:eastAsia="仿宋_GB2312"/>
          <w:sz w:val="32"/>
          <w:szCs w:val="32"/>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pPr>
              <w:spacing w:line="520" w:lineRule="exact"/>
              <w:rPr>
                <w:rFonts w:hint="eastAsia" w:ascii="仿宋_GB2312" w:eastAsia="仿宋_GB2312"/>
                <w:sz w:val="28"/>
                <w:szCs w:val="28"/>
              </w:rPr>
            </w:pPr>
            <w:r>
              <w:rPr>
                <w:rFonts w:hint="eastAsia" w:ascii="仿宋_GB2312" w:eastAsia="仿宋_GB2312"/>
                <w:sz w:val="28"/>
                <w:szCs w:val="28"/>
              </w:rPr>
              <w:t>含城区495万平方米道路，斋堂13.2万平方米道路，20座垃圾楼131座小区261个社会单位114个商户24个垃圾点；261座公厕，本区垃圾压缩转运及渗沥液处理。</w:t>
            </w:r>
          </w:p>
        </w:tc>
        <w:tc>
          <w:tcPr>
            <w:tcW w:w="1701"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宋体" w:eastAsia="仿宋_GB2312" w:cs="宋体"/>
                <w:color w:val="000000"/>
                <w:kern w:val="0"/>
                <w:sz w:val="28"/>
                <w:szCs w:val="28"/>
                <w:highlight w:val="none"/>
                <w:lang w:val="en-US" w:eastAsia="zh-CN" w:bidi="ar-SA"/>
              </w:rPr>
            </w:pPr>
            <w:r>
              <w:rPr>
                <w:rFonts w:hint="eastAsia" w:ascii="仿宋_GB2312" w:hAnsi="宋体"/>
                <w:color w:val="auto"/>
                <w:kern w:val="0"/>
                <w:sz w:val="28"/>
                <w:szCs w:val="24"/>
                <w:highlight w:val="none"/>
              </w:rPr>
              <w:t>100%</w:t>
            </w:r>
            <w:r>
              <w:rPr>
                <w:rFonts w:hint="eastAsia" w:ascii="仿宋_GB2312" w:hAnsi="宋体" w:eastAsia="仿宋_GB2312" w:cs="宋体"/>
                <w:color w:val="000000"/>
                <w:kern w:val="0"/>
                <w:sz w:val="28"/>
                <w:szCs w:val="28"/>
                <w:highlight w:val="none"/>
              </w:rPr>
              <w:t>　</w:t>
            </w:r>
          </w:p>
        </w:tc>
        <w:tc>
          <w:tcPr>
            <w:tcW w:w="1843"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宋体" w:eastAsia="仿宋_GB2312" w:cs="宋体"/>
                <w:color w:val="000000"/>
                <w:kern w:val="0"/>
                <w:sz w:val="28"/>
                <w:szCs w:val="28"/>
                <w:highlight w:val="none"/>
                <w:lang w:val="en-US" w:eastAsia="zh-CN" w:bidi="ar-SA"/>
              </w:rPr>
            </w:pPr>
            <w:r>
              <w:rPr>
                <w:rFonts w:hint="eastAsia" w:ascii="仿宋_GB2312" w:hAnsi="宋体"/>
                <w:color w:val="auto"/>
                <w:kern w:val="0"/>
                <w:sz w:val="28"/>
                <w:szCs w:val="24"/>
                <w:highlight w:val="none"/>
              </w:rPr>
              <w:t>100%</w:t>
            </w:r>
            <w:r>
              <w:rPr>
                <w:rFonts w:hint="eastAsia" w:ascii="仿宋_GB2312" w:hAnsi="宋体" w:eastAsia="仿宋_GB2312" w:cs="宋体"/>
                <w:color w:val="000000"/>
                <w:kern w:val="0"/>
                <w:sz w:val="28"/>
                <w:szCs w:val="28"/>
                <w:highlight w:val="none"/>
              </w:rPr>
              <w:t>　</w:t>
            </w:r>
          </w:p>
        </w:tc>
        <w:tc>
          <w:tcPr>
            <w:tcW w:w="2792"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hAnsi="宋体" w:eastAsia="仿宋_GB2312" w:cs="宋体"/>
                <w:color w:val="000000"/>
                <w:kern w:val="0"/>
                <w:sz w:val="28"/>
                <w:szCs w:val="28"/>
                <w:highlight w:val="none"/>
                <w:lang w:val="en-US" w:eastAsia="zh-CN" w:bidi="ar-SA"/>
              </w:rPr>
            </w:pPr>
            <w:r>
              <w:rPr>
                <w:rFonts w:hint="eastAsia" w:ascii="仿宋_GB2312" w:eastAsia="仿宋_GB2312"/>
                <w:sz w:val="28"/>
                <w:szCs w:val="28"/>
              </w:rPr>
              <w:t>无</w:t>
            </w:r>
          </w:p>
        </w:tc>
      </w:tr>
    </w:tbl>
    <w:p>
      <w:pPr>
        <w:spacing w:line="580" w:lineRule="exact"/>
        <w:ind w:firstLine="640"/>
        <w:rPr>
          <w:rFonts w:hint="eastAsia" w:ascii="仿宋_GB2312" w:eastAsia="仿宋_GB2312"/>
          <w:sz w:val="32"/>
          <w:szCs w:val="32"/>
        </w:rPr>
      </w:pPr>
      <w:r>
        <w:rPr>
          <w:rFonts w:hint="eastAsia" w:ascii="仿宋_GB2312" w:eastAsia="仿宋_GB2312"/>
          <w:sz w:val="32"/>
          <w:szCs w:val="32"/>
        </w:rPr>
        <w:t>（2）产出质量</w:t>
      </w:r>
    </w:p>
    <w:p>
      <w:pPr>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highlight w:val="none"/>
        </w:rPr>
        <w:t>业务达标，符合北京市环境卫生专业检查考评办法（京政容函[2014]800号文）及北京市生活垃圾处理设施运行管理检查考评办法的标准</w:t>
      </w:r>
      <w:r>
        <w:rPr>
          <w:rFonts w:hint="eastAsia" w:ascii="仿宋_GB2312" w:hAnsi="仿宋" w:eastAsia="仿宋_GB2312" w:cs="Times New Roman"/>
          <w:sz w:val="32"/>
          <w:szCs w:val="32"/>
          <w:highlight w:val="none"/>
          <w:lang w:eastAsia="zh-CN"/>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p>
      <w:pPr>
        <w:spacing w:line="52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highlight w:val="none"/>
        </w:rPr>
        <w:t>环卫综合业务费类：202</w:t>
      </w:r>
      <w:r>
        <w:rPr>
          <w:rFonts w:hint="eastAsia" w:ascii="仿宋_GB2312" w:hAnsi="仿宋" w:eastAsia="仿宋_GB2312" w:cs="Times New Roman"/>
          <w:sz w:val="32"/>
          <w:szCs w:val="32"/>
          <w:highlight w:val="none"/>
          <w:lang w:val="en-US" w:eastAsia="zh-CN"/>
        </w:rPr>
        <w:t>5</w:t>
      </w:r>
      <w:r>
        <w:rPr>
          <w:rFonts w:hint="eastAsia" w:ascii="仿宋_GB2312" w:hAnsi="仿宋" w:eastAsia="仿宋_GB2312" w:cs="Times New Roman"/>
          <w:sz w:val="32"/>
          <w:szCs w:val="32"/>
          <w:highlight w:val="none"/>
        </w:rPr>
        <w:t>年1月-12月。</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（4）产出成本</w:t>
      </w:r>
    </w:p>
    <w:p>
      <w:pPr>
        <w:spacing w:line="520" w:lineRule="exact"/>
        <w:ind w:firstLine="640" w:firstLineChars="200"/>
        <w:rPr>
          <w:rFonts w:hint="eastAsia" w:ascii="楷体_GB2312" w:hAnsi="Times New Roman" w:eastAsia="楷体_GB2312" w:cs="Times New Roman"/>
          <w:sz w:val="32"/>
          <w:szCs w:val="32"/>
        </w:rPr>
      </w:pPr>
      <w:r>
        <w:rPr>
          <w:rFonts w:ascii="仿宋_GB2312" w:hAnsi="仿宋" w:eastAsia="仿宋_GB2312" w:cs="Times New Roman"/>
          <w:sz w:val="32"/>
          <w:szCs w:val="32"/>
        </w:rPr>
        <w:t>202</w:t>
      </w:r>
      <w:r>
        <w:rPr>
          <w:rFonts w:hint="eastAsia" w:ascii="仿宋_GB2312" w:hAnsi="仿宋" w:eastAsia="仿宋_GB2312" w:cs="Times New Roman"/>
          <w:sz w:val="32"/>
          <w:szCs w:val="32"/>
        </w:rPr>
        <w:t>5年全年预算数27</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943.32万元，其中：基本支出13</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300.</w:t>
      </w:r>
      <w:r>
        <w:rPr>
          <w:rFonts w:hint="eastAsia" w:ascii="仿宋_GB2312" w:hAnsi="仿宋" w:eastAsia="仿宋_GB2312" w:cs="Times New Roman"/>
          <w:sz w:val="32"/>
          <w:szCs w:val="32"/>
          <w:lang w:val="en-US" w:eastAsia="zh-CN"/>
        </w:rPr>
        <w:t>30</w:t>
      </w:r>
      <w:r>
        <w:rPr>
          <w:rFonts w:hint="eastAsia" w:ascii="仿宋_GB2312" w:hAnsi="仿宋" w:eastAsia="仿宋_GB2312" w:cs="Times New Roman"/>
          <w:sz w:val="32"/>
          <w:szCs w:val="32"/>
        </w:rPr>
        <w:t>万元；项目支出13</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363.11万元；其他支出1</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279.91万元。</w:t>
      </w:r>
    </w:p>
    <w:p>
      <w:pPr>
        <w:spacing w:line="580" w:lineRule="exact"/>
        <w:ind w:firstLine="640"/>
        <w:rPr>
          <w:rFonts w:hint="eastAsia" w:ascii="仿宋_GB2312" w:eastAsia="仿宋_GB2312"/>
          <w:sz w:val="32"/>
          <w:szCs w:val="32"/>
        </w:rPr>
      </w:pP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highlight w:val="none"/>
        </w:rPr>
        <w:t>环卫综合业务费类：</w:t>
      </w:r>
      <w:r>
        <w:rPr>
          <w:rFonts w:hint="eastAsia" w:ascii="仿宋_GB2312" w:hAnsi="仿宋" w:eastAsia="仿宋_GB2312" w:cs="Times New Roman"/>
          <w:sz w:val="32"/>
          <w:szCs w:val="32"/>
          <w:highlight w:val="none"/>
          <w:lang w:eastAsia="zh-CN"/>
        </w:rPr>
        <w:t>环境干净整洁，</w:t>
      </w:r>
      <w:r>
        <w:rPr>
          <w:rFonts w:hint="eastAsia" w:ascii="仿宋_GB2312" w:hAnsi="仿宋" w:eastAsia="仿宋_GB2312" w:cs="Times New Roman"/>
          <w:sz w:val="32"/>
          <w:szCs w:val="32"/>
          <w:highlight w:val="none"/>
        </w:rPr>
        <w:t>给百姓创造良好的出行及生活环境。</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pPr>
        <w:spacing w:line="580" w:lineRule="exact"/>
        <w:ind w:firstLine="640"/>
        <w:rPr>
          <w:rFonts w:hint="eastAsia" w:ascii="仿宋_GB2312" w:eastAsia="仿宋_GB2312"/>
          <w:sz w:val="32"/>
          <w:szCs w:val="32"/>
        </w:rPr>
      </w:pPr>
      <w:r>
        <w:rPr>
          <w:rFonts w:hint="eastAsia" w:ascii="仿宋_GB2312" w:hAnsi="仿宋" w:eastAsia="仿宋_GB2312" w:cs="Times New Roman"/>
          <w:sz w:val="32"/>
          <w:szCs w:val="32"/>
          <w:highlight w:val="none"/>
        </w:rPr>
        <w:t>环</w:t>
      </w:r>
      <w:r>
        <w:rPr>
          <w:rFonts w:hint="eastAsia" w:ascii="仿宋_GB2312" w:eastAsia="仿宋_GB2312"/>
          <w:sz w:val="32"/>
          <w:szCs w:val="32"/>
        </w:rPr>
        <w:t>卫综合业务费类：</w:t>
      </w:r>
      <w:r>
        <w:rPr>
          <w:rFonts w:hint="eastAsia" w:ascii="仿宋_GB2312" w:eastAsia="仿宋_GB2312"/>
          <w:sz w:val="32"/>
          <w:szCs w:val="32"/>
          <w:lang w:eastAsia="zh-CN"/>
        </w:rPr>
        <w:t>环境干净整洁，</w:t>
      </w:r>
      <w:r>
        <w:rPr>
          <w:rFonts w:hint="eastAsia" w:ascii="仿宋_GB2312" w:eastAsia="仿宋_GB2312"/>
          <w:sz w:val="32"/>
          <w:szCs w:val="32"/>
        </w:rPr>
        <w:t>在完成环卫作业任务的同时，为我区</w:t>
      </w:r>
      <w:r>
        <w:rPr>
          <w:rFonts w:hint="eastAsia" w:ascii="仿宋_GB2312" w:eastAsia="仿宋_GB2312"/>
          <w:sz w:val="32"/>
          <w:szCs w:val="32"/>
          <w:lang w:eastAsia="zh-CN"/>
        </w:rPr>
        <w:t>文明创建</w:t>
      </w:r>
      <w:r>
        <w:rPr>
          <w:rFonts w:hint="eastAsia" w:ascii="仿宋_GB2312" w:eastAsia="仿宋_GB2312"/>
          <w:sz w:val="32"/>
          <w:szCs w:val="32"/>
        </w:rPr>
        <w:t>工作做出应有的贡献。</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highlight w:val="none"/>
        </w:rPr>
        <w:t>环卫综合业务费类 ：可持续影响1年。</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不涉及</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我单位严格遵循《政府会计制度》《预算法》及财政部门相关规定，结合本单位特点，建立健全《预算管理制度》《资金支付审批管理办法》等配套制度，明确财务管理要求，各类资金管理规范，确保财务工作有章可循、有规可依。</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lang w:eastAsia="zh-CN"/>
        </w:rPr>
        <w:t>本单位制定《固定资产管理办法》，明确资产管理要求，建立定期盘点机制，及时核对账实差异。规范资产处置流程，确保国有资产安全完整，提升资产使用效率。</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20" w:lineRule="exact"/>
        <w:ind w:firstLine="634"/>
        <w:rPr>
          <w:rFonts w:ascii="仿宋_GB2312" w:hAnsi="仿宋" w:eastAsia="仿宋_GB2312" w:cs="Times New Roman"/>
          <w:sz w:val="32"/>
          <w:szCs w:val="32"/>
        </w:rPr>
      </w:pPr>
      <w:r>
        <w:rPr>
          <w:rFonts w:hint="eastAsia" w:ascii="仿宋" w:hAnsi="仿宋" w:eastAsia="仿宋"/>
          <w:sz w:val="32"/>
          <w:szCs w:val="24"/>
          <w:highlight w:val="none"/>
        </w:rPr>
        <w:t>我单位202</w:t>
      </w:r>
      <w:r>
        <w:rPr>
          <w:rFonts w:hint="eastAsia" w:ascii="仿宋" w:hAnsi="仿宋" w:eastAsia="仿宋"/>
          <w:sz w:val="32"/>
          <w:szCs w:val="24"/>
          <w:highlight w:val="none"/>
          <w:lang w:val="en-US" w:eastAsia="zh-CN"/>
        </w:rPr>
        <w:t>5</w:t>
      </w:r>
      <w:r>
        <w:rPr>
          <w:rFonts w:hint="eastAsia" w:ascii="仿宋" w:hAnsi="仿宋" w:eastAsia="仿宋"/>
          <w:sz w:val="32"/>
          <w:szCs w:val="24"/>
          <w:highlight w:val="none"/>
        </w:rPr>
        <w:t>年项目绩效工作参照区财政《门头沟区预算绩效管理办法》执行。</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19</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19</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23</w:t>
      </w:r>
      <w:r>
        <w:rPr>
          <w:rFonts w:hint="eastAsia" w:ascii="仿宋_GB2312" w:eastAsia="仿宋_GB2312"/>
          <w:sz w:val="32"/>
          <w:szCs w:val="32"/>
        </w:rPr>
        <w:t>个，涉及金额</w:t>
      </w:r>
      <w:r>
        <w:rPr>
          <w:rFonts w:hint="eastAsia" w:ascii="仿宋_GB2312" w:eastAsia="仿宋_GB2312"/>
          <w:sz w:val="32"/>
          <w:szCs w:val="32"/>
          <w:highlight w:val="none"/>
          <w:lang w:val="en-US" w:eastAsia="zh-CN"/>
        </w:rPr>
        <w:t>295,027,976.74</w:t>
      </w:r>
      <w:r>
        <w:rPr>
          <w:rFonts w:hint="eastAsia" w:ascii="仿宋_GB2312" w:eastAsia="仿宋_GB2312"/>
          <w:sz w:val="32"/>
          <w:szCs w:val="32"/>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99</w:t>
      </w:r>
      <w:r>
        <w:rPr>
          <w:rFonts w:hint="eastAsia" w:ascii="仿宋_GB2312" w:eastAsia="仿宋_GB2312"/>
          <w:sz w:val="32"/>
          <w:szCs w:val="32"/>
        </w:rPr>
        <w:t>分</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20" w:lineRule="exact"/>
        <w:ind w:firstLine="640" w:firstLineChars="200"/>
        <w:rPr>
          <w:rFonts w:hint="eastAsia" w:ascii="仿宋_GB2312" w:hAnsi="仿宋" w:eastAsia="仿宋_GB2312" w:cs="Times New Roman"/>
          <w:sz w:val="32"/>
          <w:szCs w:val="32"/>
          <w:lang w:val="en-US" w:eastAsia="zh-CN"/>
        </w:rPr>
      </w:pPr>
      <w:r>
        <w:rPr>
          <w:rFonts w:hint="eastAsia" w:ascii="仿宋_GB2312" w:eastAsia="仿宋_GB2312"/>
          <w:sz w:val="32"/>
          <w:szCs w:val="32"/>
        </w:rPr>
        <w:t>（1）</w:t>
      </w:r>
      <w:r>
        <w:rPr>
          <w:rFonts w:hint="eastAsia" w:ascii="仿宋_GB2312" w:hAnsi="仿宋" w:eastAsia="仿宋_GB2312" w:cs="Times New Roman"/>
          <w:sz w:val="32"/>
          <w:szCs w:val="32"/>
          <w:lang w:val="en-US" w:eastAsia="zh-CN"/>
        </w:rPr>
        <w:t>2025年第三巡查组巡查中发现存在票据管理不够精细问题。</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r>
        <w:rPr>
          <w:rFonts w:hint="eastAsia" w:ascii="仿宋_GB2312" w:hAnsi="仿宋" w:eastAsia="仿宋_GB2312" w:cs="Times New Roman"/>
          <w:sz w:val="32"/>
          <w:szCs w:val="32"/>
          <w:lang w:val="en-US" w:eastAsia="zh-CN"/>
        </w:rPr>
        <w:t>2025年经济责任审计中发现存在经营收入管理不严，导致部分垃圾收运服务费收款不及时问题。</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（1）</w:t>
      </w:r>
      <w:r>
        <w:rPr>
          <w:rFonts w:hint="eastAsia" w:ascii="仿宋_GB2312" w:hAnsi="仿宋" w:eastAsia="仿宋_GB2312" w:cs="Times New Roman"/>
          <w:sz w:val="32"/>
          <w:szCs w:val="32"/>
          <w:lang w:val="en-US" w:eastAsia="zh-CN"/>
        </w:rPr>
        <w:t>我单位重新修订了票据管理制度，规范了发票开具审批流程，并增加了对业务真实性确认环节，强化监督，堵塞管理漏洞。</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r>
        <w:rPr>
          <w:rFonts w:hint="eastAsia" w:ascii="仿宋_GB2312" w:hAnsi="仿宋" w:eastAsia="仿宋_GB2312" w:cs="Times New Roman"/>
          <w:sz w:val="32"/>
          <w:szCs w:val="32"/>
          <w:lang w:val="en-US" w:eastAsia="zh-CN"/>
        </w:rPr>
        <w:t>我单位加强合同管理，强化合同履约跟踪，明确收款时间与责任主体，提升资金回笼效率。</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20</w:t>
      </w:r>
      <w:r>
        <w:rPr>
          <w:rFonts w:hint="eastAsia" w:ascii="仿宋_GB2312" w:eastAsia="仿宋_GB2312"/>
          <w:sz w:val="32"/>
          <w:szCs w:val="32"/>
        </w:rPr>
        <w:t>个，涉及金额</w:t>
      </w:r>
      <w:r>
        <w:rPr>
          <w:rFonts w:hint="eastAsia" w:ascii="仿宋_GB2312" w:eastAsia="仿宋_GB2312"/>
          <w:sz w:val="32"/>
          <w:szCs w:val="32"/>
          <w:highlight w:val="none"/>
          <w:lang w:val="en-US" w:eastAsia="zh-CN"/>
        </w:rPr>
        <w:t>146,430,242.41</w:t>
      </w:r>
      <w:r>
        <w:rPr>
          <w:rFonts w:hint="eastAsia" w:ascii="仿宋_GB2312" w:eastAsia="仿宋_GB2312"/>
          <w:sz w:val="32"/>
          <w:szCs w:val="32"/>
        </w:rPr>
        <w:t>元。本次实施绩效自评项目</w:t>
      </w:r>
      <w:r>
        <w:rPr>
          <w:rFonts w:hint="eastAsia" w:ascii="仿宋_GB2312" w:eastAsia="仿宋_GB2312"/>
          <w:sz w:val="32"/>
          <w:szCs w:val="32"/>
          <w:lang w:val="en-US" w:eastAsia="zh-CN"/>
        </w:rPr>
        <w:t>20</w:t>
      </w:r>
      <w:r>
        <w:rPr>
          <w:rFonts w:hint="eastAsia" w:ascii="仿宋_GB2312" w:eastAsia="仿宋_GB2312"/>
          <w:sz w:val="32"/>
          <w:szCs w:val="32"/>
        </w:rPr>
        <w:t>个，涉及金额</w:t>
      </w:r>
      <w:r>
        <w:rPr>
          <w:rFonts w:hint="eastAsia" w:ascii="仿宋_GB2312" w:eastAsia="仿宋_GB2312"/>
          <w:sz w:val="32"/>
          <w:szCs w:val="32"/>
          <w:highlight w:val="none"/>
          <w:lang w:val="en-US" w:eastAsia="zh-CN"/>
        </w:rPr>
        <w:t>146,430,242.41</w:t>
      </w:r>
      <w:r>
        <w:rPr>
          <w:rFonts w:hint="eastAsia" w:ascii="仿宋_GB2312" w:eastAsia="仿宋_GB2312"/>
          <w:sz w:val="32"/>
          <w:szCs w:val="32"/>
        </w:rPr>
        <w:t>元。评价得分在90分（含90分）以上的</w:t>
      </w:r>
      <w:r>
        <w:rPr>
          <w:rFonts w:hint="eastAsia" w:ascii="仿宋_GB2312" w:eastAsia="仿宋_GB2312"/>
          <w:sz w:val="32"/>
          <w:szCs w:val="32"/>
          <w:lang w:val="en-US" w:eastAsia="zh-CN"/>
        </w:rPr>
        <w:t>20</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1EC7126"/>
    <w:rsid w:val="023D6977"/>
    <w:rsid w:val="02F120AB"/>
    <w:rsid w:val="032B5196"/>
    <w:rsid w:val="04C3537C"/>
    <w:rsid w:val="079004AC"/>
    <w:rsid w:val="0BA148CA"/>
    <w:rsid w:val="0C1165C4"/>
    <w:rsid w:val="0D6D544B"/>
    <w:rsid w:val="0DD136FE"/>
    <w:rsid w:val="0E377D9A"/>
    <w:rsid w:val="0F8E2C57"/>
    <w:rsid w:val="1059665E"/>
    <w:rsid w:val="10AC13BA"/>
    <w:rsid w:val="11980797"/>
    <w:rsid w:val="145A6C1B"/>
    <w:rsid w:val="14B73493"/>
    <w:rsid w:val="15186AAF"/>
    <w:rsid w:val="167A2FF9"/>
    <w:rsid w:val="16AD73C2"/>
    <w:rsid w:val="17E05399"/>
    <w:rsid w:val="18581C69"/>
    <w:rsid w:val="18585984"/>
    <w:rsid w:val="186D28E5"/>
    <w:rsid w:val="19E27552"/>
    <w:rsid w:val="1AEC0734"/>
    <w:rsid w:val="1C203C3A"/>
    <w:rsid w:val="1DEF20B0"/>
    <w:rsid w:val="214243FA"/>
    <w:rsid w:val="21AD613C"/>
    <w:rsid w:val="22467189"/>
    <w:rsid w:val="233F7861"/>
    <w:rsid w:val="257A14F5"/>
    <w:rsid w:val="27196C26"/>
    <w:rsid w:val="281B7E1C"/>
    <w:rsid w:val="29E92AF9"/>
    <w:rsid w:val="29EF086F"/>
    <w:rsid w:val="2A014A0F"/>
    <w:rsid w:val="2AF43684"/>
    <w:rsid w:val="2B3F2908"/>
    <w:rsid w:val="2DE765FD"/>
    <w:rsid w:val="2EFFE297"/>
    <w:rsid w:val="2FEE4C06"/>
    <w:rsid w:val="301437CA"/>
    <w:rsid w:val="322A42A7"/>
    <w:rsid w:val="326451ED"/>
    <w:rsid w:val="32791381"/>
    <w:rsid w:val="349D1F0A"/>
    <w:rsid w:val="34DD0473"/>
    <w:rsid w:val="35B16527"/>
    <w:rsid w:val="39F91930"/>
    <w:rsid w:val="3A8874E8"/>
    <w:rsid w:val="3BF45A86"/>
    <w:rsid w:val="3C0479F3"/>
    <w:rsid w:val="3C181CA7"/>
    <w:rsid w:val="3C684897"/>
    <w:rsid w:val="3D284A64"/>
    <w:rsid w:val="3D604E89"/>
    <w:rsid w:val="41C6204F"/>
    <w:rsid w:val="433A5C59"/>
    <w:rsid w:val="433E495C"/>
    <w:rsid w:val="437147C3"/>
    <w:rsid w:val="45B51A05"/>
    <w:rsid w:val="46957BD9"/>
    <w:rsid w:val="46F337F6"/>
    <w:rsid w:val="489438F2"/>
    <w:rsid w:val="489F2FD7"/>
    <w:rsid w:val="49B87801"/>
    <w:rsid w:val="4AC27CB3"/>
    <w:rsid w:val="4BF72BEF"/>
    <w:rsid w:val="4C157E96"/>
    <w:rsid w:val="4C430C6C"/>
    <w:rsid w:val="4F0444B0"/>
    <w:rsid w:val="4FA90297"/>
    <w:rsid w:val="4FC41A43"/>
    <w:rsid w:val="50FD4672"/>
    <w:rsid w:val="51DB3C59"/>
    <w:rsid w:val="550C0952"/>
    <w:rsid w:val="55762E42"/>
    <w:rsid w:val="56DB3D0C"/>
    <w:rsid w:val="57A7B272"/>
    <w:rsid w:val="58470068"/>
    <w:rsid w:val="58747CAC"/>
    <w:rsid w:val="58E87F74"/>
    <w:rsid w:val="59010466"/>
    <w:rsid w:val="5A1720F9"/>
    <w:rsid w:val="5A981F36"/>
    <w:rsid w:val="5B7549B1"/>
    <w:rsid w:val="5B9C37C2"/>
    <w:rsid w:val="5BA7C654"/>
    <w:rsid w:val="60A54109"/>
    <w:rsid w:val="61D01CDF"/>
    <w:rsid w:val="64C0607C"/>
    <w:rsid w:val="65756C86"/>
    <w:rsid w:val="65B670C7"/>
    <w:rsid w:val="66090676"/>
    <w:rsid w:val="674D385B"/>
    <w:rsid w:val="676F09E1"/>
    <w:rsid w:val="6A710772"/>
    <w:rsid w:val="6BE51D9B"/>
    <w:rsid w:val="6FFF3062"/>
    <w:rsid w:val="71566ABE"/>
    <w:rsid w:val="71793A80"/>
    <w:rsid w:val="7357290B"/>
    <w:rsid w:val="75F552B1"/>
    <w:rsid w:val="782B6E34"/>
    <w:rsid w:val="78E6601B"/>
    <w:rsid w:val="798524E4"/>
    <w:rsid w:val="7A7F1C49"/>
    <w:rsid w:val="7A9905B0"/>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4037;&#20316;&#30456;&#20851;&#12290;\&#9584;&#176;&#20851;&#20110;&#36130;&#21153;&#36134;&#21153;&#12290;\14&#12289;&#20915;&#31639;&#33609;&#26696;\2025&#24180;\&#24037;&#20855;&#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4037;&#20316;&#30456;&#20851;&#12290;\&#9584;&#176;&#20851;&#20110;&#36130;&#21153;&#36134;&#21153;&#12290;\14&#12289;&#20915;&#31639;&#33609;&#26696;\2025&#24180;\&#24037;&#2085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[工具表.xlsx]Sheet1!$A$6:$A$7</c:f>
              <c:strCache>
                <c:ptCount val="2"/>
                <c:pt idx="0">
                  <c:v>财政拨款收入</c:v>
                </c:pt>
                <c:pt idx="1">
                  <c:v>经营收入</c:v>
                </c:pt>
              </c:strCache>
            </c:strRef>
          </c:cat>
          <c:val>
            <c:numRef>
              <c:f>[工具表.xlsx]Sheet1!$B$6:$B$7</c:f>
              <c:numCache>
                <c:formatCode>0.00%</c:formatCode>
                <c:ptCount val="2"/>
                <c:pt idx="0">
                  <c:v>0.9445</c:v>
                </c:pt>
                <c:pt idx="1">
                  <c:v>0.0555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Sheet1!$A$31:$A$33</c:f>
              <c:strCache>
                <c:ptCount val="3"/>
                <c:pt idx="0">
                  <c:v>基本支出</c:v>
                </c:pt>
                <c:pt idx="1">
                  <c:v>项目支出</c:v>
                </c:pt>
                <c:pt idx="2">
                  <c:v>经营支出</c:v>
                </c:pt>
              </c:strCache>
            </c:strRef>
          </c:cat>
          <c:val>
            <c:numRef>
              <c:f>Sheet1!$B$31:$B$33</c:f>
              <c:numCache>
                <c:formatCode>0.00%</c:formatCode>
                <c:ptCount val="3"/>
                <c:pt idx="0">
                  <c:v>0.527132649344607</c:v>
                </c:pt>
                <c:pt idx="1">
                  <c:v>0.437403220826739</c:v>
                </c:pt>
                <c:pt idx="2">
                  <c:v>0.035464129828654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11</TotalTime>
  <ScaleCrop>false</ScaleCrop>
  <LinksUpToDate>false</LinksUpToDate>
  <CharactersWithSpaces>6191</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Administrator</cp:lastModifiedBy>
  <cp:lastPrinted>2020-08-07T11:39:00Z</cp:lastPrinted>
  <dcterms:modified xsi:type="dcterms:W3CDTF">2026-08-20T08:47:55Z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