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627" w:firstLineChars="196"/>
        <w:rPr>
          <w:rFonts w:ascii="黑体" w:eastAsia="黑体"/>
          <w:b/>
          <w:sz w:val="28"/>
          <w:szCs w:val="28"/>
        </w:rPr>
      </w:pPr>
      <w:r>
        <w:rPr>
          <w:rFonts w:hint="eastAsia" w:ascii="黑体" w:eastAsia="黑体"/>
          <w:b/>
          <w:sz w:val="32"/>
          <w:szCs w:val="32"/>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区委政法委在区委领导下履行职责、开展工作，应当把握政治方向、协调各方职能、统筹政法工作、建设政法队伍、督促依法履职、创造公正司法环境，带头依法依规办事，保证党的路线方针政策和党中央、市委重大决策部署贯彻落实，保证宪法法律正确统一实施。主要职责是：</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1.贯彻习近平新时代中国特色社会主义思想，坚持党对政法工作的绝对领导，坚决执行党的路线方针政策和党中央重大决策部署，推动完善和落实政治轮训和政治督察制度。</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2.贯彻党中央、市委和区委决定，研究协调本区政法单位之间，政法单位和有关部门之间有关重大事项，统一政法单位思想和行动。</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3.加强对本区政法领域重大实践和理论问题调查研究，提出重大决策部署和改革措施的意见和建议，协助区委决策和统筹推进政法改革等各项工作。</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4.了解掌握和分析研判本区社会稳定形势、政法工作情况动态，创新完善多部门参与的平安建设工作协调机制，协调推动预防、化解影响稳定的社会矛盾和风险，协调应对和处置重大突发事件，协调指导政法单位和有关部门做好反邪教、反暴恐工作。</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5.加强对本区政法工作的督查，统筹协调社会治安综合治理、维护社会稳定、反邪教、反暴恐等有关法律法规规章和政策的实施工作。</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6.支持和监督本区政法单位依法行使职权，检查政法单位执行党的路线方针政策、党中央重大决策部署和国家法律法规的情况，指导和协调政法单位密切配合，完善与纪检监察机关工作衔接和协作配合机制，推进严格执法、公正司法。</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7.指导和推动本区政法单位党的建设和政法队伍建设，协助区委和区委组织部加强政法单位领导班子和干部队伍建设，协助区委和纪检监察机关做好监督检查、审查调查工作，派员列席区级政法单位民主生活会。</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8.落实中央、市委和本区国家安全领导机构、全面依法治国领导机构的决策部署，支持配合其办事机构工作；指导本区政法单位加强国家政治安全战略研究、法治门头沟建设重大问题研究，提出建议和工作意见，指导和协调政法单位维护政治安全工作和执法司法相关工作。</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9.掌握分析本区政法舆情动态，指导和协调政法单位和有关部门做好依法处理、宣传报道和舆论引导等相关工作。</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Calibri" w:eastAsia="仿宋_GB2312" w:cs="Times New Roman"/>
          <w:b w:val="0"/>
          <w:kern w:val="2"/>
          <w:sz w:val="28"/>
          <w:szCs w:val="28"/>
          <w:lang w:val="en-US" w:eastAsia="zh-CN" w:bidi="ar-SA"/>
        </w:rPr>
      </w:pPr>
      <w:r>
        <w:rPr>
          <w:rFonts w:hint="eastAsia" w:ascii="仿宋_GB2312" w:hAnsi="Calibri" w:eastAsia="仿宋_GB2312" w:cs="Times New Roman"/>
          <w:b w:val="0"/>
          <w:kern w:val="2"/>
          <w:sz w:val="28"/>
          <w:szCs w:val="28"/>
          <w:lang w:val="en-US" w:eastAsia="zh-CN" w:bidi="ar-SA"/>
        </w:rPr>
        <w:t>10.完成区委和市委政法委交办的其他任务。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Calibri" w:eastAsia="仿宋_GB2312" w:cs="Times New Roman"/>
          <w:b w:val="0"/>
          <w:kern w:val="2"/>
          <w:sz w:val="28"/>
          <w:szCs w:val="28"/>
          <w:lang w:val="en-US" w:eastAsia="zh-CN" w:bidi="ar-SA"/>
        </w:rPr>
        <w:t>本部门共设6个内设机构，下设2个事业单位（包含事业单位北京市门头沟区维护稳定事务中心，北京市门头沟区社会治安综合治理事务中心）。行政编制25名（含2名行政工勤），实际21人（含2名行政工勤）；事业编制15名，实际11人；离退休人员7人，其中：离休0人，行政退休7人，事业退休0人；其他人员2人，其中：社会化用工2人。</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减少80</w:t>
      </w:r>
      <w:r>
        <w:rPr>
          <w:rFonts w:hint="eastAsia" w:ascii="仿宋_GB2312" w:eastAsia="仿宋_GB2312"/>
          <w:sz w:val="28"/>
          <w:szCs w:val="28"/>
          <w:lang w:val="en-US" w:eastAsia="zh-CN"/>
        </w:rPr>
        <w:t>,</w:t>
      </w:r>
      <w:r>
        <w:rPr>
          <w:rFonts w:hint="eastAsia" w:ascii="仿宋_GB2312" w:eastAsia="仿宋_GB2312"/>
          <w:sz w:val="28"/>
          <w:szCs w:val="28"/>
        </w:rPr>
        <w:t>324.31元，下降</w:t>
      </w:r>
      <w:r>
        <w:rPr>
          <w:rFonts w:hint="eastAsia" w:ascii="仿宋_GB2312" w:eastAsia="仿宋_GB2312"/>
          <w:sz w:val="28"/>
          <w:szCs w:val="28"/>
          <w:lang w:val="en-US" w:eastAsia="zh-CN"/>
        </w:rPr>
        <w:t>0.5</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减少80</w:t>
      </w:r>
      <w:r>
        <w:rPr>
          <w:rFonts w:hint="eastAsia" w:ascii="仿宋_GB2312" w:eastAsia="仿宋_GB2312"/>
          <w:sz w:val="28"/>
          <w:szCs w:val="28"/>
          <w:lang w:val="en-US" w:eastAsia="zh-CN"/>
        </w:rPr>
        <w:t>,</w:t>
      </w:r>
      <w:r>
        <w:rPr>
          <w:rFonts w:hint="eastAsia" w:ascii="仿宋_GB2312" w:eastAsia="仿宋_GB2312"/>
          <w:sz w:val="28"/>
          <w:szCs w:val="28"/>
        </w:rPr>
        <w:t>324.31元，下降</w:t>
      </w:r>
      <w:r>
        <w:rPr>
          <w:rFonts w:hint="eastAsia" w:ascii="仿宋_GB2312" w:eastAsia="仿宋_GB2312"/>
          <w:sz w:val="28"/>
          <w:szCs w:val="28"/>
          <w:lang w:val="en-US" w:eastAsia="zh-CN"/>
        </w:rPr>
        <w:t>0.5</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元，占收入合计的100%。其中：一般公共预算财政拨款收入</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760" w:firstLineChars="1800"/>
      </w:pPr>
      <w:r>
        <w:rPr>
          <w:rFonts w:hint="eastAsia" w:ascii="仿宋_GB2312" w:eastAsia="仿宋_GB2312"/>
          <w:color w:val="000000"/>
          <w:sz w:val="32"/>
        </w:rPr>
        <w:t>图1：收入决算</w:t>
      </w:r>
    </w:p>
    <w:p>
      <w:pPr>
        <w:pStyle w:val="3"/>
        <w:ind w:firstLine="420"/>
        <w:jc w:val="center"/>
      </w:pPr>
      <w:r>
        <w:drawing>
          <wp:inline distT="0" distB="0" distL="0" distR="0">
            <wp:extent cx="3028315" cy="1360805"/>
            <wp:effectExtent l="4445" t="4445" r="15240" b="635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减少80</w:t>
      </w:r>
      <w:r>
        <w:rPr>
          <w:rFonts w:hint="eastAsia" w:ascii="仿宋_GB2312" w:eastAsia="仿宋_GB2312"/>
          <w:sz w:val="28"/>
          <w:szCs w:val="28"/>
          <w:lang w:val="en-US" w:eastAsia="zh-CN"/>
        </w:rPr>
        <w:t>,</w:t>
      </w:r>
      <w:r>
        <w:rPr>
          <w:rFonts w:hint="eastAsia" w:ascii="仿宋_GB2312" w:eastAsia="仿宋_GB2312"/>
          <w:sz w:val="28"/>
          <w:szCs w:val="28"/>
        </w:rPr>
        <w:t>324.31元，下降</w:t>
      </w:r>
      <w:r>
        <w:rPr>
          <w:rFonts w:hint="eastAsia" w:ascii="仿宋_GB2312" w:eastAsia="仿宋_GB2312"/>
          <w:sz w:val="28"/>
          <w:szCs w:val="28"/>
          <w:lang w:val="en-US" w:eastAsia="zh-CN"/>
        </w:rPr>
        <w:t>0.5</w:t>
      </w:r>
      <w:r>
        <w:rPr>
          <w:rFonts w:hint="eastAsia" w:ascii="仿宋_GB2312" w:eastAsia="仿宋_GB2312"/>
          <w:sz w:val="28"/>
          <w:szCs w:val="28"/>
        </w:rPr>
        <w:t>%，其中：基本支出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379</w:t>
      </w:r>
      <w:r>
        <w:rPr>
          <w:rFonts w:hint="eastAsia" w:ascii="仿宋_GB2312" w:eastAsia="仿宋_GB2312"/>
          <w:sz w:val="28"/>
          <w:szCs w:val="28"/>
          <w:lang w:val="en-US" w:eastAsia="zh-CN"/>
        </w:rPr>
        <w:t>,</w:t>
      </w:r>
      <w:r>
        <w:rPr>
          <w:rFonts w:ascii="仿宋_GB2312" w:eastAsia="仿宋_GB2312"/>
          <w:sz w:val="28"/>
          <w:szCs w:val="28"/>
        </w:rPr>
        <w:t>172.35</w:t>
      </w:r>
      <w:r>
        <w:rPr>
          <w:rFonts w:hint="eastAsia" w:ascii="仿宋_GB2312" w:eastAsia="仿宋_GB2312"/>
          <w:sz w:val="28"/>
          <w:szCs w:val="28"/>
        </w:rPr>
        <w:t>元，占支出合计的70.</w:t>
      </w:r>
      <w:r>
        <w:rPr>
          <w:rFonts w:hint="eastAsia" w:ascii="仿宋_GB2312" w:eastAsia="仿宋_GB2312"/>
          <w:sz w:val="28"/>
          <w:szCs w:val="28"/>
          <w:lang w:val="en-US" w:eastAsia="zh-CN"/>
        </w:rPr>
        <w:t>5</w:t>
      </w:r>
      <w:r>
        <w:rPr>
          <w:rFonts w:hint="eastAsia" w:ascii="仿宋_GB2312" w:eastAsia="仿宋_GB2312"/>
          <w:sz w:val="28"/>
          <w:szCs w:val="28"/>
        </w:rPr>
        <w:t>%；项目支出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757</w:t>
      </w:r>
      <w:r>
        <w:rPr>
          <w:rFonts w:hint="eastAsia" w:ascii="仿宋_GB2312" w:eastAsia="仿宋_GB2312"/>
          <w:sz w:val="28"/>
          <w:szCs w:val="28"/>
          <w:lang w:val="en-US" w:eastAsia="zh-CN"/>
        </w:rPr>
        <w:t>,</w:t>
      </w:r>
      <w:r>
        <w:rPr>
          <w:rFonts w:ascii="仿宋_GB2312" w:eastAsia="仿宋_GB2312"/>
          <w:sz w:val="28"/>
          <w:szCs w:val="28"/>
        </w:rPr>
        <w:t>675.44</w:t>
      </w:r>
      <w:r>
        <w:rPr>
          <w:rFonts w:hint="eastAsia" w:ascii="仿宋_GB2312" w:eastAsia="仿宋_GB2312"/>
          <w:sz w:val="28"/>
          <w:szCs w:val="28"/>
        </w:rPr>
        <w:t>元，占支出合计的29.</w:t>
      </w:r>
      <w:r>
        <w:rPr>
          <w:rFonts w:hint="eastAsia" w:ascii="仿宋_GB2312" w:eastAsia="仿宋_GB2312"/>
          <w:sz w:val="28"/>
          <w:szCs w:val="28"/>
          <w:lang w:val="en-US" w:eastAsia="zh-CN"/>
        </w:rPr>
        <w:t>5</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rPr>
          <w:rFonts w:hint="eastAsia" w:ascii="黑体" w:eastAsia="黑体"/>
          <w:b/>
          <w:sz w:val="28"/>
          <w:szCs w:val="28"/>
          <w:lang w:eastAsia="zh-CN"/>
        </w:rPr>
        <w:drawing>
          <wp:inline distT="0" distB="0" distL="114300" distR="114300">
            <wp:extent cx="4733290" cy="2315845"/>
            <wp:effectExtent l="4445" t="5080" r="17145" b="107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元，比上年减少80</w:t>
      </w:r>
      <w:r>
        <w:rPr>
          <w:rFonts w:hint="eastAsia" w:ascii="仿宋_GB2312" w:eastAsia="仿宋_GB2312"/>
          <w:sz w:val="28"/>
          <w:szCs w:val="28"/>
          <w:lang w:val="en-US" w:eastAsia="zh-CN"/>
        </w:rPr>
        <w:t>,</w:t>
      </w:r>
      <w:r>
        <w:rPr>
          <w:rFonts w:hint="eastAsia" w:ascii="仿宋_GB2312" w:eastAsia="仿宋_GB2312"/>
          <w:sz w:val="28"/>
          <w:szCs w:val="28"/>
        </w:rPr>
        <w:t>324.31元，下降</w:t>
      </w:r>
      <w:r>
        <w:rPr>
          <w:rFonts w:hint="eastAsia" w:ascii="仿宋_GB2312" w:eastAsia="仿宋_GB2312"/>
          <w:sz w:val="28"/>
          <w:szCs w:val="28"/>
          <w:lang w:val="en-US" w:eastAsia="zh-CN"/>
        </w:rPr>
        <w:t>0.5</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hAnsi="Times New Roman" w:eastAsia="仿宋_GB2312" w:cs="Times New Roman"/>
          <w:sz w:val="28"/>
          <w:szCs w:val="28"/>
          <w:highlight w:val="none"/>
          <w:lang w:eastAsia="zh-CN"/>
        </w:rPr>
        <w:t>落实习惯过紧日子要求，减少非急需非刚性支出。</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autoSpaceDE w:val="0"/>
        <w:autoSpaceDN w:val="0"/>
        <w:adjustRightInd w:val="0"/>
        <w:spacing w:line="580" w:lineRule="exact"/>
        <w:ind w:firstLine="560" w:firstLineChars="200"/>
        <w:jc w:val="left"/>
        <w:rPr>
          <w:rFonts w:hint="default"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847.79</w:t>
      </w:r>
      <w:r>
        <w:rPr>
          <w:rFonts w:hint="eastAsia" w:ascii="仿宋_GB2312" w:eastAsia="仿宋_GB2312"/>
          <w:sz w:val="28"/>
          <w:szCs w:val="28"/>
        </w:rPr>
        <w:t>元，主要用于以下方面（按大类）：</w:t>
      </w:r>
      <w:r>
        <w:rPr>
          <w:rFonts w:hint="default" w:ascii="仿宋_GB2312" w:eastAsia="仿宋_GB2312"/>
          <w:sz w:val="28"/>
          <w:szCs w:val="28"/>
        </w:rPr>
        <w:t>一般公共服务支出15,340,224.75元，占本年财政拨款支出95.1%；教育支出200,000.00元，占本年财政拨款支出1.2%；社会保障和就业支出40,747.60元，占本年财政拨款支出0.3%；交通运输支出555,875.44元，占本年财政拨款支出3.4%。</w:t>
      </w:r>
    </w:p>
    <w:p>
      <w:pPr>
        <w:autoSpaceDE w:val="0"/>
        <w:autoSpaceDN w:val="0"/>
        <w:adjustRightInd w:val="0"/>
        <w:spacing w:line="580" w:lineRule="exact"/>
        <w:ind w:firstLine="560" w:firstLineChars="200"/>
        <w:jc w:val="left"/>
        <w:rPr>
          <w:rFonts w:hint="default"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1、“一般公共服务支出”（类）2025年度年初预算11</w:t>
      </w:r>
      <w:r>
        <w:rPr>
          <w:rFonts w:hint="default" w:ascii="仿宋_GB2312" w:eastAsia="仿宋_GB2312"/>
          <w:sz w:val="28"/>
          <w:szCs w:val="28"/>
          <w:highlight w:val="none"/>
        </w:rPr>
        <w:t>,</w:t>
      </w:r>
      <w:r>
        <w:rPr>
          <w:rFonts w:hint="eastAsia" w:ascii="仿宋_GB2312" w:eastAsia="仿宋_GB2312"/>
          <w:sz w:val="28"/>
          <w:szCs w:val="28"/>
          <w:highlight w:val="none"/>
        </w:rPr>
        <w:t>914</w:t>
      </w:r>
      <w:r>
        <w:rPr>
          <w:rFonts w:hint="default" w:ascii="仿宋_GB2312" w:eastAsia="仿宋_GB2312"/>
          <w:sz w:val="28"/>
          <w:szCs w:val="28"/>
          <w:highlight w:val="none"/>
        </w:rPr>
        <w:t>,</w:t>
      </w:r>
      <w:r>
        <w:rPr>
          <w:rFonts w:hint="eastAsia" w:ascii="仿宋_GB2312" w:eastAsia="仿宋_GB2312"/>
          <w:sz w:val="28"/>
          <w:szCs w:val="28"/>
          <w:highlight w:val="none"/>
        </w:rPr>
        <w:t>355.69元，2025年度决算</w:t>
      </w:r>
      <w:r>
        <w:rPr>
          <w:rFonts w:hint="default" w:ascii="仿宋_GB2312" w:eastAsia="仿宋_GB2312"/>
          <w:sz w:val="28"/>
          <w:szCs w:val="28"/>
          <w:highlight w:val="none"/>
        </w:rPr>
        <w:t>15,340,224.75</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其中：</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"政府办公厅（室）及相关机构事务"（款）2025年度年初预算</w:t>
      </w:r>
      <w:r>
        <w:rPr>
          <w:rFonts w:hint="eastAsia" w:ascii="仿宋_GB2312" w:eastAsia="仿宋_GB2312"/>
          <w:sz w:val="28"/>
          <w:szCs w:val="28"/>
          <w:highlight w:val="none"/>
          <w:lang w:val="en-US" w:eastAsia="zh-CN"/>
        </w:rPr>
        <w:t>9</w:t>
      </w:r>
      <w:r>
        <w:rPr>
          <w:rFonts w:hint="default" w:ascii="仿宋_GB2312" w:eastAsia="仿宋_GB2312"/>
          <w:sz w:val="28"/>
          <w:szCs w:val="28"/>
          <w:highlight w:val="none"/>
        </w:rPr>
        <w:t>,</w:t>
      </w:r>
      <w:r>
        <w:rPr>
          <w:rFonts w:hint="eastAsia" w:ascii="仿宋_GB2312" w:eastAsia="仿宋_GB2312"/>
          <w:sz w:val="28"/>
          <w:szCs w:val="28"/>
          <w:highlight w:val="none"/>
          <w:lang w:val="en-US" w:eastAsia="zh-CN"/>
        </w:rPr>
        <w:t>624</w:t>
      </w:r>
      <w:r>
        <w:rPr>
          <w:rFonts w:hint="default" w:ascii="仿宋_GB2312" w:eastAsia="仿宋_GB2312"/>
          <w:sz w:val="28"/>
          <w:szCs w:val="28"/>
          <w:highlight w:val="none"/>
        </w:rPr>
        <w:t>,</w:t>
      </w:r>
      <w:r>
        <w:rPr>
          <w:rFonts w:hint="eastAsia" w:ascii="仿宋_GB2312" w:eastAsia="仿宋_GB2312"/>
          <w:sz w:val="28"/>
          <w:szCs w:val="28"/>
          <w:highlight w:val="none"/>
          <w:lang w:val="en-US" w:eastAsia="zh-CN"/>
        </w:rPr>
        <w:t>355.69</w:t>
      </w:r>
      <w:r>
        <w:rPr>
          <w:rFonts w:hint="default" w:ascii="仿宋_GB2312" w:eastAsia="仿宋_GB2312"/>
          <w:sz w:val="28"/>
          <w:szCs w:val="28"/>
          <w:highlight w:val="none"/>
        </w:rPr>
        <w:t>元，2025年度决算11,338,424.75元，完成年初预算的100.00%。主要原因：</w:t>
      </w:r>
      <w:r>
        <w:rPr>
          <w:rFonts w:hint="eastAsia" w:ascii="仿宋_GB2312" w:eastAsia="仿宋_GB2312"/>
          <w:sz w:val="28"/>
          <w:szCs w:val="28"/>
          <w:highlight w:val="none"/>
          <w:lang w:eastAsia="zh-CN"/>
        </w:rPr>
        <w:t>人员调整追加资金</w:t>
      </w:r>
      <w:r>
        <w:rPr>
          <w:rFonts w:hint="default" w:ascii="仿宋_GB2312" w:eastAsia="仿宋_GB2312"/>
          <w:sz w:val="28"/>
          <w:szCs w:val="28"/>
          <w:highlight w:val="none"/>
        </w:rPr>
        <w:t>。</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"发展与改革事务"（款）2025年度年初预算</w:t>
      </w:r>
      <w:r>
        <w:rPr>
          <w:rFonts w:hint="eastAsia" w:ascii="仿宋_GB2312" w:eastAsia="仿宋_GB2312"/>
          <w:sz w:val="28"/>
          <w:szCs w:val="28"/>
          <w:highlight w:val="none"/>
          <w:lang w:val="en-US" w:eastAsia="zh-CN"/>
        </w:rPr>
        <w:t>0</w:t>
      </w:r>
      <w:r>
        <w:rPr>
          <w:rFonts w:hint="default" w:ascii="仿宋_GB2312" w:eastAsia="仿宋_GB2312"/>
          <w:sz w:val="28"/>
          <w:szCs w:val="28"/>
          <w:highlight w:val="none"/>
        </w:rPr>
        <w:t>万元，2025年度决算430,000.00元。主要原因：</w:t>
      </w:r>
      <w:r>
        <w:rPr>
          <w:rFonts w:hint="eastAsia" w:ascii="仿宋_GB2312" w:eastAsia="仿宋_GB2312"/>
          <w:sz w:val="28"/>
          <w:szCs w:val="28"/>
          <w:highlight w:val="none"/>
          <w:lang w:eastAsia="zh-CN"/>
        </w:rPr>
        <w:t>增加</w:t>
      </w:r>
      <w:r>
        <w:rPr>
          <w:rFonts w:hint="default" w:ascii="仿宋_GB2312" w:eastAsia="仿宋_GB2312"/>
          <w:sz w:val="28"/>
          <w:szCs w:val="28"/>
          <w:highlight w:val="none"/>
        </w:rPr>
        <w:t>购买服务推进铁路沿线综合整治提升工作资金项目。</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"其他共产党事务支出"（款）2025年度年初预算</w:t>
      </w:r>
      <w:r>
        <w:rPr>
          <w:rFonts w:hint="eastAsia" w:ascii="仿宋_GB2312" w:eastAsia="仿宋_GB2312"/>
          <w:sz w:val="28"/>
          <w:szCs w:val="28"/>
          <w:highlight w:val="none"/>
          <w:lang w:val="en-US" w:eastAsia="zh-CN"/>
        </w:rPr>
        <w:t>2,290,000</w:t>
      </w:r>
      <w:r>
        <w:rPr>
          <w:rFonts w:hint="default" w:ascii="仿宋_GB2312" w:eastAsia="仿宋_GB2312"/>
          <w:sz w:val="28"/>
          <w:szCs w:val="28"/>
          <w:highlight w:val="none"/>
        </w:rPr>
        <w:t>元，2025年度决算3,571,800.00元，完成年初预算的100.00%。主要原因：</w:t>
      </w:r>
      <w:r>
        <w:rPr>
          <w:rFonts w:hint="eastAsia" w:ascii="仿宋_GB2312" w:eastAsia="仿宋_GB2312"/>
          <w:sz w:val="28"/>
          <w:szCs w:val="28"/>
          <w:highlight w:val="none"/>
          <w:lang w:eastAsia="zh-CN"/>
        </w:rPr>
        <w:t>按照财政年初预算资金要求，年中</w:t>
      </w:r>
      <w:r>
        <w:rPr>
          <w:rFonts w:hint="eastAsia" w:ascii="仿宋_GB2312" w:hAnsi="Calibri" w:eastAsia="仿宋_GB2312" w:cs="Times New Roman"/>
          <w:sz w:val="28"/>
          <w:szCs w:val="28"/>
          <w:highlight w:val="none"/>
          <w:lang w:eastAsia="zh-CN"/>
        </w:rPr>
        <w:t>追加资金</w:t>
      </w:r>
      <w:r>
        <w:rPr>
          <w:rFonts w:hint="default" w:ascii="仿宋_GB2312" w:eastAsia="仿宋_GB2312"/>
          <w:sz w:val="28"/>
          <w:szCs w:val="28"/>
          <w:highlight w:val="none"/>
        </w:rPr>
        <w:t>。</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2、"教育支出"（类）2025年度年初预算</w:t>
      </w:r>
      <w:r>
        <w:rPr>
          <w:rFonts w:hint="eastAsia" w:ascii="仿宋_GB2312" w:eastAsia="仿宋_GB2312"/>
          <w:sz w:val="28"/>
          <w:szCs w:val="28"/>
          <w:highlight w:val="none"/>
          <w:lang w:val="en-US" w:eastAsia="zh-CN"/>
        </w:rPr>
        <w:t>0</w:t>
      </w:r>
      <w:r>
        <w:rPr>
          <w:rFonts w:hint="default" w:ascii="仿宋_GB2312" w:eastAsia="仿宋_GB2312"/>
          <w:sz w:val="28"/>
          <w:szCs w:val="28"/>
          <w:highlight w:val="none"/>
        </w:rPr>
        <w:t>万元，2025年度决算200,000.00元。其中：</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"普通教育"（款）2025年度年初预算</w:t>
      </w:r>
      <w:r>
        <w:rPr>
          <w:rFonts w:hint="eastAsia" w:ascii="仿宋_GB2312" w:eastAsia="仿宋_GB2312"/>
          <w:sz w:val="28"/>
          <w:szCs w:val="28"/>
          <w:highlight w:val="none"/>
          <w:lang w:val="en-US" w:eastAsia="zh-CN"/>
        </w:rPr>
        <w:t>0</w:t>
      </w:r>
      <w:r>
        <w:rPr>
          <w:rFonts w:hint="default" w:ascii="仿宋_GB2312" w:eastAsia="仿宋_GB2312"/>
          <w:sz w:val="28"/>
          <w:szCs w:val="28"/>
          <w:highlight w:val="none"/>
        </w:rPr>
        <w:t>万元，2025年度决算200,000.00元。主要原因：</w:t>
      </w:r>
      <w:r>
        <w:rPr>
          <w:rFonts w:hint="eastAsia" w:ascii="仿宋_GB2312" w:eastAsia="仿宋_GB2312"/>
          <w:sz w:val="28"/>
          <w:szCs w:val="28"/>
          <w:highlight w:val="none"/>
          <w:lang w:eastAsia="zh-CN"/>
        </w:rPr>
        <w:t>增加</w:t>
      </w:r>
      <w:r>
        <w:rPr>
          <w:rFonts w:hint="eastAsia" w:ascii="仿宋_GB2312" w:eastAsia="仿宋_GB2312"/>
          <w:sz w:val="28"/>
          <w:szCs w:val="28"/>
          <w:highlight w:val="none"/>
        </w:rPr>
        <w:t>2</w:t>
      </w:r>
      <w:r>
        <w:rPr>
          <w:rFonts w:hint="eastAsia" w:ascii="仿宋_GB2312" w:eastAsia="仿宋_GB2312"/>
          <w:sz w:val="28"/>
          <w:szCs w:val="28"/>
          <w:highlight w:val="none"/>
          <w:lang w:val="en-US" w:eastAsia="zh-CN"/>
        </w:rPr>
        <w:t>D</w:t>
      </w:r>
      <w:r>
        <w:rPr>
          <w:rFonts w:hint="eastAsia" w:ascii="仿宋_GB2312" w:eastAsia="仿宋_GB2312"/>
          <w:sz w:val="28"/>
          <w:szCs w:val="28"/>
          <w:highlight w:val="none"/>
        </w:rPr>
        <w:t>数字人制作及管理平台</w:t>
      </w:r>
      <w:r>
        <w:rPr>
          <w:rFonts w:hint="eastAsia" w:ascii="仿宋_GB2312" w:eastAsia="仿宋_GB2312"/>
          <w:sz w:val="28"/>
          <w:szCs w:val="28"/>
          <w:highlight w:val="none"/>
          <w:lang w:eastAsia="zh-CN"/>
        </w:rPr>
        <w:t>项目</w:t>
      </w:r>
      <w:r>
        <w:rPr>
          <w:rFonts w:hint="default" w:ascii="仿宋_GB2312" w:eastAsia="仿宋_GB2312"/>
          <w:sz w:val="28"/>
          <w:szCs w:val="28"/>
          <w:highlight w:val="none"/>
        </w:rPr>
        <w:t>。</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3、"社会保障和就业支出"（类）2025年度年初预算35</w:t>
      </w:r>
      <w:r>
        <w:rPr>
          <w:rFonts w:hint="eastAsia" w:ascii="仿宋_GB2312" w:eastAsia="仿宋_GB2312"/>
          <w:sz w:val="28"/>
          <w:szCs w:val="28"/>
          <w:highlight w:val="none"/>
          <w:lang w:eastAsia="zh-CN"/>
        </w:rPr>
        <w:t>，</w:t>
      </w:r>
      <w:r>
        <w:rPr>
          <w:rFonts w:hint="default" w:ascii="仿宋_GB2312" w:eastAsia="仿宋_GB2312"/>
          <w:sz w:val="28"/>
          <w:szCs w:val="28"/>
          <w:highlight w:val="none"/>
        </w:rPr>
        <w:t>930元，2025年度决算40,747.60元，完成年初预算的100.00%。其中：</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"行政事业单位养老支出"（款）2025年度年初预算35</w:t>
      </w:r>
      <w:r>
        <w:rPr>
          <w:rFonts w:hint="eastAsia" w:ascii="仿宋_GB2312" w:eastAsia="仿宋_GB2312"/>
          <w:sz w:val="28"/>
          <w:szCs w:val="28"/>
          <w:highlight w:val="none"/>
          <w:lang w:eastAsia="zh-CN"/>
        </w:rPr>
        <w:t>，</w:t>
      </w:r>
      <w:r>
        <w:rPr>
          <w:rFonts w:hint="default" w:ascii="仿宋_GB2312" w:eastAsia="仿宋_GB2312"/>
          <w:sz w:val="28"/>
          <w:szCs w:val="28"/>
          <w:highlight w:val="none"/>
        </w:rPr>
        <w:t>930元，2025年度决算40,747.60元，完成年初预算的100.00%。主要原因：</w:t>
      </w:r>
      <w:r>
        <w:rPr>
          <w:rFonts w:hint="eastAsia" w:ascii="仿宋_GB2312" w:eastAsia="仿宋_GB2312"/>
          <w:sz w:val="28"/>
          <w:szCs w:val="28"/>
          <w:highlight w:val="none"/>
          <w:lang w:eastAsia="zh-CN"/>
        </w:rPr>
        <w:t>增加退休人员</w:t>
      </w:r>
      <w:r>
        <w:rPr>
          <w:rFonts w:hint="default" w:ascii="仿宋_GB2312" w:eastAsia="仿宋_GB2312"/>
          <w:sz w:val="28"/>
          <w:szCs w:val="28"/>
          <w:highlight w:val="none"/>
        </w:rPr>
        <w:t>。</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4、"交通运输支出"（类）2025年度年初预算358</w:t>
      </w:r>
      <w:r>
        <w:rPr>
          <w:rFonts w:hint="eastAsia" w:ascii="仿宋_GB2312" w:eastAsia="仿宋_GB2312"/>
          <w:sz w:val="28"/>
          <w:szCs w:val="28"/>
          <w:highlight w:val="none"/>
          <w:lang w:eastAsia="zh-CN"/>
        </w:rPr>
        <w:t>，</w:t>
      </w:r>
      <w:r>
        <w:rPr>
          <w:rFonts w:hint="default" w:ascii="仿宋_GB2312" w:eastAsia="仿宋_GB2312"/>
          <w:sz w:val="28"/>
          <w:szCs w:val="28"/>
          <w:highlight w:val="none"/>
        </w:rPr>
        <w:t>275.44元，2025年度决算555,875.44元，完成年初预算的100.00%。其中：</w:t>
      </w:r>
    </w:p>
    <w:p>
      <w:pPr>
        <w:autoSpaceDE w:val="0"/>
        <w:autoSpaceDN w:val="0"/>
        <w:adjustRightInd w:val="0"/>
        <w:spacing w:line="580" w:lineRule="exact"/>
        <w:ind w:firstLine="560" w:firstLineChars="200"/>
        <w:jc w:val="left"/>
        <w:rPr>
          <w:rFonts w:hint="default" w:ascii="仿宋_GB2312" w:eastAsia="仿宋_GB2312"/>
          <w:sz w:val="28"/>
          <w:szCs w:val="28"/>
          <w:highlight w:val="none"/>
        </w:rPr>
      </w:pPr>
      <w:r>
        <w:rPr>
          <w:rFonts w:hint="default" w:ascii="仿宋_GB2312" w:eastAsia="仿宋_GB2312"/>
          <w:sz w:val="28"/>
          <w:szCs w:val="28"/>
          <w:highlight w:val="none"/>
        </w:rPr>
        <w:t>"铁路运输"（款）2025年度年初预算358</w:t>
      </w:r>
      <w:r>
        <w:rPr>
          <w:rFonts w:hint="eastAsia" w:ascii="仿宋_GB2312" w:eastAsia="仿宋_GB2312"/>
          <w:sz w:val="28"/>
          <w:szCs w:val="28"/>
          <w:highlight w:val="none"/>
          <w:lang w:eastAsia="zh-CN"/>
        </w:rPr>
        <w:t>，</w:t>
      </w:r>
      <w:r>
        <w:rPr>
          <w:rFonts w:hint="default" w:ascii="仿宋_GB2312" w:eastAsia="仿宋_GB2312"/>
          <w:sz w:val="28"/>
          <w:szCs w:val="28"/>
          <w:highlight w:val="none"/>
        </w:rPr>
        <w:t>275.44元，2025年度决算555,875.44元，完成年初预算的100.00%。主要原因：</w:t>
      </w:r>
      <w:r>
        <w:rPr>
          <w:rFonts w:hint="eastAsia" w:ascii="仿宋_GB2312" w:eastAsia="仿宋_GB2312"/>
          <w:sz w:val="28"/>
          <w:szCs w:val="28"/>
          <w:highlight w:val="none"/>
          <w:lang w:eastAsia="zh-CN"/>
        </w:rPr>
        <w:t>追加2025年“疏解整治促提升”专项行动铁路沿线绿化提升项目</w:t>
      </w:r>
      <w:r>
        <w:rPr>
          <w:rFonts w:hint="default" w:ascii="仿宋_GB2312" w:eastAsia="仿宋_GB2312"/>
          <w:sz w:val="28"/>
          <w:szCs w:val="28"/>
          <w:highlight w:val="none"/>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本部门2025年无</w:t>
      </w:r>
      <w:r>
        <w:rPr>
          <w:rFonts w:hint="eastAsia" w:ascii="仿宋_GB2312" w:eastAsia="仿宋_GB2312"/>
          <w:sz w:val="28"/>
          <w:szCs w:val="28"/>
          <w:highlight w:val="none"/>
        </w:rPr>
        <w:t>此项支出</w:t>
      </w:r>
      <w:r>
        <w:rPr>
          <w:rFonts w:hint="eastAsia" w:ascii="仿宋_GB2312" w:eastAsia="仿宋_GB2312"/>
          <w:sz w:val="28"/>
          <w:szCs w:val="28"/>
          <w:highlight w:val="none"/>
          <w:lang w:eastAsia="zh-CN"/>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本部门2025年无</w:t>
      </w:r>
      <w:r>
        <w:rPr>
          <w:rFonts w:hint="eastAsia" w:ascii="仿宋_GB2312" w:eastAsia="仿宋_GB2312"/>
          <w:sz w:val="28"/>
          <w:szCs w:val="28"/>
          <w:highlight w:val="none"/>
        </w:rPr>
        <w:t>此项支出</w:t>
      </w:r>
      <w:r>
        <w:rPr>
          <w:rFonts w:hint="eastAsia" w:ascii="仿宋_GB2312" w:eastAsia="仿宋_GB2312"/>
          <w:sz w:val="28"/>
          <w:szCs w:val="28"/>
          <w:highlight w:val="none"/>
          <w:lang w:eastAsia="zh-CN"/>
        </w:rPr>
        <w:t>。</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379</w:t>
      </w:r>
      <w:r>
        <w:rPr>
          <w:rFonts w:hint="eastAsia" w:ascii="仿宋_GB2312" w:eastAsia="仿宋_GB2312"/>
          <w:sz w:val="28"/>
          <w:szCs w:val="28"/>
          <w:lang w:val="en-US" w:eastAsia="zh-CN"/>
        </w:rPr>
        <w:t>,</w:t>
      </w:r>
      <w:r>
        <w:rPr>
          <w:rFonts w:ascii="仿宋_GB2312" w:eastAsia="仿宋_GB2312"/>
          <w:sz w:val="28"/>
          <w:szCs w:val="28"/>
        </w:rPr>
        <w:t>172.35</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元，比2025年度“三公”经费财政拨款年初预算</w:t>
      </w:r>
      <w:r>
        <w:rPr>
          <w:rFonts w:ascii="仿宋_GB2312" w:eastAsia="仿宋_GB2312"/>
          <w:sz w:val="28"/>
          <w:szCs w:val="28"/>
        </w:rPr>
        <w:t>24</w:t>
      </w:r>
      <w:r>
        <w:rPr>
          <w:rFonts w:hint="eastAsia" w:ascii="仿宋_GB2312" w:eastAsia="仿宋_GB2312"/>
          <w:sz w:val="28"/>
          <w:szCs w:val="28"/>
          <w:lang w:val="en-US" w:eastAsia="zh-CN"/>
        </w:rPr>
        <w:t>,</w:t>
      </w:r>
      <w:r>
        <w:rPr>
          <w:rFonts w:ascii="仿宋_GB2312" w:eastAsia="仿宋_GB2312"/>
          <w:sz w:val="28"/>
          <w:szCs w:val="28"/>
        </w:rPr>
        <w:t>145</w:t>
      </w:r>
      <w:r>
        <w:rPr>
          <w:rFonts w:hint="eastAsia" w:ascii="仿宋_GB2312" w:eastAsia="仿宋_GB2312"/>
          <w:sz w:val="28"/>
          <w:szCs w:val="28"/>
        </w:rPr>
        <w:t>元减少</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145</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color w:val="000000"/>
          <w:sz w:val="28"/>
          <w:szCs w:val="28"/>
          <w:lang w:val="en-US" w:eastAsia="zh-CN"/>
        </w:rPr>
        <w:t>本单位无此项支出</w:t>
      </w:r>
      <w:r>
        <w:rPr>
          <w:rFonts w:hint="eastAsia" w:ascii="仿宋_GB2312" w:eastAsia="仿宋_GB2312"/>
          <w:sz w:val="28"/>
          <w:szCs w:val="28"/>
        </w:rPr>
        <w:t>；2025年度组织因公出国（境）团组0个、0人次。</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145</w:t>
      </w:r>
      <w:r>
        <w:rPr>
          <w:rFonts w:hint="eastAsia" w:ascii="仿宋_GB2312" w:eastAsia="仿宋_GB2312"/>
          <w:sz w:val="28"/>
          <w:szCs w:val="28"/>
        </w:rPr>
        <w:t>元减少</w:t>
      </w:r>
      <w:r>
        <w:rPr>
          <w:rFonts w:ascii="仿宋_GB2312" w:eastAsia="仿宋_GB2312"/>
          <w:sz w:val="28"/>
          <w:szCs w:val="28"/>
        </w:rPr>
        <w:t>6145</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。公务接待0批次，公务接待0人次。</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0</w:t>
      </w:r>
      <w:r>
        <w:rPr>
          <w:rFonts w:hint="eastAsia" w:ascii="仿宋_GB2312" w:eastAsia="仿宋_GB2312"/>
          <w:sz w:val="28"/>
          <w:szCs w:val="28"/>
        </w:rPr>
        <w:t>元。其中，公务用车购置费2025年度决算数0元</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无</w:t>
      </w:r>
      <w:r>
        <w:rPr>
          <w:rFonts w:hint="eastAsia" w:ascii="仿宋_GB2312" w:eastAsia="仿宋_GB2312"/>
          <w:sz w:val="28"/>
          <w:szCs w:val="28"/>
          <w:highlight w:val="none"/>
        </w:rPr>
        <w:t>，2</w:t>
      </w:r>
      <w:r>
        <w:rPr>
          <w:rFonts w:hint="eastAsia" w:ascii="仿宋_GB2312" w:eastAsia="仿宋_GB2312"/>
          <w:sz w:val="28"/>
          <w:szCs w:val="28"/>
        </w:rPr>
        <w:t>025年度购置（更新）0辆。公务用车运行维护费2025年度决算数18</w:t>
      </w:r>
      <w:r>
        <w:rPr>
          <w:rFonts w:hint="eastAsia" w:ascii="仿宋_GB2312" w:eastAsia="仿宋_GB2312"/>
          <w:sz w:val="28"/>
          <w:szCs w:val="28"/>
          <w:lang w:val="en-US" w:eastAsia="zh-CN"/>
        </w:rPr>
        <w:t>,</w:t>
      </w:r>
      <w:r>
        <w:rPr>
          <w:rFonts w:hint="eastAsia" w:ascii="仿宋_GB2312" w:eastAsia="仿宋_GB2312"/>
          <w:sz w:val="28"/>
          <w:szCs w:val="28"/>
        </w:rPr>
        <w:t>000元，主要原因：</w:t>
      </w:r>
      <w:r>
        <w:rPr>
          <w:rFonts w:hint="eastAsia" w:ascii="仿宋_GB2312" w:eastAsia="仿宋_GB2312"/>
          <w:sz w:val="28"/>
          <w:szCs w:val="28"/>
          <w:lang w:eastAsia="zh-CN"/>
        </w:rPr>
        <w:t>用于车辆运行维护费</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2025年度机关运行经费支出合计452</w:t>
      </w:r>
      <w:r>
        <w:rPr>
          <w:rFonts w:hint="eastAsia" w:ascii="仿宋_GB2312" w:eastAsia="仿宋_GB2312"/>
          <w:sz w:val="28"/>
          <w:szCs w:val="28"/>
          <w:lang w:val="en-US" w:eastAsia="zh-CN"/>
        </w:rPr>
        <w:t>,</w:t>
      </w:r>
      <w:r>
        <w:rPr>
          <w:rFonts w:hint="eastAsia" w:ascii="仿宋_GB2312" w:eastAsia="仿宋_GB2312"/>
          <w:sz w:val="28"/>
          <w:szCs w:val="28"/>
        </w:rPr>
        <w:t>229.21元，比上年减少66</w:t>
      </w:r>
      <w:r>
        <w:rPr>
          <w:rFonts w:hint="eastAsia" w:ascii="仿宋_GB2312" w:eastAsia="仿宋_GB2312"/>
          <w:sz w:val="28"/>
          <w:szCs w:val="28"/>
          <w:lang w:val="en-US" w:eastAsia="zh-CN"/>
        </w:rPr>
        <w:t>,</w:t>
      </w:r>
      <w:r>
        <w:rPr>
          <w:rFonts w:hint="eastAsia" w:ascii="仿宋_GB2312" w:eastAsia="仿宋_GB2312"/>
          <w:sz w:val="28"/>
          <w:szCs w:val="28"/>
        </w:rPr>
        <w:t>964.52元，减少原因：</w:t>
      </w:r>
      <w:r>
        <w:rPr>
          <w:rFonts w:hint="eastAsia" w:ascii="仿宋_GB2312" w:eastAsia="仿宋_GB2312"/>
          <w:sz w:val="28"/>
          <w:szCs w:val="28"/>
          <w:highlight w:val="none"/>
          <w:lang w:eastAsia="zh-CN"/>
        </w:rPr>
        <w:t>落实政府过紧日子要求，厉行节约要求</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278</w:t>
      </w:r>
      <w:r>
        <w:rPr>
          <w:rFonts w:hint="eastAsia" w:ascii="仿宋_GB2312" w:eastAsia="仿宋_GB2312"/>
          <w:sz w:val="28"/>
          <w:szCs w:val="28"/>
          <w:lang w:val="en-US" w:eastAsia="zh-CN"/>
        </w:rPr>
        <w:t>,</w:t>
      </w:r>
      <w:r>
        <w:rPr>
          <w:rFonts w:ascii="仿宋_GB2312" w:eastAsia="仿宋_GB2312"/>
          <w:sz w:val="28"/>
          <w:szCs w:val="28"/>
        </w:rPr>
        <w:t>617.25</w:t>
      </w:r>
      <w:r>
        <w:rPr>
          <w:rFonts w:hint="eastAsia" w:ascii="仿宋_GB2312" w:eastAsia="仿宋_GB2312"/>
          <w:sz w:val="28"/>
          <w:szCs w:val="28"/>
        </w:rPr>
        <w:t>元，其中：政府采购货物支出</w:t>
      </w:r>
      <w:r>
        <w:rPr>
          <w:rFonts w:ascii="仿宋_GB2312" w:eastAsia="仿宋_GB2312"/>
          <w:sz w:val="28"/>
          <w:szCs w:val="28"/>
        </w:rPr>
        <w:t>103</w:t>
      </w:r>
      <w:r>
        <w:rPr>
          <w:rFonts w:hint="eastAsia" w:ascii="仿宋_GB2312" w:eastAsia="仿宋_GB2312"/>
          <w:sz w:val="28"/>
          <w:szCs w:val="28"/>
          <w:lang w:val="en-US" w:eastAsia="zh-CN"/>
        </w:rPr>
        <w:t>,</w:t>
      </w:r>
      <w:r>
        <w:rPr>
          <w:rFonts w:ascii="仿宋_GB2312" w:eastAsia="仿宋_GB2312"/>
          <w:sz w:val="28"/>
          <w:szCs w:val="28"/>
        </w:rPr>
        <w:t>452.4</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175</w:t>
      </w:r>
      <w:r>
        <w:rPr>
          <w:rFonts w:hint="eastAsia" w:ascii="仿宋_GB2312" w:eastAsia="仿宋_GB2312"/>
          <w:sz w:val="28"/>
          <w:szCs w:val="28"/>
          <w:lang w:val="en-US" w:eastAsia="zh-CN"/>
        </w:rPr>
        <w:t>,</w:t>
      </w:r>
      <w:r>
        <w:rPr>
          <w:rFonts w:ascii="仿宋_GB2312" w:eastAsia="仿宋_GB2312"/>
          <w:sz w:val="28"/>
          <w:szCs w:val="28"/>
        </w:rPr>
        <w:t>164.85</w:t>
      </w:r>
      <w:r>
        <w:rPr>
          <w:rFonts w:hint="eastAsia" w:ascii="仿宋_GB2312" w:eastAsia="仿宋_GB2312"/>
          <w:sz w:val="28"/>
          <w:szCs w:val="28"/>
        </w:rPr>
        <w:t>元。授予中小企业合同金额</w:t>
      </w:r>
      <w:r>
        <w:rPr>
          <w:rFonts w:ascii="仿宋_GB2312" w:eastAsia="仿宋_GB2312"/>
          <w:sz w:val="28"/>
          <w:szCs w:val="28"/>
        </w:rPr>
        <w:t>278</w:t>
      </w:r>
      <w:r>
        <w:rPr>
          <w:rFonts w:hint="eastAsia" w:ascii="仿宋_GB2312" w:eastAsia="仿宋_GB2312"/>
          <w:sz w:val="28"/>
          <w:szCs w:val="28"/>
          <w:lang w:val="en-US" w:eastAsia="zh-CN"/>
        </w:rPr>
        <w:t>,</w:t>
      </w:r>
      <w:r>
        <w:rPr>
          <w:rFonts w:ascii="仿宋_GB2312" w:eastAsia="仿宋_GB2312"/>
          <w:sz w:val="28"/>
          <w:szCs w:val="28"/>
        </w:rPr>
        <w:t>617.25</w:t>
      </w:r>
      <w:r>
        <w:rPr>
          <w:rFonts w:hint="eastAsia" w:ascii="仿宋_GB2312" w:eastAsia="仿宋_GB2312"/>
          <w:sz w:val="28"/>
          <w:szCs w:val="28"/>
        </w:rPr>
        <w:t>元，占政府采购支出总额的100%，其中：授予小微企业合同金额</w:t>
      </w:r>
      <w:r>
        <w:rPr>
          <w:rFonts w:ascii="仿宋_GB2312" w:eastAsia="仿宋_GB2312"/>
          <w:sz w:val="28"/>
          <w:szCs w:val="28"/>
        </w:rPr>
        <w:t>278</w:t>
      </w:r>
      <w:r>
        <w:rPr>
          <w:rFonts w:hint="eastAsia" w:ascii="仿宋_GB2312" w:eastAsia="仿宋_GB2312"/>
          <w:sz w:val="28"/>
          <w:szCs w:val="28"/>
          <w:lang w:val="en-US" w:eastAsia="zh-CN"/>
        </w:rPr>
        <w:t>,</w:t>
      </w:r>
      <w:r>
        <w:rPr>
          <w:rFonts w:ascii="仿宋_GB2312" w:eastAsia="仿宋_GB2312"/>
          <w:sz w:val="28"/>
          <w:szCs w:val="28"/>
        </w:rPr>
        <w:t>617.25</w:t>
      </w:r>
      <w:r>
        <w:rPr>
          <w:rFonts w:hint="eastAsia" w:ascii="仿宋_GB2312" w:eastAsia="仿宋_GB2312"/>
          <w:sz w:val="28"/>
          <w:szCs w:val="28"/>
        </w:rPr>
        <w:t>元，占政府采购支出总额的</w:t>
      </w:r>
      <w:r>
        <w:rPr>
          <w:rFonts w:ascii="仿宋_GB2312" w:eastAsia="仿宋_GB2312"/>
          <w:sz w:val="28"/>
          <w:szCs w:val="28"/>
        </w:rPr>
        <w:t>100</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截至12月31日，中国共产党北京市门头沟区委政法委员会共有车辆1台；单位价值100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w:t>
      </w:r>
      <w:r>
        <w:rPr>
          <w:rFonts w:hint="eastAsia" w:ascii="仿宋_GB2312" w:eastAsia="仿宋_GB2312"/>
          <w:sz w:val="28"/>
          <w:szCs w:val="28"/>
          <w:highlight w:val="none"/>
          <w:lang w:eastAsia="zh-CN"/>
        </w:rPr>
        <w:t>壹</w:t>
      </w:r>
      <w:r>
        <w:rPr>
          <w:rFonts w:hint="eastAsia" w:ascii="仿宋_GB2312" w:eastAsia="仿宋_GB2312"/>
          <w:sz w:val="28"/>
          <w:szCs w:val="28"/>
        </w:rPr>
        <w:t>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lang w:val="en-US" w:eastAsia="zh-CN"/>
        </w:rPr>
        <w:t>6.</w:t>
      </w:r>
      <w:r>
        <w:rPr>
          <w:rFonts w:hint="default" w:ascii="仿宋_GB2312" w:eastAsia="仿宋_GB2312"/>
          <w:sz w:val="28"/>
          <w:szCs w:val="28"/>
        </w:rPr>
        <w:t>群防群治：是群众性、互助性自防自治活动的简称。具体说来，是指在各级党委政府领导和专门机关指导下，群众自己组织起来，预防和治理违法犯罪活动，维护所在地区或单位治安的一种活动，是社会治安综合治理工作的一项重要工作原则。</w:t>
      </w:r>
    </w:p>
    <w:p>
      <w:pPr>
        <w:pStyle w:val="2"/>
      </w:pP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hint="eastAsia" w:asciiTheme="minorEastAsia" w:hAnsiTheme="minorEastAsia" w:eastAsiaTheme="minorEastAsia"/>
          <w:b/>
          <w:sz w:val="36"/>
          <w:szCs w:val="36"/>
        </w:rPr>
      </w:pPr>
    </w:p>
    <w:p>
      <w:pPr>
        <w:tabs>
          <w:tab w:val="center" w:pos="6979"/>
        </w:tabs>
        <w:spacing w:line="580" w:lineRule="exact"/>
        <w:ind w:firstLine="720" w:firstLineChars="200"/>
        <w:jc w:val="center"/>
        <w:rPr>
          <w:rFonts w:hint="eastAsia" w:asciiTheme="minorEastAsia" w:hAnsiTheme="minorEastAsia" w:eastAsiaTheme="minorEastAsia"/>
          <w:b/>
          <w:sz w:val="36"/>
          <w:szCs w:val="36"/>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区委政法委在区委领导下履行职责、开展工作，应当把握政治方向、协调各方职能、统筹政法工作、建设政法队伍、督促依法履职、创造公正司法环境，带头依法依规办事，保证党的路线方针政策和党中央、市委重大决策部署贯彻落实，保证宪法法律正确统一实施。主要职责是：</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1.贯彻习近平新时代中国特色社会主义思想，坚持党对政法工作的绝对领导，坚决执行党的路线方针政策和党中央重大决策部署，推动完善和落实政治轮训和政治督察制度。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2.贯彻党中央、市委和区委决定，研究协调本区政法单位之间，政法单位和有关部门之间有关重大事项，统一政法单位思想和行动。</w:t>
      </w:r>
    </w:p>
    <w:p>
      <w:pPr>
        <w:spacing w:line="580" w:lineRule="exact"/>
        <w:ind w:firstLine="640"/>
        <w:rPr>
          <w:rFonts w:hint="eastAsia" w:ascii="仿宋_GB2312" w:eastAsia="仿宋_GB2312"/>
          <w:sz w:val="32"/>
          <w:szCs w:val="32"/>
        </w:rPr>
      </w:pPr>
      <w:r>
        <w:rPr>
          <w:rFonts w:hint="eastAsia" w:ascii="仿宋_GB2312" w:eastAsia="仿宋_GB2312"/>
          <w:sz w:val="32"/>
          <w:szCs w:val="32"/>
        </w:rPr>
        <w:t>3.加强对本区政法领域重大实践和理论问题调查研究，提出重大决策部署和改革措施的意见和建议，协助区委决策和统筹推进政法改革等各项工作。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了解掌握和分析研判本区社会稳定形势、政法工作情况动态，创新完善多部门参与的平安建设工作协调机制，协调推动预防、化解影响稳定的社会矛盾和风险，协调应对和处置重大突发事件，协调指导政法单位和有关部门做好反邪教、反暴恐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5.加强对本区政法工作的督查，统筹协调社会治安综合治理、维护社会稳定、反邪教、反暴恐等有关法律法规规章和政策的实施工作。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6.支持和监督本区政法单位依法行使职权，检查政法单位执行党的路线方针政策、党中央重大决策部署和国家法律法规的情况，指导和协调政法单位密切配合，完善与纪检监察机关工作衔接和协作配合机制，推进严格执法、公正司法。</w:t>
      </w:r>
    </w:p>
    <w:p>
      <w:pPr>
        <w:spacing w:line="580" w:lineRule="exact"/>
        <w:ind w:firstLine="640"/>
        <w:rPr>
          <w:rFonts w:hint="eastAsia" w:ascii="仿宋_GB2312" w:eastAsia="仿宋_GB2312"/>
          <w:sz w:val="32"/>
          <w:szCs w:val="32"/>
        </w:rPr>
      </w:pPr>
      <w:r>
        <w:rPr>
          <w:rFonts w:hint="eastAsia" w:ascii="仿宋_GB2312" w:eastAsia="仿宋_GB2312"/>
          <w:sz w:val="32"/>
          <w:szCs w:val="32"/>
        </w:rPr>
        <w:t>7.指导和推动本区政法单位党的建设和政法队伍建设，协助区委和区委组织部加强政法单位领导班子和干部队伍建设，协助区委和纪检监察机关做好监督检查、审查调查工作，派员列席区级政法单位民主生活会。</w:t>
      </w:r>
    </w:p>
    <w:p>
      <w:pPr>
        <w:spacing w:line="580" w:lineRule="exact"/>
        <w:ind w:firstLine="640"/>
        <w:rPr>
          <w:rFonts w:hint="eastAsia" w:ascii="仿宋_GB2312" w:eastAsia="仿宋_GB2312"/>
          <w:sz w:val="32"/>
          <w:szCs w:val="32"/>
        </w:rPr>
      </w:pPr>
      <w:r>
        <w:rPr>
          <w:rFonts w:hint="eastAsia" w:ascii="仿宋_GB2312" w:eastAsia="仿宋_GB2312"/>
          <w:sz w:val="32"/>
          <w:szCs w:val="32"/>
        </w:rPr>
        <w:t>8.落实中央、市委和本区国家安全领导机构、全面依法治国领导机构的决策部署，支持配合其办事机构工作；指导本区政法单位加强国家政治安全战略研究、法治门头沟建设重大问题研究，提出建议和工作意见，指导和协调政法单位维护政治安全工作和执法司法相关工作。</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9.掌握分析本区政法舆情动态，指导和协调政法单位和有关部门做好依法处理、宣传报道和舆论引导等相关工作。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本部门共设6个内设机构，下设2个事业单位。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聚焦重大会议活动安保，高标准站好京西第一岗,聚焦社会大局和谐稳定，高水平筑牢安全屏障,聚焦平安共建治理体系，高起点构建社会治理格局,聚焦服务经济社会发展，高质效提供坚强法治保障,聚焦锻造京西红色政法铁军，高质量打造政法队伍。</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3"/>
        <w:gridCol w:w="5048"/>
        <w:gridCol w:w="2078"/>
        <w:gridCol w:w="2079"/>
        <w:gridCol w:w="2079"/>
        <w:gridCol w:w="2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bookmarkStart w:id="3" w:name="_Toc268005761"/>
            <w:r>
              <w:rPr>
                <w:rFonts w:hint="eastAsia" w:ascii="仿宋_GB2312" w:hAnsi="仿宋_GB2312" w:eastAsia="仿宋_GB2312" w:cs="仿宋_GB2312"/>
                <w:b/>
                <w:bCs/>
                <w:i w:val="0"/>
                <w:iCs w:val="0"/>
                <w:color w:val="000000"/>
                <w:kern w:val="0"/>
                <w:sz w:val="32"/>
                <w:szCs w:val="32"/>
                <w:u w:val="none"/>
                <w:lang w:val="en-US" w:eastAsia="zh-CN" w:bidi="ar"/>
              </w:rPr>
              <w:t>序号</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 xml:space="preserve"> 三级指标</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指标性质</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指标值</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度量单位</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举办宣传活动</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解决维稳问题</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3</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维护社会稳定</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4</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解决群防群治队伍建设问题</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5</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群众满意度</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6</w:t>
            </w:r>
          </w:p>
        </w:tc>
        <w:tc>
          <w:tcPr>
            <w:tcW w:w="15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严格控制预算</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90</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10</w:t>
            </w:r>
          </w:p>
        </w:tc>
      </w:tr>
    </w:tbl>
    <w:p>
      <w:pPr>
        <w:spacing w:line="580" w:lineRule="exact"/>
        <w:ind w:firstLine="641"/>
        <w:rPr>
          <w:rFonts w:hint="eastAsia" w:ascii="楷体_GB2312" w:eastAsia="楷体_GB2312"/>
          <w:b/>
          <w:sz w:val="32"/>
          <w:szCs w:val="32"/>
        </w:rPr>
      </w:pPr>
      <w:r>
        <w:rPr>
          <w:rFonts w:hint="eastAsia" w:ascii="楷体_GB2312" w:eastAsia="楷体_GB2312"/>
          <w:b/>
          <w:sz w:val="32"/>
          <w:szCs w:val="32"/>
        </w:rPr>
        <w:t>(二)当年预算执行情况</w:t>
      </w:r>
      <w:bookmarkEnd w:id="3"/>
      <w:r>
        <w:rPr>
          <w:rFonts w:hint="eastAsia" w:ascii="楷体_GB2312" w:eastAsia="楷体_GB2312"/>
          <w:b/>
          <w:sz w:val="32"/>
          <w:szCs w:val="32"/>
        </w:rPr>
        <w:t xml:space="preserve">  </w:t>
      </w:r>
    </w:p>
    <w:p>
      <w:pPr>
        <w:spacing w:line="580" w:lineRule="exact"/>
        <w:ind w:firstLine="641"/>
        <w:rPr>
          <w:rFonts w:hint="eastAsia" w:ascii="仿宋_GB2312" w:eastAsia="仿宋_GB2312"/>
          <w:sz w:val="32"/>
          <w:szCs w:val="32"/>
          <w:highlight w:val="none"/>
        </w:rPr>
      </w:pPr>
      <w:r>
        <w:rPr>
          <w:rFonts w:hint="eastAsia" w:ascii="仿宋_GB2312" w:eastAsia="仿宋_GB2312"/>
          <w:sz w:val="32"/>
          <w:szCs w:val="32"/>
          <w:highlight w:val="none"/>
        </w:rPr>
        <w:t>2025年全年预算数</w:t>
      </w:r>
      <w:r>
        <w:rPr>
          <w:rFonts w:hint="eastAsia" w:ascii="仿宋_GB2312" w:hAnsi="仿宋" w:eastAsia="仿宋_GB2312" w:cs="Times New Roman"/>
          <w:sz w:val="32"/>
          <w:szCs w:val="32"/>
          <w:highlight w:val="none"/>
          <w:lang w:val="en-US" w:eastAsia="zh-CN"/>
        </w:rPr>
        <w:t>1,613.68万</w:t>
      </w:r>
      <w:r>
        <w:rPr>
          <w:rFonts w:hint="eastAsia" w:ascii="仿宋_GB2312" w:eastAsia="仿宋_GB2312"/>
          <w:sz w:val="32"/>
          <w:szCs w:val="32"/>
          <w:highlight w:val="none"/>
        </w:rPr>
        <w:t>元，其中，基本支出预算数</w:t>
      </w:r>
      <w:r>
        <w:rPr>
          <w:rFonts w:hint="eastAsia" w:ascii="仿宋_GB2312" w:hAnsi="仿宋" w:eastAsia="仿宋_GB2312" w:cs="Times New Roman"/>
          <w:sz w:val="32"/>
          <w:szCs w:val="32"/>
          <w:highlight w:val="none"/>
          <w:lang w:val="en-US" w:eastAsia="zh-CN"/>
        </w:rPr>
        <w:t>1,137.91万</w:t>
      </w:r>
      <w:r>
        <w:rPr>
          <w:rFonts w:hint="eastAsia" w:ascii="仿宋_GB2312" w:eastAsia="仿宋_GB2312"/>
          <w:sz w:val="32"/>
          <w:szCs w:val="32"/>
          <w:highlight w:val="none"/>
        </w:rPr>
        <w:t>元，项目支出预算数</w:t>
      </w:r>
      <w:r>
        <w:rPr>
          <w:rFonts w:hint="eastAsia" w:ascii="仿宋_GB2312" w:hAnsi="仿宋" w:eastAsia="仿宋_GB2312" w:cs="Times New Roman"/>
          <w:sz w:val="32"/>
          <w:szCs w:val="32"/>
          <w:highlight w:val="none"/>
          <w:lang w:val="en-US" w:eastAsia="zh-CN"/>
        </w:rPr>
        <w:t>475.77万</w:t>
      </w:r>
      <w:r>
        <w:rPr>
          <w:rFonts w:hint="eastAsia" w:ascii="仿宋_GB2312" w:eastAsia="仿宋_GB2312"/>
          <w:sz w:val="32"/>
          <w:szCs w:val="32"/>
          <w:highlight w:val="none"/>
        </w:rPr>
        <w:t>元。全年支出</w:t>
      </w:r>
      <w:r>
        <w:rPr>
          <w:rFonts w:hint="eastAsia" w:ascii="仿宋_GB2312" w:hAnsi="仿宋" w:eastAsia="仿宋_GB2312" w:cs="Times New Roman"/>
          <w:sz w:val="32"/>
          <w:szCs w:val="32"/>
          <w:highlight w:val="none"/>
          <w:lang w:val="en-US" w:eastAsia="zh-CN"/>
        </w:rPr>
        <w:t>1,137.91万</w:t>
      </w:r>
      <w:r>
        <w:rPr>
          <w:rFonts w:hint="eastAsia" w:ascii="仿宋_GB2312" w:eastAsia="仿宋_GB2312"/>
          <w:sz w:val="32"/>
          <w:szCs w:val="32"/>
          <w:highlight w:val="none"/>
        </w:rPr>
        <w:t>元，其中，基本支出</w:t>
      </w:r>
      <w:r>
        <w:rPr>
          <w:rFonts w:hint="eastAsia" w:ascii="仿宋_GB2312" w:hAnsi="仿宋" w:eastAsia="仿宋_GB2312" w:cs="Times New Roman"/>
          <w:sz w:val="32"/>
          <w:szCs w:val="32"/>
          <w:highlight w:val="none"/>
          <w:lang w:val="en-US" w:eastAsia="zh-CN"/>
        </w:rPr>
        <w:t>1,137.91万</w:t>
      </w:r>
      <w:r>
        <w:rPr>
          <w:rFonts w:hint="eastAsia" w:ascii="仿宋_GB2312" w:eastAsia="仿宋_GB2312"/>
          <w:sz w:val="32"/>
          <w:szCs w:val="32"/>
          <w:highlight w:val="none"/>
        </w:rPr>
        <w:t>元，项目支出</w:t>
      </w:r>
      <w:r>
        <w:rPr>
          <w:rFonts w:hint="eastAsia" w:ascii="仿宋_GB2312" w:hAnsi="仿宋" w:eastAsia="仿宋_GB2312" w:cs="Times New Roman"/>
          <w:sz w:val="32"/>
          <w:szCs w:val="32"/>
          <w:highlight w:val="none"/>
          <w:lang w:val="en-US" w:eastAsia="zh-CN"/>
        </w:rPr>
        <w:t>475.77</w:t>
      </w:r>
      <w:r>
        <w:rPr>
          <w:rFonts w:hint="eastAsia" w:ascii="仿宋_GB2312" w:eastAsia="仿宋_GB2312"/>
          <w:sz w:val="32"/>
          <w:szCs w:val="32"/>
          <w:highlight w:val="none"/>
        </w:rPr>
        <w:t>元。预算执行率为</w:t>
      </w:r>
      <w:r>
        <w:rPr>
          <w:rFonts w:hint="eastAsia" w:ascii="仿宋_GB2312" w:eastAsia="仿宋_GB2312"/>
          <w:sz w:val="32"/>
          <w:szCs w:val="32"/>
          <w:highlight w:val="none"/>
          <w:lang w:val="en-US" w:eastAsia="zh-CN"/>
        </w:rPr>
        <w:t>100.0</w:t>
      </w:r>
      <w:r>
        <w:rPr>
          <w:rFonts w:hint="eastAsia" w:ascii="仿宋_GB2312" w:eastAsia="仿宋_GB2312"/>
          <w:sz w:val="32"/>
          <w:szCs w:val="32"/>
          <w:highlight w:val="none"/>
        </w:rPr>
        <w:t xml:space="preserve">%。                      </w:t>
      </w:r>
    </w:p>
    <w:p>
      <w:pPr>
        <w:spacing w:line="520" w:lineRule="exact"/>
        <w:ind w:firstLine="640" w:firstLineChars="200"/>
        <w:rPr>
          <w:rFonts w:ascii="仿宋_GB2312" w:hAnsi="Times New Roman" w:eastAsia="仿宋_GB2312" w:cs="Times New Roman"/>
          <w:sz w:val="32"/>
          <w:szCs w:val="32"/>
          <w:highlight w:val="none"/>
        </w:rPr>
      </w:pPr>
      <w:r>
        <w:rPr>
          <w:rFonts w:hint="eastAsia" w:ascii="仿宋_GB2312" w:eastAsia="仿宋_GB2312"/>
          <w:sz w:val="32"/>
          <w:szCs w:val="32"/>
          <w:highlight w:val="none"/>
        </w:rPr>
        <w:t>2025年年末结转结余资金总额为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元，全年支出预算数为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元，资金结转结余率为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%；2024年年末结转结余资金总额为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元，全年支出预算数为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元，资金结转结余率为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r>
        <w:rPr>
          <w:rFonts w:ascii="仿宋_GB2312" w:hAnsi="Times New Roman" w:eastAsia="仿宋_GB2312" w:cs="Times New Roman"/>
          <w:sz w:val="32"/>
          <w:szCs w:val="32"/>
          <w:highlight w:val="none"/>
        </w:rPr>
        <w:t>202</w:t>
      </w:r>
      <w:r>
        <w:rPr>
          <w:rFonts w:hint="eastAsia" w:ascii="仿宋_GB2312" w:hAnsi="Times New Roman" w:eastAsia="仿宋_GB2312" w:cs="Times New Roman"/>
          <w:sz w:val="32"/>
          <w:szCs w:val="32"/>
          <w:highlight w:val="none"/>
        </w:rPr>
        <w:t>5年度部门结转结余率较上一年</w:t>
      </w:r>
      <w:r>
        <w:rPr>
          <w:rFonts w:hint="eastAsia" w:ascii="仿宋_GB2312" w:hAnsi="Times New Roman" w:eastAsia="仿宋_GB2312" w:cs="Times New Roman"/>
          <w:sz w:val="32"/>
          <w:szCs w:val="32"/>
          <w:highlight w:val="none"/>
          <w:lang w:eastAsia="zh-CN"/>
        </w:rPr>
        <w:t>无变化</w:t>
      </w:r>
      <w:r>
        <w:rPr>
          <w:rFonts w:hint="eastAsia" w:ascii="仿宋_GB2312" w:hAnsi="Times New Roman" w:eastAsia="仿宋_GB2312" w:cs="Times New Roman"/>
          <w:sz w:val="32"/>
          <w:szCs w:val="32"/>
          <w:highlight w:val="none"/>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1337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0"/>
        <w:gridCol w:w="3057"/>
        <w:gridCol w:w="3522"/>
        <w:gridCol w:w="2805"/>
        <w:gridCol w:w="3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序号</w:t>
            </w:r>
          </w:p>
        </w:tc>
        <w:tc>
          <w:tcPr>
            <w:tcW w:w="3057" w:type="dxa"/>
            <w:tcBorders>
              <w:top w:val="single" w:color="auto" w:sz="4" w:space="0"/>
              <w:left w:val="nil"/>
              <w:bottom w:val="single" w:color="auto" w:sz="4" w:space="0"/>
              <w:right w:val="single" w:color="auto" w:sz="4" w:space="0"/>
              <w:tl2br w:val="nil"/>
              <w:tr2bl w:val="nil"/>
            </w:tcBorders>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eastAsia="仿宋_GB2312"/>
                <w:sz w:val="28"/>
                <w:szCs w:val="28"/>
              </w:rPr>
              <w:t>三级指标</w:t>
            </w:r>
          </w:p>
        </w:tc>
        <w:tc>
          <w:tcPr>
            <w:tcW w:w="3522" w:type="dxa"/>
            <w:tcBorders>
              <w:top w:val="single" w:color="auto" w:sz="4" w:space="0"/>
              <w:left w:val="nil"/>
              <w:bottom w:val="single" w:color="auto" w:sz="4" w:space="0"/>
              <w:right w:val="single" w:color="auto" w:sz="4" w:space="0"/>
              <w:tl2br w:val="nil"/>
              <w:tr2bl w:val="nil"/>
            </w:tcBorders>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计划值</w:t>
            </w:r>
          </w:p>
        </w:tc>
        <w:tc>
          <w:tcPr>
            <w:tcW w:w="2805" w:type="dxa"/>
            <w:tcBorders>
              <w:top w:val="single" w:color="auto" w:sz="4" w:space="0"/>
              <w:left w:val="nil"/>
              <w:bottom w:val="single" w:color="auto" w:sz="4" w:space="0"/>
              <w:right w:val="single" w:color="auto" w:sz="4" w:space="0"/>
              <w:tl2br w:val="nil"/>
              <w:tr2bl w:val="nil"/>
            </w:tcBorders>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完成值</w:t>
            </w:r>
          </w:p>
        </w:tc>
        <w:tc>
          <w:tcPr>
            <w:tcW w:w="3195" w:type="dxa"/>
            <w:tcBorders>
              <w:top w:val="single" w:color="auto" w:sz="4" w:space="0"/>
              <w:left w:val="nil"/>
              <w:bottom w:val="single" w:color="auto" w:sz="4" w:space="0"/>
              <w:right w:val="single" w:color="auto" w:sz="4" w:space="0"/>
              <w:tl2br w:val="nil"/>
              <w:tr2bl w:val="nil"/>
            </w:tcBorders>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偏差原因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1" w:hRule="atLeast"/>
        </w:trPr>
        <w:tc>
          <w:tcPr>
            <w:tcW w:w="800"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1</w:t>
            </w:r>
          </w:p>
        </w:tc>
        <w:tc>
          <w:tcPr>
            <w:tcW w:w="3057" w:type="dxa"/>
            <w:tcBorders>
              <w:top w:val="nil"/>
              <w:left w:val="nil"/>
              <w:bottom w:val="single" w:color="auto" w:sz="4" w:space="0"/>
              <w:right w:val="single" w:color="auto" w:sz="4" w:space="0"/>
              <w:tl2br w:val="nil"/>
              <w:tr2bl w:val="nil"/>
            </w:tcBorders>
            <w:shd w:val="clear" w:color="auto" w:fill="auto"/>
            <w:noWrap w:val="0"/>
            <w:vAlign w:val="center"/>
          </w:tcPr>
          <w:p>
            <w:pPr>
              <w:widowControl/>
              <w:spacing w:beforeLines="0" w:afterLines="0" w:line="300" w:lineRule="exact"/>
              <w:jc w:val="left"/>
              <w:textAlignment w:val="center"/>
              <w:rPr>
                <w:rFonts w:hint="eastAsia" w:ascii="仿宋_GB2312" w:hAnsi="宋体"/>
                <w:color w:val="auto"/>
                <w:kern w:val="0"/>
                <w:sz w:val="28"/>
                <w:szCs w:val="24"/>
              </w:rPr>
            </w:pPr>
            <w:r>
              <w:rPr>
                <w:rFonts w:hint="eastAsia" w:ascii="Arial" w:hAnsi="Arial" w:eastAsia="等线"/>
                <w:color w:val="auto"/>
                <w:kern w:val="0"/>
                <w:sz w:val="20"/>
                <w:szCs w:val="24"/>
              </w:rPr>
              <w:t>通过平安建设，减少因为违法犯罪和不稳定因素等造成的经济社会损失；通过打击非法盗采、乱倒垃圾渣土等行动，维护我区生态环境，避免政府为恢复生态环境增加财政投入。</w:t>
            </w:r>
          </w:p>
        </w:tc>
        <w:tc>
          <w:tcPr>
            <w:tcW w:w="3522"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1.为维护我区良好的治安秩序，开展社会治安重点地区、城乡结合部重点地区等治安乱点综合整治工作。2.加强群防群治基层基础建设。为加强社会面防控工作，确保安全稳定。对1个区级治安志愿者协会，13个镇街级治安志愿者分会和近200个治安志愿者工作站进行规范化管理。</w:t>
            </w:r>
          </w:p>
        </w:tc>
        <w:tc>
          <w:tcPr>
            <w:tcW w:w="2805" w:type="dxa"/>
            <w:tcBorders>
              <w:top w:val="nil"/>
              <w:left w:val="nil"/>
              <w:bottom w:val="single" w:color="auto" w:sz="4" w:space="0"/>
              <w:right w:val="single" w:color="auto" w:sz="4" w:space="0"/>
              <w:tl2br w:val="nil"/>
              <w:tr2bl w:val="nil"/>
            </w:tcBorders>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政治生态进一步优化，纪律作风进一步好转，素质能力进一步增强，执法司法公信力进一步提升。</w:t>
            </w:r>
          </w:p>
        </w:tc>
        <w:tc>
          <w:tcPr>
            <w:tcW w:w="3195" w:type="dxa"/>
            <w:tcBorders>
              <w:top w:val="nil"/>
              <w:left w:val="nil"/>
              <w:bottom w:val="single" w:color="auto" w:sz="4" w:space="0"/>
              <w:right w:val="single" w:color="auto" w:sz="4" w:space="0"/>
              <w:tl2br w:val="nil"/>
              <w:tr2bl w:val="nil"/>
            </w:tcBorders>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2</w:t>
            </w:r>
          </w:p>
        </w:tc>
        <w:tc>
          <w:tcPr>
            <w:tcW w:w="3057"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eastAsia" w:ascii="仿宋_GB2312" w:hAnsi="宋体"/>
                <w:color w:val="auto"/>
                <w:kern w:val="0"/>
                <w:sz w:val="28"/>
                <w:szCs w:val="24"/>
              </w:rPr>
            </w:pPr>
            <w:r>
              <w:rPr>
                <w:rFonts w:hint="eastAsia" w:ascii="Arial" w:hAnsi="Arial" w:eastAsia="等线"/>
                <w:color w:val="auto"/>
                <w:kern w:val="0"/>
                <w:sz w:val="20"/>
                <w:szCs w:val="24"/>
              </w:rPr>
              <w:t>通过平安宣传与建设及安全知识的普及等，逐年降低治安案件、刑事案件发案率，逐年减少非正常访，全面提升门头沟区人民群众的安全感满意度</w:t>
            </w:r>
          </w:p>
        </w:tc>
        <w:tc>
          <w:tcPr>
            <w:tcW w:w="3522"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加强重点时期社会面防控</w:t>
            </w:r>
          </w:p>
        </w:tc>
        <w:tc>
          <w:tcPr>
            <w:tcW w:w="2805"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圆满完成重点时期社会面防控任务，治安防范意识显著提升。</w:t>
            </w:r>
          </w:p>
        </w:tc>
        <w:tc>
          <w:tcPr>
            <w:tcW w:w="3195" w:type="dxa"/>
            <w:tcBorders>
              <w:top w:val="nil"/>
              <w:left w:val="nil"/>
              <w:bottom w:val="single" w:color="auto" w:sz="4" w:space="0"/>
              <w:right w:val="single" w:color="auto" w:sz="4" w:space="0"/>
              <w:tl2br w:val="nil"/>
              <w:tr2bl w:val="nil"/>
            </w:tcBorders>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　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pPr>
              <w:widowControl/>
              <w:spacing w:beforeLines="0" w:afterLines="0" w:line="520" w:lineRule="exact"/>
              <w:ind w:firstLine="0" w:firstLineChars="0"/>
              <w:jc w:val="center"/>
              <w:rPr>
                <w:rFonts w:hint="eastAsia" w:ascii="仿宋_GB2312" w:hAnsi="宋体"/>
                <w:color w:val="auto"/>
                <w:kern w:val="0"/>
                <w:sz w:val="28"/>
                <w:szCs w:val="24"/>
              </w:rPr>
            </w:pPr>
            <w:r>
              <w:rPr>
                <w:rFonts w:hint="eastAsia" w:ascii="仿宋_GB2312" w:hAnsi="宋体"/>
                <w:color w:val="auto"/>
                <w:kern w:val="0"/>
                <w:sz w:val="28"/>
                <w:szCs w:val="24"/>
              </w:rPr>
              <w:t>3</w:t>
            </w:r>
          </w:p>
        </w:tc>
        <w:tc>
          <w:tcPr>
            <w:tcW w:w="3057"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eastAsia" w:ascii="仿宋_GB2312" w:hAnsi="宋体"/>
                <w:color w:val="auto"/>
                <w:kern w:val="0"/>
                <w:sz w:val="28"/>
                <w:szCs w:val="24"/>
              </w:rPr>
            </w:pPr>
            <w:r>
              <w:rPr>
                <w:rFonts w:hint="eastAsia" w:ascii="Arial" w:hAnsi="Arial" w:eastAsia="等线"/>
                <w:color w:val="auto"/>
                <w:kern w:val="0"/>
                <w:sz w:val="20"/>
                <w:szCs w:val="24"/>
              </w:rPr>
              <w:t>持续深入开展多种形式的基层平安创建活动，逐步健全重点领域长效维稳机制，形成以小平安累积大平安的工作格局，具有可持续性。</w:t>
            </w:r>
          </w:p>
        </w:tc>
        <w:tc>
          <w:tcPr>
            <w:tcW w:w="3522"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开展村居群众对培训活动</w:t>
            </w:r>
          </w:p>
        </w:tc>
        <w:tc>
          <w:tcPr>
            <w:tcW w:w="2805" w:type="dxa"/>
            <w:tcBorders>
              <w:top w:val="nil"/>
              <w:left w:val="nil"/>
              <w:bottom w:val="single" w:color="auto" w:sz="4" w:space="0"/>
              <w:right w:val="single" w:color="auto" w:sz="4" w:space="0"/>
              <w:tl2br w:val="nil"/>
              <w:tr2bl w:val="nil"/>
            </w:tcBorders>
            <w:shd w:val="clear" w:color="auto" w:fill="FFFFFF"/>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持续开展群防群治队伍建设，打造优秀志愿服务品牌</w:t>
            </w:r>
          </w:p>
        </w:tc>
        <w:tc>
          <w:tcPr>
            <w:tcW w:w="3195" w:type="dxa"/>
            <w:tcBorders>
              <w:top w:val="nil"/>
              <w:left w:val="nil"/>
              <w:bottom w:val="single" w:color="auto" w:sz="4" w:space="0"/>
              <w:right w:val="single" w:color="auto" w:sz="4" w:space="0"/>
              <w:tl2br w:val="nil"/>
              <w:tr2bl w:val="nil"/>
            </w:tcBorders>
            <w:noWrap w:val="0"/>
            <w:vAlign w:val="center"/>
          </w:tcPr>
          <w:p>
            <w:pPr>
              <w:widowControl/>
              <w:spacing w:beforeLines="0" w:afterLines="0" w:line="300" w:lineRule="exact"/>
              <w:ind w:firstLine="396"/>
              <w:jc w:val="left"/>
              <w:textAlignment w:val="center"/>
              <w:rPr>
                <w:rFonts w:hint="default" w:ascii="Arial" w:hAnsi="Arial" w:eastAsia="等线"/>
                <w:color w:val="auto"/>
                <w:kern w:val="0"/>
                <w:sz w:val="20"/>
                <w:szCs w:val="24"/>
              </w:rPr>
            </w:pPr>
            <w:r>
              <w:rPr>
                <w:rFonts w:hint="eastAsia" w:ascii="Arial" w:hAnsi="Arial" w:eastAsia="等线"/>
                <w:color w:val="auto"/>
                <w:kern w:val="0"/>
                <w:sz w:val="20"/>
                <w:szCs w:val="24"/>
              </w:rPr>
              <w:t>　无</w:t>
            </w:r>
          </w:p>
        </w:tc>
      </w:tr>
    </w:tbl>
    <w:p>
      <w:pPr>
        <w:spacing w:beforeLines="0" w:afterLines="0" w:line="520" w:lineRule="exact"/>
        <w:ind w:firstLine="634"/>
        <w:rPr>
          <w:rFonts w:hint="eastAsia" w:ascii="仿宋_GB2312" w:hAnsi="仿宋_GB2312" w:eastAsia="仿宋_GB2312" w:cs="仿宋_GB2312"/>
          <w:color w:val="auto"/>
          <w:sz w:val="32"/>
          <w:szCs w:val="24"/>
          <w:shd w:val="clear" w:color="auto" w:fill="FFFFFF"/>
        </w:rPr>
      </w:pP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lang w:val="en-US" w:eastAsia="zh-CN"/>
        </w:rPr>
        <w:t>2</w:t>
      </w: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rPr>
        <w:t>.产出质量：严格落实各项工作要求</w:t>
      </w:r>
    </w:p>
    <w:p>
      <w:pPr>
        <w:spacing w:beforeLines="0" w:afterLines="0" w:line="520" w:lineRule="exact"/>
        <w:ind w:firstLine="634"/>
        <w:rPr>
          <w:rFonts w:hint="eastAsia" w:ascii="仿宋_GB2312" w:hAnsi="仿宋_GB2312" w:eastAsia="仿宋_GB2312" w:cs="仿宋_GB2312"/>
          <w:color w:val="auto"/>
          <w:sz w:val="32"/>
          <w:szCs w:val="24"/>
          <w:shd w:val="clear" w:color="auto" w:fill="FFFFFF"/>
        </w:rPr>
      </w:pP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lang w:val="en-US" w:eastAsia="zh-CN"/>
        </w:rPr>
        <w:t>3</w:t>
      </w: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rPr>
        <w:t>.产出进度：202</w:t>
      </w:r>
      <w:r>
        <w:rPr>
          <w:rFonts w:hint="eastAsia" w:ascii="仿宋_GB2312" w:hAnsi="仿宋_GB2312" w:eastAsia="仿宋_GB2312" w:cs="仿宋_GB2312"/>
          <w:color w:val="auto"/>
          <w:sz w:val="32"/>
          <w:szCs w:val="24"/>
          <w:shd w:val="clear" w:color="auto" w:fill="FFFFFF"/>
          <w:lang w:val="en-US" w:eastAsia="zh-CN"/>
        </w:rPr>
        <w:t>5</w:t>
      </w:r>
      <w:r>
        <w:rPr>
          <w:rFonts w:hint="eastAsia" w:ascii="仿宋_GB2312" w:hAnsi="仿宋_GB2312" w:eastAsia="仿宋_GB2312" w:cs="仿宋_GB2312"/>
          <w:color w:val="auto"/>
          <w:sz w:val="32"/>
          <w:szCs w:val="24"/>
          <w:shd w:val="clear" w:color="auto" w:fill="FFFFFF"/>
        </w:rPr>
        <w:t>年完成</w:t>
      </w:r>
    </w:p>
    <w:p>
      <w:pPr>
        <w:spacing w:beforeLines="0" w:afterLines="0" w:line="520" w:lineRule="exact"/>
        <w:ind w:firstLine="634"/>
        <w:rPr>
          <w:rFonts w:hint="eastAsia" w:ascii="仿宋_GB2312" w:hAnsi="仿宋_GB2312" w:eastAsia="仿宋_GB2312" w:cs="仿宋_GB2312"/>
          <w:color w:val="auto"/>
          <w:sz w:val="32"/>
          <w:szCs w:val="24"/>
          <w:shd w:val="clear" w:color="auto" w:fill="FFFFFF"/>
          <w:lang w:eastAsia="zh-CN"/>
        </w:rPr>
      </w:pP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lang w:val="en-US" w:eastAsia="zh-CN"/>
        </w:rPr>
        <w:t>4</w:t>
      </w:r>
      <w:r>
        <w:rPr>
          <w:rFonts w:hint="eastAsia" w:ascii="仿宋_GB2312" w:hAnsi="仿宋_GB2312" w:eastAsia="仿宋_GB2312" w:cs="仿宋_GB2312"/>
          <w:color w:val="auto"/>
          <w:sz w:val="32"/>
          <w:szCs w:val="24"/>
          <w:shd w:val="clear" w:color="auto" w:fill="FFFFFF"/>
          <w:lang w:eastAsia="zh-CN"/>
        </w:rPr>
        <w:t>）</w:t>
      </w:r>
      <w:r>
        <w:rPr>
          <w:rFonts w:hint="eastAsia" w:ascii="仿宋_GB2312" w:hAnsi="仿宋_GB2312" w:eastAsia="仿宋_GB2312" w:cs="仿宋_GB2312"/>
          <w:color w:val="auto"/>
          <w:sz w:val="32"/>
          <w:szCs w:val="24"/>
          <w:shd w:val="clear" w:color="auto" w:fill="FFFFFF"/>
        </w:rPr>
        <w:t>.产出成本：</w:t>
      </w:r>
      <w:r>
        <w:rPr>
          <w:rFonts w:hint="eastAsia" w:ascii="仿宋_GB2312" w:hAnsi="仿宋_GB2312" w:eastAsia="仿宋_GB2312" w:cs="仿宋_GB2312"/>
          <w:color w:val="auto"/>
          <w:sz w:val="32"/>
          <w:szCs w:val="24"/>
          <w:shd w:val="clear" w:color="auto" w:fill="FFFFFF"/>
          <w:lang w:eastAsia="zh-CN"/>
        </w:rPr>
        <w:t>严格控制财政预算</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beforeLines="0" w:afterLines="0" w:line="520" w:lineRule="exact"/>
        <w:ind w:firstLine="634"/>
        <w:rPr>
          <w:rFonts w:hint="eastAsia" w:ascii="仿宋_GB2312" w:hAnsi="仿宋_GB2312" w:eastAsia="仿宋_GB2312" w:cs="仿宋_GB2312"/>
          <w:color w:val="auto"/>
          <w:sz w:val="32"/>
          <w:szCs w:val="24"/>
          <w:shd w:val="clear" w:color="auto" w:fill="FFFFFF"/>
        </w:rPr>
      </w:pPr>
      <w:r>
        <w:rPr>
          <w:rFonts w:hint="eastAsia" w:ascii="仿宋_GB2312" w:eastAsia="仿宋_GB2312"/>
          <w:sz w:val="32"/>
          <w:szCs w:val="32"/>
        </w:rPr>
        <w:t>（1）经济效益</w:t>
      </w:r>
      <w:r>
        <w:rPr>
          <w:rFonts w:hint="eastAsia" w:ascii="仿宋_GB2312" w:eastAsia="仿宋_GB2312"/>
          <w:sz w:val="32"/>
          <w:szCs w:val="32"/>
          <w:lang w:eastAsia="zh-CN"/>
        </w:rPr>
        <w:t>：</w:t>
      </w:r>
      <w:r>
        <w:rPr>
          <w:rFonts w:hint="eastAsia" w:ascii="仿宋_GB2312" w:hAnsi="仿宋_GB2312" w:eastAsia="仿宋_GB2312" w:cs="仿宋_GB2312"/>
          <w:color w:val="auto"/>
          <w:sz w:val="32"/>
          <w:szCs w:val="24"/>
          <w:shd w:val="clear" w:color="auto" w:fill="FFFFFF"/>
        </w:rPr>
        <w:t>合理使用预算经费</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（2）社会效益</w:t>
      </w:r>
      <w:r>
        <w:rPr>
          <w:rFonts w:hint="eastAsia" w:ascii="仿宋_GB2312" w:eastAsia="仿宋_GB2312"/>
          <w:sz w:val="32"/>
          <w:szCs w:val="32"/>
          <w:lang w:eastAsia="zh-CN"/>
        </w:rPr>
        <w:t>：</w:t>
      </w:r>
      <w:r>
        <w:rPr>
          <w:rFonts w:hint="eastAsia" w:ascii="仿宋_GB2312" w:hAnsi="仿宋_GB2312" w:eastAsia="仿宋_GB2312" w:cs="仿宋_GB2312"/>
          <w:color w:val="auto"/>
          <w:sz w:val="32"/>
          <w:szCs w:val="24"/>
          <w:shd w:val="clear" w:color="auto" w:fill="FFFFFF"/>
        </w:rPr>
        <w:t>政治生态进一步优化，纪律作风进一步好转，素质能力进一步增强，执法司法公信力进一步提升。</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（3）环境效益</w:t>
      </w:r>
      <w:r>
        <w:rPr>
          <w:rFonts w:hint="eastAsia" w:ascii="仿宋_GB2312" w:eastAsia="仿宋_GB2312"/>
          <w:sz w:val="32"/>
          <w:szCs w:val="32"/>
          <w:lang w:eastAsia="zh-CN"/>
        </w:rPr>
        <w:t>：</w:t>
      </w:r>
      <w:r>
        <w:rPr>
          <w:rFonts w:hint="eastAsia" w:ascii="仿宋_GB2312" w:hAnsi="仿宋_GB2312" w:eastAsia="仿宋_GB2312" w:cs="仿宋_GB2312"/>
          <w:color w:val="auto"/>
          <w:sz w:val="32"/>
          <w:szCs w:val="24"/>
          <w:shd w:val="clear" w:color="auto" w:fill="FFFFFF"/>
        </w:rPr>
        <w:t>不涉及</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（4）可持续影响</w:t>
      </w:r>
      <w:r>
        <w:rPr>
          <w:rFonts w:hint="eastAsia" w:ascii="仿宋_GB2312" w:eastAsia="仿宋_GB2312"/>
          <w:sz w:val="32"/>
          <w:szCs w:val="32"/>
          <w:lang w:eastAsia="zh-CN"/>
        </w:rPr>
        <w:t>：</w:t>
      </w:r>
      <w:r>
        <w:rPr>
          <w:rFonts w:hint="eastAsia" w:ascii="仿宋_GB2312" w:hAnsi="仿宋_GB2312" w:eastAsia="仿宋_GB2312" w:cs="仿宋_GB2312"/>
          <w:color w:val="auto"/>
          <w:sz w:val="32"/>
          <w:szCs w:val="24"/>
          <w:shd w:val="clear" w:color="auto" w:fill="FFFFFF"/>
        </w:rPr>
        <w:t>至少1年</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（5）服务对象满意度</w:t>
      </w:r>
      <w:r>
        <w:rPr>
          <w:rFonts w:hint="eastAsia" w:ascii="仿宋_GB2312" w:eastAsia="仿宋_GB2312"/>
          <w:sz w:val="32"/>
          <w:szCs w:val="32"/>
          <w:lang w:eastAsia="zh-CN"/>
        </w:rPr>
        <w:t>：</w:t>
      </w:r>
      <w:r>
        <w:rPr>
          <w:rFonts w:hint="eastAsia" w:ascii="仿宋_GB2312" w:hAnsi="仿宋_GB2312" w:eastAsia="仿宋_GB2312" w:cs="仿宋_GB2312"/>
          <w:color w:val="auto"/>
          <w:sz w:val="32"/>
          <w:szCs w:val="24"/>
          <w:shd w:val="clear" w:color="auto" w:fill="FFFFFF"/>
        </w:rPr>
        <w:t>85%以上</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进一步规范我单位财务工作，加强资金管理，实现决策的科学化、民主化、制度化，进一步提高领导班子的整体工作效能、决策水平，防范决策风险，先后制定了《门头沟区委政法委财务管理制度》、《门头沟区委政法委“三重一大”决策制度实施细则》、《门头沟区委政法委固定资产管理办法》等制度。其中日常经费报销，经费支出审批流程进行了明确要求。例如在经费支出上规定：申请资金部门依照我单位签报管理规定填写签报单，写明申请资金的事由及金额，资金支付须有经办人员填写支出审批单、主管科长、办公室主任审批后报分管日常工作副书记审批。大额资金的支出申请部门将按流程审批通过后的签报单送交财务。</w:t>
      </w:r>
    </w:p>
    <w:p>
      <w:p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1、资产规模及构成情况：截至20</w:t>
      </w:r>
      <w:r>
        <w:rPr>
          <w:rFonts w:hint="eastAsia" w:ascii="仿宋_GB2312" w:eastAsia="仿宋_GB2312"/>
          <w:sz w:val="32"/>
          <w:szCs w:val="32"/>
          <w:lang w:val="en-US" w:eastAsia="zh-CN"/>
        </w:rPr>
        <w:t>25</w:t>
      </w:r>
      <w:r>
        <w:rPr>
          <w:rFonts w:hint="eastAsia" w:ascii="仿宋_GB2312" w:eastAsia="仿宋_GB2312"/>
          <w:sz w:val="32"/>
          <w:szCs w:val="32"/>
        </w:rPr>
        <w:t>年12月31日，资产总规模757</w:t>
      </w:r>
      <w:r>
        <w:rPr>
          <w:rFonts w:hint="eastAsia" w:ascii="仿宋_GB2312" w:eastAsia="仿宋_GB2312"/>
          <w:sz w:val="32"/>
          <w:szCs w:val="32"/>
          <w:lang w:val="en-US" w:eastAsia="zh-CN"/>
        </w:rPr>
        <w:t>.</w:t>
      </w:r>
      <w:r>
        <w:rPr>
          <w:rFonts w:hint="eastAsia" w:ascii="仿宋_GB2312" w:eastAsia="仿宋_GB2312"/>
          <w:sz w:val="32"/>
          <w:szCs w:val="32"/>
        </w:rPr>
        <w:t>8</w:t>
      </w:r>
      <w:r>
        <w:rPr>
          <w:rFonts w:hint="eastAsia" w:ascii="仿宋_GB2312" w:eastAsia="仿宋_GB2312"/>
          <w:sz w:val="32"/>
          <w:szCs w:val="32"/>
          <w:lang w:val="en-US" w:eastAsia="zh-CN"/>
        </w:rPr>
        <w:t>1万</w:t>
      </w:r>
      <w:r>
        <w:rPr>
          <w:rFonts w:hint="eastAsia" w:ascii="仿宋_GB2312" w:eastAsia="仿宋_GB2312"/>
          <w:sz w:val="32"/>
          <w:szCs w:val="32"/>
        </w:rPr>
        <w:t>元，其中：财政应返还额度0万元，固定资产净值567</w:t>
      </w:r>
      <w:r>
        <w:rPr>
          <w:rFonts w:hint="eastAsia" w:ascii="仿宋_GB2312" w:eastAsia="仿宋_GB2312"/>
          <w:sz w:val="32"/>
          <w:szCs w:val="32"/>
          <w:lang w:val="en-US" w:eastAsia="zh-CN"/>
        </w:rPr>
        <w:t>.</w:t>
      </w:r>
      <w:r>
        <w:rPr>
          <w:rFonts w:hint="eastAsia" w:ascii="仿宋_GB2312" w:eastAsia="仿宋_GB2312"/>
          <w:sz w:val="32"/>
          <w:szCs w:val="32"/>
        </w:rPr>
        <w:t>4</w:t>
      </w:r>
      <w:r>
        <w:rPr>
          <w:rFonts w:hint="eastAsia" w:ascii="仿宋_GB2312" w:eastAsia="仿宋_GB2312"/>
          <w:sz w:val="32"/>
          <w:szCs w:val="32"/>
          <w:lang w:val="en-US" w:eastAsia="zh-CN"/>
        </w:rPr>
        <w:t>7万</w:t>
      </w:r>
      <w:r>
        <w:rPr>
          <w:rFonts w:hint="eastAsia" w:ascii="仿宋_GB2312" w:eastAsia="仿宋_GB2312"/>
          <w:sz w:val="32"/>
          <w:szCs w:val="32"/>
        </w:rPr>
        <w:t>元，在建工程</w:t>
      </w:r>
      <w:r>
        <w:rPr>
          <w:rFonts w:hint="eastAsia" w:ascii="仿宋_GB2312" w:eastAsia="仿宋_GB2312"/>
          <w:sz w:val="32"/>
          <w:szCs w:val="32"/>
          <w:lang w:val="en-US" w:eastAsia="zh-CN"/>
        </w:rPr>
        <w:t>0</w:t>
      </w:r>
      <w:r>
        <w:rPr>
          <w:rFonts w:hint="eastAsia" w:ascii="仿宋_GB2312" w:eastAsia="仿宋_GB2312"/>
          <w:sz w:val="32"/>
          <w:szCs w:val="32"/>
        </w:rPr>
        <w:t>万元。</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2、资产归属情况：均归属本单位。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3、固定资产使用情况：资产使用科室落实本单位资产管理相关规定，按照“谁使用，谁负责”的原则将资产的使用及管理工作落实到人，严格按照一人一物一码的标准执行。</w:t>
      </w:r>
    </w:p>
    <w:p>
      <w:pPr>
        <w:spacing w:line="580" w:lineRule="exact"/>
        <w:ind w:firstLine="640"/>
        <w:rPr>
          <w:rFonts w:hint="eastAsia" w:ascii="仿宋_GB2312" w:hAnsi="仿宋_GB2312" w:eastAsia="仿宋_GB2312" w:cs="仿宋_GB2312"/>
          <w:color w:val="auto"/>
          <w:sz w:val="28"/>
          <w:szCs w:val="28"/>
          <w:shd w:val="clear" w:color="auto" w:fill="FFFFFF"/>
          <w:lang w:eastAsia="zh-CN"/>
        </w:rPr>
      </w:pPr>
      <w:r>
        <w:rPr>
          <w:rFonts w:hint="eastAsia" w:ascii="仿宋_GB2312" w:eastAsia="仿宋_GB2312"/>
          <w:sz w:val="32"/>
          <w:szCs w:val="32"/>
        </w:rPr>
        <w:t>4.固定资产管理及处置情况：科室因人员变动、资产闲置、资产损坏等需要交回资产或者以旧换新时，由资产管理员提出回收申请并填写申请单，经办公室主任审批后到资产实物管理岗办理交回手续。并严格按照资产管理制度，上报资产办，经批准后在系统中进行资产处置</w:t>
      </w:r>
      <w:r>
        <w:rPr>
          <w:rFonts w:hint="eastAsia" w:ascii="仿宋_GB2312" w:eastAsia="仿宋_GB2312"/>
          <w:sz w:val="32"/>
          <w:szCs w:val="32"/>
          <w:lang w:eastAsia="zh-CN"/>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按照区财政局绩效管理工作会议精神，依照《门头沟区预算绩效管理办法（试行）》、《门头沟区财政支出绩效跟踪管理办法（试行）》的相关规定，在领导的高度重视下，建立起以绩效目标为导向、以绩效评价为手段、以制度建设为保障、以改善管理和优化资源配置为目标的预算绩效管理体系，形成预算绩效管理的长效机制。</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14</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9</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64.3</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w:t>
      </w:r>
      <w:r>
        <w:rPr>
          <w:rFonts w:hint="eastAsia" w:ascii="仿宋_GB2312" w:eastAsia="仿宋_GB2312"/>
          <w:sz w:val="32"/>
          <w:szCs w:val="32"/>
          <w:lang w:val="en-US" w:eastAsia="zh-CN"/>
        </w:rPr>
        <w:t>14</w:t>
      </w:r>
      <w:r>
        <w:rPr>
          <w:rFonts w:hint="eastAsia" w:ascii="仿宋_GB2312" w:eastAsia="仿宋_GB2312"/>
          <w:sz w:val="32"/>
          <w:szCs w:val="32"/>
        </w:rPr>
        <w:t>个预算项目进行绩效运行监控，占部门项目总数的</w:t>
      </w:r>
      <w:r>
        <w:rPr>
          <w:rFonts w:hint="eastAsia" w:ascii="仿宋_GB2312" w:eastAsia="仿宋_GB2312"/>
          <w:sz w:val="32"/>
          <w:szCs w:val="32"/>
          <w:lang w:val="en-US" w:eastAsia="zh-CN"/>
        </w:rPr>
        <w:t>100</w:t>
      </w:r>
      <w:r>
        <w:rPr>
          <w:rFonts w:hint="eastAsia" w:ascii="仿宋_GB2312" w:eastAsia="仿宋_GB2312"/>
          <w:sz w:val="32"/>
          <w:szCs w:val="32"/>
        </w:rPr>
        <w:t>%，涉及资金</w:t>
      </w:r>
      <w:r>
        <w:rPr>
          <w:rFonts w:hint="eastAsia" w:ascii="仿宋_GB2312" w:eastAsia="仿宋_GB2312"/>
          <w:sz w:val="32"/>
          <w:szCs w:val="32"/>
          <w:lang w:val="en-US" w:eastAsia="zh-CN"/>
        </w:rPr>
        <w:t>4,757,675.44</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hAnsi="仿宋" w:eastAsia="仿宋_GB2312" w:cs="Times New Roman"/>
          <w:sz w:val="32"/>
          <w:szCs w:val="32"/>
          <w:lang w:val="en-US" w:eastAsia="zh-CN"/>
        </w:rPr>
        <w:t>100</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numPr>
          <w:ilvl w:val="0"/>
          <w:numId w:val="1"/>
        </w:numPr>
        <w:spacing w:line="580" w:lineRule="exact"/>
        <w:ind w:firstLine="640"/>
        <w:rPr>
          <w:rFonts w:hint="default" w:eastAsia="黑体"/>
          <w:lang w:val="en-US" w:eastAsia="zh-CN"/>
        </w:rPr>
      </w:pPr>
      <w:r>
        <w:rPr>
          <w:rFonts w:hint="eastAsia" w:ascii="黑体" w:hAnsi="黑体" w:eastAsia="黑体"/>
          <w:sz w:val="32"/>
          <w:szCs w:val="32"/>
        </w:rPr>
        <w:t>项目支出绩效自评情况</w:t>
      </w:r>
    </w:p>
    <w:p>
      <w:pPr>
        <w:spacing w:line="580" w:lineRule="exact"/>
        <w:ind w:firstLine="640" w:firstLineChars="200"/>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eastAsia="仿宋_GB2312"/>
          <w:sz w:val="32"/>
          <w:szCs w:val="32"/>
          <w:highlight w:val="none"/>
        </w:rPr>
      </w:pPr>
      <w:r>
        <w:rPr>
          <w:rFonts w:hint="eastAsia" w:ascii="仿宋_GB2312" w:eastAsia="仿宋_GB2312"/>
          <w:sz w:val="32"/>
          <w:szCs w:val="32"/>
          <w:highlight w:val="none"/>
        </w:rPr>
        <w:t>2025年度区财政批复项目支出预算项目</w:t>
      </w:r>
      <w:r>
        <w:rPr>
          <w:rFonts w:hint="eastAsia" w:ascii="仿宋_GB2312" w:eastAsia="仿宋_GB2312"/>
          <w:sz w:val="32"/>
          <w:szCs w:val="32"/>
          <w:highlight w:val="none"/>
          <w:lang w:val="en-US" w:eastAsia="zh-CN"/>
        </w:rPr>
        <w:t>14</w:t>
      </w:r>
      <w:r>
        <w:rPr>
          <w:rFonts w:hint="eastAsia" w:ascii="仿宋_GB2312" w:eastAsia="仿宋_GB2312"/>
          <w:sz w:val="32"/>
          <w:szCs w:val="32"/>
          <w:highlight w:val="none"/>
        </w:rPr>
        <w:t>个，涉及金额4757675.44元。本次实施绩效自评项目</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个，涉及金额</w:t>
      </w:r>
      <w:r>
        <w:rPr>
          <w:rFonts w:hint="eastAsia" w:ascii="仿宋_GB2312" w:eastAsia="仿宋_GB2312"/>
          <w:sz w:val="32"/>
          <w:szCs w:val="32"/>
          <w:highlight w:val="none"/>
          <w:lang w:val="en-US" w:eastAsia="zh-CN"/>
        </w:rPr>
        <w:t>3465875.44</w:t>
      </w:r>
      <w:r>
        <w:rPr>
          <w:rFonts w:hint="eastAsia" w:ascii="仿宋_GB2312" w:eastAsia="仿宋_GB2312"/>
          <w:sz w:val="32"/>
          <w:szCs w:val="32"/>
          <w:highlight w:val="none"/>
        </w:rPr>
        <w:t>元</w:t>
      </w:r>
      <w:r>
        <w:rPr>
          <w:rFonts w:hint="eastAsia" w:ascii="仿宋_GB2312" w:eastAsia="仿宋_GB2312"/>
          <w:sz w:val="32"/>
          <w:szCs w:val="32"/>
          <w:highlight w:val="none"/>
        </w:rPr>
        <w:t>。评价得分在90分（含90分）以上的</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个，评价得分在80-90分（含80分）的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个，评价得分在60-80分（含60分）的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个，评价得分在60分以下的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详见</w:t>
      </w:r>
      <w:r>
        <w:rPr>
          <w:rFonts w:hint="eastAsia" w:ascii="仿宋_GB2312" w:eastAsia="仿宋_GB2312"/>
          <w:sz w:val="32"/>
          <w:szCs w:val="32"/>
        </w:rPr>
        <w:t>附件1。</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详见</w:t>
      </w:r>
      <w:r>
        <w:rPr>
          <w:rFonts w:hint="eastAsia" w:ascii="仿宋_GB2312" w:eastAsia="仿宋_GB2312"/>
          <w:sz w:val="32"/>
          <w:szCs w:val="32"/>
        </w:rPr>
        <w:t>附件</w:t>
      </w:r>
      <w:r>
        <w:rPr>
          <w:rFonts w:hint="eastAsia" w:ascii="仿宋_GB2312" w:eastAsia="仿宋_GB2312"/>
          <w:sz w:val="32"/>
          <w:szCs w:val="32"/>
          <w:lang w:val="en-US" w:eastAsia="zh-CN"/>
        </w:rPr>
        <w:t>2</w:t>
      </w:r>
      <w:r>
        <w:rPr>
          <w:rFonts w:hint="eastAsia" w:ascii="仿宋_GB2312" w:eastAsia="仿宋_GB2312"/>
          <w:sz w:val="32"/>
          <w:szCs w:val="32"/>
        </w:rPr>
        <w:t>。</w:t>
      </w:r>
      <w:bookmarkStart w:id="4" w:name="_GoBack"/>
      <w:bookmarkEnd w:id="4"/>
    </w:p>
    <w:p>
      <w:pPr>
        <w:rPr>
          <w:rFonts w:hint="eastAsia"/>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ECEC48"/>
    <w:multiLevelType w:val="singleLevel"/>
    <w:tmpl w:val="F4ECEC4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402ED1"/>
    <w:rsid w:val="0BA148CA"/>
    <w:rsid w:val="0C1165C4"/>
    <w:rsid w:val="0D6D544B"/>
    <w:rsid w:val="0DD136FE"/>
    <w:rsid w:val="0F8E2C57"/>
    <w:rsid w:val="1059665E"/>
    <w:rsid w:val="10AC13BA"/>
    <w:rsid w:val="11980797"/>
    <w:rsid w:val="145A6C1B"/>
    <w:rsid w:val="14B73493"/>
    <w:rsid w:val="151A1B4E"/>
    <w:rsid w:val="154117A5"/>
    <w:rsid w:val="167A2FF9"/>
    <w:rsid w:val="17E05399"/>
    <w:rsid w:val="18581C69"/>
    <w:rsid w:val="186D28E5"/>
    <w:rsid w:val="1AEC0734"/>
    <w:rsid w:val="1C203C3A"/>
    <w:rsid w:val="1DEF20B0"/>
    <w:rsid w:val="214243FA"/>
    <w:rsid w:val="21AD613C"/>
    <w:rsid w:val="22467189"/>
    <w:rsid w:val="257A14F5"/>
    <w:rsid w:val="267B2845"/>
    <w:rsid w:val="27196C26"/>
    <w:rsid w:val="29EF086F"/>
    <w:rsid w:val="2A014A0F"/>
    <w:rsid w:val="2C8C46AA"/>
    <w:rsid w:val="2EFFE297"/>
    <w:rsid w:val="301437CA"/>
    <w:rsid w:val="32791381"/>
    <w:rsid w:val="349D1F0A"/>
    <w:rsid w:val="34DD0473"/>
    <w:rsid w:val="3C181CA7"/>
    <w:rsid w:val="3C684897"/>
    <w:rsid w:val="3D7E7656"/>
    <w:rsid w:val="405C2C5C"/>
    <w:rsid w:val="406C27F9"/>
    <w:rsid w:val="41C6204F"/>
    <w:rsid w:val="433E495C"/>
    <w:rsid w:val="452B3742"/>
    <w:rsid w:val="489F2FD7"/>
    <w:rsid w:val="4AC27CB3"/>
    <w:rsid w:val="4BF72BEF"/>
    <w:rsid w:val="4FA90297"/>
    <w:rsid w:val="4FC41A43"/>
    <w:rsid w:val="51DB3C59"/>
    <w:rsid w:val="550C0952"/>
    <w:rsid w:val="55762E42"/>
    <w:rsid w:val="57A7B272"/>
    <w:rsid w:val="58470068"/>
    <w:rsid w:val="58747CAC"/>
    <w:rsid w:val="5A1720F9"/>
    <w:rsid w:val="5B9C37C2"/>
    <w:rsid w:val="5BA7C654"/>
    <w:rsid w:val="5D074BB1"/>
    <w:rsid w:val="60A54109"/>
    <w:rsid w:val="61D01CDF"/>
    <w:rsid w:val="64C0607C"/>
    <w:rsid w:val="65756C86"/>
    <w:rsid w:val="674D385B"/>
    <w:rsid w:val="676F09E1"/>
    <w:rsid w:val="68A70F3F"/>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EAB2608"/>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1613.68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基本支出和项目支出情况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0.0%</c:formatCode>
                <c:ptCount val="5"/>
                <c:pt idx="0">
                  <c:v>0.705</c:v>
                </c:pt>
                <c:pt idx="1">
                  <c:v>0.295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28</TotalTime>
  <ScaleCrop>false</ScaleCrop>
  <LinksUpToDate>false</LinksUpToDate>
  <CharactersWithSpaces>6191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Administrator</cp:lastModifiedBy>
  <cp:lastPrinted>2026-08-21T06:15:00Z</cp:lastPrinted>
  <dcterms:modified xsi:type="dcterms:W3CDTF">2026-08-27T08:49:30Z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