
<file path=[Content_Types].xml><?xml version="1.0" encoding="utf-8"?>
<Types xmlns="http://schemas.openxmlformats.org/package/2006/content-types">
  <Default Extension="xlsx" ContentType="application/vnd.openxmlformats-officedocument.spreadsheetml.sheet"/>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EC9135">
      <w:pPr>
        <w:jc w:val="center"/>
        <w:rPr>
          <w:rFonts w:ascii="仿宋_GB2312" w:eastAsia="仿宋_GB2312"/>
          <w:b/>
          <w:sz w:val="32"/>
          <w:szCs w:val="32"/>
        </w:rPr>
      </w:pPr>
    </w:p>
    <w:p w14:paraId="56F7ECB5">
      <w:pPr>
        <w:jc w:val="center"/>
        <w:rPr>
          <w:rFonts w:ascii="黑体" w:eastAsia="黑体"/>
          <w:sz w:val="72"/>
          <w:szCs w:val="72"/>
        </w:rPr>
      </w:pPr>
    </w:p>
    <w:p w14:paraId="7C0C0EDF">
      <w:pPr>
        <w:jc w:val="center"/>
        <w:rPr>
          <w:rFonts w:ascii="黑体" w:eastAsia="黑体"/>
          <w:sz w:val="72"/>
          <w:szCs w:val="72"/>
        </w:rPr>
      </w:pPr>
    </w:p>
    <w:p w14:paraId="067CFE1F">
      <w:pPr>
        <w:jc w:val="center"/>
        <w:rPr>
          <w:rFonts w:ascii="黑体" w:eastAsia="黑体"/>
          <w:sz w:val="72"/>
          <w:szCs w:val="72"/>
        </w:rPr>
      </w:pPr>
    </w:p>
    <w:p w14:paraId="2E42DF5F">
      <w:pPr>
        <w:jc w:val="center"/>
        <w:rPr>
          <w:rFonts w:ascii="黑体" w:eastAsia="黑体"/>
          <w:sz w:val="72"/>
          <w:szCs w:val="72"/>
        </w:rPr>
      </w:pPr>
    </w:p>
    <w:p w14:paraId="087D4757">
      <w:pPr>
        <w:jc w:val="center"/>
        <w:rPr>
          <w:rFonts w:ascii="黑体" w:eastAsia="黑体"/>
          <w:sz w:val="72"/>
          <w:szCs w:val="72"/>
        </w:rPr>
      </w:pPr>
      <w:r>
        <w:rPr>
          <w:rFonts w:hint="eastAsia" w:ascii="黑体" w:eastAsia="黑体"/>
          <w:sz w:val="72"/>
          <w:szCs w:val="72"/>
        </w:rPr>
        <w:t>2025年度部门决算（公开</w:t>
      </w:r>
      <w:r>
        <w:rPr>
          <w:rFonts w:ascii="黑体" w:eastAsia="黑体"/>
          <w:sz w:val="72"/>
          <w:szCs w:val="72"/>
        </w:rPr>
        <w:t>）</w:t>
      </w:r>
    </w:p>
    <w:p w14:paraId="793014BD">
      <w:pPr>
        <w:jc w:val="center"/>
        <w:rPr>
          <w:rFonts w:ascii="黑体" w:eastAsia="黑体"/>
          <w:sz w:val="52"/>
          <w:szCs w:val="52"/>
        </w:rPr>
      </w:pPr>
    </w:p>
    <w:p w14:paraId="10B758EE">
      <w:pPr>
        <w:jc w:val="center"/>
        <w:rPr>
          <w:rFonts w:ascii="黑体" w:eastAsia="黑体"/>
          <w:sz w:val="52"/>
          <w:szCs w:val="52"/>
        </w:rPr>
      </w:pPr>
    </w:p>
    <w:p w14:paraId="37A95852">
      <w:pPr>
        <w:jc w:val="center"/>
        <w:rPr>
          <w:rFonts w:ascii="黑体" w:eastAsia="黑体"/>
          <w:sz w:val="52"/>
          <w:szCs w:val="52"/>
        </w:rPr>
      </w:pPr>
    </w:p>
    <w:p w14:paraId="0109D9B1">
      <w:pPr>
        <w:jc w:val="center"/>
        <w:rPr>
          <w:rFonts w:ascii="黑体" w:eastAsia="黑体"/>
          <w:sz w:val="52"/>
          <w:szCs w:val="52"/>
        </w:rPr>
      </w:pPr>
    </w:p>
    <w:p w14:paraId="22AEC997">
      <w:pPr>
        <w:jc w:val="center"/>
        <w:rPr>
          <w:rFonts w:ascii="黑体" w:eastAsia="黑体"/>
          <w:sz w:val="32"/>
          <w:szCs w:val="32"/>
        </w:rPr>
      </w:pPr>
    </w:p>
    <w:p w14:paraId="4CEDA30C">
      <w:pPr>
        <w:spacing w:line="500" w:lineRule="exact"/>
        <w:ind w:firstLine="645"/>
        <w:jc w:val="center"/>
        <w:rPr>
          <w:rFonts w:ascii="宋体" w:hAnsi="宋体" w:cs="宋体"/>
          <w:b/>
          <w:bCs/>
          <w:kern w:val="0"/>
          <w:sz w:val="44"/>
          <w:szCs w:val="36"/>
        </w:rPr>
      </w:pPr>
      <w:r>
        <w:rPr>
          <w:rFonts w:hint="eastAsia" w:ascii="宋体" w:hAnsi="宋体" w:cs="宋体"/>
          <w:b/>
          <w:bCs/>
          <w:kern w:val="0"/>
          <w:sz w:val="44"/>
          <w:szCs w:val="36"/>
        </w:rPr>
        <w:t>目    录</w:t>
      </w:r>
    </w:p>
    <w:p w14:paraId="1355051A">
      <w:pPr>
        <w:spacing w:line="500" w:lineRule="exact"/>
        <w:ind w:firstLine="645"/>
        <w:jc w:val="center"/>
        <w:rPr>
          <w:rFonts w:ascii="宋体" w:hAnsi="宋体" w:cs="宋体"/>
          <w:b/>
          <w:bCs/>
          <w:kern w:val="0"/>
          <w:sz w:val="36"/>
          <w:szCs w:val="36"/>
        </w:rPr>
      </w:pPr>
    </w:p>
    <w:p w14:paraId="1B5913D7">
      <w:pPr>
        <w:tabs>
          <w:tab w:val="center" w:pos="6979"/>
        </w:tabs>
        <w:spacing w:line="500" w:lineRule="exact"/>
        <w:ind w:firstLine="1600" w:firstLineChars="400"/>
        <w:jc w:val="left"/>
        <w:rPr>
          <w:rFonts w:ascii="宋体" w:hAnsi="宋体" w:cs="宋体"/>
          <w:bCs/>
          <w:spacing w:val="40"/>
          <w:kern w:val="0"/>
          <w:sz w:val="32"/>
          <w:szCs w:val="32"/>
        </w:rPr>
      </w:pPr>
      <w:r>
        <w:rPr>
          <w:rFonts w:hint="eastAsia" w:ascii="宋体" w:hAnsi="宋体" w:cs="宋体"/>
          <w:bCs/>
          <w:spacing w:val="40"/>
          <w:kern w:val="0"/>
          <w:sz w:val="32"/>
          <w:szCs w:val="32"/>
        </w:rPr>
        <w:t>第一部分 2025年度部门决算报表</w:t>
      </w:r>
    </w:p>
    <w:p w14:paraId="12F3D5CA">
      <w:pPr>
        <w:tabs>
          <w:tab w:val="center" w:pos="6979"/>
        </w:tabs>
        <w:spacing w:line="500" w:lineRule="exact"/>
        <w:ind w:firstLine="2400" w:firstLineChars="600"/>
        <w:jc w:val="left"/>
        <w:rPr>
          <w:rFonts w:ascii="仿宋_GB2312" w:hAnsi="仿宋" w:eastAsia="仿宋_GB2312"/>
          <w:spacing w:val="40"/>
          <w:sz w:val="32"/>
          <w:szCs w:val="32"/>
        </w:rPr>
      </w:pPr>
      <w:r>
        <w:rPr>
          <w:rFonts w:hint="eastAsia" w:ascii="仿宋_GB2312" w:hAnsi="仿宋" w:eastAsia="仿宋_GB2312" w:cs="宋体"/>
          <w:bCs/>
          <w:spacing w:val="40"/>
          <w:kern w:val="0"/>
          <w:sz w:val="32"/>
          <w:szCs w:val="32"/>
        </w:rPr>
        <w:t>一、收入支出决算总表</w:t>
      </w:r>
    </w:p>
    <w:p w14:paraId="25DA4110">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二、收入决算表</w:t>
      </w:r>
    </w:p>
    <w:p w14:paraId="35006BFC">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三、支出决算表</w:t>
      </w:r>
    </w:p>
    <w:p w14:paraId="2D6989E8">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四、财政拨款收入支出决算总表</w:t>
      </w:r>
    </w:p>
    <w:p w14:paraId="1E3135AF">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五、一般公共预算财政拨款支出决算表</w:t>
      </w:r>
    </w:p>
    <w:p w14:paraId="4B545AEC">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六、一般公共预算财政拨款</w:t>
      </w:r>
      <w:r>
        <w:rPr>
          <w:rFonts w:ascii="仿宋_GB2312" w:hAnsi="仿宋" w:eastAsia="仿宋_GB2312" w:cs="宋体"/>
          <w:bCs/>
          <w:spacing w:val="40"/>
          <w:kern w:val="0"/>
          <w:sz w:val="32"/>
          <w:szCs w:val="32"/>
        </w:rPr>
        <w:t>基本支出决算表</w:t>
      </w:r>
    </w:p>
    <w:p w14:paraId="4AD265C4">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七</w:t>
      </w:r>
      <w:r>
        <w:rPr>
          <w:rFonts w:ascii="仿宋_GB2312" w:hAnsi="仿宋" w:eastAsia="仿宋_GB2312" w:cs="宋体"/>
          <w:bCs/>
          <w:spacing w:val="40"/>
          <w:kern w:val="0"/>
          <w:sz w:val="32"/>
          <w:szCs w:val="32"/>
        </w:rPr>
        <w:t>、</w:t>
      </w:r>
      <w:r>
        <w:rPr>
          <w:rFonts w:hint="eastAsia" w:ascii="仿宋_GB2312" w:hAnsi="仿宋" w:eastAsia="仿宋_GB2312" w:cs="宋体"/>
          <w:bCs/>
          <w:spacing w:val="40"/>
          <w:kern w:val="0"/>
          <w:sz w:val="32"/>
          <w:szCs w:val="32"/>
        </w:rPr>
        <w:t>政府性基金预算财政拨款收入支出决算表</w:t>
      </w:r>
    </w:p>
    <w:p w14:paraId="6058B9B0">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八、</w:t>
      </w:r>
      <w:r>
        <w:rPr>
          <w:rFonts w:ascii="仿宋_GB2312" w:hAnsi="仿宋" w:eastAsia="仿宋_GB2312" w:cs="宋体"/>
          <w:bCs/>
          <w:spacing w:val="40"/>
          <w:kern w:val="0"/>
          <w:sz w:val="32"/>
          <w:szCs w:val="32"/>
        </w:rPr>
        <w:t>政府性基金</w:t>
      </w:r>
      <w:r>
        <w:rPr>
          <w:rFonts w:hint="eastAsia" w:ascii="仿宋_GB2312" w:hAnsi="仿宋" w:eastAsia="仿宋_GB2312" w:cs="宋体"/>
          <w:bCs/>
          <w:spacing w:val="40"/>
          <w:kern w:val="0"/>
          <w:sz w:val="32"/>
          <w:szCs w:val="32"/>
        </w:rPr>
        <w:t>预算</w:t>
      </w:r>
      <w:r>
        <w:rPr>
          <w:rFonts w:ascii="仿宋_GB2312" w:hAnsi="仿宋" w:eastAsia="仿宋_GB2312" w:cs="宋体"/>
          <w:bCs/>
          <w:spacing w:val="40"/>
          <w:kern w:val="0"/>
          <w:sz w:val="32"/>
          <w:szCs w:val="32"/>
        </w:rPr>
        <w:t>财政拨款基本支出决算表</w:t>
      </w:r>
    </w:p>
    <w:p w14:paraId="2235B878">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九、国有资本经营预算财政拨款支出决算表</w:t>
      </w:r>
    </w:p>
    <w:p w14:paraId="1D2FF069">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十、财政拨款“三公”经费支出决算表</w:t>
      </w:r>
    </w:p>
    <w:p w14:paraId="2C756110">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十一、政府采购情况表</w:t>
      </w:r>
    </w:p>
    <w:p w14:paraId="42AA38E8">
      <w:pPr>
        <w:tabs>
          <w:tab w:val="center" w:pos="6979"/>
        </w:tabs>
        <w:spacing w:line="500" w:lineRule="exact"/>
        <w:ind w:firstLine="1600" w:firstLineChars="400"/>
        <w:jc w:val="left"/>
        <w:rPr>
          <w:rFonts w:ascii="宋体" w:hAnsi="宋体" w:cs="宋体"/>
          <w:bCs/>
          <w:spacing w:val="40"/>
          <w:kern w:val="0"/>
          <w:sz w:val="32"/>
          <w:szCs w:val="32"/>
        </w:rPr>
      </w:pPr>
      <w:r>
        <w:rPr>
          <w:rFonts w:hint="eastAsia" w:ascii="宋体" w:hAnsi="宋体" w:cs="宋体"/>
          <w:bCs/>
          <w:spacing w:val="40"/>
          <w:kern w:val="0"/>
          <w:sz w:val="32"/>
          <w:szCs w:val="32"/>
        </w:rPr>
        <w:t xml:space="preserve">第二部分 </w:t>
      </w:r>
      <w:r>
        <w:rPr>
          <w:rFonts w:hint="eastAsia" w:ascii="宋体" w:hAnsi="宋体"/>
          <w:spacing w:val="40"/>
          <w:sz w:val="32"/>
          <w:szCs w:val="32"/>
        </w:rPr>
        <w:t>2025年度部门决算说明</w:t>
      </w:r>
    </w:p>
    <w:p w14:paraId="118FA0F6">
      <w:pPr>
        <w:tabs>
          <w:tab w:val="center" w:pos="6979"/>
        </w:tabs>
        <w:spacing w:line="500" w:lineRule="exact"/>
        <w:ind w:firstLine="1600" w:firstLineChars="400"/>
        <w:jc w:val="left"/>
        <w:rPr>
          <w:rFonts w:ascii="宋体" w:hAnsi="宋体" w:cs="宋体"/>
          <w:spacing w:val="40"/>
          <w:kern w:val="0"/>
          <w:sz w:val="32"/>
          <w:szCs w:val="32"/>
        </w:rPr>
      </w:pPr>
      <w:r>
        <w:rPr>
          <w:rFonts w:hint="eastAsia" w:ascii="宋体" w:hAnsi="宋体" w:cs="宋体"/>
          <w:bCs/>
          <w:spacing w:val="40"/>
          <w:kern w:val="0"/>
          <w:sz w:val="32"/>
          <w:szCs w:val="32"/>
        </w:rPr>
        <w:t xml:space="preserve">第三部分 </w:t>
      </w:r>
      <w:r>
        <w:rPr>
          <w:rFonts w:hint="eastAsia" w:ascii="宋体" w:hAnsi="宋体"/>
          <w:spacing w:val="40"/>
          <w:sz w:val="32"/>
          <w:szCs w:val="32"/>
        </w:rPr>
        <w:t>2025年度</w:t>
      </w:r>
      <w:r>
        <w:rPr>
          <w:rFonts w:hint="eastAsia" w:ascii="宋体" w:hAnsi="宋体" w:cs="宋体"/>
          <w:spacing w:val="40"/>
          <w:kern w:val="0"/>
          <w:sz w:val="32"/>
          <w:szCs w:val="32"/>
        </w:rPr>
        <w:t>其他重要事项的情况说明</w:t>
      </w:r>
    </w:p>
    <w:p w14:paraId="0F47445D">
      <w:pPr>
        <w:tabs>
          <w:tab w:val="center" w:pos="6979"/>
        </w:tabs>
        <w:spacing w:line="500" w:lineRule="exact"/>
        <w:ind w:firstLine="1600" w:firstLineChars="400"/>
        <w:jc w:val="left"/>
        <w:rPr>
          <w:rFonts w:ascii="宋体" w:hAnsi="宋体" w:cs="宋体"/>
          <w:spacing w:val="40"/>
          <w:kern w:val="0"/>
          <w:sz w:val="36"/>
          <w:szCs w:val="32"/>
        </w:rPr>
      </w:pPr>
      <w:r>
        <w:rPr>
          <w:rFonts w:hint="eastAsia" w:ascii="宋体" w:hAnsi="宋体" w:cs="宋体"/>
          <w:spacing w:val="40"/>
          <w:kern w:val="0"/>
          <w:sz w:val="32"/>
          <w:szCs w:val="32"/>
        </w:rPr>
        <w:t>第四部分 2025年度部门绩效评价情况</w:t>
      </w:r>
    </w:p>
    <w:p w14:paraId="20A47F87">
      <w:pPr>
        <w:tabs>
          <w:tab w:val="center" w:pos="6979"/>
        </w:tabs>
        <w:spacing w:before="156" w:beforeLines="50" w:after="156" w:afterLines="50"/>
        <w:jc w:val="center"/>
        <w:rPr>
          <w:rFonts w:ascii="宋体" w:hAnsi="宋体" w:cs="宋体"/>
          <w:b/>
          <w:bCs/>
          <w:spacing w:val="40"/>
          <w:kern w:val="0"/>
          <w:sz w:val="32"/>
          <w:szCs w:val="32"/>
        </w:rPr>
      </w:pPr>
    </w:p>
    <w:p w14:paraId="28A6BB67">
      <w:pPr>
        <w:tabs>
          <w:tab w:val="center" w:pos="6979"/>
        </w:tabs>
        <w:spacing w:before="156" w:beforeLines="50" w:after="156" w:afterLines="50"/>
        <w:jc w:val="center"/>
        <w:rPr>
          <w:rFonts w:ascii="宋体" w:hAnsi="宋体" w:cs="宋体"/>
          <w:b/>
          <w:bCs/>
          <w:spacing w:val="40"/>
          <w:kern w:val="0"/>
          <w:sz w:val="32"/>
          <w:szCs w:val="32"/>
        </w:rPr>
      </w:pPr>
    </w:p>
    <w:p w14:paraId="6B5B530A">
      <w:pPr>
        <w:tabs>
          <w:tab w:val="center" w:pos="6979"/>
        </w:tabs>
        <w:spacing w:before="156" w:beforeLines="50" w:after="156" w:afterLines="50"/>
        <w:jc w:val="center"/>
        <w:rPr>
          <w:rFonts w:ascii="宋体" w:hAnsi="宋体" w:cs="宋体"/>
          <w:b/>
          <w:bCs/>
          <w:spacing w:val="40"/>
          <w:kern w:val="0"/>
          <w:sz w:val="32"/>
          <w:szCs w:val="32"/>
        </w:rPr>
      </w:pPr>
    </w:p>
    <w:p w14:paraId="133A3295">
      <w:pPr>
        <w:tabs>
          <w:tab w:val="center" w:pos="6979"/>
        </w:tabs>
        <w:spacing w:before="156" w:beforeLines="50" w:after="156" w:afterLines="50"/>
        <w:jc w:val="center"/>
        <w:rPr>
          <w:rFonts w:ascii="宋体" w:hAnsi="宋体" w:cs="宋体"/>
          <w:b/>
          <w:bCs/>
          <w:spacing w:val="40"/>
          <w:kern w:val="0"/>
          <w:sz w:val="32"/>
          <w:szCs w:val="32"/>
        </w:rPr>
      </w:pPr>
    </w:p>
    <w:p w14:paraId="10BF13D2">
      <w:pPr>
        <w:tabs>
          <w:tab w:val="center" w:pos="6979"/>
        </w:tabs>
        <w:spacing w:before="156" w:beforeLines="50" w:after="156" w:afterLines="50"/>
        <w:jc w:val="center"/>
        <w:rPr>
          <w:rFonts w:ascii="宋体" w:hAnsi="宋体" w:cs="宋体"/>
          <w:b/>
          <w:bCs/>
          <w:spacing w:val="40"/>
          <w:kern w:val="0"/>
          <w:sz w:val="32"/>
          <w:szCs w:val="32"/>
        </w:rPr>
      </w:pPr>
    </w:p>
    <w:p w14:paraId="0A7C3EAF">
      <w:pPr>
        <w:tabs>
          <w:tab w:val="center" w:pos="6979"/>
        </w:tabs>
        <w:spacing w:before="156" w:beforeLines="50" w:after="156" w:afterLines="50"/>
        <w:jc w:val="center"/>
        <w:rPr>
          <w:rFonts w:ascii="宋体" w:hAnsi="宋体" w:cs="宋体"/>
          <w:b/>
          <w:bCs/>
          <w:spacing w:val="40"/>
          <w:kern w:val="0"/>
          <w:sz w:val="32"/>
          <w:szCs w:val="32"/>
        </w:rPr>
      </w:pPr>
      <w:r>
        <w:rPr>
          <w:rFonts w:hint="eastAsia" w:ascii="宋体" w:hAnsi="宋体" w:cs="宋体"/>
          <w:b/>
          <w:bCs/>
          <w:spacing w:val="40"/>
          <w:kern w:val="0"/>
          <w:sz w:val="44"/>
          <w:szCs w:val="44"/>
        </w:rPr>
        <w:t>第一部分 2025年度部门决算报表</w:t>
      </w:r>
    </w:p>
    <w:p w14:paraId="739AF3A0">
      <w:pPr>
        <w:pStyle w:val="2"/>
        <w:rPr>
          <w:b w:val="0"/>
          <w:bCs w:val="0"/>
        </w:rPr>
        <w:sectPr>
          <w:footerReference r:id="rId3" w:type="default"/>
          <w:pgSz w:w="16838" w:h="11906" w:orient="landscape"/>
          <w:pgMar w:top="1134" w:right="1134" w:bottom="1134" w:left="1134" w:header="851" w:footer="992" w:gutter="0"/>
          <w:cols w:space="720" w:num="1"/>
          <w:docGrid w:type="linesAndChars" w:linePitch="312" w:charSpace="0"/>
        </w:sectPr>
      </w:pPr>
      <w:r>
        <w:rPr>
          <w:rFonts w:hint="eastAsia" w:ascii="仿宋_GB2312" w:eastAsia="仿宋_GB2312"/>
          <w:sz w:val="28"/>
          <w:szCs w:val="28"/>
        </w:rPr>
        <w:t xml:space="preserve">   </w:t>
      </w:r>
      <w:r>
        <w:rPr>
          <w:rFonts w:hint="eastAsia" w:ascii="仿宋_GB2312" w:eastAsia="仿宋_GB2312"/>
          <w:b w:val="0"/>
          <w:bCs w:val="0"/>
          <w:sz w:val="28"/>
          <w:szCs w:val="28"/>
        </w:rPr>
        <w:t>报表详见附件。</w:t>
      </w:r>
    </w:p>
    <w:p w14:paraId="4728CAF0">
      <w:pPr>
        <w:tabs>
          <w:tab w:val="center" w:pos="6979"/>
        </w:tabs>
        <w:spacing w:before="156" w:beforeLines="50" w:after="156" w:afterLines="50"/>
        <w:jc w:val="center"/>
        <w:rPr>
          <w:rFonts w:ascii="宋体" w:hAnsi="宋体"/>
          <w:b/>
          <w:sz w:val="32"/>
          <w:szCs w:val="32"/>
        </w:rPr>
      </w:pPr>
      <w:r>
        <w:rPr>
          <w:rFonts w:hint="eastAsia" w:ascii="宋体" w:hAnsi="宋体" w:cs="宋体"/>
          <w:b/>
          <w:bCs/>
          <w:spacing w:val="40"/>
          <w:kern w:val="0"/>
          <w:sz w:val="32"/>
          <w:szCs w:val="32"/>
        </w:rPr>
        <w:t xml:space="preserve">第二部分 </w:t>
      </w:r>
      <w:r>
        <w:rPr>
          <w:rFonts w:hint="eastAsia" w:ascii="宋体" w:hAnsi="宋体"/>
          <w:b/>
          <w:spacing w:val="40"/>
          <w:sz w:val="32"/>
          <w:szCs w:val="32"/>
        </w:rPr>
        <w:t>2025年度部门决算说明</w:t>
      </w:r>
    </w:p>
    <w:p w14:paraId="2493536E">
      <w:pPr>
        <w:tabs>
          <w:tab w:val="center" w:pos="6979"/>
        </w:tabs>
        <w:spacing w:line="580" w:lineRule="exact"/>
        <w:ind w:firstLine="548" w:firstLineChars="196"/>
        <w:rPr>
          <w:rFonts w:ascii="黑体" w:eastAsia="黑体"/>
          <w:b/>
          <w:sz w:val="28"/>
          <w:szCs w:val="28"/>
        </w:rPr>
      </w:pPr>
      <w:r>
        <w:rPr>
          <w:rFonts w:hint="eastAsia" w:ascii="黑体" w:eastAsia="黑体"/>
          <w:b/>
          <w:sz w:val="28"/>
          <w:szCs w:val="28"/>
        </w:rPr>
        <w:t>一、部门基本情况</w:t>
      </w:r>
    </w:p>
    <w:p w14:paraId="03B1FD22">
      <w:pPr>
        <w:tabs>
          <w:tab w:val="center" w:pos="6979"/>
        </w:tabs>
        <w:spacing w:line="580" w:lineRule="exact"/>
        <w:ind w:firstLine="700" w:firstLineChars="250"/>
        <w:rPr>
          <w:rFonts w:hint="eastAsia" w:ascii="仿宋_GB2312" w:eastAsia="仿宋_GB2312"/>
          <w:sz w:val="28"/>
          <w:szCs w:val="28"/>
          <w:lang w:val="en-US" w:eastAsia="zh-CN"/>
        </w:rPr>
      </w:pPr>
      <w:r>
        <w:rPr>
          <w:rFonts w:hint="eastAsia" w:ascii="仿宋_GB2312" w:eastAsia="仿宋_GB2312"/>
          <w:sz w:val="28"/>
          <w:szCs w:val="28"/>
        </w:rPr>
        <w:t>（一</w:t>
      </w:r>
      <w:r>
        <w:rPr>
          <w:rFonts w:ascii="仿宋_GB2312" w:eastAsia="仿宋_GB2312"/>
          <w:sz w:val="28"/>
          <w:szCs w:val="28"/>
        </w:rPr>
        <w:t>）</w:t>
      </w:r>
      <w:r>
        <w:rPr>
          <w:rFonts w:hint="eastAsia" w:ascii="仿宋_GB2312" w:eastAsia="仿宋_GB2312"/>
          <w:sz w:val="28"/>
          <w:szCs w:val="28"/>
        </w:rPr>
        <w:t>本部门职责情况</w:t>
      </w:r>
      <w:r>
        <w:rPr>
          <w:rFonts w:hint="eastAsia" w:ascii="仿宋_GB2312" w:eastAsia="仿宋_GB2312"/>
          <w:sz w:val="28"/>
          <w:szCs w:val="28"/>
          <w:lang w:val="en-US" w:eastAsia="zh-CN"/>
        </w:rPr>
        <w:t xml:space="preserve">  </w:t>
      </w:r>
    </w:p>
    <w:p w14:paraId="18AB63C2">
      <w:pPr>
        <w:keepNext w:val="0"/>
        <w:keepLines w:val="0"/>
        <w:pageBreakBefore w:val="0"/>
        <w:widowControl w:val="0"/>
        <w:tabs>
          <w:tab w:val="center" w:pos="6979"/>
        </w:tabs>
        <w:kinsoku/>
        <w:wordWrap/>
        <w:overflowPunct/>
        <w:topLinePunct w:val="0"/>
        <w:autoSpaceDE/>
        <w:autoSpaceDN/>
        <w:bidi w:val="0"/>
        <w:adjustRightInd/>
        <w:snapToGrid/>
        <w:spacing w:line="580" w:lineRule="exact"/>
        <w:ind w:firstLine="560" w:firstLineChars="200"/>
        <w:textAlignment w:val="auto"/>
        <w:outlineLvl w:val="9"/>
        <w:rPr>
          <w:rFonts w:hint="eastAsia" w:ascii="仿宋_GB2312" w:eastAsia="仿宋_GB2312"/>
          <w:sz w:val="28"/>
          <w:szCs w:val="28"/>
          <w:lang w:val="en-US" w:eastAsia="zh-CN"/>
        </w:rPr>
      </w:pPr>
      <w:r>
        <w:rPr>
          <w:rFonts w:hint="eastAsia" w:ascii="仿宋_GB2312" w:eastAsia="仿宋_GB2312"/>
          <w:sz w:val="28"/>
          <w:szCs w:val="28"/>
          <w:lang w:val="en-US" w:eastAsia="zh-CN"/>
        </w:rPr>
        <w:t>北京市门头沟区潭柘戒台风景名胜区管理处负责贯彻落实国家、本市风景名胜区相关法律法规、规章和政策。负责潭柘戒台风景名胜区（以下简称风景名胜区）的保护、利用和统一管理工作。负责落实风景名胜区规划，制定风景名胜资源保护管理制度、安全保障制度和保护措施并组织实施。负责调查鉴定风景名胜区内的重要景观，监测自然资源保护情况。负责协调推进风景名胜区发展建设工作，审核风景名胜区内建设活动和其他重大活动并监督其实施，配合有关部门开展日常监管，监测风景名胜区规划实施。负责风景名胜区内受权管理旅游景区的等级质量提升和服务质量提升工作，组织开展文化旅游宣传推介和文化创意品牌创建。负责风景名胜区内文物古建、古树名木、自然资源等的日常管理和保护工作。按权限负责风景名胜区内的安全和应急管理、信访维稳等工作，协助相关部门落实职责权限范围内的安全生产监管等工作。完成区政府交办的其他任务。</w:t>
      </w:r>
    </w:p>
    <w:p w14:paraId="387EF720">
      <w:pPr>
        <w:numPr>
          <w:ilvl w:val="0"/>
          <w:numId w:val="1"/>
        </w:numPr>
        <w:tabs>
          <w:tab w:val="center" w:pos="6979"/>
        </w:tabs>
        <w:spacing w:line="580" w:lineRule="exact"/>
        <w:ind w:firstLine="700" w:firstLineChars="250"/>
        <w:rPr>
          <w:rFonts w:hint="eastAsia" w:ascii="仿宋_GB2312" w:eastAsia="仿宋_GB2312"/>
          <w:sz w:val="28"/>
          <w:szCs w:val="28"/>
        </w:rPr>
      </w:pPr>
      <w:r>
        <w:rPr>
          <w:rFonts w:hint="eastAsia" w:ascii="仿宋_GB2312" w:eastAsia="仿宋_GB2312"/>
          <w:sz w:val="28"/>
          <w:szCs w:val="28"/>
        </w:rPr>
        <w:t>机构</w:t>
      </w:r>
      <w:r>
        <w:rPr>
          <w:rFonts w:ascii="仿宋_GB2312" w:eastAsia="仿宋_GB2312"/>
          <w:sz w:val="28"/>
          <w:szCs w:val="28"/>
        </w:rPr>
        <w:t>设置</w:t>
      </w:r>
      <w:r>
        <w:rPr>
          <w:rFonts w:hint="eastAsia" w:ascii="仿宋_GB2312" w:eastAsia="仿宋_GB2312"/>
          <w:sz w:val="28"/>
          <w:szCs w:val="28"/>
        </w:rPr>
        <w:t>情况</w:t>
      </w:r>
    </w:p>
    <w:p w14:paraId="295E6D4D">
      <w:pPr>
        <w:keepNext w:val="0"/>
        <w:keepLines w:val="0"/>
        <w:pageBreakBefore w:val="0"/>
        <w:widowControl w:val="0"/>
        <w:tabs>
          <w:tab w:val="center" w:pos="6979"/>
        </w:tabs>
        <w:kinsoku/>
        <w:wordWrap/>
        <w:overflowPunct/>
        <w:topLinePunct w:val="0"/>
        <w:autoSpaceDE/>
        <w:autoSpaceDN/>
        <w:bidi w:val="0"/>
        <w:adjustRightInd/>
        <w:snapToGrid/>
        <w:spacing w:line="580" w:lineRule="exact"/>
        <w:ind w:firstLine="560" w:firstLineChars="200"/>
        <w:textAlignment w:val="auto"/>
        <w:outlineLvl w:val="9"/>
        <w:rPr>
          <w:rFonts w:hint="eastAsia" w:ascii="仿宋_GB2312" w:eastAsia="仿宋_GB2312"/>
          <w:sz w:val="28"/>
          <w:szCs w:val="28"/>
          <w:lang w:eastAsia="zh-CN"/>
        </w:rPr>
      </w:pPr>
      <w:r>
        <w:rPr>
          <w:rFonts w:hint="eastAsia" w:ascii="仿宋_GB2312" w:eastAsia="仿宋_GB2312"/>
          <w:sz w:val="28"/>
          <w:szCs w:val="28"/>
          <w:lang w:eastAsia="zh-CN"/>
        </w:rPr>
        <w:t>本部门共6个内设科室，分别为综合部、资源保护部、规划部、旅游服务部、宣传推介部和应急管理部。</w:t>
      </w:r>
    </w:p>
    <w:p w14:paraId="684043EE">
      <w:pPr>
        <w:tabs>
          <w:tab w:val="center" w:pos="6979"/>
        </w:tabs>
        <w:spacing w:line="580" w:lineRule="exact"/>
        <w:rPr>
          <w:rFonts w:ascii="黑体" w:eastAsia="黑体"/>
          <w:b/>
          <w:sz w:val="28"/>
          <w:szCs w:val="28"/>
        </w:rPr>
      </w:pPr>
      <w:r>
        <w:rPr>
          <w:rFonts w:hint="eastAsia" w:ascii="仿宋_GB2312" w:eastAsia="仿宋_GB2312"/>
          <w:b/>
          <w:sz w:val="32"/>
          <w:szCs w:val="32"/>
        </w:rPr>
        <w:t xml:space="preserve">   </w:t>
      </w:r>
      <w:r>
        <w:rPr>
          <w:rFonts w:hint="eastAsia" w:ascii="黑体" w:eastAsia="黑体"/>
          <w:b/>
          <w:sz w:val="28"/>
          <w:szCs w:val="28"/>
        </w:rPr>
        <w:t>二、收入支出决算总体情况说明</w:t>
      </w:r>
    </w:p>
    <w:p w14:paraId="201595AA">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2025年度收、</w:t>
      </w:r>
      <w:r>
        <w:rPr>
          <w:rFonts w:ascii="仿宋_GB2312" w:eastAsia="仿宋_GB2312"/>
          <w:sz w:val="28"/>
          <w:szCs w:val="28"/>
        </w:rPr>
        <w:t>支</w:t>
      </w:r>
      <w:r>
        <w:rPr>
          <w:rFonts w:hint="eastAsia" w:ascii="仿宋_GB2312" w:eastAsia="仿宋_GB2312"/>
          <w:sz w:val="28"/>
          <w:szCs w:val="28"/>
        </w:rPr>
        <w:t>总计</w:t>
      </w:r>
      <w:r>
        <w:rPr>
          <w:rFonts w:ascii="仿宋_GB2312" w:eastAsia="仿宋_GB2312"/>
          <w:sz w:val="28"/>
          <w:szCs w:val="28"/>
        </w:rPr>
        <w:t>32</w:t>
      </w:r>
      <w:r>
        <w:rPr>
          <w:rFonts w:hint="eastAsia" w:ascii="仿宋_GB2312" w:eastAsia="仿宋_GB2312"/>
          <w:sz w:val="28"/>
          <w:szCs w:val="28"/>
          <w:lang w:val="en-US" w:eastAsia="zh-CN"/>
        </w:rPr>
        <w:t>,</w:t>
      </w:r>
      <w:r>
        <w:rPr>
          <w:rFonts w:ascii="仿宋_GB2312" w:eastAsia="仿宋_GB2312"/>
          <w:sz w:val="28"/>
          <w:szCs w:val="28"/>
        </w:rPr>
        <w:t>553</w:t>
      </w:r>
      <w:r>
        <w:rPr>
          <w:rFonts w:hint="eastAsia" w:ascii="仿宋_GB2312" w:eastAsia="仿宋_GB2312"/>
          <w:sz w:val="28"/>
          <w:szCs w:val="28"/>
          <w:lang w:val="en-US" w:eastAsia="zh-CN"/>
        </w:rPr>
        <w:t>,</w:t>
      </w:r>
      <w:r>
        <w:rPr>
          <w:rFonts w:ascii="仿宋_GB2312" w:eastAsia="仿宋_GB2312"/>
          <w:sz w:val="28"/>
          <w:szCs w:val="28"/>
        </w:rPr>
        <w:t>954.62</w:t>
      </w:r>
      <w:r>
        <w:rPr>
          <w:rFonts w:hint="eastAsia" w:ascii="仿宋_GB2312" w:eastAsia="仿宋_GB2312"/>
          <w:sz w:val="28"/>
          <w:szCs w:val="28"/>
        </w:rPr>
        <w:t>元，</w:t>
      </w:r>
      <w:r>
        <w:rPr>
          <w:rFonts w:ascii="仿宋_GB2312" w:eastAsia="仿宋_GB2312"/>
          <w:sz w:val="28"/>
          <w:szCs w:val="28"/>
        </w:rPr>
        <w:t>比上年增加</w:t>
      </w:r>
      <w:r>
        <w:rPr>
          <w:rFonts w:hint="eastAsia" w:ascii="仿宋_GB2312" w:eastAsia="仿宋_GB2312"/>
          <w:sz w:val="28"/>
          <w:szCs w:val="28"/>
        </w:rPr>
        <w:t>14</w:t>
      </w:r>
      <w:r>
        <w:rPr>
          <w:rFonts w:hint="eastAsia" w:ascii="仿宋_GB2312" w:eastAsia="仿宋_GB2312"/>
          <w:sz w:val="28"/>
          <w:szCs w:val="28"/>
          <w:lang w:val="en-US" w:eastAsia="zh-CN"/>
        </w:rPr>
        <w:t>,</w:t>
      </w:r>
      <w:r>
        <w:rPr>
          <w:rFonts w:hint="eastAsia" w:ascii="仿宋_GB2312" w:eastAsia="仿宋_GB2312"/>
          <w:sz w:val="28"/>
          <w:szCs w:val="28"/>
        </w:rPr>
        <w:t>441</w:t>
      </w:r>
      <w:r>
        <w:rPr>
          <w:rFonts w:hint="eastAsia" w:ascii="仿宋_GB2312" w:eastAsia="仿宋_GB2312"/>
          <w:sz w:val="28"/>
          <w:szCs w:val="28"/>
          <w:lang w:val="en-US" w:eastAsia="zh-CN"/>
        </w:rPr>
        <w:t>,</w:t>
      </w:r>
      <w:r>
        <w:rPr>
          <w:rFonts w:hint="eastAsia" w:ascii="仿宋_GB2312" w:eastAsia="仿宋_GB2312"/>
          <w:sz w:val="28"/>
          <w:szCs w:val="28"/>
        </w:rPr>
        <w:t>398.75元，增长79.7%。</w:t>
      </w:r>
    </w:p>
    <w:p w14:paraId="55E32218">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（一</w:t>
      </w:r>
      <w:r>
        <w:rPr>
          <w:rFonts w:ascii="仿宋_GB2312" w:eastAsia="仿宋_GB2312"/>
          <w:sz w:val="28"/>
          <w:szCs w:val="28"/>
        </w:rPr>
        <w:t>）</w:t>
      </w:r>
      <w:r>
        <w:rPr>
          <w:rFonts w:hint="eastAsia" w:ascii="仿宋_GB2312" w:eastAsia="仿宋_GB2312"/>
          <w:sz w:val="28"/>
          <w:szCs w:val="28"/>
        </w:rPr>
        <w:t>收入决算</w:t>
      </w:r>
      <w:r>
        <w:rPr>
          <w:rFonts w:ascii="仿宋_GB2312" w:eastAsia="仿宋_GB2312"/>
          <w:sz w:val="28"/>
          <w:szCs w:val="28"/>
        </w:rPr>
        <w:t>说明</w:t>
      </w:r>
    </w:p>
    <w:p w14:paraId="36B46A95">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2025年度本年收入合计</w:t>
      </w:r>
      <w:r>
        <w:rPr>
          <w:rFonts w:ascii="仿宋_GB2312" w:eastAsia="仿宋_GB2312"/>
          <w:sz w:val="28"/>
          <w:szCs w:val="28"/>
        </w:rPr>
        <w:t>31</w:t>
      </w:r>
      <w:r>
        <w:rPr>
          <w:rFonts w:hint="eastAsia" w:ascii="仿宋_GB2312" w:eastAsia="仿宋_GB2312"/>
          <w:sz w:val="28"/>
          <w:szCs w:val="28"/>
          <w:lang w:val="en-US" w:eastAsia="zh-CN"/>
        </w:rPr>
        <w:t>,</w:t>
      </w:r>
      <w:r>
        <w:rPr>
          <w:rFonts w:ascii="仿宋_GB2312" w:eastAsia="仿宋_GB2312"/>
          <w:sz w:val="28"/>
          <w:szCs w:val="28"/>
        </w:rPr>
        <w:t>419</w:t>
      </w:r>
      <w:r>
        <w:rPr>
          <w:rFonts w:hint="eastAsia" w:ascii="仿宋_GB2312" w:eastAsia="仿宋_GB2312"/>
          <w:sz w:val="28"/>
          <w:szCs w:val="28"/>
          <w:lang w:val="en-US" w:eastAsia="zh-CN"/>
        </w:rPr>
        <w:t>,</w:t>
      </w:r>
      <w:r>
        <w:rPr>
          <w:rFonts w:ascii="仿宋_GB2312" w:eastAsia="仿宋_GB2312"/>
          <w:sz w:val="28"/>
          <w:szCs w:val="28"/>
        </w:rPr>
        <w:t>140.62</w:t>
      </w:r>
      <w:r>
        <w:rPr>
          <w:rFonts w:hint="eastAsia" w:ascii="仿宋_GB2312" w:eastAsia="仿宋_GB2312"/>
          <w:sz w:val="28"/>
          <w:szCs w:val="28"/>
        </w:rPr>
        <w:t>元，</w:t>
      </w:r>
      <w:r>
        <w:rPr>
          <w:rFonts w:ascii="仿宋_GB2312" w:eastAsia="仿宋_GB2312"/>
          <w:sz w:val="28"/>
          <w:szCs w:val="28"/>
        </w:rPr>
        <w:t>比上年增加</w:t>
      </w:r>
      <w:r>
        <w:rPr>
          <w:rFonts w:hint="eastAsia" w:ascii="仿宋_GB2312" w:eastAsia="仿宋_GB2312"/>
          <w:sz w:val="28"/>
          <w:szCs w:val="28"/>
        </w:rPr>
        <w:t>13</w:t>
      </w:r>
      <w:r>
        <w:rPr>
          <w:rFonts w:hint="eastAsia" w:ascii="仿宋_GB2312" w:eastAsia="仿宋_GB2312"/>
          <w:sz w:val="28"/>
          <w:szCs w:val="28"/>
          <w:lang w:val="en-US" w:eastAsia="zh-CN"/>
        </w:rPr>
        <w:t>,</w:t>
      </w:r>
      <w:r>
        <w:rPr>
          <w:rFonts w:hint="eastAsia" w:ascii="仿宋_GB2312" w:eastAsia="仿宋_GB2312"/>
          <w:sz w:val="28"/>
          <w:szCs w:val="28"/>
        </w:rPr>
        <w:t>306</w:t>
      </w:r>
      <w:r>
        <w:rPr>
          <w:rFonts w:hint="eastAsia" w:ascii="仿宋_GB2312" w:eastAsia="仿宋_GB2312"/>
          <w:sz w:val="28"/>
          <w:szCs w:val="28"/>
          <w:lang w:val="en-US" w:eastAsia="zh-CN"/>
        </w:rPr>
        <w:t>,</w:t>
      </w:r>
      <w:r>
        <w:rPr>
          <w:rFonts w:hint="eastAsia" w:ascii="仿宋_GB2312" w:eastAsia="仿宋_GB2312"/>
          <w:sz w:val="28"/>
          <w:szCs w:val="28"/>
        </w:rPr>
        <w:t>584.75元，增长73.5%。</w:t>
      </w:r>
    </w:p>
    <w:p w14:paraId="32560725">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1.财政拨款收入</w:t>
      </w:r>
      <w:r>
        <w:rPr>
          <w:rFonts w:ascii="仿宋_GB2312" w:eastAsia="仿宋_GB2312"/>
          <w:sz w:val="28"/>
          <w:szCs w:val="28"/>
        </w:rPr>
        <w:t>31</w:t>
      </w:r>
      <w:r>
        <w:rPr>
          <w:rFonts w:hint="eastAsia" w:ascii="仿宋_GB2312" w:eastAsia="仿宋_GB2312"/>
          <w:sz w:val="28"/>
          <w:szCs w:val="28"/>
          <w:lang w:val="en-US" w:eastAsia="zh-CN"/>
        </w:rPr>
        <w:t>,</w:t>
      </w:r>
      <w:r>
        <w:rPr>
          <w:rFonts w:ascii="仿宋_GB2312" w:eastAsia="仿宋_GB2312"/>
          <w:sz w:val="28"/>
          <w:szCs w:val="28"/>
        </w:rPr>
        <w:t>419</w:t>
      </w:r>
      <w:r>
        <w:rPr>
          <w:rFonts w:hint="eastAsia" w:ascii="仿宋_GB2312" w:eastAsia="仿宋_GB2312"/>
          <w:sz w:val="28"/>
          <w:szCs w:val="28"/>
          <w:lang w:val="en-US" w:eastAsia="zh-CN"/>
        </w:rPr>
        <w:t>,</w:t>
      </w:r>
      <w:r>
        <w:rPr>
          <w:rFonts w:ascii="仿宋_GB2312" w:eastAsia="仿宋_GB2312"/>
          <w:sz w:val="28"/>
          <w:szCs w:val="28"/>
        </w:rPr>
        <w:t>140.62</w:t>
      </w:r>
      <w:r>
        <w:rPr>
          <w:rFonts w:hint="eastAsia" w:ascii="仿宋_GB2312" w:eastAsia="仿宋_GB2312"/>
          <w:sz w:val="28"/>
          <w:szCs w:val="28"/>
        </w:rPr>
        <w:t>元，占收入合计的100%。其中：一般公共预算财政拨款收入</w:t>
      </w:r>
      <w:r>
        <w:rPr>
          <w:rFonts w:ascii="仿宋_GB2312" w:eastAsia="仿宋_GB2312"/>
          <w:sz w:val="28"/>
          <w:szCs w:val="28"/>
        </w:rPr>
        <w:t>31</w:t>
      </w:r>
      <w:r>
        <w:rPr>
          <w:rFonts w:hint="eastAsia" w:ascii="仿宋_GB2312" w:eastAsia="仿宋_GB2312"/>
          <w:sz w:val="28"/>
          <w:szCs w:val="28"/>
          <w:lang w:val="en-US" w:eastAsia="zh-CN"/>
        </w:rPr>
        <w:t>,</w:t>
      </w:r>
      <w:r>
        <w:rPr>
          <w:rFonts w:ascii="仿宋_GB2312" w:eastAsia="仿宋_GB2312"/>
          <w:sz w:val="28"/>
          <w:szCs w:val="28"/>
        </w:rPr>
        <w:t>419</w:t>
      </w:r>
      <w:r>
        <w:rPr>
          <w:rFonts w:hint="eastAsia" w:ascii="仿宋_GB2312" w:eastAsia="仿宋_GB2312"/>
          <w:sz w:val="28"/>
          <w:szCs w:val="28"/>
          <w:lang w:val="en-US" w:eastAsia="zh-CN"/>
        </w:rPr>
        <w:t>,</w:t>
      </w:r>
      <w:r>
        <w:rPr>
          <w:rFonts w:ascii="仿宋_GB2312" w:eastAsia="仿宋_GB2312"/>
          <w:sz w:val="28"/>
          <w:szCs w:val="28"/>
        </w:rPr>
        <w:t>140.62</w:t>
      </w:r>
      <w:r>
        <w:rPr>
          <w:rFonts w:hint="eastAsia" w:ascii="仿宋_GB2312" w:eastAsia="仿宋_GB2312"/>
          <w:sz w:val="28"/>
          <w:szCs w:val="28"/>
        </w:rPr>
        <w:t>元，占收入合计的100%；政府性基金预算财政拨款收入</w:t>
      </w:r>
      <w:r>
        <w:rPr>
          <w:rFonts w:ascii="仿宋_GB2312" w:eastAsia="仿宋_GB2312"/>
          <w:sz w:val="28"/>
          <w:szCs w:val="28"/>
        </w:rPr>
        <w:t>0</w:t>
      </w:r>
      <w:r>
        <w:rPr>
          <w:rFonts w:hint="eastAsia" w:ascii="仿宋_GB2312" w:eastAsia="仿宋_GB2312"/>
          <w:sz w:val="28"/>
          <w:szCs w:val="28"/>
        </w:rPr>
        <w:t>元，占收入合计的0%；国有资本经营预算财政拨款收入</w:t>
      </w:r>
      <w:r>
        <w:rPr>
          <w:rFonts w:ascii="仿宋_GB2312" w:eastAsia="仿宋_GB2312"/>
          <w:sz w:val="28"/>
          <w:szCs w:val="28"/>
        </w:rPr>
        <w:t>0</w:t>
      </w:r>
      <w:r>
        <w:rPr>
          <w:rFonts w:hint="eastAsia" w:ascii="仿宋_GB2312" w:eastAsia="仿宋_GB2312"/>
          <w:sz w:val="28"/>
          <w:szCs w:val="28"/>
        </w:rPr>
        <w:t>元，占收入合计的0%；</w:t>
      </w:r>
    </w:p>
    <w:p w14:paraId="39F53811">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2.上级补助收入</w:t>
      </w:r>
      <w:r>
        <w:rPr>
          <w:rFonts w:ascii="仿宋_GB2312" w:eastAsia="仿宋_GB2312"/>
          <w:sz w:val="28"/>
          <w:szCs w:val="28"/>
        </w:rPr>
        <w:t>0</w:t>
      </w:r>
      <w:r>
        <w:rPr>
          <w:rFonts w:hint="eastAsia" w:ascii="仿宋_GB2312" w:eastAsia="仿宋_GB2312"/>
          <w:sz w:val="28"/>
          <w:szCs w:val="28"/>
        </w:rPr>
        <w:t>元，占收入合计的0%；</w:t>
      </w:r>
    </w:p>
    <w:p w14:paraId="3BE2C457">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3.事业收入</w:t>
      </w:r>
      <w:r>
        <w:rPr>
          <w:rFonts w:ascii="仿宋_GB2312" w:eastAsia="仿宋_GB2312"/>
          <w:sz w:val="28"/>
          <w:szCs w:val="28"/>
        </w:rPr>
        <w:t>0</w:t>
      </w:r>
      <w:r>
        <w:rPr>
          <w:rFonts w:hint="eastAsia" w:ascii="仿宋_GB2312" w:eastAsia="仿宋_GB2312"/>
          <w:sz w:val="28"/>
          <w:szCs w:val="28"/>
        </w:rPr>
        <w:t>元，占收入合计的0%；</w:t>
      </w:r>
    </w:p>
    <w:p w14:paraId="0AEF0AE3">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4.经营收入</w:t>
      </w:r>
      <w:r>
        <w:rPr>
          <w:rFonts w:ascii="仿宋_GB2312" w:eastAsia="仿宋_GB2312"/>
          <w:sz w:val="28"/>
          <w:szCs w:val="28"/>
        </w:rPr>
        <w:t>0</w:t>
      </w:r>
      <w:r>
        <w:rPr>
          <w:rFonts w:hint="eastAsia" w:ascii="仿宋_GB2312" w:eastAsia="仿宋_GB2312"/>
          <w:sz w:val="28"/>
          <w:szCs w:val="28"/>
        </w:rPr>
        <w:t>元，占收入合计的0%；</w:t>
      </w:r>
    </w:p>
    <w:p w14:paraId="04EB932B">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5.附属单位上缴收入</w:t>
      </w:r>
      <w:r>
        <w:rPr>
          <w:rFonts w:ascii="仿宋_GB2312" w:eastAsia="仿宋_GB2312"/>
          <w:sz w:val="28"/>
          <w:szCs w:val="28"/>
        </w:rPr>
        <w:t>0</w:t>
      </w:r>
      <w:r>
        <w:rPr>
          <w:rFonts w:hint="eastAsia" w:ascii="仿宋_GB2312" w:eastAsia="仿宋_GB2312"/>
          <w:sz w:val="28"/>
          <w:szCs w:val="28"/>
        </w:rPr>
        <w:t>元，占收入合计的0%；</w:t>
      </w:r>
    </w:p>
    <w:p w14:paraId="20047791">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6.其他收入</w:t>
      </w:r>
      <w:r>
        <w:rPr>
          <w:rFonts w:ascii="仿宋_GB2312" w:eastAsia="仿宋_GB2312"/>
          <w:sz w:val="28"/>
          <w:szCs w:val="28"/>
        </w:rPr>
        <w:t>0</w:t>
      </w:r>
      <w:r>
        <w:rPr>
          <w:rFonts w:hint="eastAsia" w:ascii="仿宋_GB2312" w:eastAsia="仿宋_GB2312"/>
          <w:sz w:val="28"/>
          <w:szCs w:val="28"/>
        </w:rPr>
        <w:t>元，占收入合计的0%。</w:t>
      </w:r>
    </w:p>
    <w:p w14:paraId="2CAF52CA">
      <w:pPr>
        <w:pStyle w:val="2"/>
        <w:jc w:val="center"/>
      </w:pPr>
      <w:r>
        <w:rPr>
          <w:rFonts w:hint="eastAsia" w:ascii="仿宋_GB2312" w:eastAsia="仿宋_GB2312"/>
          <w:color w:val="000000"/>
          <w:sz w:val="32"/>
        </w:rPr>
        <w:t>图1：收入决算</w:t>
      </w:r>
    </w:p>
    <w:p w14:paraId="3FE4C4A5">
      <w:pPr>
        <w:pStyle w:val="3"/>
        <w:ind w:firstLine="420"/>
        <w:jc w:val="center"/>
      </w:pPr>
      <w:r>
        <w:drawing>
          <wp:inline distT="0" distB="0" distL="0" distR="0">
            <wp:extent cx="4036695" cy="2328545"/>
            <wp:effectExtent l="0" t="0" r="20955" b="14605"/>
            <wp:docPr id="3" name="图表 3" title="{{pieChart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5C841A92">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（二</w:t>
      </w:r>
      <w:r>
        <w:rPr>
          <w:rFonts w:ascii="仿宋_GB2312" w:eastAsia="仿宋_GB2312"/>
          <w:sz w:val="28"/>
          <w:szCs w:val="28"/>
        </w:rPr>
        <w:t>）</w:t>
      </w:r>
      <w:r>
        <w:rPr>
          <w:rFonts w:hint="eastAsia" w:ascii="仿宋_GB2312" w:eastAsia="仿宋_GB2312"/>
          <w:sz w:val="28"/>
          <w:szCs w:val="28"/>
        </w:rPr>
        <w:t>支出决算</w:t>
      </w:r>
      <w:r>
        <w:rPr>
          <w:rFonts w:ascii="仿宋_GB2312" w:eastAsia="仿宋_GB2312"/>
          <w:sz w:val="28"/>
          <w:szCs w:val="28"/>
        </w:rPr>
        <w:t>说明</w:t>
      </w:r>
    </w:p>
    <w:p w14:paraId="21A62EE1">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2025年度本年支出合计</w:t>
      </w:r>
      <w:r>
        <w:rPr>
          <w:rFonts w:ascii="仿宋_GB2312" w:eastAsia="仿宋_GB2312"/>
          <w:sz w:val="28"/>
          <w:szCs w:val="28"/>
        </w:rPr>
        <w:t>32</w:t>
      </w:r>
      <w:r>
        <w:rPr>
          <w:rFonts w:hint="eastAsia" w:ascii="仿宋_GB2312" w:eastAsia="仿宋_GB2312"/>
          <w:sz w:val="28"/>
          <w:szCs w:val="28"/>
          <w:lang w:val="en-US" w:eastAsia="zh-CN"/>
        </w:rPr>
        <w:t>,</w:t>
      </w:r>
      <w:r>
        <w:rPr>
          <w:rFonts w:ascii="仿宋_GB2312" w:eastAsia="仿宋_GB2312"/>
          <w:sz w:val="28"/>
          <w:szCs w:val="28"/>
        </w:rPr>
        <w:t>553</w:t>
      </w:r>
      <w:r>
        <w:rPr>
          <w:rFonts w:hint="eastAsia" w:ascii="仿宋_GB2312" w:eastAsia="仿宋_GB2312"/>
          <w:sz w:val="28"/>
          <w:szCs w:val="28"/>
          <w:lang w:val="en-US" w:eastAsia="zh-CN"/>
        </w:rPr>
        <w:t>,</w:t>
      </w:r>
      <w:r>
        <w:rPr>
          <w:rFonts w:ascii="仿宋_GB2312" w:eastAsia="仿宋_GB2312"/>
          <w:sz w:val="28"/>
          <w:szCs w:val="28"/>
        </w:rPr>
        <w:t>954.62</w:t>
      </w:r>
      <w:r>
        <w:rPr>
          <w:rFonts w:hint="eastAsia" w:ascii="仿宋_GB2312" w:eastAsia="仿宋_GB2312"/>
          <w:sz w:val="28"/>
          <w:szCs w:val="28"/>
        </w:rPr>
        <w:t>元，</w:t>
      </w:r>
      <w:r>
        <w:rPr>
          <w:rFonts w:ascii="仿宋_GB2312" w:eastAsia="仿宋_GB2312"/>
          <w:sz w:val="28"/>
          <w:szCs w:val="28"/>
        </w:rPr>
        <w:t>比上年增加</w:t>
      </w:r>
      <w:r>
        <w:rPr>
          <w:rFonts w:hint="eastAsia" w:ascii="仿宋_GB2312" w:eastAsia="仿宋_GB2312"/>
          <w:sz w:val="28"/>
          <w:szCs w:val="28"/>
        </w:rPr>
        <w:t>14</w:t>
      </w:r>
      <w:r>
        <w:rPr>
          <w:rFonts w:hint="eastAsia" w:ascii="仿宋_GB2312" w:eastAsia="仿宋_GB2312"/>
          <w:sz w:val="28"/>
          <w:szCs w:val="28"/>
          <w:lang w:val="en-US" w:eastAsia="zh-CN"/>
        </w:rPr>
        <w:t>,</w:t>
      </w:r>
      <w:r>
        <w:rPr>
          <w:rFonts w:hint="eastAsia" w:ascii="仿宋_GB2312" w:eastAsia="仿宋_GB2312"/>
          <w:sz w:val="28"/>
          <w:szCs w:val="28"/>
        </w:rPr>
        <w:t>441</w:t>
      </w:r>
      <w:r>
        <w:rPr>
          <w:rFonts w:hint="eastAsia" w:ascii="仿宋_GB2312" w:eastAsia="仿宋_GB2312"/>
          <w:sz w:val="28"/>
          <w:szCs w:val="28"/>
          <w:lang w:val="en-US" w:eastAsia="zh-CN"/>
        </w:rPr>
        <w:t>,</w:t>
      </w:r>
      <w:r>
        <w:rPr>
          <w:rFonts w:hint="eastAsia" w:ascii="仿宋_GB2312" w:eastAsia="仿宋_GB2312"/>
          <w:sz w:val="28"/>
          <w:szCs w:val="28"/>
        </w:rPr>
        <w:t>398.75元，增长79.7%，其中：基本支出</w:t>
      </w:r>
      <w:r>
        <w:rPr>
          <w:rFonts w:ascii="仿宋_GB2312" w:eastAsia="仿宋_GB2312"/>
          <w:sz w:val="28"/>
          <w:szCs w:val="28"/>
        </w:rPr>
        <w:t>8</w:t>
      </w:r>
      <w:r>
        <w:rPr>
          <w:rFonts w:hint="eastAsia" w:ascii="仿宋_GB2312" w:eastAsia="仿宋_GB2312"/>
          <w:sz w:val="28"/>
          <w:szCs w:val="28"/>
          <w:lang w:val="en-US" w:eastAsia="zh-CN"/>
        </w:rPr>
        <w:t>,</w:t>
      </w:r>
      <w:r>
        <w:rPr>
          <w:rFonts w:ascii="仿宋_GB2312" w:eastAsia="仿宋_GB2312"/>
          <w:sz w:val="28"/>
          <w:szCs w:val="28"/>
        </w:rPr>
        <w:t>249</w:t>
      </w:r>
      <w:r>
        <w:rPr>
          <w:rFonts w:hint="eastAsia" w:ascii="仿宋_GB2312" w:eastAsia="仿宋_GB2312"/>
          <w:sz w:val="28"/>
          <w:szCs w:val="28"/>
          <w:lang w:val="en-US" w:eastAsia="zh-CN"/>
        </w:rPr>
        <w:t>,</w:t>
      </w:r>
      <w:r>
        <w:rPr>
          <w:rFonts w:ascii="仿宋_GB2312" w:eastAsia="仿宋_GB2312"/>
          <w:sz w:val="28"/>
          <w:szCs w:val="28"/>
        </w:rPr>
        <w:t>601.29</w:t>
      </w:r>
      <w:r>
        <w:rPr>
          <w:rFonts w:hint="eastAsia" w:ascii="仿宋_GB2312" w:eastAsia="仿宋_GB2312"/>
          <w:sz w:val="28"/>
          <w:szCs w:val="28"/>
        </w:rPr>
        <w:t>元，占支出合计的25.3%；项目支出</w:t>
      </w:r>
      <w:r>
        <w:rPr>
          <w:rFonts w:ascii="仿宋_GB2312" w:eastAsia="仿宋_GB2312"/>
          <w:sz w:val="28"/>
          <w:szCs w:val="28"/>
        </w:rPr>
        <w:t>24</w:t>
      </w:r>
      <w:r>
        <w:rPr>
          <w:rFonts w:hint="eastAsia" w:ascii="仿宋_GB2312" w:eastAsia="仿宋_GB2312"/>
          <w:sz w:val="28"/>
          <w:szCs w:val="28"/>
          <w:lang w:val="en-US" w:eastAsia="zh-CN"/>
        </w:rPr>
        <w:t>,</w:t>
      </w:r>
      <w:r>
        <w:rPr>
          <w:rFonts w:ascii="仿宋_GB2312" w:eastAsia="仿宋_GB2312"/>
          <w:sz w:val="28"/>
          <w:szCs w:val="28"/>
        </w:rPr>
        <w:t>304</w:t>
      </w:r>
      <w:r>
        <w:rPr>
          <w:rFonts w:hint="eastAsia" w:ascii="仿宋_GB2312" w:eastAsia="仿宋_GB2312"/>
          <w:sz w:val="28"/>
          <w:szCs w:val="28"/>
          <w:lang w:val="en-US" w:eastAsia="zh-CN"/>
        </w:rPr>
        <w:t>,</w:t>
      </w:r>
      <w:r>
        <w:rPr>
          <w:rFonts w:ascii="仿宋_GB2312" w:eastAsia="仿宋_GB2312"/>
          <w:sz w:val="28"/>
          <w:szCs w:val="28"/>
        </w:rPr>
        <w:t>353.33</w:t>
      </w:r>
      <w:r>
        <w:rPr>
          <w:rFonts w:hint="eastAsia" w:ascii="仿宋_GB2312" w:eastAsia="仿宋_GB2312"/>
          <w:sz w:val="28"/>
          <w:szCs w:val="28"/>
        </w:rPr>
        <w:t>元，占支出合计的74.</w:t>
      </w:r>
      <w:r>
        <w:rPr>
          <w:rFonts w:hint="eastAsia" w:ascii="仿宋_GB2312" w:eastAsia="仿宋_GB2312"/>
          <w:sz w:val="28"/>
          <w:szCs w:val="28"/>
          <w:lang w:val="en-US" w:eastAsia="zh-CN"/>
        </w:rPr>
        <w:t>7</w:t>
      </w:r>
      <w:r>
        <w:rPr>
          <w:rFonts w:hint="eastAsia" w:ascii="仿宋_GB2312" w:eastAsia="仿宋_GB2312"/>
          <w:sz w:val="28"/>
          <w:szCs w:val="28"/>
        </w:rPr>
        <w:t>%;上缴上级支出</w:t>
      </w:r>
      <w:r>
        <w:rPr>
          <w:rFonts w:ascii="仿宋_GB2312" w:eastAsia="仿宋_GB2312"/>
          <w:sz w:val="28"/>
          <w:szCs w:val="28"/>
        </w:rPr>
        <w:t>0</w:t>
      </w:r>
      <w:r>
        <w:rPr>
          <w:rFonts w:hint="eastAsia" w:ascii="仿宋_GB2312" w:eastAsia="仿宋_GB2312"/>
          <w:sz w:val="28"/>
          <w:szCs w:val="28"/>
        </w:rPr>
        <w:t>元，占支出合计的0%；经营支出</w:t>
      </w:r>
      <w:r>
        <w:rPr>
          <w:rFonts w:ascii="仿宋_GB2312" w:eastAsia="仿宋_GB2312"/>
          <w:sz w:val="28"/>
          <w:szCs w:val="28"/>
        </w:rPr>
        <w:t>0</w:t>
      </w:r>
      <w:r>
        <w:rPr>
          <w:rFonts w:hint="eastAsia" w:ascii="仿宋_GB2312" w:eastAsia="仿宋_GB2312"/>
          <w:sz w:val="28"/>
          <w:szCs w:val="28"/>
        </w:rPr>
        <w:t>元，占支出合计的0%；对附属单位补助支出</w:t>
      </w:r>
      <w:r>
        <w:rPr>
          <w:rFonts w:ascii="仿宋_GB2312" w:eastAsia="仿宋_GB2312"/>
          <w:sz w:val="28"/>
          <w:szCs w:val="28"/>
        </w:rPr>
        <w:t>0</w:t>
      </w:r>
      <w:r>
        <w:rPr>
          <w:rFonts w:hint="eastAsia" w:ascii="仿宋_GB2312" w:eastAsia="仿宋_GB2312"/>
          <w:sz w:val="28"/>
          <w:szCs w:val="28"/>
        </w:rPr>
        <w:t>元，占支出合计的0%。</w:t>
      </w:r>
    </w:p>
    <w:p w14:paraId="6E2C9C0E">
      <w:pPr>
        <w:pStyle w:val="2"/>
        <w:ind w:firstLine="5772" w:firstLineChars="1804"/>
        <w:rPr>
          <w:rFonts w:ascii="仿宋_GB2312" w:eastAsia="仿宋_GB2312"/>
          <w:color w:val="000000"/>
          <w:sz w:val="32"/>
        </w:rPr>
      </w:pPr>
      <w:r>
        <w:rPr>
          <w:rFonts w:hint="eastAsia" w:ascii="仿宋_GB2312" w:eastAsia="仿宋_GB2312"/>
          <w:color w:val="000000"/>
          <w:sz w:val="32"/>
        </w:rPr>
        <w:t>图2：支出决算</w:t>
      </w:r>
    </w:p>
    <w:p w14:paraId="5E880428">
      <w:pPr>
        <w:jc w:val="center"/>
        <w:rPr>
          <w:rFonts w:ascii="黑体" w:eastAsia="黑体"/>
          <w:b/>
          <w:sz w:val="28"/>
          <w:szCs w:val="28"/>
        </w:rPr>
      </w:pPr>
      <w:r>
        <w:drawing>
          <wp:inline distT="0" distB="0" distL="114300" distR="114300">
            <wp:extent cx="4572000" cy="2743200"/>
            <wp:effectExtent l="4445" t="4445" r="14605" b="14605"/>
            <wp:docPr id="1" name="图表 3" title="{{pieChart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70C13854">
      <w:pPr>
        <w:tabs>
          <w:tab w:val="center" w:pos="6979"/>
        </w:tabs>
        <w:spacing w:line="580" w:lineRule="exact"/>
        <w:ind w:firstLine="548" w:firstLineChars="196"/>
        <w:rPr>
          <w:rFonts w:ascii="黑体" w:eastAsia="黑体"/>
          <w:b/>
          <w:sz w:val="28"/>
          <w:szCs w:val="28"/>
        </w:rPr>
      </w:pPr>
      <w:r>
        <w:rPr>
          <w:rFonts w:hint="eastAsia" w:ascii="黑体" w:eastAsia="黑体"/>
          <w:b/>
          <w:sz w:val="28"/>
          <w:szCs w:val="28"/>
        </w:rPr>
        <w:t>三</w:t>
      </w:r>
      <w:r>
        <w:rPr>
          <w:rFonts w:ascii="黑体" w:eastAsia="黑体"/>
          <w:b/>
          <w:sz w:val="28"/>
          <w:szCs w:val="28"/>
        </w:rPr>
        <w:t>、财政拨款</w:t>
      </w:r>
      <w:r>
        <w:rPr>
          <w:rFonts w:hint="eastAsia" w:ascii="黑体" w:eastAsia="黑体"/>
          <w:b/>
          <w:sz w:val="28"/>
          <w:szCs w:val="28"/>
        </w:rPr>
        <w:t>收入支出决算</w:t>
      </w:r>
      <w:r>
        <w:rPr>
          <w:rFonts w:ascii="黑体" w:eastAsia="黑体"/>
          <w:b/>
          <w:sz w:val="28"/>
          <w:szCs w:val="28"/>
        </w:rPr>
        <w:t>总体情况说明</w:t>
      </w:r>
    </w:p>
    <w:p w14:paraId="2A91775B">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2025年度财政拨款收、</w:t>
      </w:r>
      <w:r>
        <w:rPr>
          <w:rFonts w:ascii="仿宋_GB2312" w:eastAsia="仿宋_GB2312"/>
          <w:sz w:val="28"/>
          <w:szCs w:val="28"/>
        </w:rPr>
        <w:t>支</w:t>
      </w:r>
      <w:r>
        <w:rPr>
          <w:rFonts w:hint="eastAsia" w:ascii="仿宋_GB2312" w:eastAsia="仿宋_GB2312"/>
          <w:sz w:val="28"/>
          <w:szCs w:val="28"/>
        </w:rPr>
        <w:t>总计</w:t>
      </w:r>
      <w:r>
        <w:rPr>
          <w:rFonts w:ascii="仿宋_GB2312" w:eastAsia="仿宋_GB2312"/>
          <w:sz w:val="28"/>
          <w:szCs w:val="28"/>
        </w:rPr>
        <w:t>32</w:t>
      </w:r>
      <w:r>
        <w:rPr>
          <w:rFonts w:hint="eastAsia" w:ascii="仿宋_GB2312" w:eastAsia="仿宋_GB2312"/>
          <w:sz w:val="28"/>
          <w:szCs w:val="28"/>
          <w:lang w:val="en-US" w:eastAsia="zh-CN"/>
        </w:rPr>
        <w:t>,</w:t>
      </w:r>
      <w:r>
        <w:rPr>
          <w:rFonts w:ascii="仿宋_GB2312" w:eastAsia="仿宋_GB2312"/>
          <w:sz w:val="28"/>
          <w:szCs w:val="28"/>
        </w:rPr>
        <w:t>553</w:t>
      </w:r>
      <w:r>
        <w:rPr>
          <w:rFonts w:hint="eastAsia" w:ascii="仿宋_GB2312" w:eastAsia="仿宋_GB2312"/>
          <w:sz w:val="28"/>
          <w:szCs w:val="28"/>
          <w:lang w:val="en-US" w:eastAsia="zh-CN"/>
        </w:rPr>
        <w:t>,</w:t>
      </w:r>
      <w:r>
        <w:rPr>
          <w:rFonts w:ascii="仿宋_GB2312" w:eastAsia="仿宋_GB2312"/>
          <w:sz w:val="28"/>
          <w:szCs w:val="28"/>
        </w:rPr>
        <w:t>954.62</w:t>
      </w:r>
      <w:r>
        <w:rPr>
          <w:rFonts w:hint="eastAsia" w:ascii="仿宋_GB2312" w:eastAsia="仿宋_GB2312"/>
          <w:sz w:val="28"/>
          <w:szCs w:val="28"/>
        </w:rPr>
        <w:t>元，比上年</w:t>
      </w:r>
      <w:r>
        <w:rPr>
          <w:rFonts w:ascii="仿宋_GB2312" w:eastAsia="仿宋_GB2312"/>
          <w:sz w:val="28"/>
          <w:szCs w:val="28"/>
        </w:rPr>
        <w:t>增加</w:t>
      </w:r>
      <w:r>
        <w:rPr>
          <w:rFonts w:hint="eastAsia" w:ascii="仿宋_GB2312" w:eastAsia="仿宋_GB2312"/>
          <w:sz w:val="28"/>
          <w:szCs w:val="28"/>
        </w:rPr>
        <w:t>14</w:t>
      </w:r>
      <w:r>
        <w:rPr>
          <w:rFonts w:hint="eastAsia" w:ascii="仿宋_GB2312" w:eastAsia="仿宋_GB2312"/>
          <w:sz w:val="28"/>
          <w:szCs w:val="28"/>
          <w:lang w:val="en-US" w:eastAsia="zh-CN"/>
        </w:rPr>
        <w:t>,</w:t>
      </w:r>
      <w:r>
        <w:rPr>
          <w:rFonts w:hint="eastAsia" w:ascii="仿宋_GB2312" w:eastAsia="仿宋_GB2312"/>
          <w:sz w:val="28"/>
          <w:szCs w:val="28"/>
        </w:rPr>
        <w:t>441</w:t>
      </w:r>
      <w:r>
        <w:rPr>
          <w:rFonts w:hint="eastAsia" w:ascii="仿宋_GB2312" w:eastAsia="仿宋_GB2312"/>
          <w:sz w:val="28"/>
          <w:szCs w:val="28"/>
          <w:lang w:val="en-US" w:eastAsia="zh-CN"/>
        </w:rPr>
        <w:t>,</w:t>
      </w:r>
      <w:r>
        <w:rPr>
          <w:rFonts w:hint="eastAsia" w:ascii="仿宋_GB2312" w:eastAsia="仿宋_GB2312"/>
          <w:sz w:val="28"/>
          <w:szCs w:val="28"/>
        </w:rPr>
        <w:t>398.75元，增长79.7%。主要原因：</w:t>
      </w:r>
      <w:r>
        <w:rPr>
          <w:rFonts w:hint="eastAsia" w:ascii="仿宋_GB2312" w:eastAsia="仿宋_GB2312"/>
          <w:sz w:val="28"/>
          <w:szCs w:val="28"/>
          <w:lang w:val="en-US" w:eastAsia="zh-CN"/>
        </w:rPr>
        <w:t>受人员增加因素影响，实际基本支出相应增加；受追加</w:t>
      </w:r>
      <w:r>
        <w:rPr>
          <w:rFonts w:hint="eastAsia" w:ascii="仿宋_GB2312" w:eastAsia="仿宋_GB2312"/>
          <w:sz w:val="28"/>
          <w:szCs w:val="28"/>
        </w:rPr>
        <w:t>项目数量增加</w:t>
      </w:r>
      <w:r>
        <w:rPr>
          <w:rFonts w:hint="eastAsia" w:ascii="仿宋_GB2312" w:eastAsia="仿宋_GB2312"/>
          <w:sz w:val="28"/>
          <w:szCs w:val="28"/>
          <w:lang w:eastAsia="zh-CN"/>
        </w:rPr>
        <w:t>因素影响</w:t>
      </w:r>
      <w:r>
        <w:rPr>
          <w:rFonts w:hint="eastAsia" w:ascii="仿宋_GB2312" w:eastAsia="仿宋_GB2312"/>
          <w:sz w:val="28"/>
          <w:szCs w:val="28"/>
        </w:rPr>
        <w:t>，</w:t>
      </w:r>
      <w:r>
        <w:rPr>
          <w:rFonts w:hint="eastAsia" w:ascii="仿宋_GB2312" w:eastAsia="仿宋_GB2312"/>
          <w:sz w:val="28"/>
          <w:szCs w:val="28"/>
          <w:lang w:val="en-US" w:eastAsia="zh-CN"/>
        </w:rPr>
        <w:t>实际</w:t>
      </w:r>
      <w:r>
        <w:rPr>
          <w:rFonts w:hint="eastAsia" w:ascii="仿宋_GB2312" w:eastAsia="仿宋_GB2312"/>
          <w:sz w:val="28"/>
          <w:szCs w:val="28"/>
        </w:rPr>
        <w:t>项目支出</w:t>
      </w:r>
      <w:r>
        <w:rPr>
          <w:rFonts w:hint="eastAsia" w:ascii="仿宋_GB2312" w:eastAsia="仿宋_GB2312"/>
          <w:sz w:val="28"/>
          <w:szCs w:val="28"/>
          <w:lang w:eastAsia="zh-CN"/>
        </w:rPr>
        <w:t>相应</w:t>
      </w:r>
      <w:r>
        <w:rPr>
          <w:rFonts w:hint="eastAsia" w:ascii="仿宋_GB2312" w:eastAsia="仿宋_GB2312"/>
          <w:sz w:val="28"/>
          <w:szCs w:val="28"/>
        </w:rPr>
        <w:t>增加。</w:t>
      </w:r>
    </w:p>
    <w:p w14:paraId="272F0FBD">
      <w:pPr>
        <w:tabs>
          <w:tab w:val="center" w:pos="6979"/>
        </w:tabs>
        <w:spacing w:line="580" w:lineRule="exact"/>
        <w:ind w:firstLine="548" w:firstLineChars="196"/>
        <w:rPr>
          <w:rFonts w:ascii="黑体" w:eastAsia="黑体"/>
          <w:b/>
          <w:sz w:val="28"/>
          <w:szCs w:val="28"/>
        </w:rPr>
      </w:pPr>
      <w:r>
        <w:rPr>
          <w:rFonts w:hint="eastAsia" w:ascii="黑体" w:eastAsia="黑体"/>
          <w:b/>
          <w:sz w:val="28"/>
          <w:szCs w:val="28"/>
        </w:rPr>
        <w:t>四、一般公共预算财政拨款支出决算情况说明</w:t>
      </w:r>
    </w:p>
    <w:p w14:paraId="08A31B0A">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（一）一般公共预算财政拨款支出决算总体情况</w:t>
      </w:r>
    </w:p>
    <w:p w14:paraId="1718A8F1">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2025年度一般公共预算财政拨款支出</w:t>
      </w:r>
      <w:r>
        <w:rPr>
          <w:rFonts w:ascii="仿宋_GB2312" w:eastAsia="仿宋_GB2312"/>
          <w:sz w:val="28"/>
          <w:szCs w:val="28"/>
        </w:rPr>
        <w:t>32</w:t>
      </w:r>
      <w:r>
        <w:rPr>
          <w:rFonts w:hint="eastAsia" w:ascii="仿宋_GB2312" w:eastAsia="仿宋_GB2312"/>
          <w:sz w:val="28"/>
          <w:szCs w:val="28"/>
          <w:lang w:val="en-US" w:eastAsia="zh-CN"/>
        </w:rPr>
        <w:t>,</w:t>
      </w:r>
      <w:r>
        <w:rPr>
          <w:rFonts w:ascii="仿宋_GB2312" w:eastAsia="仿宋_GB2312"/>
          <w:sz w:val="28"/>
          <w:szCs w:val="28"/>
        </w:rPr>
        <w:t>553</w:t>
      </w:r>
      <w:r>
        <w:rPr>
          <w:rFonts w:hint="eastAsia" w:ascii="仿宋_GB2312" w:eastAsia="仿宋_GB2312"/>
          <w:sz w:val="28"/>
          <w:szCs w:val="28"/>
          <w:lang w:val="en-US" w:eastAsia="zh-CN"/>
        </w:rPr>
        <w:t>,</w:t>
      </w:r>
      <w:r>
        <w:rPr>
          <w:rFonts w:ascii="仿宋_GB2312" w:eastAsia="仿宋_GB2312"/>
          <w:sz w:val="28"/>
          <w:szCs w:val="28"/>
        </w:rPr>
        <w:t>954.62</w:t>
      </w:r>
      <w:r>
        <w:rPr>
          <w:rFonts w:hint="eastAsia" w:ascii="仿宋_GB2312" w:eastAsia="仿宋_GB2312"/>
          <w:sz w:val="28"/>
          <w:szCs w:val="28"/>
        </w:rPr>
        <w:t>元，主要用于以下方面（按大类）：文化旅游体育与传媒支出31</w:t>
      </w:r>
      <w:r>
        <w:rPr>
          <w:rFonts w:hint="eastAsia" w:ascii="仿宋_GB2312" w:eastAsia="仿宋_GB2312"/>
          <w:sz w:val="28"/>
          <w:szCs w:val="28"/>
          <w:lang w:val="en-US" w:eastAsia="zh-CN"/>
        </w:rPr>
        <w:t>,</w:t>
      </w:r>
      <w:r>
        <w:rPr>
          <w:rFonts w:hint="eastAsia" w:ascii="仿宋_GB2312" w:eastAsia="仿宋_GB2312"/>
          <w:sz w:val="28"/>
          <w:szCs w:val="28"/>
        </w:rPr>
        <w:t>928</w:t>
      </w:r>
      <w:r>
        <w:rPr>
          <w:rFonts w:hint="eastAsia" w:ascii="仿宋_GB2312" w:eastAsia="仿宋_GB2312"/>
          <w:sz w:val="28"/>
          <w:szCs w:val="28"/>
          <w:lang w:val="en-US" w:eastAsia="zh-CN"/>
        </w:rPr>
        <w:t>,</w:t>
      </w:r>
      <w:r>
        <w:rPr>
          <w:rFonts w:hint="eastAsia" w:ascii="仿宋_GB2312" w:eastAsia="仿宋_GB2312"/>
          <w:sz w:val="28"/>
          <w:szCs w:val="28"/>
        </w:rPr>
        <w:t>350.62元，占本年财政拨款支出98.</w:t>
      </w:r>
      <w:r>
        <w:rPr>
          <w:rFonts w:hint="eastAsia" w:ascii="仿宋_GB2312" w:eastAsia="仿宋_GB2312"/>
          <w:sz w:val="28"/>
          <w:szCs w:val="28"/>
          <w:lang w:val="en-US" w:eastAsia="zh-CN"/>
        </w:rPr>
        <w:t>1</w:t>
      </w:r>
      <w:r>
        <w:rPr>
          <w:rFonts w:hint="eastAsia" w:ascii="仿宋_GB2312" w:eastAsia="仿宋_GB2312"/>
          <w:sz w:val="28"/>
          <w:szCs w:val="28"/>
        </w:rPr>
        <w:t>%</w:t>
      </w:r>
      <w:r>
        <w:rPr>
          <w:rFonts w:hint="eastAsia" w:ascii="仿宋_GB2312" w:eastAsia="仿宋_GB2312"/>
          <w:sz w:val="28"/>
          <w:szCs w:val="28"/>
          <w:lang w:eastAsia="zh-CN"/>
        </w:rPr>
        <w:t>；</w:t>
      </w:r>
      <w:r>
        <w:rPr>
          <w:rFonts w:hint="eastAsia" w:ascii="仿宋_GB2312" w:eastAsia="仿宋_GB2312"/>
          <w:sz w:val="28"/>
          <w:szCs w:val="28"/>
        </w:rPr>
        <w:t>资源勘探工业信息等</w:t>
      </w:r>
      <w:r>
        <w:rPr>
          <w:rFonts w:hint="eastAsia" w:ascii="仿宋_GB2312" w:eastAsia="仿宋_GB2312"/>
          <w:sz w:val="28"/>
          <w:szCs w:val="28"/>
          <w:lang w:eastAsia="zh-CN"/>
        </w:rPr>
        <w:t>支出</w:t>
      </w:r>
      <w:r>
        <w:rPr>
          <w:rFonts w:hint="eastAsia" w:ascii="仿宋_GB2312" w:eastAsia="仿宋_GB2312"/>
          <w:sz w:val="28"/>
          <w:szCs w:val="28"/>
          <w:lang w:val="en-US" w:eastAsia="zh-CN"/>
        </w:rPr>
        <w:t>2,184.00元，</w:t>
      </w:r>
      <w:r>
        <w:rPr>
          <w:rFonts w:hint="eastAsia" w:ascii="仿宋_GB2312" w:eastAsia="仿宋_GB2312"/>
          <w:sz w:val="28"/>
          <w:szCs w:val="28"/>
          <w:highlight w:val="none"/>
        </w:rPr>
        <w:t>占本年财政拨款支出</w:t>
      </w:r>
      <w:r>
        <w:rPr>
          <w:rFonts w:hint="eastAsia" w:ascii="仿宋_GB2312" w:eastAsia="仿宋_GB2312"/>
          <w:sz w:val="28"/>
          <w:szCs w:val="28"/>
          <w:highlight w:val="none"/>
          <w:lang w:val="en-US" w:eastAsia="zh-CN"/>
        </w:rPr>
        <w:t>0.01%</w:t>
      </w:r>
      <w:r>
        <w:rPr>
          <w:rFonts w:hint="eastAsia" w:ascii="仿宋_GB2312" w:eastAsia="仿宋_GB2312"/>
          <w:sz w:val="28"/>
          <w:szCs w:val="28"/>
          <w:lang w:val="en-US" w:eastAsia="zh-CN"/>
        </w:rPr>
        <w:t>；</w:t>
      </w:r>
      <w:r>
        <w:rPr>
          <w:rFonts w:hint="eastAsia" w:ascii="仿宋_GB2312" w:eastAsia="仿宋_GB2312"/>
          <w:sz w:val="28"/>
          <w:szCs w:val="28"/>
          <w:lang w:eastAsia="zh-CN"/>
        </w:rPr>
        <w:t>灾害防治及应急管理支出623,420</w:t>
      </w:r>
      <w:r>
        <w:rPr>
          <w:rFonts w:hint="eastAsia" w:ascii="仿宋_GB2312" w:eastAsia="仿宋_GB2312"/>
          <w:sz w:val="28"/>
          <w:szCs w:val="28"/>
          <w:lang w:val="en-US" w:eastAsia="zh-CN"/>
        </w:rPr>
        <w:t>.00</w:t>
      </w:r>
      <w:r>
        <w:rPr>
          <w:rFonts w:hint="eastAsia" w:ascii="仿宋_GB2312" w:eastAsia="仿宋_GB2312"/>
          <w:sz w:val="28"/>
          <w:szCs w:val="28"/>
          <w:lang w:eastAsia="zh-CN"/>
        </w:rPr>
        <w:t>元，</w:t>
      </w:r>
      <w:r>
        <w:rPr>
          <w:rFonts w:hint="eastAsia" w:ascii="仿宋_GB2312" w:eastAsia="仿宋_GB2312"/>
          <w:sz w:val="28"/>
          <w:szCs w:val="28"/>
        </w:rPr>
        <w:t>占本年财政拨款支出1.9%。</w:t>
      </w:r>
    </w:p>
    <w:p w14:paraId="19368A02">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（二）一般公共预算财政拨款支出决算具体情况</w:t>
      </w:r>
    </w:p>
    <w:p w14:paraId="0BD6BC72">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1、“文化旅游体育与传媒支出”（类）2025年度年初预算13,223,205.30元，2025年度决算31,928,350.62元，完成年初预算的241.</w:t>
      </w:r>
      <w:r>
        <w:rPr>
          <w:rFonts w:hint="eastAsia" w:ascii="仿宋_GB2312" w:eastAsia="仿宋_GB2312"/>
          <w:sz w:val="28"/>
          <w:szCs w:val="28"/>
          <w:lang w:val="en-US" w:eastAsia="zh-CN"/>
        </w:rPr>
        <w:t>5</w:t>
      </w:r>
      <w:r>
        <w:rPr>
          <w:rFonts w:hint="eastAsia" w:ascii="仿宋_GB2312" w:eastAsia="仿宋_GB2312"/>
          <w:sz w:val="28"/>
          <w:szCs w:val="28"/>
        </w:rPr>
        <w:t>%。</w:t>
      </w:r>
    </w:p>
    <w:p w14:paraId="47821467">
      <w:pPr>
        <w:autoSpaceDE w:val="0"/>
        <w:autoSpaceDN w:val="0"/>
        <w:adjustRightInd w:val="0"/>
        <w:spacing w:line="580" w:lineRule="exact"/>
        <w:jc w:val="left"/>
        <w:rPr>
          <w:rFonts w:ascii="仿宋_GB2312" w:eastAsia="仿宋_GB2312"/>
          <w:sz w:val="28"/>
          <w:szCs w:val="28"/>
        </w:rPr>
      </w:pPr>
      <w:r>
        <w:rPr>
          <w:rFonts w:hint="eastAsia" w:ascii="仿宋_GB2312" w:eastAsia="仿宋_GB2312"/>
          <w:sz w:val="28"/>
          <w:szCs w:val="28"/>
        </w:rPr>
        <w:t>其中：</w:t>
      </w:r>
    </w:p>
    <w:p w14:paraId="6978C49A">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文化和旅游”（款，下同）2025年度年初预算5,678,000.00元，2025年度决算23,297,888.41元，完成年初预算的410.3%。主要原因：本部门年中进行了预算调整，追加了潭戒两寺景区文旅产业基础设施提升及环境治理项目-潭戒两寺景观环境及基础设施提升项目等项目资金，因此决算数和年初预算差异较大。</w:t>
      </w:r>
    </w:p>
    <w:p w14:paraId="3B76E9A2">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w:t>
      </w:r>
      <w:r>
        <w:rPr>
          <w:rFonts w:hint="eastAsia" w:ascii="仿宋_GB2312" w:eastAsia="仿宋_GB2312"/>
          <w:sz w:val="28"/>
          <w:szCs w:val="28"/>
          <w:lang w:eastAsia="zh-CN"/>
        </w:rPr>
        <w:t>文物</w:t>
      </w:r>
      <w:r>
        <w:rPr>
          <w:rFonts w:hint="eastAsia" w:ascii="仿宋_GB2312" w:eastAsia="仿宋_GB2312"/>
          <w:sz w:val="28"/>
          <w:szCs w:val="28"/>
        </w:rPr>
        <w:t>”（款，下同）2025年度年初预算</w:t>
      </w:r>
      <w:r>
        <w:rPr>
          <w:rFonts w:hint="eastAsia" w:ascii="仿宋_GB2312" w:eastAsia="仿宋_GB2312"/>
          <w:sz w:val="28"/>
          <w:szCs w:val="28"/>
          <w:lang w:val="en-US" w:eastAsia="zh-CN"/>
        </w:rPr>
        <w:t>0.00</w:t>
      </w:r>
      <w:r>
        <w:rPr>
          <w:rFonts w:hint="eastAsia" w:ascii="仿宋_GB2312" w:eastAsia="仿宋_GB2312"/>
          <w:sz w:val="28"/>
          <w:szCs w:val="28"/>
        </w:rPr>
        <w:t>元，2025年度决算380,860.92元。主要原因：本部门年中进行了预算调整，追加了潭戒两寺文物保护利用项目的项目资金，因此决算数和年初预算差异较大。</w:t>
      </w:r>
    </w:p>
    <w:p w14:paraId="364141C4">
      <w:pPr>
        <w:spacing w:line="580" w:lineRule="exact"/>
        <w:ind w:firstLine="560" w:firstLineChars="200"/>
        <w:rPr>
          <w:rFonts w:hint="eastAsia"/>
        </w:rPr>
      </w:pPr>
      <w:r>
        <w:rPr>
          <w:rFonts w:hint="eastAsia" w:ascii="仿宋_GB2312" w:eastAsia="仿宋_GB2312"/>
          <w:sz w:val="28"/>
          <w:szCs w:val="28"/>
        </w:rPr>
        <w:t>“</w:t>
      </w:r>
      <w:r>
        <w:rPr>
          <w:rFonts w:hint="eastAsia" w:ascii="仿宋_GB2312" w:eastAsia="仿宋_GB2312"/>
          <w:sz w:val="28"/>
          <w:szCs w:val="28"/>
          <w:lang w:eastAsia="zh-CN"/>
        </w:rPr>
        <w:t>其他文化旅游体育与传媒支出</w:t>
      </w:r>
      <w:r>
        <w:rPr>
          <w:rFonts w:hint="eastAsia" w:ascii="仿宋_GB2312" w:eastAsia="仿宋_GB2312"/>
          <w:sz w:val="28"/>
          <w:szCs w:val="28"/>
        </w:rPr>
        <w:t>”（款，下同）2025年度年初预算</w:t>
      </w:r>
      <w:r>
        <w:rPr>
          <w:rFonts w:hint="eastAsia" w:ascii="仿宋_GB2312" w:eastAsia="仿宋_GB2312"/>
          <w:sz w:val="28"/>
          <w:szCs w:val="28"/>
          <w:lang w:val="en-US" w:eastAsia="zh-CN"/>
        </w:rPr>
        <w:t>7,545,205.30</w:t>
      </w:r>
      <w:r>
        <w:rPr>
          <w:rFonts w:hint="eastAsia" w:ascii="仿宋_GB2312" w:eastAsia="仿宋_GB2312"/>
          <w:sz w:val="28"/>
          <w:szCs w:val="28"/>
        </w:rPr>
        <w:t>元，2025年度决算8,249,601.29元</w:t>
      </w:r>
      <w:r>
        <w:rPr>
          <w:rFonts w:hint="eastAsia" w:ascii="仿宋_GB2312" w:eastAsia="仿宋_GB2312"/>
          <w:sz w:val="28"/>
          <w:szCs w:val="28"/>
          <w:lang w:eastAsia="zh-CN"/>
        </w:rPr>
        <w:t>，</w:t>
      </w:r>
      <w:r>
        <w:rPr>
          <w:rFonts w:hint="eastAsia" w:ascii="仿宋_GB2312" w:eastAsia="仿宋_GB2312"/>
          <w:sz w:val="28"/>
          <w:szCs w:val="28"/>
        </w:rPr>
        <w:t>完成年初预算的</w:t>
      </w:r>
      <w:r>
        <w:rPr>
          <w:rFonts w:hint="eastAsia" w:ascii="仿宋_GB2312" w:eastAsia="仿宋_GB2312"/>
          <w:sz w:val="28"/>
          <w:szCs w:val="28"/>
          <w:lang w:eastAsia="zh-CN"/>
        </w:rPr>
        <w:t>109.3%</w:t>
      </w:r>
      <w:r>
        <w:rPr>
          <w:rFonts w:hint="eastAsia" w:ascii="仿宋_GB2312" w:eastAsia="仿宋_GB2312"/>
          <w:sz w:val="28"/>
          <w:szCs w:val="28"/>
        </w:rPr>
        <w:t>。主要原因：2025年职工人数增加，本部门年中进行了预算调整，</w:t>
      </w:r>
      <w:r>
        <w:rPr>
          <w:rFonts w:hint="eastAsia" w:ascii="仿宋_GB2312" w:eastAsia="仿宋_GB2312"/>
          <w:sz w:val="28"/>
          <w:szCs w:val="28"/>
          <w:lang w:eastAsia="zh-CN"/>
        </w:rPr>
        <w:t>追加了人员经费，</w:t>
      </w:r>
      <w:r>
        <w:rPr>
          <w:rFonts w:hint="eastAsia" w:ascii="仿宋_GB2312" w:eastAsia="仿宋_GB2312"/>
          <w:sz w:val="28"/>
          <w:szCs w:val="28"/>
        </w:rPr>
        <w:t>因此决算数和年初预算差异较大。</w:t>
      </w:r>
    </w:p>
    <w:p w14:paraId="548BF221">
      <w:pPr>
        <w:spacing w:line="580" w:lineRule="exact"/>
        <w:ind w:firstLine="560" w:firstLineChars="200"/>
        <w:rPr>
          <w:rFonts w:ascii="仿宋_GB2312" w:eastAsia="仿宋_GB2312"/>
          <w:sz w:val="28"/>
          <w:szCs w:val="28"/>
        </w:rPr>
      </w:pPr>
      <w:r>
        <w:rPr>
          <w:rFonts w:hint="eastAsia" w:ascii="仿宋_GB2312" w:eastAsia="仿宋_GB2312"/>
          <w:sz w:val="28"/>
          <w:szCs w:val="28"/>
        </w:rPr>
        <w:t>2、“资源勘探工业信息等支出”(类)2025年度年初预算</w:t>
      </w:r>
      <w:r>
        <w:rPr>
          <w:rFonts w:hint="eastAsia" w:ascii="仿宋_GB2312" w:eastAsia="仿宋_GB2312"/>
          <w:sz w:val="28"/>
          <w:szCs w:val="28"/>
          <w:lang w:val="en-US" w:eastAsia="zh-CN"/>
        </w:rPr>
        <w:t>0.00</w:t>
      </w:r>
      <w:r>
        <w:rPr>
          <w:rFonts w:hint="eastAsia" w:ascii="仿宋_GB2312" w:eastAsia="仿宋_GB2312"/>
          <w:sz w:val="28"/>
          <w:szCs w:val="28"/>
        </w:rPr>
        <w:t>元，2025年度决算2,184.00元。其中：</w:t>
      </w:r>
    </w:p>
    <w:p w14:paraId="0D16536F">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“制造业”（款）2025年度年初预算</w:t>
      </w:r>
      <w:r>
        <w:rPr>
          <w:rFonts w:hint="eastAsia" w:ascii="仿宋_GB2312" w:eastAsia="仿宋_GB2312"/>
          <w:sz w:val="28"/>
          <w:szCs w:val="28"/>
          <w:lang w:val="en-US" w:eastAsia="zh-CN"/>
        </w:rPr>
        <w:t>0.00元</w:t>
      </w:r>
      <w:r>
        <w:rPr>
          <w:rFonts w:hint="eastAsia" w:ascii="仿宋_GB2312" w:eastAsia="仿宋_GB2312"/>
          <w:sz w:val="28"/>
          <w:szCs w:val="28"/>
        </w:rPr>
        <w:t>，2025年度决算2,184.00元。主要原因：本部门年中进行了预算调整</w:t>
      </w:r>
      <w:r>
        <w:rPr>
          <w:rFonts w:hint="eastAsia" w:ascii="仿宋_GB2312" w:eastAsia="仿宋_GB2312"/>
          <w:sz w:val="28"/>
          <w:szCs w:val="28"/>
          <w:lang w:eastAsia="zh-CN"/>
        </w:rPr>
        <w:t>，追加了能力提升设备采购项目的项目资金，</w:t>
      </w:r>
      <w:r>
        <w:rPr>
          <w:rFonts w:hint="eastAsia" w:ascii="仿宋_GB2312" w:eastAsia="仿宋_GB2312"/>
          <w:sz w:val="28"/>
          <w:szCs w:val="28"/>
        </w:rPr>
        <w:t>因此决算数和年初预算</w:t>
      </w:r>
      <w:r>
        <w:rPr>
          <w:rFonts w:hint="eastAsia" w:ascii="仿宋_GB2312" w:eastAsia="仿宋_GB2312"/>
          <w:sz w:val="28"/>
          <w:szCs w:val="28"/>
          <w:lang w:eastAsia="zh-CN"/>
        </w:rPr>
        <w:t>存在差异</w:t>
      </w:r>
      <w:r>
        <w:rPr>
          <w:rFonts w:hint="eastAsia" w:ascii="仿宋_GB2312" w:eastAsia="仿宋_GB2312"/>
          <w:sz w:val="28"/>
          <w:szCs w:val="28"/>
        </w:rPr>
        <w:t>。</w:t>
      </w:r>
    </w:p>
    <w:p w14:paraId="7AFF5C60">
      <w:pPr>
        <w:spacing w:line="580" w:lineRule="exact"/>
        <w:ind w:firstLine="560" w:firstLineChars="200"/>
        <w:rPr>
          <w:rFonts w:ascii="仿宋_GB2312" w:eastAsia="仿宋_GB2312"/>
          <w:sz w:val="28"/>
          <w:szCs w:val="28"/>
        </w:rPr>
      </w:pPr>
      <w:r>
        <w:rPr>
          <w:rFonts w:hint="eastAsia" w:ascii="仿宋_GB2312" w:eastAsia="仿宋_GB2312"/>
          <w:sz w:val="28"/>
          <w:szCs w:val="28"/>
          <w:lang w:val="en-US" w:eastAsia="zh-CN"/>
        </w:rPr>
        <w:t>3</w:t>
      </w:r>
      <w:r>
        <w:rPr>
          <w:rFonts w:hint="eastAsia" w:ascii="仿宋_GB2312" w:eastAsia="仿宋_GB2312"/>
          <w:sz w:val="28"/>
          <w:szCs w:val="28"/>
        </w:rPr>
        <w:t>、“灾害防治及应急管理支出”(类)2025年度年初预算</w:t>
      </w:r>
      <w:r>
        <w:rPr>
          <w:rFonts w:hint="eastAsia" w:ascii="仿宋_GB2312" w:eastAsia="仿宋_GB2312"/>
          <w:sz w:val="28"/>
          <w:szCs w:val="28"/>
          <w:lang w:val="en-US" w:eastAsia="zh-CN"/>
        </w:rPr>
        <w:t>0.00</w:t>
      </w:r>
      <w:r>
        <w:rPr>
          <w:rFonts w:hint="eastAsia" w:ascii="仿宋_GB2312" w:eastAsia="仿宋_GB2312"/>
          <w:sz w:val="28"/>
          <w:szCs w:val="28"/>
        </w:rPr>
        <w:t>元，2025年度决算623,420.00元。其中：</w:t>
      </w:r>
    </w:p>
    <w:p w14:paraId="1494F74B">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“其他灾害防治及应急管理支出”（款）2025年度年初预算</w:t>
      </w:r>
      <w:r>
        <w:rPr>
          <w:rFonts w:hint="eastAsia" w:ascii="仿宋_GB2312" w:eastAsia="仿宋_GB2312"/>
          <w:sz w:val="28"/>
          <w:szCs w:val="28"/>
          <w:lang w:val="en-US" w:eastAsia="zh-CN"/>
        </w:rPr>
        <w:t>0.00元</w:t>
      </w:r>
      <w:r>
        <w:rPr>
          <w:rFonts w:hint="eastAsia" w:ascii="仿宋_GB2312" w:eastAsia="仿宋_GB2312"/>
          <w:sz w:val="28"/>
          <w:szCs w:val="28"/>
        </w:rPr>
        <w:t>，2025年度决算623,420.00元。主要原因：本部门年中进行了预算调整</w:t>
      </w:r>
      <w:r>
        <w:rPr>
          <w:rFonts w:hint="eastAsia" w:ascii="仿宋_GB2312" w:eastAsia="仿宋_GB2312"/>
          <w:sz w:val="28"/>
          <w:szCs w:val="28"/>
          <w:lang w:eastAsia="zh-CN"/>
        </w:rPr>
        <w:t>，追加了防汛抢险救灾-潭戒两寺抢险修复项目的项目资金，</w:t>
      </w:r>
      <w:r>
        <w:rPr>
          <w:rFonts w:hint="eastAsia" w:ascii="仿宋_GB2312" w:eastAsia="仿宋_GB2312"/>
          <w:sz w:val="28"/>
          <w:szCs w:val="28"/>
        </w:rPr>
        <w:t>因此决算数和年初预算差异较大。</w:t>
      </w:r>
    </w:p>
    <w:p w14:paraId="4081D24E">
      <w:pPr>
        <w:spacing w:line="580" w:lineRule="exact"/>
        <w:ind w:firstLine="560" w:firstLineChars="200"/>
        <w:rPr>
          <w:rFonts w:ascii="仿宋_GB2312" w:eastAsia="仿宋_GB2312"/>
          <w:sz w:val="28"/>
          <w:szCs w:val="28"/>
        </w:rPr>
      </w:pPr>
      <w:r>
        <w:rPr>
          <w:rFonts w:hint="eastAsia" w:ascii="黑体" w:eastAsia="黑体"/>
          <w:b/>
          <w:sz w:val="28"/>
          <w:szCs w:val="28"/>
        </w:rPr>
        <w:t>五、政府性基金预算财政拨款支出决算情况说明</w:t>
      </w:r>
    </w:p>
    <w:p w14:paraId="1A0517B5">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本部门2025年无此项经费支出</w:t>
      </w:r>
      <w:r>
        <w:rPr>
          <w:rFonts w:hint="eastAsia" w:ascii="仿宋_GB2312" w:eastAsia="仿宋_GB2312"/>
          <w:sz w:val="28"/>
          <w:szCs w:val="28"/>
          <w:lang w:eastAsia="zh-CN"/>
        </w:rPr>
        <w:t>。</w:t>
      </w:r>
    </w:p>
    <w:p w14:paraId="75B43D46">
      <w:pPr>
        <w:spacing w:line="580" w:lineRule="exact"/>
        <w:ind w:firstLine="560" w:firstLineChars="200"/>
        <w:rPr>
          <w:rFonts w:ascii="黑体" w:eastAsia="黑体"/>
          <w:b/>
          <w:sz w:val="28"/>
          <w:szCs w:val="28"/>
        </w:rPr>
      </w:pPr>
      <w:r>
        <w:rPr>
          <w:rFonts w:hint="eastAsia" w:ascii="黑体" w:eastAsia="黑体"/>
          <w:b/>
          <w:sz w:val="28"/>
          <w:szCs w:val="28"/>
        </w:rPr>
        <w:t>六、国有资本经营预算财</w:t>
      </w:r>
      <w:r>
        <w:rPr>
          <w:rFonts w:ascii="黑体" w:eastAsia="黑体"/>
          <w:b/>
          <w:sz w:val="28"/>
          <w:szCs w:val="28"/>
        </w:rPr>
        <w:t>政拨款</w:t>
      </w:r>
      <w:r>
        <w:rPr>
          <w:rFonts w:hint="eastAsia" w:ascii="黑体" w:eastAsia="黑体"/>
          <w:b/>
          <w:sz w:val="28"/>
          <w:szCs w:val="28"/>
        </w:rPr>
        <w:t>收支情况</w:t>
      </w:r>
    </w:p>
    <w:p w14:paraId="3E174FBF">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本部门2025年无此项经费支出</w:t>
      </w:r>
      <w:r>
        <w:rPr>
          <w:rFonts w:hint="eastAsia" w:ascii="仿宋_GB2312" w:eastAsia="仿宋_GB2312"/>
          <w:sz w:val="28"/>
          <w:szCs w:val="28"/>
          <w:lang w:eastAsia="zh-CN"/>
        </w:rPr>
        <w:t>。</w:t>
      </w:r>
    </w:p>
    <w:p w14:paraId="6A634108">
      <w:pPr>
        <w:spacing w:line="580" w:lineRule="exact"/>
        <w:ind w:firstLine="548" w:firstLineChars="196"/>
        <w:rPr>
          <w:rFonts w:ascii="黑体" w:eastAsia="黑体"/>
          <w:sz w:val="28"/>
          <w:szCs w:val="28"/>
        </w:rPr>
      </w:pPr>
      <w:r>
        <w:rPr>
          <w:rFonts w:hint="eastAsia" w:ascii="黑体" w:eastAsia="黑体"/>
          <w:b/>
          <w:sz w:val="28"/>
          <w:szCs w:val="28"/>
        </w:rPr>
        <w:t>七、财政拨款基本支出决算情况说明</w:t>
      </w:r>
    </w:p>
    <w:p w14:paraId="6091D568">
      <w:pPr>
        <w:tabs>
          <w:tab w:val="center" w:pos="6979"/>
        </w:tabs>
        <w:spacing w:line="580" w:lineRule="exact"/>
        <w:ind w:firstLine="548" w:firstLineChars="196"/>
        <w:rPr>
          <w:rFonts w:ascii="宋体" w:hAnsi="宋体"/>
          <w:b/>
          <w:spacing w:val="40"/>
          <w:sz w:val="32"/>
          <w:szCs w:val="32"/>
        </w:rPr>
      </w:pPr>
      <w:r>
        <w:rPr>
          <w:rFonts w:hint="eastAsia" w:ascii="仿宋_GB2312" w:eastAsia="仿宋_GB2312"/>
          <w:sz w:val="28"/>
          <w:szCs w:val="28"/>
        </w:rPr>
        <w:t>2025年度使用一般公共预算财政拨款安排基本支出</w:t>
      </w:r>
      <w:r>
        <w:rPr>
          <w:rFonts w:ascii="仿宋_GB2312" w:eastAsia="仿宋_GB2312"/>
          <w:sz w:val="28"/>
          <w:szCs w:val="28"/>
        </w:rPr>
        <w:t>8</w:t>
      </w:r>
      <w:r>
        <w:rPr>
          <w:rFonts w:hint="eastAsia" w:ascii="仿宋_GB2312" w:eastAsia="仿宋_GB2312"/>
          <w:sz w:val="28"/>
          <w:szCs w:val="28"/>
          <w:lang w:val="en-US" w:eastAsia="zh-CN"/>
        </w:rPr>
        <w:t>,</w:t>
      </w:r>
      <w:r>
        <w:rPr>
          <w:rFonts w:ascii="仿宋_GB2312" w:eastAsia="仿宋_GB2312"/>
          <w:sz w:val="28"/>
          <w:szCs w:val="28"/>
        </w:rPr>
        <w:t>249</w:t>
      </w:r>
      <w:r>
        <w:rPr>
          <w:rFonts w:hint="eastAsia" w:ascii="仿宋_GB2312" w:eastAsia="仿宋_GB2312"/>
          <w:sz w:val="28"/>
          <w:szCs w:val="28"/>
          <w:lang w:val="en-US" w:eastAsia="zh-CN"/>
        </w:rPr>
        <w:t>,</w:t>
      </w:r>
      <w:r>
        <w:rPr>
          <w:rFonts w:ascii="仿宋_GB2312" w:eastAsia="仿宋_GB2312"/>
          <w:sz w:val="28"/>
          <w:szCs w:val="28"/>
        </w:rPr>
        <w:t>601.29</w:t>
      </w:r>
      <w:r>
        <w:rPr>
          <w:rFonts w:hint="eastAsia" w:ascii="仿宋_GB2312" w:eastAsia="仿宋_GB2312"/>
          <w:sz w:val="28"/>
          <w:szCs w:val="28"/>
        </w:rPr>
        <w:t>元，使用政府性基金财政拨款安排基本支出</w:t>
      </w:r>
      <w:r>
        <w:rPr>
          <w:rFonts w:ascii="仿宋_GB2312" w:eastAsia="仿宋_GB2312"/>
          <w:sz w:val="28"/>
          <w:szCs w:val="28"/>
        </w:rPr>
        <w:t>0</w:t>
      </w:r>
      <w:r>
        <w:rPr>
          <w:rFonts w:hint="eastAsia" w:ascii="仿宋_GB2312" w:eastAsia="仿宋_GB2312"/>
          <w:sz w:val="28"/>
          <w:szCs w:val="28"/>
          <w:lang w:val="en-US" w:eastAsia="zh-CN"/>
        </w:rPr>
        <w:t>.00</w:t>
      </w:r>
      <w:r>
        <w:rPr>
          <w:rFonts w:hint="eastAsia" w:ascii="仿宋_GB2312" w:eastAsia="仿宋_GB2312"/>
          <w:sz w:val="28"/>
          <w:szCs w:val="28"/>
        </w:rPr>
        <w:t>元，（1）工资福利支出包括基本工资</w:t>
      </w:r>
      <w:r>
        <w:rPr>
          <w:rFonts w:ascii="仿宋_GB2312" w:eastAsia="仿宋_GB2312"/>
          <w:sz w:val="28"/>
          <w:szCs w:val="28"/>
        </w:rPr>
        <w:t>、津贴补贴、奖金、伙食补助费、绩效工资、</w:t>
      </w:r>
      <w:r>
        <w:rPr>
          <w:rFonts w:hint="eastAsia" w:ascii="仿宋_GB2312" w:eastAsia="仿宋_GB2312"/>
          <w:sz w:val="28"/>
          <w:szCs w:val="28"/>
        </w:rPr>
        <w:t>其他</w:t>
      </w:r>
      <w:r>
        <w:rPr>
          <w:rFonts w:ascii="仿宋_GB2312" w:eastAsia="仿宋_GB2312"/>
          <w:sz w:val="28"/>
          <w:szCs w:val="28"/>
        </w:rPr>
        <w:t>社会保障缴费、其他工资福利</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rPr>
        <w:t>7,879,657.60</w:t>
      </w:r>
      <w:r>
        <w:rPr>
          <w:rFonts w:hint="eastAsia" w:ascii="仿宋_GB2312" w:eastAsia="仿宋_GB2312"/>
          <w:sz w:val="28"/>
          <w:szCs w:val="28"/>
          <w:lang w:eastAsia="zh-CN"/>
        </w:rPr>
        <w:t>元</w:t>
      </w:r>
      <w:r>
        <w:rPr>
          <w:rFonts w:hint="eastAsia" w:ascii="仿宋_GB2312" w:eastAsia="仿宋_GB2312"/>
          <w:sz w:val="28"/>
          <w:szCs w:val="28"/>
        </w:rPr>
        <w:t>；（2）商品和服务支出包括</w:t>
      </w:r>
      <w:r>
        <w:rPr>
          <w:rFonts w:ascii="仿宋_GB2312" w:eastAsia="仿宋_GB2312"/>
          <w:sz w:val="28"/>
          <w:szCs w:val="28"/>
        </w:rPr>
        <w:t>办公费、印刷费、手续费、水费、电费、邮电费、取暖费、物业管理费、差旅费、因公出国（境）费、维修（护）费、租赁费、会议费、培训费、公务接待费、专用材料费、劳务费、委托业务费、工会经费、福利费、公务用车运行维护费、其他交通费</w:t>
      </w:r>
      <w:r>
        <w:rPr>
          <w:rFonts w:hint="eastAsia" w:ascii="仿宋_GB2312" w:eastAsia="仿宋_GB2312"/>
          <w:sz w:val="28"/>
          <w:szCs w:val="28"/>
        </w:rPr>
        <w:t>用</w:t>
      </w:r>
      <w:r>
        <w:rPr>
          <w:rFonts w:ascii="仿宋_GB2312" w:eastAsia="仿宋_GB2312"/>
          <w:sz w:val="28"/>
          <w:szCs w:val="28"/>
        </w:rPr>
        <w:t>、其他商品和服务</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rPr>
        <w:t>355,071.53</w:t>
      </w:r>
      <w:r>
        <w:rPr>
          <w:rFonts w:hint="eastAsia" w:ascii="仿宋_GB2312" w:eastAsia="仿宋_GB2312"/>
          <w:sz w:val="28"/>
          <w:szCs w:val="28"/>
          <w:lang w:eastAsia="zh-CN"/>
        </w:rPr>
        <w:t>元</w:t>
      </w:r>
      <w:r>
        <w:rPr>
          <w:rFonts w:hint="eastAsia" w:ascii="仿宋_GB2312" w:eastAsia="仿宋_GB2312"/>
          <w:sz w:val="28"/>
          <w:szCs w:val="28"/>
        </w:rPr>
        <w:t>；（3）对个人和家庭补助支出包括</w:t>
      </w:r>
      <w:r>
        <w:rPr>
          <w:rFonts w:ascii="仿宋_GB2312" w:eastAsia="仿宋_GB2312"/>
          <w:sz w:val="28"/>
          <w:szCs w:val="28"/>
        </w:rPr>
        <w:t>离休费、退休费、抚恤金、生活补助、</w:t>
      </w:r>
      <w:r>
        <w:rPr>
          <w:rFonts w:hint="eastAsia" w:ascii="仿宋_GB2312" w:eastAsia="仿宋_GB2312"/>
          <w:sz w:val="28"/>
          <w:szCs w:val="28"/>
        </w:rPr>
        <w:t>救济费</w:t>
      </w:r>
      <w:r>
        <w:rPr>
          <w:rFonts w:ascii="仿宋_GB2312" w:eastAsia="仿宋_GB2312"/>
          <w:sz w:val="28"/>
          <w:szCs w:val="28"/>
        </w:rPr>
        <w:t>、医疗费</w:t>
      </w:r>
      <w:r>
        <w:rPr>
          <w:rFonts w:hint="eastAsia" w:ascii="仿宋_GB2312" w:eastAsia="仿宋_GB2312"/>
          <w:sz w:val="28"/>
          <w:szCs w:val="28"/>
        </w:rPr>
        <w:t>补助</w:t>
      </w:r>
      <w:r>
        <w:rPr>
          <w:rFonts w:ascii="仿宋_GB2312" w:eastAsia="仿宋_GB2312"/>
          <w:sz w:val="28"/>
          <w:szCs w:val="28"/>
        </w:rPr>
        <w:t>、助学金、奖励金</w:t>
      </w:r>
      <w:r>
        <w:rPr>
          <w:rFonts w:hint="eastAsia" w:ascii="仿宋_GB2312" w:eastAsia="仿宋_GB2312"/>
          <w:sz w:val="28"/>
          <w:szCs w:val="28"/>
        </w:rPr>
        <w:t>、</w:t>
      </w:r>
      <w:r>
        <w:rPr>
          <w:rFonts w:ascii="仿宋_GB2312" w:eastAsia="仿宋_GB2312"/>
          <w:sz w:val="28"/>
          <w:szCs w:val="28"/>
        </w:rPr>
        <w:t>其他对个人和家庭的补助</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lang w:val="en-US" w:eastAsia="zh-CN"/>
        </w:rPr>
        <w:t>0.00元</w:t>
      </w:r>
      <w:r>
        <w:rPr>
          <w:rFonts w:hint="eastAsia" w:ascii="仿宋_GB2312" w:eastAsia="仿宋_GB2312"/>
          <w:sz w:val="28"/>
          <w:szCs w:val="28"/>
          <w:lang w:eastAsia="zh-CN"/>
        </w:rPr>
        <w:t>；</w:t>
      </w:r>
      <w:r>
        <w:rPr>
          <w:rFonts w:hint="eastAsia" w:ascii="仿宋_GB2312" w:eastAsia="仿宋_GB2312"/>
          <w:sz w:val="28"/>
          <w:szCs w:val="28"/>
        </w:rPr>
        <w:t>（4）其他资本性支出包括</w:t>
      </w:r>
      <w:r>
        <w:rPr>
          <w:rFonts w:ascii="仿宋_GB2312" w:eastAsia="仿宋_GB2312"/>
          <w:sz w:val="28"/>
          <w:szCs w:val="28"/>
        </w:rPr>
        <w:t>办公设备购置、专用设备购置</w:t>
      </w:r>
      <w:r>
        <w:rPr>
          <w:rFonts w:hint="eastAsia" w:ascii="仿宋_GB2312" w:eastAsia="仿宋_GB2312"/>
          <w:sz w:val="28"/>
          <w:szCs w:val="28"/>
        </w:rPr>
        <w:t>等14,872.16</w:t>
      </w:r>
      <w:r>
        <w:rPr>
          <w:rFonts w:hint="eastAsia" w:ascii="仿宋_GB2312" w:eastAsia="仿宋_GB2312"/>
          <w:sz w:val="28"/>
          <w:szCs w:val="28"/>
          <w:lang w:eastAsia="zh-CN"/>
        </w:rPr>
        <w:t>元</w:t>
      </w:r>
      <w:r>
        <w:rPr>
          <w:rFonts w:ascii="仿宋_GB2312" w:eastAsia="仿宋_GB2312"/>
          <w:sz w:val="28"/>
          <w:szCs w:val="28"/>
        </w:rPr>
        <w:t>。</w:t>
      </w:r>
    </w:p>
    <w:p w14:paraId="1ED55FC9">
      <w:pPr>
        <w:tabs>
          <w:tab w:val="center" w:pos="6979"/>
        </w:tabs>
        <w:jc w:val="center"/>
        <w:rPr>
          <w:rFonts w:ascii="宋体" w:hAnsi="宋体" w:cs="宋体"/>
          <w:b/>
          <w:spacing w:val="40"/>
          <w:kern w:val="0"/>
          <w:sz w:val="32"/>
          <w:szCs w:val="32"/>
        </w:rPr>
      </w:pPr>
      <w:r>
        <w:rPr>
          <w:rFonts w:hint="eastAsia" w:ascii="宋体" w:hAnsi="宋体" w:cs="宋体"/>
          <w:b/>
          <w:bCs/>
          <w:spacing w:val="40"/>
          <w:kern w:val="0"/>
          <w:sz w:val="32"/>
          <w:szCs w:val="32"/>
        </w:rPr>
        <w:t>第三部分</w:t>
      </w:r>
      <w:r>
        <w:rPr>
          <w:rFonts w:hint="eastAsia" w:ascii="宋体" w:hAnsi="宋体"/>
          <w:b/>
          <w:spacing w:val="40"/>
          <w:sz w:val="32"/>
          <w:szCs w:val="32"/>
        </w:rPr>
        <w:t>2025年度</w:t>
      </w:r>
      <w:r>
        <w:rPr>
          <w:rFonts w:hint="eastAsia" w:ascii="宋体" w:hAnsi="宋体" w:cs="宋体"/>
          <w:b/>
          <w:spacing w:val="40"/>
          <w:kern w:val="0"/>
          <w:sz w:val="32"/>
          <w:szCs w:val="32"/>
        </w:rPr>
        <w:t>其他重要事项的情况说明</w:t>
      </w:r>
    </w:p>
    <w:p w14:paraId="02FAEC52">
      <w:pPr>
        <w:spacing w:line="560" w:lineRule="exact"/>
        <w:ind w:firstLine="560" w:firstLineChars="200"/>
        <w:rPr>
          <w:rFonts w:ascii="黑体" w:eastAsia="黑体"/>
          <w:sz w:val="28"/>
          <w:szCs w:val="28"/>
        </w:rPr>
      </w:pPr>
      <w:r>
        <w:rPr>
          <w:rFonts w:hint="eastAsia" w:ascii="黑体" w:eastAsia="黑体"/>
          <w:sz w:val="28"/>
          <w:szCs w:val="28"/>
        </w:rPr>
        <w:t>一、“三公”经费财政拨款决算情况</w:t>
      </w:r>
    </w:p>
    <w:p w14:paraId="452AAEDB">
      <w:pPr>
        <w:spacing w:line="560" w:lineRule="exact"/>
        <w:ind w:firstLine="600"/>
        <w:rPr>
          <w:rFonts w:ascii="仿宋_GB2312" w:eastAsia="仿宋_GB2312"/>
          <w:sz w:val="28"/>
          <w:szCs w:val="28"/>
        </w:rPr>
      </w:pPr>
      <w:r>
        <w:rPr>
          <w:rFonts w:hint="eastAsia" w:ascii="仿宋_GB2312" w:eastAsia="仿宋_GB2312"/>
          <w:sz w:val="28"/>
          <w:szCs w:val="28"/>
        </w:rPr>
        <w:t>2025年度“三公”经费财政拨款决算数</w:t>
      </w:r>
      <w:r>
        <w:rPr>
          <w:rFonts w:ascii="仿宋_GB2312" w:eastAsia="仿宋_GB2312"/>
          <w:sz w:val="28"/>
          <w:szCs w:val="28"/>
        </w:rPr>
        <w:t>202</w:t>
      </w:r>
      <w:r>
        <w:rPr>
          <w:rFonts w:hint="eastAsia" w:ascii="仿宋_GB2312" w:eastAsia="仿宋_GB2312"/>
          <w:sz w:val="28"/>
          <w:szCs w:val="28"/>
          <w:lang w:val="en-US" w:eastAsia="zh-CN"/>
        </w:rPr>
        <w:t>,</w:t>
      </w:r>
      <w:r>
        <w:rPr>
          <w:rFonts w:ascii="仿宋_GB2312" w:eastAsia="仿宋_GB2312"/>
          <w:sz w:val="28"/>
          <w:szCs w:val="28"/>
        </w:rPr>
        <w:t>538.6</w:t>
      </w:r>
      <w:r>
        <w:rPr>
          <w:rFonts w:hint="eastAsia" w:ascii="仿宋_GB2312" w:eastAsia="仿宋_GB2312"/>
          <w:sz w:val="28"/>
          <w:szCs w:val="28"/>
          <w:lang w:val="en-US" w:eastAsia="zh-CN"/>
        </w:rPr>
        <w:t>0</w:t>
      </w:r>
      <w:r>
        <w:rPr>
          <w:rFonts w:hint="eastAsia" w:ascii="仿宋_GB2312" w:eastAsia="仿宋_GB2312"/>
          <w:sz w:val="28"/>
          <w:szCs w:val="28"/>
        </w:rPr>
        <w:t>元，比2025年度“三公”经费财政拨款年初预算</w:t>
      </w:r>
      <w:r>
        <w:rPr>
          <w:rFonts w:ascii="仿宋_GB2312" w:eastAsia="仿宋_GB2312"/>
          <w:sz w:val="28"/>
          <w:szCs w:val="28"/>
        </w:rPr>
        <w:t>40</w:t>
      </w:r>
      <w:r>
        <w:rPr>
          <w:rFonts w:hint="eastAsia" w:ascii="仿宋_GB2312" w:eastAsia="仿宋_GB2312"/>
          <w:sz w:val="28"/>
          <w:szCs w:val="28"/>
          <w:lang w:val="en-US" w:eastAsia="zh-CN"/>
        </w:rPr>
        <w:t>,</w:t>
      </w:r>
      <w:r>
        <w:rPr>
          <w:rFonts w:ascii="仿宋_GB2312" w:eastAsia="仿宋_GB2312"/>
          <w:sz w:val="28"/>
          <w:szCs w:val="28"/>
        </w:rPr>
        <w:t>550</w:t>
      </w:r>
      <w:r>
        <w:rPr>
          <w:rFonts w:hint="eastAsia" w:ascii="仿宋_GB2312" w:eastAsia="仿宋_GB2312"/>
          <w:sz w:val="28"/>
          <w:szCs w:val="28"/>
        </w:rPr>
        <w:t>元增加</w:t>
      </w:r>
      <w:r>
        <w:rPr>
          <w:rFonts w:ascii="仿宋_GB2312" w:eastAsia="仿宋_GB2312"/>
          <w:sz w:val="28"/>
          <w:szCs w:val="28"/>
        </w:rPr>
        <w:t>161</w:t>
      </w:r>
      <w:r>
        <w:rPr>
          <w:rFonts w:hint="eastAsia" w:ascii="仿宋_GB2312" w:eastAsia="仿宋_GB2312"/>
          <w:sz w:val="28"/>
          <w:szCs w:val="28"/>
          <w:lang w:val="en-US" w:eastAsia="zh-CN"/>
        </w:rPr>
        <w:t>,</w:t>
      </w:r>
      <w:r>
        <w:rPr>
          <w:rFonts w:ascii="仿宋_GB2312" w:eastAsia="仿宋_GB2312"/>
          <w:sz w:val="28"/>
          <w:szCs w:val="28"/>
        </w:rPr>
        <w:t>988.6</w:t>
      </w:r>
      <w:r>
        <w:rPr>
          <w:rFonts w:hint="eastAsia" w:ascii="仿宋_GB2312" w:eastAsia="仿宋_GB2312"/>
          <w:sz w:val="28"/>
          <w:szCs w:val="28"/>
          <w:lang w:val="en-US" w:eastAsia="zh-CN"/>
        </w:rPr>
        <w:t>0</w:t>
      </w:r>
      <w:r>
        <w:rPr>
          <w:rFonts w:hint="eastAsia" w:ascii="仿宋_GB2312" w:eastAsia="仿宋_GB2312"/>
          <w:sz w:val="28"/>
          <w:szCs w:val="28"/>
        </w:rPr>
        <w:t>元。其中：</w:t>
      </w:r>
    </w:p>
    <w:p w14:paraId="4088D057">
      <w:pPr>
        <w:spacing w:line="560" w:lineRule="exact"/>
        <w:ind w:firstLine="600"/>
        <w:rPr>
          <w:rFonts w:hint="eastAsia" w:ascii="仿宋_GB2312" w:eastAsia="仿宋_GB2312"/>
          <w:sz w:val="28"/>
          <w:szCs w:val="28"/>
          <w:lang w:eastAsia="zh-CN"/>
        </w:rPr>
      </w:pPr>
      <w:r>
        <w:rPr>
          <w:rFonts w:hint="eastAsia" w:ascii="仿宋_GB2312" w:eastAsia="仿宋_GB2312"/>
          <w:sz w:val="28"/>
          <w:szCs w:val="28"/>
        </w:rPr>
        <w:t>1.因公出国（境）费用。本</w:t>
      </w:r>
      <w:r>
        <w:rPr>
          <w:rFonts w:hint="eastAsia" w:ascii="仿宋_GB2312" w:eastAsia="仿宋_GB2312"/>
          <w:sz w:val="28"/>
          <w:szCs w:val="28"/>
          <w:lang w:eastAsia="zh-CN"/>
        </w:rPr>
        <w:t>部门</w:t>
      </w:r>
      <w:r>
        <w:rPr>
          <w:rFonts w:hint="eastAsia" w:ascii="仿宋_GB2312" w:eastAsia="仿宋_GB2312"/>
          <w:sz w:val="28"/>
          <w:szCs w:val="28"/>
        </w:rPr>
        <w:t>无此项经费</w:t>
      </w:r>
      <w:r>
        <w:rPr>
          <w:rFonts w:hint="eastAsia" w:ascii="仿宋_GB2312" w:eastAsia="仿宋_GB2312"/>
          <w:sz w:val="28"/>
          <w:szCs w:val="28"/>
          <w:lang w:eastAsia="zh-CN"/>
        </w:rPr>
        <w:t>。</w:t>
      </w:r>
    </w:p>
    <w:p w14:paraId="7424E738">
      <w:pPr>
        <w:spacing w:line="560" w:lineRule="exact"/>
        <w:ind w:firstLine="600"/>
        <w:rPr>
          <w:rFonts w:ascii="仿宋_GB2312" w:eastAsia="仿宋_GB2312"/>
          <w:sz w:val="28"/>
          <w:szCs w:val="28"/>
        </w:rPr>
      </w:pPr>
      <w:r>
        <w:rPr>
          <w:rFonts w:hint="eastAsia" w:ascii="仿宋_GB2312" w:eastAsia="仿宋_GB2312"/>
          <w:sz w:val="28"/>
          <w:szCs w:val="28"/>
        </w:rPr>
        <w:t>2.公务接待费。2025年度决算数</w:t>
      </w:r>
      <w:r>
        <w:rPr>
          <w:rFonts w:hint="eastAsia" w:ascii="仿宋_GB2312" w:eastAsia="仿宋_GB2312"/>
          <w:sz w:val="28"/>
          <w:szCs w:val="28"/>
          <w:lang w:val="en-US" w:eastAsia="zh-CN"/>
        </w:rPr>
        <w:t>0.00</w:t>
      </w:r>
      <w:r>
        <w:rPr>
          <w:rFonts w:hint="eastAsia" w:ascii="仿宋_GB2312" w:eastAsia="仿宋_GB2312"/>
          <w:sz w:val="28"/>
          <w:szCs w:val="28"/>
        </w:rPr>
        <w:t>元，比2025年度年初预算数</w:t>
      </w:r>
      <w:r>
        <w:rPr>
          <w:rFonts w:ascii="仿宋_GB2312" w:eastAsia="仿宋_GB2312"/>
          <w:sz w:val="28"/>
          <w:szCs w:val="28"/>
        </w:rPr>
        <w:t>4</w:t>
      </w:r>
      <w:r>
        <w:rPr>
          <w:rFonts w:hint="eastAsia" w:ascii="仿宋_GB2312" w:eastAsia="仿宋_GB2312"/>
          <w:sz w:val="28"/>
          <w:szCs w:val="28"/>
          <w:lang w:val="en-US" w:eastAsia="zh-CN"/>
        </w:rPr>
        <w:t>,</w:t>
      </w:r>
      <w:r>
        <w:rPr>
          <w:rFonts w:ascii="仿宋_GB2312" w:eastAsia="仿宋_GB2312"/>
          <w:sz w:val="28"/>
          <w:szCs w:val="28"/>
        </w:rPr>
        <w:t>550</w:t>
      </w:r>
      <w:r>
        <w:rPr>
          <w:rFonts w:hint="eastAsia" w:ascii="仿宋_GB2312" w:eastAsia="仿宋_GB2312"/>
          <w:sz w:val="28"/>
          <w:szCs w:val="28"/>
          <w:lang w:val="en-US" w:eastAsia="zh-CN"/>
        </w:rPr>
        <w:t>.00</w:t>
      </w:r>
      <w:r>
        <w:rPr>
          <w:rFonts w:hint="eastAsia" w:ascii="仿宋_GB2312" w:eastAsia="仿宋_GB2312"/>
          <w:sz w:val="28"/>
          <w:szCs w:val="28"/>
        </w:rPr>
        <w:t>元减少</w:t>
      </w:r>
      <w:r>
        <w:rPr>
          <w:rFonts w:ascii="仿宋_GB2312" w:eastAsia="仿宋_GB2312"/>
          <w:sz w:val="28"/>
          <w:szCs w:val="28"/>
        </w:rPr>
        <w:t>4</w:t>
      </w:r>
      <w:r>
        <w:rPr>
          <w:rFonts w:hint="eastAsia" w:ascii="仿宋_GB2312" w:eastAsia="仿宋_GB2312"/>
          <w:sz w:val="28"/>
          <w:szCs w:val="28"/>
          <w:lang w:val="en-US" w:eastAsia="zh-CN"/>
        </w:rPr>
        <w:t>,</w:t>
      </w:r>
      <w:r>
        <w:rPr>
          <w:rFonts w:ascii="仿宋_GB2312" w:eastAsia="仿宋_GB2312"/>
          <w:sz w:val="28"/>
          <w:szCs w:val="28"/>
        </w:rPr>
        <w:t>550</w:t>
      </w:r>
      <w:r>
        <w:rPr>
          <w:rFonts w:hint="eastAsia" w:ascii="仿宋_GB2312" w:eastAsia="仿宋_GB2312"/>
          <w:sz w:val="28"/>
          <w:szCs w:val="28"/>
          <w:lang w:val="en-US" w:eastAsia="zh-CN"/>
        </w:rPr>
        <w:t>.00</w:t>
      </w:r>
      <w:r>
        <w:rPr>
          <w:rFonts w:hint="eastAsia" w:ascii="仿宋_GB2312" w:eastAsia="仿宋_GB2312"/>
          <w:sz w:val="28"/>
          <w:szCs w:val="28"/>
        </w:rPr>
        <w:t>元。主要原因：落实政府过紧日子要求，厉行节约要求，严格控制公务接待数量、规模和接待标准，</w:t>
      </w:r>
      <w:r>
        <w:rPr>
          <w:rFonts w:hint="eastAsia" w:ascii="仿宋_GB2312" w:eastAsia="仿宋_GB2312"/>
          <w:sz w:val="28"/>
          <w:szCs w:val="28"/>
          <w:lang w:eastAsia="zh-CN"/>
        </w:rPr>
        <w:t>故本年度未发生公务接待活动</w:t>
      </w:r>
      <w:r>
        <w:rPr>
          <w:rFonts w:hint="eastAsia" w:ascii="仿宋_GB2312" w:eastAsia="仿宋_GB2312"/>
          <w:sz w:val="28"/>
          <w:szCs w:val="28"/>
          <w:lang w:val="en-US" w:eastAsia="zh-CN"/>
        </w:rPr>
        <w:t>,</w:t>
      </w:r>
      <w:r>
        <w:rPr>
          <w:rFonts w:hint="eastAsia" w:ascii="仿宋_GB2312" w:eastAsia="仿宋_GB2312"/>
          <w:sz w:val="28"/>
          <w:szCs w:val="28"/>
          <w:lang w:eastAsia="zh-CN"/>
        </w:rPr>
        <w:t>未支出</w:t>
      </w:r>
      <w:r>
        <w:rPr>
          <w:rFonts w:hint="eastAsia" w:ascii="仿宋_GB2312" w:eastAsia="仿宋_GB2312"/>
          <w:sz w:val="28"/>
          <w:szCs w:val="28"/>
        </w:rPr>
        <w:t>公务接待费。</w:t>
      </w:r>
    </w:p>
    <w:p w14:paraId="5ACEAD6B">
      <w:pPr>
        <w:spacing w:line="560" w:lineRule="exact"/>
        <w:ind w:firstLine="560" w:firstLineChars="200"/>
        <w:rPr>
          <w:rFonts w:ascii="仿宋_GB2312" w:eastAsia="仿宋_GB2312"/>
          <w:sz w:val="28"/>
          <w:szCs w:val="28"/>
        </w:rPr>
      </w:pPr>
      <w:r>
        <w:rPr>
          <w:rFonts w:hint="eastAsia" w:ascii="仿宋_GB2312" w:eastAsia="仿宋_GB2312"/>
          <w:sz w:val="28"/>
          <w:szCs w:val="28"/>
        </w:rPr>
        <w:t>3.公务用车购置及运行维护费。2025年度决算数</w:t>
      </w:r>
      <w:r>
        <w:rPr>
          <w:rFonts w:ascii="仿宋_GB2312" w:eastAsia="仿宋_GB2312"/>
          <w:sz w:val="28"/>
          <w:szCs w:val="28"/>
        </w:rPr>
        <w:t>202</w:t>
      </w:r>
      <w:r>
        <w:rPr>
          <w:rFonts w:hint="eastAsia" w:ascii="仿宋_GB2312" w:eastAsia="仿宋_GB2312"/>
          <w:sz w:val="28"/>
          <w:szCs w:val="28"/>
          <w:lang w:val="en-US" w:eastAsia="zh-CN"/>
        </w:rPr>
        <w:t>,</w:t>
      </w:r>
      <w:r>
        <w:rPr>
          <w:rFonts w:ascii="仿宋_GB2312" w:eastAsia="仿宋_GB2312"/>
          <w:sz w:val="28"/>
          <w:szCs w:val="28"/>
        </w:rPr>
        <w:t>538.6</w:t>
      </w:r>
      <w:r>
        <w:rPr>
          <w:rFonts w:hint="eastAsia" w:ascii="仿宋_GB2312" w:eastAsia="仿宋_GB2312"/>
          <w:sz w:val="28"/>
          <w:szCs w:val="28"/>
          <w:lang w:val="en-US" w:eastAsia="zh-CN"/>
        </w:rPr>
        <w:t>0</w:t>
      </w:r>
      <w:r>
        <w:rPr>
          <w:rFonts w:hint="eastAsia" w:ascii="仿宋_GB2312" w:eastAsia="仿宋_GB2312"/>
          <w:sz w:val="28"/>
          <w:szCs w:val="28"/>
        </w:rPr>
        <w:t>元，比2025年度年初预算数</w:t>
      </w:r>
      <w:r>
        <w:rPr>
          <w:rFonts w:ascii="仿宋_GB2312" w:eastAsia="仿宋_GB2312"/>
          <w:sz w:val="28"/>
          <w:szCs w:val="28"/>
        </w:rPr>
        <w:t>36</w:t>
      </w:r>
      <w:r>
        <w:rPr>
          <w:rFonts w:hint="eastAsia" w:ascii="仿宋_GB2312" w:eastAsia="仿宋_GB2312"/>
          <w:sz w:val="28"/>
          <w:szCs w:val="28"/>
          <w:lang w:val="en-US" w:eastAsia="zh-CN"/>
        </w:rPr>
        <w:t>,</w:t>
      </w:r>
      <w:r>
        <w:rPr>
          <w:rFonts w:ascii="仿宋_GB2312" w:eastAsia="仿宋_GB2312"/>
          <w:sz w:val="28"/>
          <w:szCs w:val="28"/>
        </w:rPr>
        <w:t>000</w:t>
      </w:r>
      <w:r>
        <w:rPr>
          <w:rFonts w:hint="eastAsia" w:ascii="仿宋_GB2312" w:eastAsia="仿宋_GB2312"/>
          <w:sz w:val="28"/>
          <w:szCs w:val="28"/>
          <w:lang w:val="en-US" w:eastAsia="zh-CN"/>
        </w:rPr>
        <w:t>.00</w:t>
      </w:r>
      <w:r>
        <w:rPr>
          <w:rFonts w:hint="eastAsia" w:ascii="仿宋_GB2312" w:eastAsia="仿宋_GB2312"/>
          <w:sz w:val="28"/>
          <w:szCs w:val="28"/>
        </w:rPr>
        <w:t>元增加</w:t>
      </w:r>
      <w:r>
        <w:rPr>
          <w:rFonts w:ascii="仿宋_GB2312" w:eastAsia="仿宋_GB2312"/>
          <w:sz w:val="28"/>
          <w:szCs w:val="28"/>
        </w:rPr>
        <w:t>166</w:t>
      </w:r>
      <w:r>
        <w:rPr>
          <w:rFonts w:hint="eastAsia" w:ascii="仿宋_GB2312" w:eastAsia="仿宋_GB2312"/>
          <w:sz w:val="28"/>
          <w:szCs w:val="28"/>
          <w:lang w:val="en-US" w:eastAsia="zh-CN"/>
        </w:rPr>
        <w:t>,</w:t>
      </w:r>
      <w:r>
        <w:rPr>
          <w:rFonts w:ascii="仿宋_GB2312" w:eastAsia="仿宋_GB2312"/>
          <w:sz w:val="28"/>
          <w:szCs w:val="28"/>
        </w:rPr>
        <w:t>538.6</w:t>
      </w:r>
      <w:r>
        <w:rPr>
          <w:rFonts w:hint="eastAsia" w:ascii="仿宋_GB2312" w:eastAsia="仿宋_GB2312"/>
          <w:sz w:val="28"/>
          <w:szCs w:val="28"/>
          <w:lang w:val="en-US" w:eastAsia="zh-CN"/>
        </w:rPr>
        <w:t>0</w:t>
      </w:r>
      <w:r>
        <w:rPr>
          <w:rFonts w:hint="eastAsia" w:ascii="仿宋_GB2312" w:eastAsia="仿宋_GB2312"/>
          <w:sz w:val="28"/>
          <w:szCs w:val="28"/>
        </w:rPr>
        <w:t>元。其中，公务用车购置费2025年度决算数182</w:t>
      </w:r>
      <w:r>
        <w:rPr>
          <w:rFonts w:hint="eastAsia" w:ascii="仿宋_GB2312" w:eastAsia="仿宋_GB2312"/>
          <w:sz w:val="28"/>
          <w:szCs w:val="28"/>
          <w:lang w:val="en-US" w:eastAsia="zh-CN"/>
        </w:rPr>
        <w:t>,</w:t>
      </w:r>
      <w:r>
        <w:rPr>
          <w:rFonts w:hint="eastAsia" w:ascii="仿宋_GB2312" w:eastAsia="仿宋_GB2312"/>
          <w:sz w:val="28"/>
          <w:szCs w:val="28"/>
        </w:rPr>
        <w:t>458.48元，主要原因：本部门公务车保有量为2辆,其中一台为2024年拨入，一台为2025年经批准新购置。决算数与全年预算数差异原因为，2025年度经批准</w:t>
      </w:r>
      <w:r>
        <w:rPr>
          <w:rFonts w:hint="eastAsia" w:ascii="仿宋_GB2312" w:eastAsia="仿宋_GB2312"/>
          <w:sz w:val="28"/>
          <w:szCs w:val="28"/>
          <w:lang w:eastAsia="zh-CN"/>
        </w:rPr>
        <w:t>新</w:t>
      </w:r>
      <w:r>
        <w:rPr>
          <w:rFonts w:hint="eastAsia" w:ascii="仿宋_GB2312" w:eastAsia="仿宋_GB2312"/>
          <w:sz w:val="28"/>
          <w:szCs w:val="28"/>
        </w:rPr>
        <w:t>购置1辆。公务用车运行维护费2025年度决算数20</w:t>
      </w:r>
      <w:r>
        <w:rPr>
          <w:rFonts w:hint="eastAsia" w:ascii="仿宋_GB2312" w:eastAsia="仿宋_GB2312"/>
          <w:sz w:val="28"/>
          <w:szCs w:val="28"/>
          <w:lang w:val="en-US" w:eastAsia="zh-CN"/>
        </w:rPr>
        <w:t>,</w:t>
      </w:r>
      <w:r>
        <w:rPr>
          <w:rFonts w:hint="eastAsia" w:ascii="仿宋_GB2312" w:eastAsia="仿宋_GB2312"/>
          <w:sz w:val="28"/>
          <w:szCs w:val="28"/>
        </w:rPr>
        <w:t>080.12元，主要原因：本年度公务用车运行维护费使用少于预算数。2025年度公务用车保有量</w:t>
      </w:r>
      <w:r>
        <w:rPr>
          <w:rFonts w:ascii="仿宋_GB2312" w:eastAsia="仿宋_GB2312"/>
          <w:sz w:val="28"/>
          <w:szCs w:val="28"/>
        </w:rPr>
        <w:t>2</w:t>
      </w:r>
      <w:r>
        <w:rPr>
          <w:rFonts w:hint="eastAsia" w:ascii="仿宋_GB2312" w:eastAsia="仿宋_GB2312"/>
          <w:sz w:val="28"/>
          <w:szCs w:val="28"/>
        </w:rPr>
        <w:t>辆。</w:t>
      </w:r>
    </w:p>
    <w:p w14:paraId="6020882D">
      <w:pPr>
        <w:tabs>
          <w:tab w:val="center" w:pos="6979"/>
        </w:tabs>
        <w:ind w:firstLine="554" w:firstLineChars="198"/>
        <w:rPr>
          <w:rFonts w:ascii="黑体" w:eastAsia="黑体"/>
          <w:sz w:val="28"/>
          <w:szCs w:val="28"/>
        </w:rPr>
      </w:pPr>
      <w:r>
        <w:rPr>
          <w:rFonts w:hint="eastAsia" w:ascii="黑体" w:eastAsia="黑体"/>
          <w:sz w:val="28"/>
          <w:szCs w:val="28"/>
        </w:rPr>
        <w:t>二、机关运行经费支出情况</w:t>
      </w:r>
    </w:p>
    <w:p w14:paraId="0D98EE97">
      <w:pPr>
        <w:ind w:left="540"/>
        <w:rPr>
          <w:rFonts w:hint="eastAsia" w:ascii="仿宋_GB2312" w:eastAsia="仿宋_GB2312"/>
          <w:sz w:val="28"/>
          <w:szCs w:val="28"/>
          <w:lang w:val="en-US" w:eastAsia="zh-CN"/>
        </w:rPr>
      </w:pPr>
      <w:r>
        <w:rPr>
          <w:rFonts w:hint="eastAsia" w:ascii="仿宋_GB2312" w:eastAsia="仿宋_GB2312"/>
          <w:sz w:val="28"/>
          <w:szCs w:val="28"/>
        </w:rPr>
        <w:t>本部门2025年无机关运行经费</w:t>
      </w:r>
      <w:r>
        <w:rPr>
          <w:rFonts w:hint="eastAsia" w:ascii="仿宋_GB2312" w:eastAsia="仿宋_GB2312"/>
          <w:sz w:val="28"/>
          <w:szCs w:val="28"/>
          <w:lang w:eastAsia="zh-CN"/>
        </w:rPr>
        <w:t>。</w:t>
      </w:r>
    </w:p>
    <w:p w14:paraId="382200AD">
      <w:pPr>
        <w:ind w:left="540"/>
        <w:rPr>
          <w:rFonts w:ascii="黑体" w:eastAsia="黑体"/>
          <w:sz w:val="28"/>
          <w:szCs w:val="28"/>
        </w:rPr>
      </w:pPr>
      <w:r>
        <w:rPr>
          <w:rFonts w:hint="eastAsia" w:ascii="黑体" w:eastAsia="黑体"/>
          <w:sz w:val="28"/>
          <w:szCs w:val="28"/>
        </w:rPr>
        <w:t>三、政府采购支出情况</w:t>
      </w:r>
    </w:p>
    <w:p w14:paraId="41C95C56">
      <w:pPr>
        <w:ind w:firstLine="537" w:firstLineChars="192"/>
        <w:rPr>
          <w:rFonts w:ascii="仿宋_GB2312" w:eastAsia="仿宋_GB2312"/>
          <w:sz w:val="28"/>
          <w:szCs w:val="28"/>
        </w:rPr>
      </w:pPr>
      <w:r>
        <w:rPr>
          <w:rFonts w:hint="eastAsia" w:ascii="仿宋_GB2312" w:eastAsia="仿宋_GB2312"/>
          <w:sz w:val="28"/>
          <w:szCs w:val="28"/>
        </w:rPr>
        <w:t>2025年度政府采购支出总额</w:t>
      </w:r>
      <w:r>
        <w:rPr>
          <w:rFonts w:ascii="仿宋_GB2312" w:eastAsia="仿宋_GB2312"/>
          <w:sz w:val="28"/>
          <w:szCs w:val="28"/>
        </w:rPr>
        <w:t>21</w:t>
      </w:r>
      <w:r>
        <w:rPr>
          <w:rFonts w:hint="eastAsia" w:ascii="仿宋_GB2312" w:eastAsia="仿宋_GB2312"/>
          <w:sz w:val="28"/>
          <w:szCs w:val="28"/>
          <w:lang w:val="en-US" w:eastAsia="zh-CN"/>
        </w:rPr>
        <w:t>,</w:t>
      </w:r>
      <w:r>
        <w:rPr>
          <w:rFonts w:ascii="仿宋_GB2312" w:eastAsia="仿宋_GB2312"/>
          <w:sz w:val="28"/>
          <w:szCs w:val="28"/>
        </w:rPr>
        <w:t>871</w:t>
      </w:r>
      <w:r>
        <w:rPr>
          <w:rFonts w:hint="eastAsia" w:ascii="仿宋_GB2312" w:eastAsia="仿宋_GB2312"/>
          <w:sz w:val="28"/>
          <w:szCs w:val="28"/>
          <w:lang w:val="en-US" w:eastAsia="zh-CN"/>
        </w:rPr>
        <w:t>,</w:t>
      </w:r>
      <w:r>
        <w:rPr>
          <w:rFonts w:ascii="仿宋_GB2312" w:eastAsia="仿宋_GB2312"/>
          <w:sz w:val="28"/>
          <w:szCs w:val="28"/>
        </w:rPr>
        <w:t>908.83</w:t>
      </w:r>
      <w:r>
        <w:rPr>
          <w:rFonts w:hint="eastAsia" w:ascii="仿宋_GB2312" w:eastAsia="仿宋_GB2312"/>
          <w:sz w:val="28"/>
          <w:szCs w:val="28"/>
        </w:rPr>
        <w:t>元，其中：政府采购货物支出</w:t>
      </w:r>
      <w:r>
        <w:rPr>
          <w:rFonts w:ascii="仿宋_GB2312" w:eastAsia="仿宋_GB2312"/>
          <w:sz w:val="28"/>
          <w:szCs w:val="28"/>
        </w:rPr>
        <w:t>5</w:t>
      </w:r>
      <w:r>
        <w:rPr>
          <w:rFonts w:hint="eastAsia" w:ascii="仿宋_GB2312" w:eastAsia="仿宋_GB2312"/>
          <w:sz w:val="28"/>
          <w:szCs w:val="28"/>
          <w:lang w:val="en-US" w:eastAsia="zh-CN"/>
        </w:rPr>
        <w:t>,</w:t>
      </w:r>
      <w:r>
        <w:rPr>
          <w:rFonts w:ascii="仿宋_GB2312" w:eastAsia="仿宋_GB2312"/>
          <w:sz w:val="28"/>
          <w:szCs w:val="28"/>
        </w:rPr>
        <w:t>767</w:t>
      </w:r>
      <w:r>
        <w:rPr>
          <w:rFonts w:hint="eastAsia" w:ascii="仿宋_GB2312" w:eastAsia="仿宋_GB2312"/>
          <w:sz w:val="28"/>
          <w:szCs w:val="28"/>
          <w:lang w:val="en-US" w:eastAsia="zh-CN"/>
        </w:rPr>
        <w:t>,</w:t>
      </w:r>
      <w:r>
        <w:rPr>
          <w:rFonts w:ascii="仿宋_GB2312" w:eastAsia="仿宋_GB2312"/>
          <w:sz w:val="28"/>
          <w:szCs w:val="28"/>
        </w:rPr>
        <w:t>744.8</w:t>
      </w:r>
      <w:r>
        <w:rPr>
          <w:rFonts w:hint="eastAsia" w:ascii="仿宋_GB2312" w:eastAsia="仿宋_GB2312"/>
          <w:sz w:val="28"/>
          <w:szCs w:val="28"/>
        </w:rPr>
        <w:t>元，政府采购工程支出</w:t>
      </w:r>
      <w:r>
        <w:rPr>
          <w:rFonts w:ascii="仿宋_GB2312" w:eastAsia="仿宋_GB2312"/>
          <w:sz w:val="28"/>
          <w:szCs w:val="28"/>
        </w:rPr>
        <w:t>14</w:t>
      </w:r>
      <w:r>
        <w:rPr>
          <w:rFonts w:hint="eastAsia" w:ascii="仿宋_GB2312" w:eastAsia="仿宋_GB2312"/>
          <w:sz w:val="28"/>
          <w:szCs w:val="28"/>
          <w:lang w:val="en-US" w:eastAsia="zh-CN"/>
        </w:rPr>
        <w:t>,</w:t>
      </w:r>
      <w:r>
        <w:rPr>
          <w:rFonts w:ascii="仿宋_GB2312" w:eastAsia="仿宋_GB2312"/>
          <w:sz w:val="28"/>
          <w:szCs w:val="28"/>
        </w:rPr>
        <w:t>240</w:t>
      </w:r>
      <w:r>
        <w:rPr>
          <w:rFonts w:hint="eastAsia" w:ascii="仿宋_GB2312" w:eastAsia="仿宋_GB2312"/>
          <w:sz w:val="28"/>
          <w:szCs w:val="28"/>
          <w:lang w:val="en-US" w:eastAsia="zh-CN"/>
        </w:rPr>
        <w:t>,</w:t>
      </w:r>
      <w:r>
        <w:rPr>
          <w:rFonts w:ascii="仿宋_GB2312" w:eastAsia="仿宋_GB2312"/>
          <w:sz w:val="28"/>
          <w:szCs w:val="28"/>
        </w:rPr>
        <w:t>183.68</w:t>
      </w:r>
      <w:r>
        <w:rPr>
          <w:rFonts w:hint="eastAsia" w:ascii="仿宋_GB2312" w:eastAsia="仿宋_GB2312"/>
          <w:sz w:val="28"/>
          <w:szCs w:val="28"/>
        </w:rPr>
        <w:t>元，政府采购服务支出</w:t>
      </w:r>
      <w:r>
        <w:rPr>
          <w:rFonts w:ascii="仿宋_GB2312" w:eastAsia="仿宋_GB2312"/>
          <w:sz w:val="28"/>
          <w:szCs w:val="28"/>
        </w:rPr>
        <w:t>1</w:t>
      </w:r>
      <w:r>
        <w:rPr>
          <w:rFonts w:hint="eastAsia" w:ascii="仿宋_GB2312" w:eastAsia="仿宋_GB2312"/>
          <w:sz w:val="28"/>
          <w:szCs w:val="28"/>
          <w:lang w:val="en-US" w:eastAsia="zh-CN"/>
        </w:rPr>
        <w:t>,</w:t>
      </w:r>
      <w:r>
        <w:rPr>
          <w:rFonts w:ascii="仿宋_GB2312" w:eastAsia="仿宋_GB2312"/>
          <w:sz w:val="28"/>
          <w:szCs w:val="28"/>
        </w:rPr>
        <w:t>863</w:t>
      </w:r>
      <w:r>
        <w:rPr>
          <w:rFonts w:hint="eastAsia" w:ascii="仿宋_GB2312" w:eastAsia="仿宋_GB2312"/>
          <w:sz w:val="28"/>
          <w:szCs w:val="28"/>
          <w:lang w:val="en-US" w:eastAsia="zh-CN"/>
        </w:rPr>
        <w:t>,</w:t>
      </w:r>
      <w:r>
        <w:rPr>
          <w:rFonts w:ascii="仿宋_GB2312" w:eastAsia="仿宋_GB2312"/>
          <w:sz w:val="28"/>
          <w:szCs w:val="28"/>
        </w:rPr>
        <w:t>980.35</w:t>
      </w:r>
      <w:r>
        <w:rPr>
          <w:rFonts w:hint="eastAsia" w:ascii="仿宋_GB2312" w:eastAsia="仿宋_GB2312"/>
          <w:sz w:val="28"/>
          <w:szCs w:val="28"/>
        </w:rPr>
        <w:t>元。授予中小企业合同金额</w:t>
      </w:r>
      <w:r>
        <w:rPr>
          <w:rFonts w:ascii="仿宋_GB2312" w:eastAsia="仿宋_GB2312"/>
          <w:sz w:val="28"/>
          <w:szCs w:val="28"/>
        </w:rPr>
        <w:t>17</w:t>
      </w:r>
      <w:r>
        <w:rPr>
          <w:rFonts w:hint="eastAsia" w:ascii="仿宋_GB2312" w:eastAsia="仿宋_GB2312"/>
          <w:sz w:val="28"/>
          <w:szCs w:val="28"/>
          <w:lang w:val="en-US" w:eastAsia="zh-CN"/>
        </w:rPr>
        <w:t>,</w:t>
      </w:r>
      <w:r>
        <w:rPr>
          <w:rFonts w:ascii="仿宋_GB2312" w:eastAsia="仿宋_GB2312"/>
          <w:sz w:val="28"/>
          <w:szCs w:val="28"/>
        </w:rPr>
        <w:t>561</w:t>
      </w:r>
      <w:r>
        <w:rPr>
          <w:rFonts w:hint="eastAsia" w:ascii="仿宋_GB2312" w:eastAsia="仿宋_GB2312"/>
          <w:sz w:val="28"/>
          <w:szCs w:val="28"/>
          <w:lang w:val="en-US" w:eastAsia="zh-CN"/>
        </w:rPr>
        <w:t>,</w:t>
      </w:r>
      <w:r>
        <w:rPr>
          <w:rFonts w:ascii="仿宋_GB2312" w:eastAsia="仿宋_GB2312"/>
          <w:sz w:val="28"/>
          <w:szCs w:val="28"/>
        </w:rPr>
        <w:t>222.3</w:t>
      </w:r>
      <w:r>
        <w:rPr>
          <w:rFonts w:hint="eastAsia" w:ascii="仿宋_GB2312" w:eastAsia="仿宋_GB2312"/>
          <w:sz w:val="28"/>
          <w:szCs w:val="28"/>
        </w:rPr>
        <w:t>元，占政府采购支出总额的80.</w:t>
      </w:r>
      <w:r>
        <w:rPr>
          <w:rFonts w:hint="eastAsia" w:ascii="仿宋_GB2312" w:eastAsia="仿宋_GB2312"/>
          <w:sz w:val="28"/>
          <w:szCs w:val="28"/>
          <w:lang w:val="en-US" w:eastAsia="zh-CN"/>
        </w:rPr>
        <w:t>3</w:t>
      </w:r>
      <w:r>
        <w:rPr>
          <w:rFonts w:hint="eastAsia" w:ascii="仿宋_GB2312" w:eastAsia="仿宋_GB2312"/>
          <w:sz w:val="28"/>
          <w:szCs w:val="28"/>
        </w:rPr>
        <w:t>%，其中：授予小微企业合同金额</w:t>
      </w:r>
      <w:r>
        <w:rPr>
          <w:rFonts w:ascii="仿宋_GB2312" w:eastAsia="仿宋_GB2312"/>
          <w:sz w:val="28"/>
          <w:szCs w:val="28"/>
        </w:rPr>
        <w:t>15</w:t>
      </w:r>
      <w:r>
        <w:rPr>
          <w:rFonts w:hint="eastAsia" w:ascii="仿宋_GB2312" w:eastAsia="仿宋_GB2312"/>
          <w:sz w:val="28"/>
          <w:szCs w:val="28"/>
          <w:lang w:val="en-US" w:eastAsia="zh-CN"/>
        </w:rPr>
        <w:t>,</w:t>
      </w:r>
      <w:r>
        <w:rPr>
          <w:rFonts w:ascii="仿宋_GB2312" w:eastAsia="仿宋_GB2312"/>
          <w:sz w:val="28"/>
          <w:szCs w:val="28"/>
        </w:rPr>
        <w:t>461</w:t>
      </w:r>
      <w:r>
        <w:rPr>
          <w:rFonts w:hint="eastAsia" w:ascii="仿宋_GB2312" w:eastAsia="仿宋_GB2312"/>
          <w:sz w:val="28"/>
          <w:szCs w:val="28"/>
          <w:lang w:val="en-US" w:eastAsia="zh-CN"/>
        </w:rPr>
        <w:t>,</w:t>
      </w:r>
      <w:r>
        <w:rPr>
          <w:rFonts w:ascii="仿宋_GB2312" w:eastAsia="仿宋_GB2312"/>
          <w:sz w:val="28"/>
          <w:szCs w:val="28"/>
        </w:rPr>
        <w:t>876.35</w:t>
      </w:r>
      <w:r>
        <w:rPr>
          <w:rFonts w:hint="eastAsia" w:ascii="仿宋_GB2312" w:eastAsia="仿宋_GB2312"/>
          <w:sz w:val="28"/>
          <w:szCs w:val="28"/>
        </w:rPr>
        <w:t>元，占政府采购支出总额的</w:t>
      </w:r>
      <w:r>
        <w:rPr>
          <w:rFonts w:ascii="仿宋_GB2312" w:eastAsia="仿宋_GB2312"/>
          <w:sz w:val="28"/>
          <w:szCs w:val="28"/>
        </w:rPr>
        <w:t>70.</w:t>
      </w:r>
      <w:r>
        <w:rPr>
          <w:rFonts w:hint="eastAsia" w:ascii="仿宋_GB2312" w:eastAsia="仿宋_GB2312"/>
          <w:sz w:val="28"/>
          <w:szCs w:val="28"/>
          <w:lang w:val="en-US" w:eastAsia="zh-CN"/>
        </w:rPr>
        <w:t>7</w:t>
      </w:r>
      <w:r>
        <w:rPr>
          <w:rFonts w:hint="eastAsia" w:ascii="仿宋_GB2312" w:eastAsia="仿宋_GB2312"/>
          <w:sz w:val="28"/>
          <w:szCs w:val="28"/>
        </w:rPr>
        <w:t>%。</w:t>
      </w:r>
    </w:p>
    <w:p w14:paraId="05791807">
      <w:pPr>
        <w:ind w:firstLine="560" w:firstLineChars="200"/>
        <w:rPr>
          <w:rFonts w:ascii="黑体" w:eastAsia="黑体"/>
          <w:sz w:val="28"/>
          <w:szCs w:val="28"/>
          <w:highlight w:val="yellow"/>
        </w:rPr>
      </w:pPr>
      <w:r>
        <w:rPr>
          <w:rFonts w:hint="eastAsia" w:ascii="黑体" w:eastAsia="黑体"/>
          <w:sz w:val="28"/>
          <w:szCs w:val="28"/>
        </w:rPr>
        <w:t>四、国有资产占用情况</w:t>
      </w:r>
    </w:p>
    <w:p w14:paraId="603690B5">
      <w:pPr>
        <w:ind w:firstLine="560" w:firstLineChars="200"/>
        <w:rPr>
          <w:rFonts w:ascii="仿宋_GB2312" w:eastAsia="仿宋_GB2312"/>
          <w:sz w:val="32"/>
          <w:szCs w:val="32"/>
        </w:rPr>
      </w:pPr>
      <w:r>
        <w:rPr>
          <w:rFonts w:hint="eastAsia" w:ascii="仿宋_GB2312" w:eastAsia="仿宋_GB2312"/>
          <w:sz w:val="28"/>
          <w:szCs w:val="28"/>
        </w:rPr>
        <w:t>截至12月31日，北京市门头沟区潭柘戒台风景名胜区管理处（部门）共有车辆2台；单位价值100</w:t>
      </w:r>
      <w:r>
        <w:rPr>
          <w:rFonts w:hint="eastAsia" w:ascii="仿宋_GB2312" w:eastAsia="仿宋_GB2312"/>
          <w:sz w:val="28"/>
          <w:szCs w:val="28"/>
          <w:lang w:eastAsia="zh-CN"/>
        </w:rPr>
        <w:t>万</w:t>
      </w:r>
      <w:r>
        <w:rPr>
          <w:rFonts w:hint="eastAsia" w:ascii="仿宋_GB2312" w:eastAsia="仿宋_GB2312"/>
          <w:sz w:val="28"/>
          <w:szCs w:val="28"/>
        </w:rPr>
        <w:t>元（含）以上的设备0台（套）。</w:t>
      </w:r>
    </w:p>
    <w:p w14:paraId="77016851">
      <w:pPr>
        <w:ind w:firstLine="560" w:firstLineChars="200"/>
        <w:jc w:val="left"/>
        <w:rPr>
          <w:rFonts w:ascii="仿宋_GB2312" w:eastAsia="仿宋_GB2312"/>
          <w:color w:val="000000"/>
          <w:sz w:val="32"/>
          <w:szCs w:val="32"/>
        </w:rPr>
      </w:pPr>
      <w:r>
        <w:rPr>
          <w:rFonts w:hint="eastAsia" w:ascii="黑体" w:eastAsia="黑体"/>
          <w:sz w:val="28"/>
          <w:szCs w:val="28"/>
        </w:rPr>
        <w:t>五、</w:t>
      </w:r>
      <w:r>
        <w:rPr>
          <w:rFonts w:ascii="黑体" w:eastAsia="黑体"/>
          <w:sz w:val="28"/>
          <w:szCs w:val="28"/>
        </w:rPr>
        <w:t>专业名词解释</w:t>
      </w:r>
    </w:p>
    <w:p w14:paraId="13ECDD93">
      <w:pPr>
        <w:ind w:firstLine="560" w:firstLineChars="200"/>
        <w:rPr>
          <w:rFonts w:ascii="仿宋_GB2312" w:eastAsia="仿宋_GB2312"/>
          <w:sz w:val="28"/>
          <w:szCs w:val="28"/>
        </w:rPr>
      </w:pPr>
      <w:r>
        <w:rPr>
          <w:rFonts w:hint="eastAsia" w:ascii="仿宋_GB2312" w:eastAsia="仿宋_GB2312"/>
          <w:sz w:val="28"/>
          <w:szCs w:val="28"/>
        </w:rPr>
        <w:t>1.基本支出：指为保障机构正常运转、完成日常工作任务而发生的人员支出和公用支出。</w:t>
      </w:r>
    </w:p>
    <w:p w14:paraId="0BFAB318">
      <w:pPr>
        <w:ind w:firstLine="560" w:firstLineChars="200"/>
        <w:rPr>
          <w:rFonts w:ascii="仿宋_GB2312" w:eastAsia="仿宋_GB2312"/>
          <w:sz w:val="28"/>
          <w:szCs w:val="28"/>
        </w:rPr>
      </w:pPr>
      <w:r>
        <w:rPr>
          <w:rFonts w:hint="eastAsia" w:ascii="仿宋_GB2312" w:eastAsia="仿宋_GB2312"/>
          <w:sz w:val="28"/>
          <w:szCs w:val="28"/>
        </w:rPr>
        <w:t>2.项目支出：指在基本支出之外为完成特定行政任务或事业发展目标所发生的支出。</w:t>
      </w:r>
    </w:p>
    <w:p w14:paraId="770FBB94">
      <w:pPr>
        <w:ind w:firstLine="560" w:firstLineChars="200"/>
        <w:rPr>
          <w:rFonts w:ascii="仿宋_GB2312" w:eastAsia="仿宋_GB2312"/>
          <w:sz w:val="28"/>
          <w:szCs w:val="28"/>
        </w:rPr>
      </w:pPr>
      <w:r>
        <w:rPr>
          <w:rFonts w:hint="eastAsia" w:ascii="仿宋_GB2312" w:eastAsia="仿宋_GB2312"/>
          <w:sz w:val="28"/>
          <w:szCs w:val="28"/>
        </w:rPr>
        <w:t>3.“三公”经费：是指单位通过财政拨款资金安排的因公出国（境）费、公务用车购置及运行费和公务接待费。</w:t>
      </w:r>
    </w:p>
    <w:p w14:paraId="61B07E0F">
      <w:pPr>
        <w:ind w:firstLine="560" w:firstLineChars="200"/>
      </w:pPr>
      <w:r>
        <w:rPr>
          <w:rFonts w:hint="eastAsia" w:ascii="仿宋_GB2312" w:eastAsia="仿宋_GB2312"/>
          <w:sz w:val="28"/>
          <w:szCs w:val="28"/>
        </w:rPr>
        <w:t>4.机关运行经费：反映为保障行政单位（包括参照公务员法管理的事业单位）运行用于购买货物和服务的各项资金，包括办公费、会议费、培训费、委托业务费、公务接待费、公务用车运行维护费、维修（护）费及其他费用。</w:t>
      </w:r>
    </w:p>
    <w:p w14:paraId="10E7DF92">
      <w:pPr>
        <w:ind w:firstLine="560" w:firstLineChars="200"/>
        <w:rPr>
          <w:rFonts w:ascii="仿宋_GB2312" w:eastAsia="仿宋_GB2312"/>
          <w:sz w:val="28"/>
          <w:szCs w:val="28"/>
        </w:rPr>
      </w:pPr>
      <w:r>
        <w:rPr>
          <w:rFonts w:hint="eastAsia" w:ascii="仿宋_GB2312" w:eastAsia="仿宋_GB2312"/>
          <w:sz w:val="28"/>
          <w:szCs w:val="28"/>
        </w:rPr>
        <w:t>5.政府采购：指各级国家机关、事业单位和团体组织，使用财政性资金采购依法制定的集中目录以内的或者采购限额标准以上的货物、工程和服务的行为，是规范财政支出管理和强化预算约束的有效措施。</w:t>
      </w:r>
    </w:p>
    <w:p w14:paraId="24482423">
      <w:pPr>
        <w:ind w:firstLine="560" w:firstLineChars="200"/>
        <w:rPr>
          <w:rFonts w:hint="eastAsia" w:ascii="仿宋_GB2312" w:eastAsia="仿宋_GB2312"/>
          <w:sz w:val="28"/>
          <w:szCs w:val="28"/>
          <w:lang w:val="en-US" w:eastAsia="zh-CN"/>
        </w:rPr>
      </w:pPr>
      <w:r>
        <w:rPr>
          <w:rFonts w:hint="eastAsia" w:ascii="仿宋_GB2312" w:eastAsia="仿宋_GB2312"/>
          <w:sz w:val="28"/>
          <w:szCs w:val="28"/>
        </w:rPr>
        <w:t>6.文化旅游体育与传媒支出</w:t>
      </w:r>
      <w:r>
        <w:rPr>
          <w:rFonts w:hint="eastAsia" w:ascii="仿宋_GB2312" w:eastAsia="仿宋_GB2312"/>
          <w:sz w:val="28"/>
          <w:szCs w:val="28"/>
          <w:lang w:eastAsia="zh-CN"/>
        </w:rPr>
        <w:t>（类）</w:t>
      </w:r>
      <w:r>
        <w:rPr>
          <w:rFonts w:hint="eastAsia" w:ascii="仿宋_GB2312" w:eastAsia="仿宋_GB2312"/>
          <w:sz w:val="28"/>
          <w:szCs w:val="28"/>
          <w:lang w:val="en-US" w:eastAsia="zh-CN"/>
        </w:rPr>
        <w:t>:反映政府在文化、旅游、文物、体育、广播电视、电影、新闻出版等方面的支出。</w:t>
      </w:r>
    </w:p>
    <w:p w14:paraId="6DA4152F">
      <w:pPr>
        <w:ind w:firstLine="560" w:firstLineChars="200"/>
        <w:rPr>
          <w:rFonts w:hint="eastAsia" w:ascii="仿宋_GB2312" w:eastAsia="仿宋_GB2312"/>
          <w:sz w:val="28"/>
          <w:szCs w:val="28"/>
          <w:lang w:val="en-US" w:eastAsia="zh-CN"/>
        </w:rPr>
      </w:pPr>
      <w:r>
        <w:rPr>
          <w:rFonts w:hint="eastAsia" w:ascii="仿宋_GB2312" w:eastAsia="仿宋_GB2312"/>
          <w:sz w:val="28"/>
          <w:szCs w:val="28"/>
          <w:lang w:val="en-US" w:eastAsia="zh-CN"/>
        </w:rPr>
        <w:t>7.文化和旅游（款）：反映政府用于公共文化设施、艺术表演团体、文化艺术活动、对外文化交流及旅游业管理与服务等方面的支出。</w:t>
      </w:r>
    </w:p>
    <w:p w14:paraId="697408A3">
      <w:pPr>
        <w:ind w:firstLine="560" w:firstLineChars="200"/>
        <w:rPr>
          <w:rFonts w:hint="eastAsia" w:ascii="仿宋_GB2312" w:eastAsia="仿宋_GB2312"/>
          <w:sz w:val="28"/>
          <w:szCs w:val="28"/>
          <w:lang w:eastAsia="zh-CN"/>
        </w:rPr>
      </w:pPr>
      <w:r>
        <w:rPr>
          <w:rFonts w:hint="eastAsia" w:ascii="仿宋_GB2312" w:eastAsia="仿宋_GB2312"/>
          <w:sz w:val="28"/>
          <w:szCs w:val="28"/>
          <w:lang w:val="en-US" w:eastAsia="zh-CN"/>
        </w:rPr>
        <w:t>8.</w:t>
      </w:r>
      <w:r>
        <w:rPr>
          <w:rFonts w:hint="eastAsia" w:ascii="仿宋_GB2312" w:eastAsia="仿宋_GB2312"/>
          <w:sz w:val="28"/>
          <w:szCs w:val="28"/>
        </w:rPr>
        <w:t>文物</w:t>
      </w:r>
      <w:r>
        <w:rPr>
          <w:rFonts w:hint="eastAsia" w:ascii="仿宋_GB2312" w:eastAsia="仿宋_GB2312"/>
          <w:sz w:val="28"/>
          <w:szCs w:val="28"/>
          <w:lang w:eastAsia="zh-CN"/>
        </w:rPr>
        <w:t>（款）：反映文物保护和管理等方面的支出。</w:t>
      </w:r>
    </w:p>
    <w:p w14:paraId="2695F062">
      <w:pPr>
        <w:ind w:firstLine="560" w:firstLineChars="200"/>
        <w:rPr>
          <w:rFonts w:hint="eastAsia" w:ascii="仿宋_GB2312" w:eastAsia="仿宋_GB2312"/>
          <w:sz w:val="28"/>
          <w:szCs w:val="28"/>
          <w:lang w:val="en-US" w:eastAsia="zh-CN"/>
        </w:rPr>
      </w:pPr>
      <w:r>
        <w:rPr>
          <w:rFonts w:hint="eastAsia" w:ascii="仿宋_GB2312" w:eastAsia="仿宋_GB2312"/>
          <w:sz w:val="28"/>
          <w:szCs w:val="28"/>
          <w:lang w:val="en-US" w:eastAsia="zh-CN"/>
        </w:rPr>
        <w:t>9.</w:t>
      </w:r>
      <w:r>
        <w:rPr>
          <w:rFonts w:hint="eastAsia" w:ascii="仿宋_GB2312" w:eastAsia="仿宋_GB2312"/>
          <w:sz w:val="28"/>
          <w:szCs w:val="28"/>
        </w:rPr>
        <w:t>其他文化旅游体育与传媒支出</w:t>
      </w:r>
      <w:r>
        <w:rPr>
          <w:rFonts w:hint="eastAsia" w:ascii="仿宋_GB2312" w:eastAsia="仿宋_GB2312"/>
          <w:sz w:val="28"/>
          <w:szCs w:val="28"/>
          <w:lang w:eastAsia="zh-CN"/>
        </w:rPr>
        <w:t>（款）：反映除上述项目以外其他用于</w:t>
      </w:r>
      <w:r>
        <w:rPr>
          <w:rFonts w:hint="eastAsia" w:ascii="仿宋_GB2312" w:eastAsia="仿宋_GB2312"/>
          <w:sz w:val="28"/>
          <w:szCs w:val="28"/>
        </w:rPr>
        <w:t>文化旅游体育与传媒</w:t>
      </w:r>
      <w:r>
        <w:rPr>
          <w:rFonts w:hint="eastAsia" w:ascii="仿宋_GB2312" w:eastAsia="仿宋_GB2312"/>
          <w:sz w:val="28"/>
          <w:szCs w:val="28"/>
          <w:lang w:eastAsia="zh-CN"/>
        </w:rPr>
        <w:t>方面的</w:t>
      </w:r>
      <w:r>
        <w:rPr>
          <w:rFonts w:hint="eastAsia" w:ascii="仿宋_GB2312" w:eastAsia="仿宋_GB2312"/>
          <w:sz w:val="28"/>
          <w:szCs w:val="28"/>
        </w:rPr>
        <w:t>支出</w:t>
      </w:r>
      <w:r>
        <w:rPr>
          <w:rFonts w:hint="eastAsia" w:ascii="仿宋_GB2312" w:eastAsia="仿宋_GB2312"/>
          <w:sz w:val="28"/>
          <w:szCs w:val="28"/>
          <w:lang w:eastAsia="zh-CN"/>
        </w:rPr>
        <w:t>。</w:t>
      </w:r>
    </w:p>
    <w:p w14:paraId="1AECA9FE">
      <w:pPr>
        <w:ind w:firstLine="560" w:firstLineChars="200"/>
        <w:rPr>
          <w:rFonts w:hint="eastAsia" w:ascii="仿宋_GB2312" w:eastAsia="仿宋_GB2312"/>
          <w:sz w:val="28"/>
          <w:szCs w:val="28"/>
          <w:lang w:val="en-US" w:eastAsia="zh-CN"/>
        </w:rPr>
      </w:pPr>
      <w:r>
        <w:rPr>
          <w:rFonts w:hint="eastAsia" w:ascii="仿宋_GB2312" w:eastAsia="仿宋_GB2312"/>
          <w:sz w:val="28"/>
          <w:szCs w:val="28"/>
          <w:lang w:val="en-US" w:eastAsia="zh-CN"/>
        </w:rPr>
        <w:t>10.</w:t>
      </w:r>
      <w:r>
        <w:rPr>
          <w:rFonts w:hint="eastAsia" w:ascii="仿宋_GB2312" w:eastAsia="仿宋_GB2312"/>
          <w:sz w:val="28"/>
          <w:szCs w:val="28"/>
        </w:rPr>
        <w:t>资源勘探工业信息等支出</w:t>
      </w:r>
      <w:r>
        <w:rPr>
          <w:rFonts w:hint="eastAsia" w:ascii="仿宋_GB2312" w:eastAsia="仿宋_GB2312"/>
          <w:sz w:val="28"/>
          <w:szCs w:val="28"/>
          <w:lang w:eastAsia="zh-CN"/>
        </w:rPr>
        <w:t>（类）：反映用于资源勘探、制造业、建筑业、工业信息等方面支出。</w:t>
      </w:r>
    </w:p>
    <w:p w14:paraId="49057607">
      <w:pPr>
        <w:ind w:firstLine="560" w:firstLineChars="200"/>
        <w:rPr>
          <w:rFonts w:hint="eastAsia" w:ascii="仿宋_GB2312" w:eastAsia="仿宋_GB2312"/>
          <w:sz w:val="28"/>
          <w:szCs w:val="28"/>
          <w:lang w:val="en-US" w:eastAsia="zh-CN"/>
        </w:rPr>
      </w:pPr>
      <w:r>
        <w:rPr>
          <w:rFonts w:hint="eastAsia" w:ascii="仿宋_GB2312" w:eastAsia="仿宋_GB2312"/>
          <w:sz w:val="28"/>
          <w:szCs w:val="28"/>
          <w:lang w:val="en-US" w:eastAsia="zh-CN"/>
        </w:rPr>
        <w:t>11.</w:t>
      </w:r>
      <w:r>
        <w:rPr>
          <w:rFonts w:hint="eastAsia" w:ascii="仿宋_GB2312" w:eastAsia="仿宋_GB2312"/>
          <w:sz w:val="28"/>
          <w:szCs w:val="28"/>
        </w:rPr>
        <w:t>制造业</w:t>
      </w:r>
      <w:r>
        <w:rPr>
          <w:rFonts w:hint="eastAsia" w:ascii="仿宋_GB2312" w:eastAsia="仿宋_GB2312"/>
          <w:sz w:val="28"/>
          <w:szCs w:val="28"/>
          <w:lang w:eastAsia="zh-CN"/>
        </w:rPr>
        <w:t>（款）：反映纺织、轻工、化工、医药、机械、冶炼、建材、交通运输设备、烟草、兵器、核工、航空、航天、船舶、电子及通讯设备等制造业支出。</w:t>
      </w:r>
    </w:p>
    <w:p w14:paraId="1F0C45A9">
      <w:pPr>
        <w:ind w:firstLine="560" w:firstLineChars="200"/>
        <w:rPr>
          <w:rFonts w:hint="eastAsia" w:ascii="仿宋_GB2312" w:eastAsia="仿宋_GB2312"/>
          <w:sz w:val="28"/>
          <w:szCs w:val="28"/>
          <w:lang w:val="en-US" w:eastAsia="zh-CN"/>
        </w:rPr>
      </w:pPr>
      <w:r>
        <w:rPr>
          <w:rFonts w:hint="eastAsia" w:ascii="仿宋_GB2312" w:eastAsia="仿宋_GB2312"/>
          <w:sz w:val="28"/>
          <w:szCs w:val="28"/>
          <w:lang w:val="en-US" w:eastAsia="zh-CN"/>
        </w:rPr>
        <w:t>12.</w:t>
      </w:r>
      <w:r>
        <w:rPr>
          <w:rFonts w:hint="eastAsia" w:ascii="仿宋_GB2312" w:eastAsia="仿宋_GB2312"/>
          <w:sz w:val="28"/>
          <w:szCs w:val="28"/>
        </w:rPr>
        <w:t>灾害防治及应急管理支出</w:t>
      </w:r>
      <w:r>
        <w:rPr>
          <w:rFonts w:hint="eastAsia" w:ascii="仿宋_GB2312" w:eastAsia="仿宋_GB2312"/>
          <w:sz w:val="28"/>
          <w:szCs w:val="28"/>
          <w:lang w:eastAsia="zh-CN"/>
        </w:rPr>
        <w:t>（类）：反映政府用于自然灾害防治、安全生产监管及应急管理等方面的支出。</w:t>
      </w:r>
    </w:p>
    <w:p w14:paraId="031BECEA">
      <w:pPr>
        <w:ind w:firstLine="560" w:firstLineChars="200"/>
        <w:rPr>
          <w:rFonts w:hint="eastAsia"/>
          <w:lang w:val="en-US" w:eastAsia="zh-CN"/>
        </w:rPr>
      </w:pPr>
      <w:r>
        <w:rPr>
          <w:rFonts w:hint="eastAsia" w:ascii="仿宋_GB2312" w:eastAsia="仿宋_GB2312"/>
          <w:sz w:val="28"/>
          <w:szCs w:val="28"/>
          <w:lang w:val="en-US" w:eastAsia="zh-CN"/>
        </w:rPr>
        <w:t>13.</w:t>
      </w:r>
      <w:r>
        <w:rPr>
          <w:rFonts w:hint="eastAsia" w:ascii="仿宋_GB2312" w:eastAsia="仿宋_GB2312"/>
          <w:sz w:val="28"/>
          <w:szCs w:val="28"/>
        </w:rPr>
        <w:t>其他灾害防治及应急管理支出</w:t>
      </w:r>
      <w:r>
        <w:rPr>
          <w:rFonts w:hint="eastAsia" w:ascii="仿宋_GB2312" w:eastAsia="仿宋_GB2312"/>
          <w:sz w:val="28"/>
          <w:szCs w:val="28"/>
          <w:lang w:eastAsia="zh-CN"/>
        </w:rPr>
        <w:t>（款）：反映除上述项目外的其他应急管理方面的支出。</w:t>
      </w:r>
    </w:p>
    <w:p w14:paraId="2E9E6038">
      <w:pPr>
        <w:ind w:firstLine="420" w:firstLineChars="150"/>
        <w:rPr>
          <w:rFonts w:ascii="仿宋_GB2312" w:eastAsia="仿宋_GB2312"/>
          <w:sz w:val="28"/>
          <w:szCs w:val="28"/>
        </w:rPr>
      </w:pPr>
    </w:p>
    <w:p w14:paraId="4689EEC8">
      <w:pPr>
        <w:rPr>
          <w:rFonts w:ascii="黑体" w:eastAsia="黑体"/>
          <w:sz w:val="32"/>
          <w:szCs w:val="32"/>
        </w:rPr>
      </w:pPr>
    </w:p>
    <w:p w14:paraId="4C2AB8F5">
      <w:pPr>
        <w:tabs>
          <w:tab w:val="center" w:pos="6979"/>
        </w:tabs>
        <w:spacing w:line="380" w:lineRule="exact"/>
        <w:jc w:val="center"/>
        <w:rPr>
          <w:rFonts w:ascii="宋体" w:hAnsi="宋体" w:cs="宋体"/>
          <w:b/>
          <w:bCs/>
          <w:kern w:val="0"/>
          <w:sz w:val="28"/>
          <w:szCs w:val="28"/>
        </w:rPr>
      </w:pPr>
    </w:p>
    <w:p w14:paraId="1F35A4E2">
      <w:pPr>
        <w:tabs>
          <w:tab w:val="center" w:pos="6979"/>
        </w:tabs>
        <w:spacing w:line="380" w:lineRule="exact"/>
        <w:jc w:val="center"/>
        <w:rPr>
          <w:rFonts w:ascii="宋体" w:hAnsi="宋体" w:cs="宋体"/>
          <w:b/>
          <w:bCs/>
          <w:kern w:val="0"/>
          <w:sz w:val="28"/>
          <w:szCs w:val="28"/>
        </w:rPr>
      </w:pPr>
    </w:p>
    <w:p w14:paraId="263D7AA9">
      <w:pPr>
        <w:rPr>
          <w:rFonts w:ascii="黑体" w:eastAsia="黑体"/>
          <w:sz w:val="32"/>
          <w:szCs w:val="32"/>
        </w:rPr>
      </w:pPr>
    </w:p>
    <w:p w14:paraId="780124E7">
      <w:pPr>
        <w:ind w:firstLine="640" w:firstLineChars="200"/>
        <w:jc w:val="center"/>
        <w:rPr>
          <w:rFonts w:ascii="黑体" w:eastAsia="黑体"/>
          <w:sz w:val="32"/>
          <w:szCs w:val="32"/>
        </w:rPr>
      </w:pPr>
    </w:p>
    <w:p w14:paraId="3FCEAF35">
      <w:pPr>
        <w:tabs>
          <w:tab w:val="center" w:pos="6979"/>
        </w:tabs>
        <w:spacing w:line="580" w:lineRule="exact"/>
        <w:ind w:firstLine="720" w:firstLineChars="200"/>
        <w:jc w:val="center"/>
        <w:rPr>
          <w:rFonts w:asciiTheme="minorEastAsia" w:hAnsiTheme="minorEastAsia" w:eastAsiaTheme="minorEastAsia"/>
          <w:b/>
          <w:sz w:val="36"/>
          <w:szCs w:val="36"/>
        </w:rPr>
      </w:pPr>
      <w:r>
        <w:rPr>
          <w:rFonts w:hint="eastAsia" w:asciiTheme="minorEastAsia" w:hAnsiTheme="minorEastAsia" w:eastAsiaTheme="minorEastAsia"/>
          <w:b/>
          <w:sz w:val="36"/>
          <w:szCs w:val="36"/>
        </w:rPr>
        <w:t>第四部分2025年度部门绩效评价情况</w:t>
      </w:r>
    </w:p>
    <w:p w14:paraId="5766F0D3">
      <w:pPr>
        <w:tabs>
          <w:tab w:val="center" w:pos="6979"/>
        </w:tabs>
        <w:spacing w:line="580" w:lineRule="exact"/>
        <w:ind w:firstLine="560" w:firstLineChars="200"/>
        <w:jc w:val="center"/>
        <w:rPr>
          <w:rFonts w:hint="eastAsia" w:ascii="华文中宋" w:hAnsi="华文中宋" w:eastAsia="华文中宋"/>
          <w:sz w:val="28"/>
          <w:szCs w:val="28"/>
        </w:rPr>
      </w:pPr>
    </w:p>
    <w:p w14:paraId="24EF9D7E">
      <w:pPr>
        <w:spacing w:line="580" w:lineRule="exact"/>
        <w:ind w:firstLine="640" w:firstLineChars="200"/>
        <w:rPr>
          <w:rFonts w:hint="eastAsia" w:ascii="黑体" w:hAnsi="黑体" w:eastAsia="黑体"/>
          <w:sz w:val="32"/>
          <w:szCs w:val="32"/>
        </w:rPr>
      </w:pPr>
      <w:r>
        <w:rPr>
          <w:rFonts w:hint="eastAsia" w:ascii="黑体" w:eastAsia="黑体"/>
          <w:sz w:val="32"/>
          <w:szCs w:val="32"/>
        </w:rPr>
        <w:t xml:space="preserve"> </w:t>
      </w:r>
      <w:r>
        <w:rPr>
          <w:rFonts w:hint="eastAsia" w:ascii="黑体" w:hAnsi="黑体" w:eastAsia="黑体"/>
          <w:sz w:val="32"/>
          <w:szCs w:val="32"/>
        </w:rPr>
        <w:t>一、部门整体绩效评价报告</w:t>
      </w:r>
    </w:p>
    <w:p w14:paraId="5BB5AB9F">
      <w:pPr>
        <w:spacing w:line="580" w:lineRule="exact"/>
        <w:ind w:firstLine="640"/>
        <w:rPr>
          <w:rFonts w:hint="eastAsia" w:ascii="楷体_GB2312" w:hAnsi="Calibri" w:eastAsia="楷体_GB2312"/>
          <w:b/>
          <w:sz w:val="32"/>
          <w:szCs w:val="32"/>
        </w:rPr>
      </w:pPr>
      <w:r>
        <w:rPr>
          <w:rFonts w:hint="eastAsia" w:ascii="楷体_GB2312" w:eastAsia="楷体_GB2312"/>
          <w:b/>
          <w:sz w:val="32"/>
          <w:szCs w:val="32"/>
        </w:rPr>
        <w:t>（一）部门概况</w:t>
      </w:r>
    </w:p>
    <w:p w14:paraId="12B7CF11">
      <w:pPr>
        <w:spacing w:line="580" w:lineRule="exact"/>
        <w:ind w:firstLine="640"/>
        <w:rPr>
          <w:rFonts w:hint="eastAsia" w:ascii="仿宋_GB2312" w:eastAsia="仿宋_GB2312"/>
          <w:sz w:val="32"/>
          <w:szCs w:val="32"/>
        </w:rPr>
      </w:pPr>
      <w:bookmarkStart w:id="0" w:name="_Toc268005755"/>
      <w:r>
        <w:rPr>
          <w:rFonts w:hint="eastAsia" w:ascii="仿宋_GB2312" w:eastAsia="仿宋_GB2312"/>
          <w:sz w:val="32"/>
          <w:szCs w:val="32"/>
        </w:rPr>
        <w:t>1.部门职责情况</w:t>
      </w:r>
    </w:p>
    <w:p w14:paraId="1C7B1B05">
      <w:pPr>
        <w:spacing w:line="580" w:lineRule="exact"/>
        <w:ind w:firstLine="640"/>
        <w:rPr>
          <w:rFonts w:hint="eastAsia" w:ascii="仿宋_GB2312" w:eastAsia="仿宋_GB2312"/>
          <w:sz w:val="32"/>
          <w:szCs w:val="32"/>
          <w:lang w:val="en-US" w:eastAsia="zh-CN"/>
        </w:rPr>
      </w:pPr>
      <w:r>
        <w:rPr>
          <w:rFonts w:hint="eastAsia" w:ascii="仿宋_GB2312" w:eastAsia="仿宋_GB2312"/>
          <w:sz w:val="32"/>
          <w:szCs w:val="32"/>
          <w:lang w:val="en-US" w:eastAsia="zh-CN"/>
        </w:rPr>
        <w:t>（1）负责贯彻落实国家、本市风景名胜区相关法律法规、规章和政策。</w:t>
      </w:r>
    </w:p>
    <w:p w14:paraId="3E15DADE">
      <w:pPr>
        <w:spacing w:line="580" w:lineRule="exact"/>
        <w:ind w:firstLine="640"/>
        <w:rPr>
          <w:rFonts w:hint="eastAsia" w:ascii="仿宋_GB2312" w:eastAsia="仿宋_GB2312"/>
          <w:sz w:val="32"/>
          <w:szCs w:val="32"/>
          <w:lang w:val="en-US" w:eastAsia="zh-CN"/>
        </w:rPr>
      </w:pPr>
      <w:r>
        <w:rPr>
          <w:rFonts w:hint="eastAsia" w:ascii="仿宋_GB2312" w:eastAsia="仿宋_GB2312"/>
          <w:sz w:val="32"/>
          <w:szCs w:val="32"/>
          <w:lang w:val="en-US" w:eastAsia="zh-CN"/>
        </w:rPr>
        <w:t>（2）负责潭柘戒台风景名胜区（以下简称风景名胜区）的保护、利用和统一管理工作。</w:t>
      </w:r>
    </w:p>
    <w:p w14:paraId="2A074051">
      <w:pPr>
        <w:spacing w:line="580" w:lineRule="exact"/>
        <w:ind w:firstLine="640"/>
        <w:rPr>
          <w:rFonts w:hint="eastAsia" w:ascii="仿宋_GB2312" w:eastAsia="仿宋_GB2312"/>
          <w:sz w:val="32"/>
          <w:szCs w:val="32"/>
          <w:lang w:val="en-US" w:eastAsia="zh-CN"/>
        </w:rPr>
      </w:pPr>
      <w:r>
        <w:rPr>
          <w:rFonts w:hint="eastAsia" w:ascii="仿宋_GB2312" w:eastAsia="仿宋_GB2312"/>
          <w:sz w:val="32"/>
          <w:szCs w:val="32"/>
          <w:lang w:val="en-US" w:eastAsia="zh-CN"/>
        </w:rPr>
        <w:t>（3）负责落实风景名胜区规划，制定风景名胜资源保护管理制度、安全保障制度和保护措施并组织实施。</w:t>
      </w:r>
    </w:p>
    <w:p w14:paraId="2CEAC792">
      <w:pPr>
        <w:spacing w:line="580" w:lineRule="exact"/>
        <w:ind w:firstLine="640"/>
        <w:rPr>
          <w:rFonts w:hint="eastAsia" w:ascii="仿宋_GB2312" w:eastAsia="仿宋_GB2312"/>
          <w:sz w:val="32"/>
          <w:szCs w:val="32"/>
          <w:lang w:val="en-US" w:eastAsia="zh-CN"/>
        </w:rPr>
      </w:pPr>
      <w:r>
        <w:rPr>
          <w:rFonts w:hint="eastAsia" w:ascii="仿宋_GB2312" w:eastAsia="仿宋_GB2312"/>
          <w:sz w:val="32"/>
          <w:szCs w:val="32"/>
          <w:lang w:val="en-US" w:eastAsia="zh-CN"/>
        </w:rPr>
        <w:t>（4）负责调查鉴定风景名胜区内的重要景观，监测自然资源保护情况。</w:t>
      </w:r>
    </w:p>
    <w:p w14:paraId="36918E62">
      <w:pPr>
        <w:spacing w:line="580" w:lineRule="exact"/>
        <w:ind w:firstLine="640"/>
        <w:rPr>
          <w:rFonts w:hint="eastAsia" w:ascii="仿宋_GB2312" w:eastAsia="仿宋_GB2312"/>
          <w:sz w:val="32"/>
          <w:szCs w:val="32"/>
          <w:lang w:val="en-US" w:eastAsia="zh-CN"/>
        </w:rPr>
      </w:pPr>
      <w:r>
        <w:rPr>
          <w:rFonts w:hint="eastAsia" w:ascii="仿宋_GB2312" w:eastAsia="仿宋_GB2312"/>
          <w:sz w:val="32"/>
          <w:szCs w:val="32"/>
          <w:lang w:val="en-US" w:eastAsia="zh-CN"/>
        </w:rPr>
        <w:t>（5）负责协调推进风景名胜区发展建设工作，审核风景名胜区内建设活动和其他重大活动并监督其实施，配合有关部门开展日常监管，监测风景名胜区规划实施。</w:t>
      </w:r>
    </w:p>
    <w:p w14:paraId="32106035">
      <w:pPr>
        <w:spacing w:line="580" w:lineRule="exact"/>
        <w:ind w:firstLine="640"/>
        <w:rPr>
          <w:rFonts w:hint="eastAsia" w:ascii="仿宋_GB2312" w:eastAsia="仿宋_GB2312"/>
          <w:sz w:val="32"/>
          <w:szCs w:val="32"/>
          <w:lang w:val="en-US" w:eastAsia="zh-CN"/>
        </w:rPr>
      </w:pPr>
      <w:r>
        <w:rPr>
          <w:rFonts w:hint="eastAsia" w:ascii="仿宋_GB2312" w:eastAsia="仿宋_GB2312"/>
          <w:sz w:val="32"/>
          <w:szCs w:val="32"/>
          <w:lang w:val="en-US" w:eastAsia="zh-CN"/>
        </w:rPr>
        <w:t>（6）负责风景名胜区内受权管理旅游景区的等级质量提升和服务质量提升工作，组织开展文化旅游宣传推介和文化创意品牌创建。</w:t>
      </w:r>
    </w:p>
    <w:p w14:paraId="60F73EE8">
      <w:pPr>
        <w:spacing w:line="580" w:lineRule="exact"/>
        <w:ind w:firstLine="640"/>
        <w:rPr>
          <w:rFonts w:hint="eastAsia" w:ascii="仿宋_GB2312" w:eastAsia="仿宋_GB2312"/>
          <w:sz w:val="32"/>
          <w:szCs w:val="32"/>
          <w:lang w:val="en-US" w:eastAsia="zh-CN"/>
        </w:rPr>
      </w:pPr>
      <w:r>
        <w:rPr>
          <w:rFonts w:hint="eastAsia" w:ascii="仿宋_GB2312" w:eastAsia="仿宋_GB2312"/>
          <w:sz w:val="32"/>
          <w:szCs w:val="32"/>
          <w:lang w:val="en-US" w:eastAsia="zh-CN"/>
        </w:rPr>
        <w:t>（7）负责风景名胜区内文物、古树名木、自然资源等的日常管理和保护工作。按权限负责风景名胜区内的安全和应急管理、信访维稳等工作，协助相关部门落实职责权限范围内的安全生产监管等工作。</w:t>
      </w:r>
    </w:p>
    <w:p w14:paraId="1715CEDA">
      <w:pPr>
        <w:spacing w:line="580" w:lineRule="exact"/>
        <w:ind w:firstLine="640"/>
        <w:rPr>
          <w:rFonts w:hint="eastAsia" w:ascii="仿宋_GB2312" w:eastAsia="仿宋_GB2312"/>
          <w:sz w:val="32"/>
          <w:szCs w:val="32"/>
        </w:rPr>
      </w:pPr>
      <w:r>
        <w:rPr>
          <w:rFonts w:hint="eastAsia" w:ascii="仿宋_GB2312" w:eastAsia="仿宋_GB2312"/>
          <w:sz w:val="32"/>
          <w:szCs w:val="32"/>
          <w:lang w:val="en-US" w:eastAsia="zh-CN"/>
        </w:rPr>
        <w:t>（8）完成区政府交办的其他任务。</w:t>
      </w:r>
    </w:p>
    <w:p w14:paraId="50EB70FF">
      <w:pPr>
        <w:spacing w:line="580" w:lineRule="exact"/>
        <w:ind w:firstLine="640"/>
        <w:rPr>
          <w:rFonts w:hint="eastAsia" w:ascii="仿宋_GB2312" w:eastAsia="仿宋_GB2312"/>
          <w:sz w:val="32"/>
          <w:szCs w:val="32"/>
        </w:rPr>
      </w:pPr>
      <w:r>
        <w:rPr>
          <w:rFonts w:hint="eastAsia" w:ascii="仿宋_GB2312" w:eastAsia="仿宋_GB2312"/>
          <w:sz w:val="32"/>
          <w:szCs w:val="32"/>
        </w:rPr>
        <w:t>2.部门机构设置情况</w:t>
      </w:r>
    </w:p>
    <w:p w14:paraId="0FC9EDDA">
      <w:pPr>
        <w:spacing w:line="580" w:lineRule="exact"/>
        <w:ind w:firstLine="640"/>
        <w:rPr>
          <w:rFonts w:hint="eastAsia" w:ascii="仿宋_GB2312" w:eastAsia="仿宋_GB2312"/>
          <w:sz w:val="32"/>
          <w:szCs w:val="32"/>
          <w:lang w:val="en-US" w:eastAsia="zh-CN"/>
        </w:rPr>
      </w:pPr>
      <w:r>
        <w:rPr>
          <w:rFonts w:hint="eastAsia" w:ascii="仿宋_GB2312" w:eastAsia="仿宋_GB2312"/>
          <w:sz w:val="32"/>
          <w:szCs w:val="32"/>
          <w:lang w:val="en-US" w:eastAsia="zh-CN"/>
        </w:rPr>
        <w:t>本部门共6个内设科室，分别为综合部、资源保护部、规划部、旅游服务部、宣传推介部和应急管理部。</w:t>
      </w:r>
    </w:p>
    <w:p w14:paraId="0030C168">
      <w:pPr>
        <w:spacing w:line="580" w:lineRule="exact"/>
        <w:ind w:firstLine="640"/>
        <w:rPr>
          <w:rFonts w:hint="eastAsia" w:ascii="仿宋_GB2312" w:eastAsia="仿宋_GB2312"/>
          <w:sz w:val="32"/>
          <w:szCs w:val="32"/>
        </w:rPr>
      </w:pPr>
      <w:r>
        <w:rPr>
          <w:rFonts w:hint="eastAsia" w:ascii="仿宋_GB2312" w:eastAsia="仿宋_GB2312"/>
          <w:sz w:val="32"/>
          <w:szCs w:val="32"/>
        </w:rPr>
        <w:t>3.2025年主要工作任务</w:t>
      </w:r>
    </w:p>
    <w:bookmarkEnd w:id="0"/>
    <w:p w14:paraId="080F8B58">
      <w:pPr>
        <w:spacing w:line="580" w:lineRule="exact"/>
        <w:ind w:firstLine="640"/>
        <w:rPr>
          <w:rFonts w:hint="eastAsia" w:ascii="仿宋_GB2312" w:eastAsia="仿宋_GB2312"/>
          <w:sz w:val="32"/>
          <w:szCs w:val="32"/>
          <w:highlight w:val="none"/>
          <w:lang w:val="en-US" w:eastAsia="zh-CN"/>
        </w:rPr>
      </w:pPr>
      <w:bookmarkStart w:id="1" w:name="_Toc268005759"/>
      <w:bookmarkStart w:id="2" w:name="_Toc263686375"/>
      <w:r>
        <w:rPr>
          <w:rFonts w:hint="eastAsia" w:ascii="仿宋_GB2312" w:eastAsia="仿宋_GB2312"/>
          <w:sz w:val="32"/>
          <w:szCs w:val="32"/>
          <w:highlight w:val="none"/>
          <w:lang w:val="en-US" w:eastAsia="zh-CN"/>
        </w:rPr>
        <w:t>本部门本着勤俭节约、最大化发挥资金效益原则，以目标为导向，压茬推进潭柘寺戒台寺灾后重建及5A创建基础设施提升项目，高质量完成潭柘寺后山（东西线）防火步道修整、潭柘寺周边环境整治、潭戒两寺区基础设施提升电力改造等项目建设。完成《潭戒两寺整体风貌提升三年行动计划》编制，形成集历史文献、档案资料、古今影像、研究成果于一体的“四库一体”数据库。潭柘休闲旅游度假区入选第十二届中国旅游产业发展年会“旅游项目高质量建设运营”十大典型案例。拍摄“古韵新生 慢享福地”宣传片和精品短视频16条。依托度假区官方平台、携程等渠道，推送图文内容673篇、短视频33部。举办两届“京西福地·山水慢享”摄影比赛，征集优质参赛作品10600余幅，全方位、多角度展示度假区文旅风貌和特色。创新塑造“四个一”文化品牌。举办“潭柘雅集”文化活动，邀请十余位专家学者阐释潭戒两寺文化脉络，联动北京日报、抖音等六大平台全程直播，吸引60.8万人次在线观看；设计研发首款原创文创衍生品“潭柘凝福”，纳入“京西福礼”品牌体系，并联动区委宣传部亮相2025中国服务贸易交易会文旅服务门头沟区专题展区；拍摄文旅宣传片《潭柘寺》，全方位展现潭柘寺这座千年皇家古刹的文化底蕴；编撰《潭柘寺》电子画册，收录各类精品摄影作品200余幅。</w:t>
      </w:r>
    </w:p>
    <w:p w14:paraId="069FF769">
      <w:pPr>
        <w:spacing w:line="580" w:lineRule="exact"/>
        <w:ind w:firstLine="640"/>
        <w:rPr>
          <w:rFonts w:hint="eastAsia" w:ascii="仿宋_GB2312" w:eastAsia="仿宋_GB2312"/>
          <w:sz w:val="32"/>
          <w:szCs w:val="32"/>
        </w:rPr>
      </w:pPr>
      <w:r>
        <w:rPr>
          <w:rFonts w:hint="eastAsia" w:ascii="仿宋_GB2312" w:eastAsia="仿宋_GB2312"/>
          <w:sz w:val="32"/>
          <w:szCs w:val="32"/>
        </w:rPr>
        <w:t>4.部门</w:t>
      </w:r>
      <w:bookmarkEnd w:id="1"/>
      <w:r>
        <w:rPr>
          <w:rFonts w:hint="eastAsia" w:ascii="仿宋_GB2312" w:eastAsia="仿宋_GB2312"/>
          <w:sz w:val="32"/>
          <w:szCs w:val="32"/>
        </w:rPr>
        <w:t>整体绩效目标设立情况</w:t>
      </w:r>
    </w:p>
    <w:tbl>
      <w:tblPr>
        <w:tblStyle w:val="10"/>
        <w:tblW w:w="14786" w:type="dxa"/>
        <w:tblInd w:w="0" w:type="dxa"/>
        <w:tblLayout w:type="fixed"/>
        <w:tblCellMar>
          <w:top w:w="0" w:type="dxa"/>
          <w:left w:w="108" w:type="dxa"/>
          <w:bottom w:w="0" w:type="dxa"/>
          <w:right w:w="108" w:type="dxa"/>
        </w:tblCellMar>
      </w:tblPr>
      <w:tblGrid>
        <w:gridCol w:w="1327"/>
        <w:gridCol w:w="3870"/>
        <w:gridCol w:w="1890"/>
        <w:gridCol w:w="3600"/>
        <w:gridCol w:w="1770"/>
        <w:gridCol w:w="2329"/>
      </w:tblGrid>
      <w:tr w14:paraId="33988198">
        <w:tblPrEx>
          <w:tblCellMar>
            <w:top w:w="0" w:type="dxa"/>
            <w:left w:w="108" w:type="dxa"/>
            <w:bottom w:w="0" w:type="dxa"/>
            <w:right w:w="108" w:type="dxa"/>
          </w:tblCellMar>
        </w:tblPrEx>
        <w:trPr>
          <w:trHeight w:val="275" w:hRule="atLeast"/>
        </w:trPr>
        <w:tc>
          <w:tcPr>
            <w:tcW w:w="1327" w:type="dxa"/>
            <w:tcBorders>
              <w:top w:val="single" w:color="auto" w:sz="4" w:space="0"/>
              <w:left w:val="single" w:color="auto" w:sz="4" w:space="0"/>
              <w:bottom w:val="single" w:color="auto" w:sz="4" w:space="0"/>
              <w:right w:val="single" w:color="auto" w:sz="4" w:space="0"/>
            </w:tcBorders>
            <w:vAlign w:val="bottom"/>
          </w:tcPr>
          <w:p w14:paraId="0E6C2BD4">
            <w:pPr>
              <w:spacing w:line="520" w:lineRule="exact"/>
              <w:jc w:val="center"/>
              <w:rPr>
                <w:rFonts w:hint="eastAsia" w:ascii="仿宋_GB2312" w:eastAsia="仿宋_GB2312"/>
                <w:sz w:val="28"/>
                <w:szCs w:val="28"/>
              </w:rPr>
            </w:pPr>
            <w:r>
              <w:rPr>
                <w:rFonts w:hint="eastAsia" w:ascii="仿宋_GB2312" w:eastAsia="仿宋_GB2312"/>
                <w:sz w:val="28"/>
                <w:szCs w:val="28"/>
              </w:rPr>
              <w:t>序号</w:t>
            </w:r>
          </w:p>
        </w:tc>
        <w:tc>
          <w:tcPr>
            <w:tcW w:w="3870" w:type="dxa"/>
            <w:tcBorders>
              <w:top w:val="single" w:color="auto" w:sz="4" w:space="0"/>
              <w:left w:val="nil"/>
              <w:bottom w:val="single" w:color="auto" w:sz="4" w:space="0"/>
              <w:right w:val="single" w:color="auto" w:sz="4" w:space="0"/>
            </w:tcBorders>
            <w:vAlign w:val="bottom"/>
          </w:tcPr>
          <w:p w14:paraId="1D038092">
            <w:pPr>
              <w:spacing w:line="520" w:lineRule="exact"/>
              <w:jc w:val="center"/>
              <w:rPr>
                <w:rFonts w:hint="eastAsia" w:ascii="仿宋_GB2312" w:eastAsia="仿宋_GB2312"/>
                <w:sz w:val="28"/>
                <w:szCs w:val="28"/>
              </w:rPr>
            </w:pPr>
            <w:r>
              <w:rPr>
                <w:rFonts w:hint="eastAsia" w:ascii="仿宋_GB2312" w:eastAsia="仿宋_GB2312"/>
                <w:sz w:val="28"/>
                <w:szCs w:val="28"/>
              </w:rPr>
              <w:t>三级指标</w:t>
            </w:r>
          </w:p>
        </w:tc>
        <w:tc>
          <w:tcPr>
            <w:tcW w:w="1890" w:type="dxa"/>
            <w:tcBorders>
              <w:top w:val="single" w:color="auto" w:sz="4" w:space="0"/>
              <w:left w:val="nil"/>
              <w:bottom w:val="single" w:color="auto" w:sz="4" w:space="0"/>
              <w:right w:val="single" w:color="auto" w:sz="4" w:space="0"/>
            </w:tcBorders>
            <w:vAlign w:val="bottom"/>
          </w:tcPr>
          <w:p w14:paraId="7E390CCA">
            <w:pPr>
              <w:spacing w:line="520" w:lineRule="exact"/>
              <w:jc w:val="center"/>
              <w:rPr>
                <w:rFonts w:hint="eastAsia" w:ascii="仿宋_GB2312" w:eastAsia="仿宋_GB2312"/>
                <w:sz w:val="28"/>
                <w:szCs w:val="28"/>
              </w:rPr>
            </w:pPr>
            <w:r>
              <w:rPr>
                <w:rFonts w:hint="eastAsia" w:ascii="仿宋_GB2312" w:eastAsia="仿宋_GB2312"/>
                <w:sz w:val="28"/>
                <w:szCs w:val="28"/>
              </w:rPr>
              <w:t>指标性质</w:t>
            </w:r>
          </w:p>
        </w:tc>
        <w:tc>
          <w:tcPr>
            <w:tcW w:w="3600" w:type="dxa"/>
            <w:tcBorders>
              <w:top w:val="single" w:color="auto" w:sz="4" w:space="0"/>
              <w:left w:val="nil"/>
              <w:bottom w:val="single" w:color="auto" w:sz="4" w:space="0"/>
              <w:right w:val="single" w:color="auto" w:sz="4" w:space="0"/>
            </w:tcBorders>
            <w:vAlign w:val="bottom"/>
          </w:tcPr>
          <w:p w14:paraId="58687E1D">
            <w:pPr>
              <w:spacing w:line="520" w:lineRule="exact"/>
              <w:jc w:val="center"/>
              <w:rPr>
                <w:rFonts w:hint="eastAsia" w:ascii="仿宋_GB2312" w:eastAsia="仿宋_GB2312"/>
                <w:sz w:val="28"/>
                <w:szCs w:val="28"/>
              </w:rPr>
            </w:pPr>
            <w:r>
              <w:rPr>
                <w:rFonts w:hint="eastAsia" w:ascii="仿宋_GB2312" w:eastAsia="仿宋_GB2312"/>
                <w:sz w:val="28"/>
                <w:szCs w:val="28"/>
              </w:rPr>
              <w:t>指标值</w:t>
            </w:r>
          </w:p>
        </w:tc>
        <w:tc>
          <w:tcPr>
            <w:tcW w:w="1770" w:type="dxa"/>
            <w:tcBorders>
              <w:top w:val="single" w:color="auto" w:sz="4" w:space="0"/>
              <w:left w:val="nil"/>
              <w:bottom w:val="single" w:color="auto" w:sz="4" w:space="0"/>
              <w:right w:val="single" w:color="auto" w:sz="4" w:space="0"/>
            </w:tcBorders>
          </w:tcPr>
          <w:p w14:paraId="202D41F8">
            <w:pPr>
              <w:spacing w:line="520" w:lineRule="exact"/>
              <w:jc w:val="center"/>
              <w:rPr>
                <w:rFonts w:hint="eastAsia" w:ascii="仿宋_GB2312" w:eastAsia="仿宋_GB2312"/>
                <w:sz w:val="28"/>
                <w:szCs w:val="28"/>
              </w:rPr>
            </w:pPr>
            <w:r>
              <w:rPr>
                <w:rFonts w:hint="eastAsia" w:ascii="仿宋_GB2312" w:eastAsia="仿宋_GB2312"/>
                <w:sz w:val="28"/>
                <w:szCs w:val="28"/>
              </w:rPr>
              <w:t>度量单位</w:t>
            </w:r>
          </w:p>
        </w:tc>
        <w:tc>
          <w:tcPr>
            <w:tcW w:w="2329" w:type="dxa"/>
            <w:tcBorders>
              <w:top w:val="single" w:color="auto" w:sz="4" w:space="0"/>
              <w:left w:val="nil"/>
              <w:bottom w:val="single" w:color="auto" w:sz="4" w:space="0"/>
              <w:right w:val="single" w:color="auto" w:sz="4" w:space="0"/>
            </w:tcBorders>
          </w:tcPr>
          <w:p w14:paraId="53A91CA5">
            <w:pPr>
              <w:spacing w:line="520" w:lineRule="exact"/>
              <w:jc w:val="center"/>
              <w:rPr>
                <w:rFonts w:hint="eastAsia" w:ascii="仿宋_GB2312" w:eastAsia="仿宋_GB2312"/>
                <w:sz w:val="28"/>
                <w:szCs w:val="28"/>
              </w:rPr>
            </w:pPr>
            <w:r>
              <w:rPr>
                <w:rFonts w:hint="eastAsia" w:ascii="仿宋_GB2312" w:eastAsia="仿宋_GB2312"/>
                <w:sz w:val="28"/>
                <w:szCs w:val="28"/>
              </w:rPr>
              <w:t>指标权重</w:t>
            </w:r>
          </w:p>
        </w:tc>
      </w:tr>
      <w:tr w14:paraId="17AE0FB8">
        <w:tblPrEx>
          <w:tblCellMar>
            <w:top w:w="0" w:type="dxa"/>
            <w:left w:w="108" w:type="dxa"/>
            <w:bottom w:w="0" w:type="dxa"/>
            <w:right w:w="108" w:type="dxa"/>
          </w:tblCellMar>
        </w:tblPrEx>
        <w:trPr>
          <w:trHeight w:val="275" w:hRule="atLeast"/>
        </w:trPr>
        <w:tc>
          <w:tcPr>
            <w:tcW w:w="1327" w:type="dxa"/>
            <w:tcBorders>
              <w:top w:val="single" w:color="auto" w:sz="4" w:space="0"/>
              <w:left w:val="single" w:color="auto" w:sz="4" w:space="0"/>
              <w:bottom w:val="single" w:color="auto" w:sz="4" w:space="0"/>
              <w:right w:val="single" w:color="auto" w:sz="4" w:space="0"/>
            </w:tcBorders>
            <w:vAlign w:val="center"/>
          </w:tcPr>
          <w:p w14:paraId="435722DA">
            <w:pPr>
              <w:spacing w:line="520" w:lineRule="exact"/>
              <w:jc w:val="center"/>
              <w:rPr>
                <w:rFonts w:hint="eastAsia" w:ascii="仿宋_GB2312" w:eastAsia="仿宋_GB2312"/>
                <w:sz w:val="28"/>
                <w:szCs w:val="28"/>
              </w:rPr>
            </w:pPr>
            <w:r>
              <w:rPr>
                <w:rFonts w:hint="eastAsia" w:ascii="仿宋_GB2312" w:eastAsia="仿宋_GB2312"/>
                <w:sz w:val="28"/>
                <w:szCs w:val="28"/>
              </w:rPr>
              <w:t>1</w:t>
            </w:r>
          </w:p>
        </w:tc>
        <w:tc>
          <w:tcPr>
            <w:tcW w:w="3870" w:type="dxa"/>
            <w:tcBorders>
              <w:top w:val="single" w:color="auto" w:sz="4" w:space="0"/>
              <w:left w:val="single" w:color="auto" w:sz="4" w:space="0"/>
              <w:bottom w:val="single" w:color="auto" w:sz="4" w:space="0"/>
              <w:right w:val="single" w:color="auto" w:sz="4" w:space="0"/>
            </w:tcBorders>
            <w:vAlign w:val="center"/>
          </w:tcPr>
          <w:p w14:paraId="1EDD9A24">
            <w:pPr>
              <w:spacing w:line="520" w:lineRule="exact"/>
              <w:jc w:val="center"/>
              <w:rPr>
                <w:rFonts w:hint="eastAsia" w:ascii="仿宋_GB2312" w:eastAsia="仿宋_GB2312"/>
                <w:sz w:val="28"/>
                <w:szCs w:val="28"/>
              </w:rPr>
            </w:pPr>
            <w:r>
              <w:rPr>
                <w:rFonts w:hint="eastAsia" w:ascii="仿宋_GB2312" w:eastAsia="仿宋_GB2312"/>
                <w:sz w:val="28"/>
                <w:szCs w:val="28"/>
              </w:rPr>
              <w:t>潭柘戒台风景名胜区总体规划编制工作成果验收合格率</w:t>
            </w:r>
          </w:p>
        </w:tc>
        <w:tc>
          <w:tcPr>
            <w:tcW w:w="1890" w:type="dxa"/>
            <w:tcBorders>
              <w:top w:val="single" w:color="auto" w:sz="4" w:space="0"/>
              <w:left w:val="single" w:color="auto" w:sz="4" w:space="0"/>
              <w:bottom w:val="single" w:color="auto" w:sz="4" w:space="0"/>
              <w:right w:val="single" w:color="auto" w:sz="4" w:space="0"/>
            </w:tcBorders>
            <w:vAlign w:val="center"/>
          </w:tcPr>
          <w:p w14:paraId="5E79E076">
            <w:pPr>
              <w:spacing w:line="520" w:lineRule="exact"/>
              <w:jc w:val="center"/>
              <w:rPr>
                <w:rFonts w:hint="eastAsia" w:ascii="仿宋_GB2312" w:eastAsia="仿宋_GB2312"/>
                <w:sz w:val="28"/>
                <w:szCs w:val="28"/>
              </w:rPr>
            </w:pPr>
            <w:r>
              <w:rPr>
                <w:rFonts w:hint="eastAsia" w:ascii="仿宋_GB2312" w:eastAsia="仿宋_GB2312"/>
                <w:sz w:val="28"/>
                <w:szCs w:val="28"/>
              </w:rPr>
              <w:t>产出指标-质量指标</w:t>
            </w:r>
          </w:p>
        </w:tc>
        <w:tc>
          <w:tcPr>
            <w:tcW w:w="3600" w:type="dxa"/>
            <w:tcBorders>
              <w:top w:val="single" w:color="auto" w:sz="4" w:space="0"/>
              <w:left w:val="single" w:color="auto" w:sz="4" w:space="0"/>
              <w:bottom w:val="single" w:color="auto" w:sz="4" w:space="0"/>
              <w:right w:val="single" w:color="auto" w:sz="4" w:space="0"/>
            </w:tcBorders>
            <w:vAlign w:val="center"/>
          </w:tcPr>
          <w:p w14:paraId="3E8ACABC">
            <w:pPr>
              <w:spacing w:line="520" w:lineRule="exact"/>
              <w:jc w:val="center"/>
              <w:rPr>
                <w:rFonts w:hint="eastAsia" w:ascii="仿宋_GB2312" w:eastAsia="仿宋_GB2312"/>
                <w:sz w:val="28"/>
                <w:szCs w:val="28"/>
              </w:rPr>
            </w:pPr>
            <w:r>
              <w:rPr>
                <w:rFonts w:hint="eastAsia" w:ascii="仿宋_GB2312" w:eastAsia="仿宋_GB2312"/>
                <w:sz w:val="28"/>
                <w:szCs w:val="28"/>
                <w:lang w:val="en-US" w:eastAsia="zh-CN"/>
              </w:rPr>
              <w:t>100</w:t>
            </w:r>
          </w:p>
        </w:tc>
        <w:tc>
          <w:tcPr>
            <w:tcW w:w="1770" w:type="dxa"/>
            <w:tcBorders>
              <w:top w:val="single" w:color="auto" w:sz="4" w:space="0"/>
              <w:left w:val="single" w:color="auto" w:sz="4" w:space="0"/>
              <w:bottom w:val="single" w:color="auto" w:sz="4" w:space="0"/>
              <w:right w:val="single" w:color="auto" w:sz="4" w:space="0"/>
            </w:tcBorders>
            <w:vAlign w:val="center"/>
          </w:tcPr>
          <w:p w14:paraId="15D28912">
            <w:pPr>
              <w:widowControl/>
              <w:jc w:val="left"/>
              <w:rPr>
                <w:rFonts w:hint="eastAsia" w:ascii="仿宋_GB2312" w:eastAsia="仿宋_GB2312"/>
                <w:sz w:val="28"/>
                <w:szCs w:val="28"/>
              </w:rPr>
            </w:pPr>
            <w:r>
              <w:rPr>
                <w:rFonts w:hint="eastAsia" w:ascii="仿宋_GB2312" w:hAnsi="仿宋" w:eastAsia="仿宋_GB2312" w:cs="Times New Roman"/>
                <w:sz w:val="28"/>
                <w:szCs w:val="28"/>
                <w:lang w:val="en-US" w:eastAsia="zh-CN"/>
              </w:rPr>
              <w:t>%</w:t>
            </w:r>
          </w:p>
        </w:tc>
        <w:tc>
          <w:tcPr>
            <w:tcW w:w="2329" w:type="dxa"/>
            <w:tcBorders>
              <w:top w:val="single" w:color="auto" w:sz="4" w:space="0"/>
              <w:left w:val="single" w:color="auto" w:sz="4" w:space="0"/>
              <w:bottom w:val="single" w:color="auto" w:sz="4" w:space="0"/>
              <w:right w:val="single" w:color="auto" w:sz="4" w:space="0"/>
            </w:tcBorders>
            <w:vAlign w:val="center"/>
          </w:tcPr>
          <w:p w14:paraId="44731C8B">
            <w:pPr>
              <w:widowControl/>
              <w:jc w:val="left"/>
              <w:rPr>
                <w:rFonts w:hint="eastAsia" w:ascii="仿宋_GB2312" w:eastAsia="仿宋_GB2312"/>
                <w:sz w:val="28"/>
                <w:szCs w:val="28"/>
              </w:rPr>
            </w:pPr>
            <w:r>
              <w:rPr>
                <w:rFonts w:hint="eastAsia" w:ascii="仿宋_GB2312" w:hAnsi="仿宋" w:eastAsia="仿宋_GB2312" w:cs="Times New Roman"/>
                <w:sz w:val="28"/>
                <w:szCs w:val="28"/>
                <w:lang w:val="en-US" w:eastAsia="zh-CN"/>
              </w:rPr>
              <w:t>10%</w:t>
            </w:r>
          </w:p>
        </w:tc>
      </w:tr>
      <w:tr w14:paraId="3C578841">
        <w:tblPrEx>
          <w:tblCellMar>
            <w:top w:w="0" w:type="dxa"/>
            <w:left w:w="108" w:type="dxa"/>
            <w:bottom w:w="0" w:type="dxa"/>
            <w:right w:w="108" w:type="dxa"/>
          </w:tblCellMar>
        </w:tblPrEx>
        <w:trPr>
          <w:trHeight w:val="275" w:hRule="atLeast"/>
        </w:trPr>
        <w:tc>
          <w:tcPr>
            <w:tcW w:w="1327" w:type="dxa"/>
            <w:tcBorders>
              <w:top w:val="single" w:color="auto" w:sz="4" w:space="0"/>
              <w:left w:val="single" w:color="auto" w:sz="4" w:space="0"/>
              <w:bottom w:val="single" w:color="auto" w:sz="4" w:space="0"/>
              <w:right w:val="single" w:color="auto" w:sz="4" w:space="0"/>
            </w:tcBorders>
            <w:vAlign w:val="center"/>
          </w:tcPr>
          <w:p w14:paraId="1F13E56F">
            <w:pPr>
              <w:spacing w:line="520" w:lineRule="exact"/>
              <w:jc w:val="center"/>
              <w:rPr>
                <w:rFonts w:hint="eastAsia" w:ascii="仿宋_GB2312" w:eastAsia="仿宋_GB2312"/>
                <w:sz w:val="28"/>
                <w:szCs w:val="28"/>
              </w:rPr>
            </w:pPr>
            <w:r>
              <w:rPr>
                <w:rFonts w:hint="eastAsia" w:ascii="仿宋_GB2312" w:eastAsia="仿宋_GB2312"/>
                <w:sz w:val="28"/>
                <w:szCs w:val="28"/>
              </w:rPr>
              <w:t>2</w:t>
            </w:r>
          </w:p>
        </w:tc>
        <w:tc>
          <w:tcPr>
            <w:tcW w:w="3870" w:type="dxa"/>
            <w:tcBorders>
              <w:top w:val="single" w:color="auto" w:sz="4" w:space="0"/>
              <w:left w:val="nil"/>
              <w:bottom w:val="single" w:color="auto" w:sz="4" w:space="0"/>
              <w:right w:val="single" w:color="auto" w:sz="4" w:space="0"/>
            </w:tcBorders>
            <w:vAlign w:val="center"/>
          </w:tcPr>
          <w:p w14:paraId="4F5F341F">
            <w:pPr>
              <w:widowControl/>
              <w:jc w:val="center"/>
              <w:rPr>
                <w:rFonts w:hint="eastAsia" w:ascii="仿宋_GB2312" w:eastAsia="仿宋_GB2312"/>
                <w:sz w:val="28"/>
                <w:szCs w:val="28"/>
              </w:rPr>
            </w:pPr>
            <w:r>
              <w:rPr>
                <w:rFonts w:hint="eastAsia" w:ascii="仿宋_GB2312" w:hAnsi="仿宋" w:eastAsia="仿宋_GB2312" w:cs="Times New Roman"/>
                <w:sz w:val="28"/>
                <w:szCs w:val="28"/>
                <w:highlight w:val="none"/>
              </w:rPr>
              <w:t>依据风景名胜区条例相关规定，补齐片区基础设施配套，落实生态资源管护与环境管控</w:t>
            </w:r>
            <w:r>
              <w:rPr>
                <w:rFonts w:hint="eastAsia" w:ascii="仿宋_GB2312" w:hAnsi="仿宋" w:eastAsia="仿宋_GB2312" w:cs="Times New Roman"/>
                <w:sz w:val="28"/>
                <w:szCs w:val="28"/>
                <w:highlight w:val="none"/>
                <w:lang w:eastAsia="zh-CN"/>
              </w:rPr>
              <w:t>要求</w:t>
            </w:r>
            <w:r>
              <w:rPr>
                <w:rFonts w:hint="eastAsia" w:ascii="仿宋_GB2312" w:hAnsi="仿宋" w:eastAsia="仿宋_GB2312" w:cs="Times New Roman"/>
                <w:sz w:val="28"/>
                <w:szCs w:val="28"/>
                <w:highlight w:val="none"/>
              </w:rPr>
              <w:t>，科学指引潭柘戒台风景名胜区资源保护</w:t>
            </w:r>
            <w:r>
              <w:rPr>
                <w:rFonts w:hint="eastAsia" w:ascii="仿宋_GB2312" w:hAnsi="仿宋" w:eastAsia="仿宋_GB2312" w:cs="Times New Roman"/>
                <w:sz w:val="28"/>
                <w:szCs w:val="28"/>
                <w:highlight w:val="none"/>
                <w:lang w:eastAsia="zh-CN"/>
              </w:rPr>
              <w:t>、利用、管理</w:t>
            </w:r>
            <w:r>
              <w:rPr>
                <w:rFonts w:hint="eastAsia" w:ascii="仿宋_GB2312" w:hAnsi="仿宋" w:eastAsia="仿宋_GB2312" w:cs="Times New Roman"/>
                <w:sz w:val="28"/>
                <w:szCs w:val="28"/>
                <w:highlight w:val="none"/>
              </w:rPr>
              <w:t>及高质量发展。</w:t>
            </w:r>
          </w:p>
        </w:tc>
        <w:tc>
          <w:tcPr>
            <w:tcW w:w="1890" w:type="dxa"/>
            <w:tcBorders>
              <w:top w:val="single" w:color="auto" w:sz="4" w:space="0"/>
              <w:left w:val="nil"/>
              <w:bottom w:val="single" w:color="auto" w:sz="4" w:space="0"/>
              <w:right w:val="single" w:color="auto" w:sz="4" w:space="0"/>
            </w:tcBorders>
            <w:vAlign w:val="center"/>
          </w:tcPr>
          <w:p w14:paraId="24F4AC3C">
            <w:pPr>
              <w:widowControl/>
              <w:jc w:val="center"/>
              <w:rPr>
                <w:rFonts w:hint="eastAsia" w:ascii="仿宋_GB2312" w:eastAsia="仿宋_GB2312"/>
                <w:sz w:val="28"/>
                <w:szCs w:val="28"/>
              </w:rPr>
            </w:pPr>
            <w:r>
              <w:rPr>
                <w:rFonts w:hint="eastAsia" w:ascii="仿宋_GB2312" w:hAnsi="仿宋" w:eastAsia="仿宋_GB2312" w:cs="Times New Roman"/>
                <w:sz w:val="28"/>
                <w:szCs w:val="28"/>
              </w:rPr>
              <w:t>效益指标-社会效益</w:t>
            </w:r>
          </w:p>
        </w:tc>
        <w:tc>
          <w:tcPr>
            <w:tcW w:w="3600" w:type="dxa"/>
            <w:tcBorders>
              <w:top w:val="single" w:color="auto" w:sz="4" w:space="0"/>
              <w:left w:val="nil"/>
              <w:bottom w:val="single" w:color="auto" w:sz="4" w:space="0"/>
              <w:right w:val="single" w:color="auto" w:sz="4" w:space="0"/>
            </w:tcBorders>
            <w:vAlign w:val="center"/>
          </w:tcPr>
          <w:p w14:paraId="25B98E34">
            <w:pPr>
              <w:widowControl/>
              <w:jc w:val="center"/>
              <w:rPr>
                <w:rFonts w:hint="eastAsia" w:ascii="仿宋_GB2312" w:eastAsia="仿宋_GB2312"/>
                <w:sz w:val="28"/>
                <w:szCs w:val="28"/>
              </w:rPr>
            </w:pPr>
            <w:r>
              <w:rPr>
                <w:rFonts w:hint="eastAsia" w:ascii="仿宋_GB2312" w:hAnsi="仿宋" w:eastAsia="仿宋_GB2312" w:cs="Times New Roman"/>
                <w:sz w:val="28"/>
                <w:szCs w:val="28"/>
                <w:highlight w:val="none"/>
              </w:rPr>
              <w:t>依据风景名胜区条例相关规定，补齐片区基础设施配套，落实生态资源管护与环境管控</w:t>
            </w:r>
            <w:r>
              <w:rPr>
                <w:rFonts w:hint="eastAsia" w:ascii="仿宋_GB2312" w:hAnsi="仿宋" w:eastAsia="仿宋_GB2312" w:cs="Times New Roman"/>
                <w:sz w:val="28"/>
                <w:szCs w:val="28"/>
                <w:highlight w:val="none"/>
                <w:lang w:eastAsia="zh-CN"/>
              </w:rPr>
              <w:t>要求</w:t>
            </w:r>
            <w:r>
              <w:rPr>
                <w:rFonts w:hint="eastAsia" w:ascii="仿宋_GB2312" w:hAnsi="仿宋" w:eastAsia="仿宋_GB2312" w:cs="Times New Roman"/>
                <w:sz w:val="28"/>
                <w:szCs w:val="28"/>
                <w:highlight w:val="none"/>
              </w:rPr>
              <w:t>，科学指引潭柘戒台风景名胜区资源保护</w:t>
            </w:r>
            <w:r>
              <w:rPr>
                <w:rFonts w:hint="eastAsia" w:ascii="仿宋_GB2312" w:hAnsi="仿宋" w:eastAsia="仿宋_GB2312" w:cs="Times New Roman"/>
                <w:sz w:val="28"/>
                <w:szCs w:val="28"/>
                <w:highlight w:val="none"/>
                <w:lang w:eastAsia="zh-CN"/>
              </w:rPr>
              <w:t>、利用、管理</w:t>
            </w:r>
            <w:r>
              <w:rPr>
                <w:rFonts w:hint="eastAsia" w:ascii="仿宋_GB2312" w:hAnsi="仿宋" w:eastAsia="仿宋_GB2312" w:cs="Times New Roman"/>
                <w:sz w:val="28"/>
                <w:szCs w:val="28"/>
                <w:highlight w:val="none"/>
              </w:rPr>
              <w:t>及高质量发展。</w:t>
            </w:r>
          </w:p>
        </w:tc>
        <w:tc>
          <w:tcPr>
            <w:tcW w:w="1770" w:type="dxa"/>
            <w:tcBorders>
              <w:top w:val="single" w:color="auto" w:sz="4" w:space="0"/>
              <w:left w:val="nil"/>
              <w:bottom w:val="single" w:color="auto" w:sz="4" w:space="0"/>
              <w:right w:val="single" w:color="auto" w:sz="4" w:space="0"/>
            </w:tcBorders>
            <w:vAlign w:val="center"/>
          </w:tcPr>
          <w:p w14:paraId="6427959E">
            <w:pPr>
              <w:widowControl/>
              <w:jc w:val="left"/>
              <w:rPr>
                <w:rFonts w:hint="eastAsia" w:ascii="仿宋_GB2312" w:eastAsia="仿宋_GB2312"/>
                <w:sz w:val="28"/>
                <w:szCs w:val="28"/>
              </w:rPr>
            </w:pPr>
            <w:r>
              <w:rPr>
                <w:rFonts w:hint="eastAsia" w:ascii="仿宋_GB2312" w:hAnsi="仿宋" w:eastAsia="仿宋_GB2312" w:cs="Times New Roman"/>
                <w:sz w:val="28"/>
                <w:szCs w:val="28"/>
                <w:lang w:eastAsia="zh-CN"/>
              </w:rPr>
              <w:t>定性</w:t>
            </w:r>
          </w:p>
        </w:tc>
        <w:tc>
          <w:tcPr>
            <w:tcW w:w="2329" w:type="dxa"/>
            <w:tcBorders>
              <w:top w:val="single" w:color="auto" w:sz="4" w:space="0"/>
              <w:left w:val="nil"/>
              <w:bottom w:val="single" w:color="auto" w:sz="4" w:space="0"/>
              <w:right w:val="single" w:color="auto" w:sz="4" w:space="0"/>
            </w:tcBorders>
            <w:vAlign w:val="center"/>
          </w:tcPr>
          <w:p w14:paraId="4BA1E8F7">
            <w:pPr>
              <w:widowControl/>
              <w:jc w:val="left"/>
              <w:rPr>
                <w:rFonts w:hint="eastAsia" w:ascii="仿宋_GB2312" w:eastAsia="仿宋_GB2312"/>
                <w:sz w:val="28"/>
                <w:szCs w:val="28"/>
              </w:rPr>
            </w:pPr>
            <w:r>
              <w:rPr>
                <w:rFonts w:hint="eastAsia" w:ascii="仿宋_GB2312" w:hAnsi="仿宋" w:eastAsia="仿宋_GB2312" w:cs="Times New Roman"/>
                <w:sz w:val="28"/>
                <w:szCs w:val="28"/>
                <w:lang w:val="en-US" w:eastAsia="zh-CN"/>
              </w:rPr>
              <w:t>10%</w:t>
            </w:r>
          </w:p>
        </w:tc>
      </w:tr>
      <w:tr w14:paraId="5CF0A5D8">
        <w:tblPrEx>
          <w:tblCellMar>
            <w:top w:w="0" w:type="dxa"/>
            <w:left w:w="108" w:type="dxa"/>
            <w:bottom w:w="0" w:type="dxa"/>
            <w:right w:w="108" w:type="dxa"/>
          </w:tblCellMar>
        </w:tblPrEx>
        <w:trPr>
          <w:trHeight w:val="275" w:hRule="atLeast"/>
        </w:trPr>
        <w:tc>
          <w:tcPr>
            <w:tcW w:w="1327" w:type="dxa"/>
            <w:tcBorders>
              <w:top w:val="single" w:color="auto" w:sz="4" w:space="0"/>
              <w:left w:val="single" w:color="auto" w:sz="4" w:space="0"/>
              <w:bottom w:val="single" w:color="auto" w:sz="4" w:space="0"/>
              <w:right w:val="single" w:color="auto" w:sz="4" w:space="0"/>
            </w:tcBorders>
            <w:vAlign w:val="center"/>
          </w:tcPr>
          <w:p w14:paraId="5C9FF0FB">
            <w:pPr>
              <w:spacing w:line="520" w:lineRule="exact"/>
              <w:jc w:val="center"/>
              <w:rPr>
                <w:rFonts w:hint="eastAsia" w:ascii="仿宋_GB2312" w:eastAsia="仿宋_GB2312"/>
                <w:sz w:val="28"/>
                <w:szCs w:val="28"/>
              </w:rPr>
            </w:pPr>
            <w:r>
              <w:rPr>
                <w:rFonts w:hint="eastAsia" w:ascii="仿宋_GB2312" w:eastAsia="仿宋_GB2312"/>
                <w:sz w:val="28"/>
                <w:szCs w:val="28"/>
              </w:rPr>
              <w:t>3</w:t>
            </w:r>
          </w:p>
        </w:tc>
        <w:tc>
          <w:tcPr>
            <w:tcW w:w="3870" w:type="dxa"/>
            <w:tcBorders>
              <w:top w:val="single" w:color="auto" w:sz="4" w:space="0"/>
              <w:left w:val="single" w:color="auto" w:sz="4" w:space="0"/>
              <w:bottom w:val="single" w:color="auto" w:sz="4" w:space="0"/>
              <w:right w:val="single" w:color="auto" w:sz="4" w:space="0"/>
            </w:tcBorders>
            <w:vAlign w:val="center"/>
          </w:tcPr>
          <w:p w14:paraId="2DBA16FA">
            <w:pPr>
              <w:widowControl/>
              <w:jc w:val="center"/>
              <w:rPr>
                <w:rFonts w:hint="eastAsia" w:ascii="仿宋_GB2312" w:eastAsia="仿宋_GB2312"/>
                <w:sz w:val="28"/>
                <w:szCs w:val="28"/>
              </w:rPr>
            </w:pPr>
            <w:r>
              <w:rPr>
                <w:rFonts w:hint="eastAsia" w:ascii="仿宋_GB2312" w:hAnsi="仿宋" w:eastAsia="仿宋_GB2312" w:cs="Times New Roman"/>
                <w:sz w:val="28"/>
                <w:szCs w:val="28"/>
              </w:rPr>
              <w:t>推进两寺景区管理办法、授权委托运营管理协议等落地实施</w:t>
            </w:r>
          </w:p>
        </w:tc>
        <w:tc>
          <w:tcPr>
            <w:tcW w:w="1890" w:type="dxa"/>
            <w:tcBorders>
              <w:top w:val="single" w:color="auto" w:sz="4" w:space="0"/>
              <w:left w:val="single" w:color="auto" w:sz="4" w:space="0"/>
              <w:bottom w:val="single" w:color="auto" w:sz="4" w:space="0"/>
              <w:right w:val="single" w:color="auto" w:sz="4" w:space="0"/>
            </w:tcBorders>
            <w:vAlign w:val="center"/>
          </w:tcPr>
          <w:p w14:paraId="11279A2B">
            <w:pPr>
              <w:widowControl/>
              <w:jc w:val="center"/>
              <w:rPr>
                <w:rFonts w:hint="eastAsia" w:ascii="仿宋_GB2312" w:eastAsia="仿宋_GB2312"/>
                <w:sz w:val="28"/>
                <w:szCs w:val="28"/>
              </w:rPr>
            </w:pPr>
            <w:r>
              <w:rPr>
                <w:rFonts w:hint="eastAsia" w:ascii="仿宋_GB2312" w:hAnsi="仿宋" w:eastAsia="仿宋_GB2312" w:cs="Times New Roman"/>
                <w:sz w:val="28"/>
                <w:szCs w:val="28"/>
              </w:rPr>
              <w:t>效益指标-可持续影响</w:t>
            </w:r>
          </w:p>
        </w:tc>
        <w:tc>
          <w:tcPr>
            <w:tcW w:w="3600" w:type="dxa"/>
            <w:tcBorders>
              <w:top w:val="single" w:color="auto" w:sz="4" w:space="0"/>
              <w:left w:val="single" w:color="auto" w:sz="4" w:space="0"/>
              <w:bottom w:val="single" w:color="auto" w:sz="4" w:space="0"/>
              <w:right w:val="single" w:color="auto" w:sz="4" w:space="0"/>
            </w:tcBorders>
            <w:vAlign w:val="center"/>
          </w:tcPr>
          <w:p w14:paraId="62C97C1F">
            <w:pPr>
              <w:widowControl/>
              <w:jc w:val="center"/>
              <w:rPr>
                <w:rFonts w:hint="eastAsia" w:ascii="仿宋_GB2312" w:eastAsia="仿宋_GB2312"/>
                <w:sz w:val="28"/>
                <w:szCs w:val="28"/>
              </w:rPr>
            </w:pPr>
            <w:r>
              <w:rPr>
                <w:rFonts w:hint="eastAsia" w:ascii="仿宋_GB2312" w:hAnsi="仿宋" w:eastAsia="仿宋_GB2312" w:cs="Times New Roman"/>
                <w:sz w:val="28"/>
                <w:szCs w:val="28"/>
              </w:rPr>
              <w:t>推进两寺景区管理办法、授权委托运营管理协议等落地实施</w:t>
            </w:r>
          </w:p>
        </w:tc>
        <w:tc>
          <w:tcPr>
            <w:tcW w:w="1770" w:type="dxa"/>
            <w:tcBorders>
              <w:top w:val="single" w:color="auto" w:sz="4" w:space="0"/>
              <w:left w:val="single" w:color="auto" w:sz="4" w:space="0"/>
              <w:bottom w:val="single" w:color="auto" w:sz="4" w:space="0"/>
              <w:right w:val="single" w:color="auto" w:sz="4" w:space="0"/>
            </w:tcBorders>
            <w:vAlign w:val="center"/>
          </w:tcPr>
          <w:p w14:paraId="269BCDF2">
            <w:pPr>
              <w:widowControl/>
              <w:jc w:val="left"/>
              <w:rPr>
                <w:rFonts w:hint="eastAsia" w:ascii="仿宋_GB2312" w:eastAsia="仿宋_GB2312"/>
                <w:sz w:val="28"/>
                <w:szCs w:val="28"/>
              </w:rPr>
            </w:pPr>
            <w:r>
              <w:rPr>
                <w:rFonts w:hint="eastAsia" w:ascii="仿宋_GB2312" w:hAnsi="仿宋" w:eastAsia="仿宋_GB2312" w:cs="Times New Roman"/>
                <w:sz w:val="28"/>
                <w:szCs w:val="28"/>
                <w:lang w:eastAsia="zh-CN"/>
              </w:rPr>
              <w:t>定性</w:t>
            </w:r>
          </w:p>
        </w:tc>
        <w:tc>
          <w:tcPr>
            <w:tcW w:w="2329" w:type="dxa"/>
            <w:tcBorders>
              <w:top w:val="single" w:color="auto" w:sz="4" w:space="0"/>
              <w:left w:val="single" w:color="auto" w:sz="4" w:space="0"/>
              <w:bottom w:val="single" w:color="auto" w:sz="4" w:space="0"/>
              <w:right w:val="single" w:color="auto" w:sz="4" w:space="0"/>
            </w:tcBorders>
            <w:vAlign w:val="center"/>
          </w:tcPr>
          <w:p w14:paraId="316D4F6D">
            <w:pPr>
              <w:widowControl/>
              <w:jc w:val="left"/>
              <w:rPr>
                <w:rFonts w:hint="eastAsia" w:ascii="仿宋_GB2312" w:eastAsia="仿宋_GB2312"/>
                <w:sz w:val="28"/>
                <w:szCs w:val="28"/>
              </w:rPr>
            </w:pPr>
            <w:r>
              <w:rPr>
                <w:rFonts w:hint="eastAsia" w:ascii="仿宋_GB2312" w:hAnsi="仿宋" w:eastAsia="仿宋_GB2312" w:cs="Times New Roman"/>
                <w:sz w:val="28"/>
                <w:szCs w:val="28"/>
                <w:lang w:val="en-US" w:eastAsia="zh-CN"/>
              </w:rPr>
              <w:t>15%</w:t>
            </w:r>
          </w:p>
        </w:tc>
      </w:tr>
      <w:tr w14:paraId="2E7B4939">
        <w:tblPrEx>
          <w:tblCellMar>
            <w:top w:w="0" w:type="dxa"/>
            <w:left w:w="108" w:type="dxa"/>
            <w:bottom w:w="0" w:type="dxa"/>
            <w:right w:w="108" w:type="dxa"/>
          </w:tblCellMar>
        </w:tblPrEx>
        <w:trPr>
          <w:trHeight w:val="275" w:hRule="atLeast"/>
        </w:trPr>
        <w:tc>
          <w:tcPr>
            <w:tcW w:w="1327" w:type="dxa"/>
            <w:tcBorders>
              <w:top w:val="single" w:color="auto" w:sz="4" w:space="0"/>
              <w:left w:val="single" w:color="auto" w:sz="4" w:space="0"/>
              <w:bottom w:val="single" w:color="auto" w:sz="4" w:space="0"/>
              <w:right w:val="single" w:color="auto" w:sz="4" w:space="0"/>
            </w:tcBorders>
            <w:vAlign w:val="center"/>
          </w:tcPr>
          <w:p w14:paraId="43D81D81">
            <w:pPr>
              <w:widowControl/>
              <w:jc w:val="center"/>
              <w:rPr>
                <w:rFonts w:hint="eastAsia" w:ascii="仿宋_GB2312" w:eastAsia="仿宋_GB2312"/>
                <w:sz w:val="28"/>
                <w:szCs w:val="28"/>
              </w:rPr>
            </w:pPr>
            <w:r>
              <w:rPr>
                <w:rFonts w:hint="eastAsia" w:ascii="仿宋_GB2312" w:hAnsi="仿宋" w:eastAsia="仿宋_GB2312" w:cs="Times New Roman"/>
                <w:sz w:val="28"/>
                <w:szCs w:val="28"/>
                <w:lang w:val="en-US" w:eastAsia="zh-CN"/>
              </w:rPr>
              <w:t>4</w:t>
            </w:r>
          </w:p>
        </w:tc>
        <w:tc>
          <w:tcPr>
            <w:tcW w:w="3870" w:type="dxa"/>
            <w:tcBorders>
              <w:top w:val="single" w:color="auto" w:sz="4" w:space="0"/>
              <w:left w:val="single" w:color="auto" w:sz="4" w:space="0"/>
              <w:bottom w:val="single" w:color="auto" w:sz="4" w:space="0"/>
              <w:right w:val="single" w:color="auto" w:sz="4" w:space="0"/>
            </w:tcBorders>
            <w:vAlign w:val="center"/>
          </w:tcPr>
          <w:p w14:paraId="09C1A00E">
            <w:pPr>
              <w:widowControl/>
              <w:jc w:val="center"/>
              <w:rPr>
                <w:rFonts w:hint="eastAsia" w:ascii="仿宋_GB2312" w:eastAsia="仿宋_GB2312"/>
                <w:sz w:val="28"/>
                <w:szCs w:val="28"/>
              </w:rPr>
            </w:pPr>
            <w:r>
              <w:rPr>
                <w:rFonts w:hint="eastAsia" w:ascii="仿宋_GB2312" w:hAnsi="仿宋" w:eastAsia="仿宋_GB2312" w:cs="Times New Roman"/>
                <w:sz w:val="28"/>
                <w:szCs w:val="28"/>
              </w:rPr>
              <w:t>擦亮潭戒两寺金字招牌</w:t>
            </w:r>
          </w:p>
        </w:tc>
        <w:tc>
          <w:tcPr>
            <w:tcW w:w="1890" w:type="dxa"/>
            <w:tcBorders>
              <w:top w:val="single" w:color="auto" w:sz="4" w:space="0"/>
              <w:left w:val="single" w:color="auto" w:sz="4" w:space="0"/>
              <w:bottom w:val="single" w:color="auto" w:sz="4" w:space="0"/>
              <w:right w:val="single" w:color="auto" w:sz="4" w:space="0"/>
            </w:tcBorders>
            <w:vAlign w:val="center"/>
          </w:tcPr>
          <w:p w14:paraId="04DF360C">
            <w:pPr>
              <w:widowControl/>
              <w:jc w:val="center"/>
              <w:rPr>
                <w:rFonts w:hint="eastAsia" w:ascii="仿宋_GB2312" w:eastAsia="仿宋_GB2312"/>
                <w:sz w:val="28"/>
                <w:szCs w:val="28"/>
              </w:rPr>
            </w:pPr>
            <w:r>
              <w:rPr>
                <w:rFonts w:hint="eastAsia" w:ascii="仿宋_GB2312" w:hAnsi="仿宋" w:eastAsia="仿宋_GB2312" w:cs="Times New Roman"/>
                <w:sz w:val="28"/>
                <w:szCs w:val="28"/>
              </w:rPr>
              <w:t>效益指标-可持续影响</w:t>
            </w:r>
          </w:p>
        </w:tc>
        <w:tc>
          <w:tcPr>
            <w:tcW w:w="3600" w:type="dxa"/>
            <w:tcBorders>
              <w:top w:val="single" w:color="auto" w:sz="4" w:space="0"/>
              <w:left w:val="single" w:color="auto" w:sz="4" w:space="0"/>
              <w:bottom w:val="single" w:color="auto" w:sz="4" w:space="0"/>
              <w:right w:val="single" w:color="auto" w:sz="4" w:space="0"/>
            </w:tcBorders>
            <w:vAlign w:val="center"/>
          </w:tcPr>
          <w:p w14:paraId="1EEF36E6">
            <w:pPr>
              <w:widowControl/>
              <w:jc w:val="center"/>
              <w:rPr>
                <w:rFonts w:hint="eastAsia" w:ascii="仿宋_GB2312" w:eastAsia="仿宋_GB2312"/>
                <w:sz w:val="28"/>
                <w:szCs w:val="28"/>
              </w:rPr>
            </w:pPr>
            <w:r>
              <w:rPr>
                <w:rFonts w:hint="eastAsia" w:ascii="仿宋_GB2312" w:hAnsi="仿宋" w:eastAsia="仿宋_GB2312" w:cs="Times New Roman"/>
                <w:sz w:val="28"/>
                <w:szCs w:val="28"/>
              </w:rPr>
              <w:t>增强游客体验感和文化认同感，提升潭戒两寺的影响力和知名度</w:t>
            </w:r>
          </w:p>
        </w:tc>
        <w:tc>
          <w:tcPr>
            <w:tcW w:w="1770" w:type="dxa"/>
            <w:tcBorders>
              <w:top w:val="single" w:color="auto" w:sz="4" w:space="0"/>
              <w:left w:val="single" w:color="auto" w:sz="4" w:space="0"/>
              <w:bottom w:val="single" w:color="auto" w:sz="4" w:space="0"/>
              <w:right w:val="single" w:color="auto" w:sz="4" w:space="0"/>
            </w:tcBorders>
            <w:vAlign w:val="center"/>
          </w:tcPr>
          <w:p w14:paraId="62C0191A">
            <w:pPr>
              <w:widowControl/>
              <w:jc w:val="left"/>
              <w:rPr>
                <w:rFonts w:hint="eastAsia" w:ascii="仿宋_GB2312" w:eastAsia="仿宋_GB2312"/>
                <w:sz w:val="28"/>
                <w:szCs w:val="28"/>
              </w:rPr>
            </w:pPr>
            <w:r>
              <w:rPr>
                <w:rFonts w:hint="eastAsia" w:ascii="仿宋_GB2312" w:hAnsi="仿宋" w:eastAsia="仿宋_GB2312" w:cs="Times New Roman"/>
                <w:sz w:val="28"/>
                <w:szCs w:val="28"/>
                <w:lang w:eastAsia="zh-CN"/>
              </w:rPr>
              <w:t>定性</w:t>
            </w:r>
          </w:p>
        </w:tc>
        <w:tc>
          <w:tcPr>
            <w:tcW w:w="2329" w:type="dxa"/>
            <w:tcBorders>
              <w:top w:val="single" w:color="auto" w:sz="4" w:space="0"/>
              <w:left w:val="single" w:color="auto" w:sz="4" w:space="0"/>
              <w:bottom w:val="single" w:color="auto" w:sz="4" w:space="0"/>
              <w:right w:val="single" w:color="auto" w:sz="4" w:space="0"/>
            </w:tcBorders>
            <w:vAlign w:val="center"/>
          </w:tcPr>
          <w:p w14:paraId="0F0980F2">
            <w:pPr>
              <w:widowControl/>
              <w:jc w:val="left"/>
              <w:rPr>
                <w:rFonts w:hint="eastAsia" w:ascii="仿宋_GB2312" w:eastAsia="仿宋_GB2312"/>
                <w:sz w:val="28"/>
                <w:szCs w:val="28"/>
              </w:rPr>
            </w:pPr>
            <w:r>
              <w:rPr>
                <w:rFonts w:hint="eastAsia" w:ascii="仿宋_GB2312" w:hAnsi="仿宋" w:eastAsia="仿宋_GB2312" w:cs="Times New Roman"/>
                <w:sz w:val="28"/>
                <w:szCs w:val="28"/>
                <w:lang w:val="en-US" w:eastAsia="zh-CN"/>
              </w:rPr>
              <w:t>15%</w:t>
            </w:r>
          </w:p>
        </w:tc>
      </w:tr>
      <w:tr w14:paraId="58E84363">
        <w:tblPrEx>
          <w:tblCellMar>
            <w:top w:w="0" w:type="dxa"/>
            <w:left w:w="108" w:type="dxa"/>
            <w:bottom w:w="0" w:type="dxa"/>
            <w:right w:w="108" w:type="dxa"/>
          </w:tblCellMar>
        </w:tblPrEx>
        <w:trPr>
          <w:trHeight w:val="275" w:hRule="atLeast"/>
        </w:trPr>
        <w:tc>
          <w:tcPr>
            <w:tcW w:w="1327" w:type="dxa"/>
            <w:tcBorders>
              <w:top w:val="single" w:color="auto" w:sz="4" w:space="0"/>
              <w:left w:val="single" w:color="auto" w:sz="4" w:space="0"/>
              <w:bottom w:val="single" w:color="auto" w:sz="4" w:space="0"/>
              <w:right w:val="single" w:color="auto" w:sz="4" w:space="0"/>
            </w:tcBorders>
            <w:vAlign w:val="center"/>
          </w:tcPr>
          <w:p w14:paraId="319D31B6">
            <w:pPr>
              <w:widowControl/>
              <w:jc w:val="center"/>
              <w:rPr>
                <w:rFonts w:hint="eastAsia" w:ascii="仿宋_GB2312" w:eastAsia="仿宋_GB2312"/>
                <w:sz w:val="28"/>
                <w:szCs w:val="28"/>
              </w:rPr>
            </w:pPr>
            <w:r>
              <w:rPr>
                <w:rFonts w:hint="eastAsia" w:ascii="仿宋_GB2312" w:hAnsi="仿宋" w:eastAsia="仿宋_GB2312" w:cs="Times New Roman"/>
                <w:sz w:val="28"/>
                <w:szCs w:val="28"/>
                <w:lang w:val="en-US" w:eastAsia="zh-CN"/>
              </w:rPr>
              <w:t>5</w:t>
            </w:r>
          </w:p>
        </w:tc>
        <w:tc>
          <w:tcPr>
            <w:tcW w:w="3870" w:type="dxa"/>
            <w:tcBorders>
              <w:top w:val="single" w:color="auto" w:sz="4" w:space="0"/>
              <w:left w:val="single" w:color="auto" w:sz="4" w:space="0"/>
              <w:bottom w:val="single" w:color="auto" w:sz="4" w:space="0"/>
              <w:right w:val="single" w:color="auto" w:sz="4" w:space="0"/>
            </w:tcBorders>
            <w:vAlign w:val="center"/>
          </w:tcPr>
          <w:p w14:paraId="65786306">
            <w:pPr>
              <w:widowControl/>
              <w:jc w:val="center"/>
              <w:rPr>
                <w:rFonts w:hint="eastAsia" w:ascii="仿宋_GB2312" w:eastAsia="仿宋_GB2312"/>
                <w:sz w:val="28"/>
                <w:szCs w:val="28"/>
              </w:rPr>
            </w:pPr>
            <w:r>
              <w:rPr>
                <w:rFonts w:hint="eastAsia" w:ascii="仿宋_GB2312" w:hAnsi="仿宋" w:eastAsia="仿宋_GB2312" w:cs="Times New Roman"/>
                <w:sz w:val="28"/>
                <w:szCs w:val="28"/>
              </w:rPr>
              <w:t>落实好潭柘寺景区后山东西线防火步道整修及潭戒两寺基础设施提升等重点工作任务</w:t>
            </w:r>
          </w:p>
        </w:tc>
        <w:tc>
          <w:tcPr>
            <w:tcW w:w="1890" w:type="dxa"/>
            <w:tcBorders>
              <w:top w:val="single" w:color="auto" w:sz="4" w:space="0"/>
              <w:left w:val="single" w:color="auto" w:sz="4" w:space="0"/>
              <w:bottom w:val="single" w:color="auto" w:sz="4" w:space="0"/>
              <w:right w:val="single" w:color="auto" w:sz="4" w:space="0"/>
            </w:tcBorders>
            <w:vAlign w:val="center"/>
          </w:tcPr>
          <w:p w14:paraId="0A5616D2">
            <w:pPr>
              <w:widowControl/>
              <w:jc w:val="center"/>
              <w:rPr>
                <w:rFonts w:hint="eastAsia" w:ascii="仿宋_GB2312" w:eastAsia="仿宋_GB2312"/>
                <w:sz w:val="28"/>
                <w:szCs w:val="28"/>
              </w:rPr>
            </w:pPr>
            <w:r>
              <w:rPr>
                <w:rFonts w:hint="eastAsia" w:ascii="仿宋_GB2312" w:hAnsi="仿宋" w:eastAsia="仿宋_GB2312" w:cs="Times New Roman"/>
                <w:sz w:val="28"/>
                <w:szCs w:val="28"/>
              </w:rPr>
              <w:t>产出指标-时效指标</w:t>
            </w:r>
          </w:p>
        </w:tc>
        <w:tc>
          <w:tcPr>
            <w:tcW w:w="3600" w:type="dxa"/>
            <w:tcBorders>
              <w:top w:val="single" w:color="auto" w:sz="4" w:space="0"/>
              <w:left w:val="single" w:color="auto" w:sz="4" w:space="0"/>
              <w:bottom w:val="single" w:color="auto" w:sz="4" w:space="0"/>
              <w:right w:val="single" w:color="auto" w:sz="4" w:space="0"/>
            </w:tcBorders>
            <w:vAlign w:val="center"/>
          </w:tcPr>
          <w:p w14:paraId="78BF9EA8">
            <w:pPr>
              <w:widowControl/>
              <w:jc w:val="center"/>
              <w:rPr>
                <w:rFonts w:hint="eastAsia" w:ascii="仿宋_GB2312" w:eastAsia="仿宋_GB2312"/>
                <w:sz w:val="28"/>
                <w:szCs w:val="28"/>
              </w:rPr>
            </w:pPr>
            <w:r>
              <w:rPr>
                <w:rFonts w:hint="eastAsia" w:ascii="仿宋_GB2312" w:hAnsi="仿宋" w:eastAsia="仿宋_GB2312" w:cs="Times New Roman"/>
                <w:sz w:val="28"/>
                <w:szCs w:val="28"/>
              </w:rPr>
              <w:t>按计划工期实施</w:t>
            </w:r>
          </w:p>
        </w:tc>
        <w:tc>
          <w:tcPr>
            <w:tcW w:w="1770" w:type="dxa"/>
            <w:tcBorders>
              <w:top w:val="single" w:color="auto" w:sz="4" w:space="0"/>
              <w:left w:val="single" w:color="auto" w:sz="4" w:space="0"/>
              <w:bottom w:val="single" w:color="auto" w:sz="4" w:space="0"/>
              <w:right w:val="single" w:color="auto" w:sz="4" w:space="0"/>
            </w:tcBorders>
            <w:vAlign w:val="center"/>
          </w:tcPr>
          <w:p w14:paraId="276CC61D">
            <w:pPr>
              <w:widowControl/>
              <w:jc w:val="left"/>
              <w:rPr>
                <w:rFonts w:hint="eastAsia" w:ascii="仿宋_GB2312" w:eastAsia="仿宋_GB2312"/>
                <w:sz w:val="28"/>
                <w:szCs w:val="28"/>
              </w:rPr>
            </w:pPr>
            <w:r>
              <w:rPr>
                <w:rFonts w:hint="eastAsia" w:ascii="仿宋_GB2312" w:hAnsi="仿宋" w:eastAsia="仿宋_GB2312" w:cs="Times New Roman"/>
                <w:sz w:val="28"/>
                <w:szCs w:val="28"/>
                <w:lang w:eastAsia="zh-CN"/>
              </w:rPr>
              <w:t>定性</w:t>
            </w:r>
          </w:p>
        </w:tc>
        <w:tc>
          <w:tcPr>
            <w:tcW w:w="2329" w:type="dxa"/>
            <w:tcBorders>
              <w:top w:val="single" w:color="auto" w:sz="4" w:space="0"/>
              <w:left w:val="single" w:color="auto" w:sz="4" w:space="0"/>
              <w:bottom w:val="single" w:color="auto" w:sz="4" w:space="0"/>
              <w:right w:val="single" w:color="auto" w:sz="4" w:space="0"/>
            </w:tcBorders>
            <w:vAlign w:val="center"/>
          </w:tcPr>
          <w:p w14:paraId="37CE991D">
            <w:pPr>
              <w:widowControl/>
              <w:jc w:val="left"/>
              <w:rPr>
                <w:rFonts w:hint="eastAsia" w:ascii="仿宋_GB2312" w:eastAsia="仿宋_GB2312"/>
                <w:sz w:val="28"/>
                <w:szCs w:val="28"/>
              </w:rPr>
            </w:pPr>
            <w:r>
              <w:rPr>
                <w:rFonts w:hint="eastAsia" w:ascii="仿宋_GB2312" w:hAnsi="仿宋" w:eastAsia="仿宋_GB2312" w:cs="Times New Roman"/>
                <w:sz w:val="28"/>
                <w:szCs w:val="28"/>
                <w:lang w:val="en-US" w:eastAsia="zh-CN"/>
              </w:rPr>
              <w:t>15%</w:t>
            </w:r>
          </w:p>
        </w:tc>
      </w:tr>
      <w:tr w14:paraId="189A1EC6">
        <w:tblPrEx>
          <w:tblCellMar>
            <w:top w:w="0" w:type="dxa"/>
            <w:left w:w="108" w:type="dxa"/>
            <w:bottom w:w="0" w:type="dxa"/>
            <w:right w:w="108" w:type="dxa"/>
          </w:tblCellMar>
        </w:tblPrEx>
        <w:trPr>
          <w:trHeight w:val="275" w:hRule="atLeast"/>
        </w:trPr>
        <w:tc>
          <w:tcPr>
            <w:tcW w:w="1327" w:type="dxa"/>
            <w:tcBorders>
              <w:top w:val="single" w:color="auto" w:sz="4" w:space="0"/>
              <w:left w:val="single" w:color="auto" w:sz="4" w:space="0"/>
              <w:bottom w:val="single" w:color="auto" w:sz="4" w:space="0"/>
              <w:right w:val="single" w:color="auto" w:sz="4" w:space="0"/>
            </w:tcBorders>
            <w:vAlign w:val="center"/>
          </w:tcPr>
          <w:p w14:paraId="38608906">
            <w:pPr>
              <w:widowControl/>
              <w:jc w:val="center"/>
              <w:rPr>
                <w:rFonts w:hint="eastAsia" w:ascii="仿宋_GB2312" w:eastAsia="仿宋_GB2312"/>
                <w:sz w:val="28"/>
                <w:szCs w:val="28"/>
              </w:rPr>
            </w:pPr>
            <w:r>
              <w:rPr>
                <w:rFonts w:hint="eastAsia" w:ascii="仿宋_GB2312" w:hAnsi="仿宋" w:eastAsia="仿宋_GB2312" w:cs="Times New Roman"/>
                <w:sz w:val="28"/>
                <w:szCs w:val="28"/>
                <w:lang w:val="en-US" w:eastAsia="zh-CN"/>
              </w:rPr>
              <w:t>6</w:t>
            </w:r>
          </w:p>
        </w:tc>
        <w:tc>
          <w:tcPr>
            <w:tcW w:w="3870" w:type="dxa"/>
            <w:tcBorders>
              <w:top w:val="single" w:color="auto" w:sz="4" w:space="0"/>
              <w:left w:val="single" w:color="auto" w:sz="4" w:space="0"/>
              <w:bottom w:val="single" w:color="auto" w:sz="4" w:space="0"/>
              <w:right w:val="single" w:color="auto" w:sz="4" w:space="0"/>
            </w:tcBorders>
            <w:vAlign w:val="center"/>
          </w:tcPr>
          <w:p w14:paraId="5F076488">
            <w:pPr>
              <w:widowControl/>
              <w:jc w:val="center"/>
              <w:rPr>
                <w:rFonts w:hint="eastAsia" w:ascii="仿宋_GB2312" w:eastAsia="仿宋_GB2312"/>
                <w:sz w:val="28"/>
                <w:szCs w:val="28"/>
              </w:rPr>
            </w:pPr>
            <w:r>
              <w:rPr>
                <w:rFonts w:hint="eastAsia" w:ascii="仿宋_GB2312" w:hAnsi="仿宋" w:eastAsia="仿宋_GB2312" w:cs="Times New Roman"/>
                <w:sz w:val="28"/>
                <w:szCs w:val="28"/>
              </w:rPr>
              <w:t>保障两寺环境整洁、基础服务设施完善</w:t>
            </w:r>
          </w:p>
        </w:tc>
        <w:tc>
          <w:tcPr>
            <w:tcW w:w="1890" w:type="dxa"/>
            <w:tcBorders>
              <w:top w:val="single" w:color="auto" w:sz="4" w:space="0"/>
              <w:left w:val="single" w:color="auto" w:sz="4" w:space="0"/>
              <w:bottom w:val="single" w:color="auto" w:sz="4" w:space="0"/>
              <w:right w:val="single" w:color="auto" w:sz="4" w:space="0"/>
            </w:tcBorders>
            <w:vAlign w:val="center"/>
          </w:tcPr>
          <w:p w14:paraId="51ABF4E8">
            <w:pPr>
              <w:widowControl/>
              <w:jc w:val="center"/>
              <w:rPr>
                <w:rFonts w:hint="eastAsia" w:ascii="仿宋_GB2312" w:eastAsia="仿宋_GB2312"/>
                <w:sz w:val="28"/>
                <w:szCs w:val="28"/>
              </w:rPr>
            </w:pPr>
            <w:r>
              <w:rPr>
                <w:rFonts w:hint="eastAsia" w:ascii="仿宋_GB2312" w:hAnsi="仿宋" w:eastAsia="仿宋_GB2312" w:cs="Times New Roman"/>
                <w:sz w:val="28"/>
                <w:szCs w:val="28"/>
              </w:rPr>
              <w:t>效益指标-社会效益</w:t>
            </w:r>
          </w:p>
        </w:tc>
        <w:tc>
          <w:tcPr>
            <w:tcW w:w="3600" w:type="dxa"/>
            <w:tcBorders>
              <w:top w:val="single" w:color="auto" w:sz="4" w:space="0"/>
              <w:left w:val="single" w:color="auto" w:sz="4" w:space="0"/>
              <w:bottom w:val="single" w:color="auto" w:sz="4" w:space="0"/>
              <w:right w:val="single" w:color="auto" w:sz="4" w:space="0"/>
            </w:tcBorders>
            <w:vAlign w:val="center"/>
          </w:tcPr>
          <w:p w14:paraId="0D0F9BDF">
            <w:pPr>
              <w:widowControl/>
              <w:jc w:val="center"/>
              <w:rPr>
                <w:rFonts w:hint="eastAsia" w:ascii="仿宋_GB2312" w:eastAsia="仿宋_GB2312"/>
                <w:sz w:val="28"/>
                <w:szCs w:val="28"/>
              </w:rPr>
            </w:pPr>
            <w:r>
              <w:rPr>
                <w:rFonts w:hint="eastAsia" w:ascii="仿宋_GB2312" w:hAnsi="仿宋" w:eastAsia="仿宋_GB2312" w:cs="Times New Roman"/>
                <w:sz w:val="28"/>
                <w:szCs w:val="28"/>
              </w:rPr>
              <w:t>推进重点工程项目落地见效，不断提升景区品质</w:t>
            </w:r>
          </w:p>
        </w:tc>
        <w:tc>
          <w:tcPr>
            <w:tcW w:w="1770" w:type="dxa"/>
            <w:tcBorders>
              <w:top w:val="single" w:color="auto" w:sz="4" w:space="0"/>
              <w:left w:val="single" w:color="auto" w:sz="4" w:space="0"/>
              <w:bottom w:val="single" w:color="auto" w:sz="4" w:space="0"/>
              <w:right w:val="single" w:color="auto" w:sz="4" w:space="0"/>
            </w:tcBorders>
            <w:vAlign w:val="center"/>
          </w:tcPr>
          <w:p w14:paraId="7CB00953">
            <w:pPr>
              <w:widowControl/>
              <w:jc w:val="left"/>
              <w:rPr>
                <w:rFonts w:hint="eastAsia" w:ascii="仿宋_GB2312" w:eastAsia="仿宋_GB2312"/>
                <w:sz w:val="28"/>
                <w:szCs w:val="28"/>
              </w:rPr>
            </w:pPr>
            <w:r>
              <w:rPr>
                <w:rFonts w:hint="eastAsia" w:ascii="仿宋_GB2312" w:hAnsi="仿宋" w:eastAsia="仿宋_GB2312" w:cs="Times New Roman"/>
                <w:sz w:val="28"/>
                <w:szCs w:val="28"/>
                <w:lang w:eastAsia="zh-CN"/>
              </w:rPr>
              <w:t>定性</w:t>
            </w:r>
          </w:p>
        </w:tc>
        <w:tc>
          <w:tcPr>
            <w:tcW w:w="2329" w:type="dxa"/>
            <w:tcBorders>
              <w:top w:val="single" w:color="auto" w:sz="4" w:space="0"/>
              <w:left w:val="single" w:color="auto" w:sz="4" w:space="0"/>
              <w:bottom w:val="single" w:color="auto" w:sz="4" w:space="0"/>
              <w:right w:val="single" w:color="auto" w:sz="4" w:space="0"/>
            </w:tcBorders>
            <w:vAlign w:val="center"/>
          </w:tcPr>
          <w:p w14:paraId="10B47F12">
            <w:pPr>
              <w:widowControl/>
              <w:jc w:val="left"/>
              <w:rPr>
                <w:rFonts w:hint="eastAsia" w:ascii="仿宋_GB2312" w:eastAsia="仿宋_GB2312"/>
                <w:sz w:val="28"/>
                <w:szCs w:val="28"/>
              </w:rPr>
            </w:pPr>
            <w:r>
              <w:rPr>
                <w:rFonts w:hint="eastAsia" w:ascii="仿宋_GB2312" w:hAnsi="仿宋" w:eastAsia="仿宋_GB2312" w:cs="Times New Roman"/>
                <w:sz w:val="28"/>
                <w:szCs w:val="28"/>
                <w:lang w:val="en-US" w:eastAsia="zh-CN"/>
              </w:rPr>
              <w:t>15%</w:t>
            </w:r>
          </w:p>
        </w:tc>
      </w:tr>
      <w:tr w14:paraId="400F286F">
        <w:tblPrEx>
          <w:tblCellMar>
            <w:top w:w="0" w:type="dxa"/>
            <w:left w:w="108" w:type="dxa"/>
            <w:bottom w:w="0" w:type="dxa"/>
            <w:right w:w="108" w:type="dxa"/>
          </w:tblCellMar>
        </w:tblPrEx>
        <w:trPr>
          <w:trHeight w:val="275" w:hRule="atLeast"/>
        </w:trPr>
        <w:tc>
          <w:tcPr>
            <w:tcW w:w="1327" w:type="dxa"/>
            <w:tcBorders>
              <w:top w:val="single" w:color="auto" w:sz="4" w:space="0"/>
              <w:left w:val="single" w:color="auto" w:sz="4" w:space="0"/>
              <w:bottom w:val="single" w:color="auto" w:sz="4" w:space="0"/>
              <w:right w:val="single" w:color="auto" w:sz="4" w:space="0"/>
            </w:tcBorders>
            <w:vAlign w:val="center"/>
          </w:tcPr>
          <w:p w14:paraId="2BDA2B73">
            <w:pPr>
              <w:widowControl/>
              <w:jc w:val="center"/>
              <w:rPr>
                <w:rFonts w:hint="eastAsia" w:ascii="仿宋_GB2312" w:eastAsia="仿宋_GB2312"/>
                <w:sz w:val="28"/>
                <w:szCs w:val="28"/>
              </w:rPr>
            </w:pPr>
            <w:r>
              <w:rPr>
                <w:rFonts w:hint="eastAsia" w:ascii="仿宋_GB2312" w:hAnsi="仿宋" w:eastAsia="仿宋_GB2312" w:cs="Times New Roman"/>
                <w:sz w:val="28"/>
                <w:szCs w:val="28"/>
                <w:lang w:val="en-US" w:eastAsia="zh-CN"/>
              </w:rPr>
              <w:t>7</w:t>
            </w:r>
          </w:p>
        </w:tc>
        <w:tc>
          <w:tcPr>
            <w:tcW w:w="3870" w:type="dxa"/>
            <w:tcBorders>
              <w:top w:val="single" w:color="auto" w:sz="4" w:space="0"/>
              <w:left w:val="single" w:color="auto" w:sz="4" w:space="0"/>
              <w:bottom w:val="single" w:color="auto" w:sz="4" w:space="0"/>
              <w:right w:val="single" w:color="auto" w:sz="4" w:space="0"/>
            </w:tcBorders>
            <w:vAlign w:val="center"/>
          </w:tcPr>
          <w:p w14:paraId="3124F813">
            <w:pPr>
              <w:widowControl/>
              <w:jc w:val="center"/>
              <w:rPr>
                <w:rFonts w:hint="eastAsia" w:ascii="仿宋_GB2312" w:eastAsia="仿宋_GB2312"/>
                <w:sz w:val="28"/>
                <w:szCs w:val="28"/>
              </w:rPr>
            </w:pPr>
            <w:r>
              <w:rPr>
                <w:rFonts w:hint="eastAsia" w:ascii="仿宋_GB2312" w:hAnsi="仿宋" w:eastAsia="仿宋_GB2312" w:cs="Times New Roman"/>
                <w:sz w:val="28"/>
                <w:szCs w:val="28"/>
              </w:rPr>
              <w:t>年度支出不超过预算</w:t>
            </w:r>
          </w:p>
        </w:tc>
        <w:tc>
          <w:tcPr>
            <w:tcW w:w="1890" w:type="dxa"/>
            <w:tcBorders>
              <w:top w:val="single" w:color="auto" w:sz="4" w:space="0"/>
              <w:left w:val="single" w:color="auto" w:sz="4" w:space="0"/>
              <w:bottom w:val="single" w:color="auto" w:sz="4" w:space="0"/>
              <w:right w:val="single" w:color="auto" w:sz="4" w:space="0"/>
            </w:tcBorders>
            <w:vAlign w:val="center"/>
          </w:tcPr>
          <w:p w14:paraId="11DE6365">
            <w:pPr>
              <w:widowControl/>
              <w:jc w:val="center"/>
              <w:rPr>
                <w:rFonts w:hint="eastAsia" w:ascii="仿宋_GB2312" w:eastAsia="仿宋_GB2312"/>
                <w:sz w:val="28"/>
                <w:szCs w:val="28"/>
              </w:rPr>
            </w:pPr>
            <w:r>
              <w:rPr>
                <w:rFonts w:hint="eastAsia" w:ascii="仿宋_GB2312" w:hAnsi="仿宋" w:eastAsia="仿宋_GB2312" w:cs="Times New Roman"/>
                <w:sz w:val="28"/>
                <w:szCs w:val="28"/>
                <w:highlight w:val="none"/>
              </w:rPr>
              <w:t>产出指标-成本指标</w:t>
            </w:r>
          </w:p>
        </w:tc>
        <w:tc>
          <w:tcPr>
            <w:tcW w:w="3600" w:type="dxa"/>
            <w:tcBorders>
              <w:top w:val="single" w:color="auto" w:sz="4" w:space="0"/>
              <w:left w:val="single" w:color="auto" w:sz="4" w:space="0"/>
              <w:bottom w:val="single" w:color="auto" w:sz="4" w:space="0"/>
              <w:right w:val="single" w:color="auto" w:sz="4" w:space="0"/>
            </w:tcBorders>
            <w:vAlign w:val="center"/>
          </w:tcPr>
          <w:p w14:paraId="2CBB3E73">
            <w:pPr>
              <w:widowControl/>
              <w:jc w:val="center"/>
              <w:rPr>
                <w:rFonts w:hint="eastAsia" w:ascii="仿宋_GB2312" w:eastAsia="仿宋_GB2312"/>
                <w:sz w:val="28"/>
                <w:szCs w:val="28"/>
              </w:rPr>
            </w:pPr>
            <w:r>
              <w:rPr>
                <w:rFonts w:hint="eastAsia" w:ascii="仿宋_GB2312" w:hAnsi="仿宋" w:eastAsia="仿宋_GB2312" w:cs="Times New Roman"/>
                <w:sz w:val="28"/>
                <w:szCs w:val="28"/>
                <w:highlight w:val="none"/>
              </w:rPr>
              <w:t>13,223,205.30</w:t>
            </w:r>
          </w:p>
        </w:tc>
        <w:tc>
          <w:tcPr>
            <w:tcW w:w="1770" w:type="dxa"/>
            <w:tcBorders>
              <w:top w:val="single" w:color="auto" w:sz="4" w:space="0"/>
              <w:left w:val="single" w:color="auto" w:sz="4" w:space="0"/>
              <w:bottom w:val="single" w:color="auto" w:sz="4" w:space="0"/>
              <w:right w:val="single" w:color="auto" w:sz="4" w:space="0"/>
            </w:tcBorders>
            <w:vAlign w:val="center"/>
          </w:tcPr>
          <w:p w14:paraId="0452BD85">
            <w:pPr>
              <w:widowControl/>
              <w:jc w:val="left"/>
              <w:rPr>
                <w:rFonts w:hint="eastAsia" w:ascii="仿宋_GB2312" w:eastAsia="仿宋_GB2312"/>
                <w:sz w:val="28"/>
                <w:szCs w:val="28"/>
              </w:rPr>
            </w:pPr>
            <w:r>
              <w:rPr>
                <w:rFonts w:hint="eastAsia" w:ascii="仿宋_GB2312" w:hAnsi="仿宋" w:eastAsia="仿宋_GB2312" w:cs="Times New Roman"/>
                <w:sz w:val="28"/>
                <w:szCs w:val="28"/>
                <w:highlight w:val="none"/>
                <w:lang w:eastAsia="zh-CN"/>
              </w:rPr>
              <w:t>元</w:t>
            </w:r>
          </w:p>
        </w:tc>
        <w:tc>
          <w:tcPr>
            <w:tcW w:w="2329" w:type="dxa"/>
            <w:tcBorders>
              <w:top w:val="single" w:color="auto" w:sz="4" w:space="0"/>
              <w:left w:val="single" w:color="auto" w:sz="4" w:space="0"/>
              <w:bottom w:val="single" w:color="auto" w:sz="4" w:space="0"/>
              <w:right w:val="single" w:color="auto" w:sz="4" w:space="0"/>
            </w:tcBorders>
            <w:vAlign w:val="center"/>
          </w:tcPr>
          <w:p w14:paraId="38D8672B">
            <w:pPr>
              <w:widowControl/>
              <w:jc w:val="left"/>
              <w:rPr>
                <w:rFonts w:hint="eastAsia" w:ascii="仿宋_GB2312" w:eastAsia="仿宋_GB2312"/>
                <w:sz w:val="28"/>
                <w:szCs w:val="28"/>
              </w:rPr>
            </w:pPr>
            <w:r>
              <w:rPr>
                <w:rFonts w:hint="eastAsia" w:ascii="仿宋_GB2312" w:hAnsi="仿宋" w:eastAsia="仿宋_GB2312" w:cs="Times New Roman"/>
                <w:sz w:val="28"/>
                <w:szCs w:val="28"/>
                <w:highlight w:val="none"/>
                <w:lang w:val="en-US" w:eastAsia="zh-CN"/>
              </w:rPr>
              <w:t>20%</w:t>
            </w:r>
          </w:p>
        </w:tc>
      </w:tr>
    </w:tbl>
    <w:p w14:paraId="532B1F35">
      <w:pPr>
        <w:spacing w:line="580" w:lineRule="exact"/>
        <w:ind w:firstLine="641"/>
        <w:rPr>
          <w:rFonts w:hint="eastAsia" w:ascii="楷体_GB2312" w:hAnsi="Calibri" w:eastAsia="楷体_GB2312"/>
          <w:b/>
          <w:sz w:val="32"/>
          <w:szCs w:val="32"/>
        </w:rPr>
      </w:pPr>
      <w:bookmarkStart w:id="3" w:name="_Toc268005761"/>
      <w:r>
        <w:rPr>
          <w:rFonts w:hint="eastAsia" w:ascii="楷体_GB2312" w:eastAsia="楷体_GB2312"/>
          <w:b/>
          <w:sz w:val="32"/>
          <w:szCs w:val="32"/>
        </w:rPr>
        <w:t>(二)当年预算执行情况</w:t>
      </w:r>
      <w:bookmarkEnd w:id="3"/>
      <w:r>
        <w:rPr>
          <w:rFonts w:hint="eastAsia" w:ascii="仿宋_GB2312" w:eastAsia="仿宋_GB2312"/>
          <w:sz w:val="32"/>
          <w:szCs w:val="32"/>
        </w:rPr>
        <w:t xml:space="preserve">  </w:t>
      </w:r>
    </w:p>
    <w:p w14:paraId="0BB56967">
      <w:pPr>
        <w:spacing w:line="580" w:lineRule="exact"/>
        <w:ind w:firstLine="641"/>
        <w:rPr>
          <w:rFonts w:hint="eastAsia" w:ascii="仿宋_GB2312" w:eastAsia="仿宋_GB2312"/>
          <w:sz w:val="32"/>
          <w:szCs w:val="32"/>
        </w:rPr>
      </w:pPr>
      <w:r>
        <w:rPr>
          <w:rFonts w:hint="eastAsia" w:ascii="仿宋_GB2312" w:eastAsia="仿宋_GB2312"/>
          <w:sz w:val="32"/>
          <w:szCs w:val="32"/>
        </w:rPr>
        <w:t>2025年全年预算数31,419,140.62元，其中，基本支出预算数8,249,601.29元，项目支出预算数23</w:t>
      </w:r>
      <w:r>
        <w:rPr>
          <w:rFonts w:hint="eastAsia" w:ascii="仿宋_GB2312" w:eastAsia="仿宋_GB2312"/>
          <w:sz w:val="32"/>
          <w:szCs w:val="32"/>
          <w:lang w:val="en-US" w:eastAsia="zh-CN"/>
        </w:rPr>
        <w:t>,</w:t>
      </w:r>
      <w:r>
        <w:rPr>
          <w:rFonts w:hint="eastAsia" w:ascii="仿宋_GB2312" w:eastAsia="仿宋_GB2312"/>
          <w:sz w:val="32"/>
          <w:szCs w:val="32"/>
        </w:rPr>
        <w:t>169</w:t>
      </w:r>
      <w:r>
        <w:rPr>
          <w:rFonts w:hint="eastAsia" w:ascii="仿宋_GB2312" w:eastAsia="仿宋_GB2312"/>
          <w:sz w:val="32"/>
          <w:szCs w:val="32"/>
          <w:lang w:val="en-US" w:eastAsia="zh-CN"/>
        </w:rPr>
        <w:t>,</w:t>
      </w:r>
      <w:r>
        <w:rPr>
          <w:rFonts w:hint="eastAsia" w:ascii="仿宋_GB2312" w:eastAsia="仿宋_GB2312"/>
          <w:sz w:val="32"/>
          <w:szCs w:val="32"/>
        </w:rPr>
        <w:t xml:space="preserve">539.33元。全年支出32,553,954.62元，其中，基本支出8,249,601.29元，项目支出24,304,353.33元。预算执行率为103.6%。                               </w:t>
      </w:r>
    </w:p>
    <w:p w14:paraId="01823388">
      <w:pPr>
        <w:spacing w:line="580" w:lineRule="exact"/>
        <w:ind w:firstLine="641"/>
        <w:rPr>
          <w:rFonts w:hint="eastAsia" w:ascii="仿宋_GB2312" w:eastAsia="仿宋_GB2312"/>
          <w:sz w:val="32"/>
          <w:szCs w:val="32"/>
        </w:rPr>
      </w:pPr>
      <w:r>
        <w:rPr>
          <w:rFonts w:hint="eastAsia" w:ascii="仿宋_GB2312" w:eastAsia="仿宋_GB2312"/>
          <w:sz w:val="32"/>
          <w:szCs w:val="32"/>
        </w:rPr>
        <w:t>2025年年末结转结余资金总额为</w:t>
      </w:r>
      <w:r>
        <w:rPr>
          <w:rFonts w:hint="eastAsia" w:ascii="仿宋_GB2312" w:eastAsia="仿宋_GB2312"/>
          <w:sz w:val="32"/>
          <w:szCs w:val="32"/>
          <w:lang w:val="en-US" w:eastAsia="zh-CN"/>
        </w:rPr>
        <w:t>0</w:t>
      </w:r>
      <w:r>
        <w:rPr>
          <w:rFonts w:hint="eastAsia" w:ascii="仿宋_GB2312" w:eastAsia="仿宋_GB2312"/>
          <w:sz w:val="32"/>
          <w:szCs w:val="32"/>
        </w:rPr>
        <w:t>元，全年支出预算数为32,553,954.62元，资金结转结余率为</w:t>
      </w:r>
      <w:r>
        <w:rPr>
          <w:rFonts w:hint="eastAsia" w:ascii="仿宋_GB2312" w:eastAsia="仿宋_GB2312"/>
          <w:sz w:val="32"/>
          <w:szCs w:val="32"/>
          <w:lang w:val="en-US" w:eastAsia="zh-CN"/>
        </w:rPr>
        <w:t>0</w:t>
      </w:r>
      <w:r>
        <w:rPr>
          <w:rFonts w:hint="eastAsia" w:ascii="仿宋_GB2312" w:eastAsia="仿宋_GB2312"/>
          <w:sz w:val="32"/>
          <w:szCs w:val="32"/>
        </w:rPr>
        <w:t>%；2024年年末结转结余资金总额为</w:t>
      </w:r>
      <w:r>
        <w:rPr>
          <w:rFonts w:hint="eastAsia" w:ascii="仿宋_GB2312" w:eastAsia="仿宋_GB2312"/>
          <w:sz w:val="32"/>
          <w:szCs w:val="32"/>
          <w:lang w:val="en-US" w:eastAsia="zh-CN"/>
        </w:rPr>
        <w:t>0</w:t>
      </w:r>
      <w:r>
        <w:rPr>
          <w:rFonts w:hint="eastAsia" w:ascii="仿宋_GB2312" w:eastAsia="仿宋_GB2312"/>
          <w:sz w:val="32"/>
          <w:szCs w:val="32"/>
        </w:rPr>
        <w:t>元，全年支出预算数为 18,112,555.87 元，资金结转结余率为</w:t>
      </w:r>
      <w:r>
        <w:rPr>
          <w:rFonts w:hint="eastAsia" w:ascii="仿宋_GB2312" w:eastAsia="仿宋_GB2312"/>
          <w:sz w:val="32"/>
          <w:szCs w:val="32"/>
          <w:lang w:val="en-US" w:eastAsia="zh-CN"/>
        </w:rPr>
        <w:t>0</w:t>
      </w:r>
      <w:r>
        <w:rPr>
          <w:rFonts w:hint="eastAsia" w:ascii="仿宋_GB2312" w:eastAsia="仿宋_GB2312"/>
          <w:sz w:val="32"/>
          <w:szCs w:val="32"/>
        </w:rPr>
        <w:t>%；2025年度部门结转结余率较上一年下降了</w:t>
      </w:r>
      <w:r>
        <w:rPr>
          <w:rFonts w:hint="eastAsia" w:ascii="仿宋_GB2312" w:eastAsia="仿宋_GB2312"/>
          <w:sz w:val="32"/>
          <w:szCs w:val="32"/>
          <w:lang w:val="en-US" w:eastAsia="zh-CN"/>
        </w:rPr>
        <w:t>0</w:t>
      </w:r>
      <w:r>
        <w:rPr>
          <w:rFonts w:hint="eastAsia" w:ascii="仿宋_GB2312" w:eastAsia="仿宋_GB2312"/>
          <w:sz w:val="32"/>
          <w:szCs w:val="32"/>
        </w:rPr>
        <w:t>%。</w:t>
      </w:r>
    </w:p>
    <w:p w14:paraId="2A352063">
      <w:pPr>
        <w:spacing w:line="580" w:lineRule="exact"/>
        <w:ind w:firstLine="641"/>
        <w:rPr>
          <w:rFonts w:hint="eastAsia" w:ascii="楷体_GB2312" w:eastAsia="楷体_GB2312"/>
          <w:b/>
          <w:sz w:val="32"/>
          <w:szCs w:val="32"/>
        </w:rPr>
      </w:pPr>
      <w:r>
        <w:rPr>
          <w:rFonts w:hint="eastAsia" w:ascii="楷体_GB2312" w:eastAsia="楷体_GB2312"/>
          <w:b/>
          <w:sz w:val="32"/>
          <w:szCs w:val="32"/>
        </w:rPr>
        <w:t>（三）整体绩效目标实现情况</w:t>
      </w:r>
    </w:p>
    <w:p w14:paraId="3CC6CE1D">
      <w:pPr>
        <w:spacing w:line="580" w:lineRule="exact"/>
        <w:ind w:firstLine="641"/>
        <w:rPr>
          <w:rFonts w:hint="eastAsia" w:ascii="仿宋_GB2312" w:eastAsia="仿宋_GB2312"/>
          <w:sz w:val="32"/>
          <w:szCs w:val="32"/>
        </w:rPr>
      </w:pPr>
      <w:r>
        <w:rPr>
          <w:rFonts w:hint="eastAsia" w:ascii="仿宋_GB2312" w:eastAsia="仿宋_GB2312"/>
          <w:sz w:val="32"/>
          <w:szCs w:val="32"/>
        </w:rPr>
        <w:t>1.产出完成情况分析</w:t>
      </w:r>
    </w:p>
    <w:p w14:paraId="5F102920">
      <w:pPr>
        <w:spacing w:line="580" w:lineRule="exact"/>
        <w:ind w:firstLine="641"/>
        <w:rPr>
          <w:rFonts w:hint="eastAsia" w:ascii="仿宋_GB2312" w:eastAsia="仿宋_GB2312"/>
          <w:sz w:val="32"/>
          <w:szCs w:val="32"/>
        </w:rPr>
      </w:pPr>
      <w:r>
        <w:rPr>
          <w:rFonts w:hint="eastAsia" w:ascii="仿宋_GB2312" w:eastAsia="仿宋_GB2312"/>
          <w:sz w:val="32"/>
          <w:szCs w:val="32"/>
        </w:rPr>
        <w:t>（1）产出数量</w:t>
      </w:r>
    </w:p>
    <w:tbl>
      <w:tblPr>
        <w:tblStyle w:val="10"/>
        <w:tblW w:w="14359" w:type="dxa"/>
        <w:tblInd w:w="108" w:type="dxa"/>
        <w:tblLayout w:type="fixed"/>
        <w:tblCellMar>
          <w:top w:w="0" w:type="dxa"/>
          <w:left w:w="108" w:type="dxa"/>
          <w:bottom w:w="0" w:type="dxa"/>
          <w:right w:w="108" w:type="dxa"/>
        </w:tblCellMar>
      </w:tblPr>
      <w:tblGrid>
        <w:gridCol w:w="880"/>
        <w:gridCol w:w="4629"/>
        <w:gridCol w:w="2670"/>
        <w:gridCol w:w="3150"/>
        <w:gridCol w:w="3030"/>
      </w:tblGrid>
      <w:tr w14:paraId="0E83DCA0">
        <w:tblPrEx>
          <w:tblCellMar>
            <w:top w:w="0" w:type="dxa"/>
            <w:left w:w="108" w:type="dxa"/>
            <w:bottom w:w="0" w:type="dxa"/>
            <w:right w:w="108" w:type="dxa"/>
          </w:tblCellMar>
        </w:tblPrEx>
        <w:trPr>
          <w:trHeight w:val="510" w:hRule="atLeast"/>
        </w:trPr>
        <w:tc>
          <w:tcPr>
            <w:tcW w:w="880" w:type="dxa"/>
            <w:tcBorders>
              <w:top w:val="single" w:color="auto" w:sz="4" w:space="0"/>
              <w:left w:val="single" w:color="auto" w:sz="4" w:space="0"/>
              <w:bottom w:val="single" w:color="auto" w:sz="4" w:space="0"/>
              <w:right w:val="single" w:color="auto" w:sz="4" w:space="0"/>
            </w:tcBorders>
            <w:vAlign w:val="center"/>
          </w:tcPr>
          <w:p w14:paraId="281F117D">
            <w:pPr>
              <w:spacing w:line="520" w:lineRule="exact"/>
              <w:jc w:val="center"/>
              <w:rPr>
                <w:rFonts w:hint="eastAsia" w:ascii="仿宋_GB2312" w:eastAsia="仿宋_GB2312"/>
                <w:sz w:val="28"/>
                <w:szCs w:val="28"/>
              </w:rPr>
            </w:pPr>
            <w:r>
              <w:rPr>
                <w:rFonts w:hint="eastAsia" w:ascii="仿宋_GB2312" w:eastAsia="仿宋_GB2312"/>
                <w:sz w:val="28"/>
                <w:szCs w:val="28"/>
              </w:rPr>
              <w:t>序号</w:t>
            </w:r>
          </w:p>
        </w:tc>
        <w:tc>
          <w:tcPr>
            <w:tcW w:w="4629" w:type="dxa"/>
            <w:tcBorders>
              <w:top w:val="single" w:color="auto" w:sz="4" w:space="0"/>
              <w:left w:val="nil"/>
              <w:bottom w:val="single" w:color="auto" w:sz="4" w:space="0"/>
              <w:right w:val="single" w:color="auto" w:sz="4" w:space="0"/>
            </w:tcBorders>
            <w:vAlign w:val="center"/>
          </w:tcPr>
          <w:p w14:paraId="01B5F224">
            <w:pPr>
              <w:spacing w:line="520" w:lineRule="exact"/>
              <w:jc w:val="center"/>
              <w:rPr>
                <w:rFonts w:hint="eastAsia" w:ascii="仿宋_GB2312" w:eastAsia="仿宋_GB2312"/>
                <w:sz w:val="28"/>
                <w:szCs w:val="28"/>
              </w:rPr>
            </w:pPr>
            <w:r>
              <w:rPr>
                <w:rFonts w:hint="eastAsia" w:ascii="仿宋_GB2312" w:eastAsia="仿宋_GB2312"/>
                <w:sz w:val="28"/>
                <w:szCs w:val="28"/>
              </w:rPr>
              <w:t>三级指标</w:t>
            </w:r>
          </w:p>
        </w:tc>
        <w:tc>
          <w:tcPr>
            <w:tcW w:w="2670" w:type="dxa"/>
            <w:tcBorders>
              <w:top w:val="single" w:color="auto" w:sz="4" w:space="0"/>
              <w:left w:val="nil"/>
              <w:bottom w:val="single" w:color="auto" w:sz="4" w:space="0"/>
              <w:right w:val="single" w:color="auto" w:sz="4" w:space="0"/>
            </w:tcBorders>
            <w:vAlign w:val="center"/>
          </w:tcPr>
          <w:p w14:paraId="357B19CF">
            <w:pPr>
              <w:spacing w:line="520" w:lineRule="exact"/>
              <w:jc w:val="center"/>
              <w:rPr>
                <w:rFonts w:hint="eastAsia" w:ascii="仿宋_GB2312" w:eastAsia="仿宋_GB2312"/>
                <w:sz w:val="28"/>
                <w:szCs w:val="28"/>
              </w:rPr>
            </w:pPr>
            <w:r>
              <w:rPr>
                <w:rFonts w:hint="eastAsia" w:ascii="仿宋_GB2312" w:eastAsia="仿宋_GB2312"/>
                <w:sz w:val="28"/>
                <w:szCs w:val="28"/>
              </w:rPr>
              <w:t>计划值</w:t>
            </w:r>
          </w:p>
        </w:tc>
        <w:tc>
          <w:tcPr>
            <w:tcW w:w="3150" w:type="dxa"/>
            <w:tcBorders>
              <w:top w:val="single" w:color="auto" w:sz="4" w:space="0"/>
              <w:left w:val="nil"/>
              <w:bottom w:val="single" w:color="auto" w:sz="4" w:space="0"/>
              <w:right w:val="single" w:color="auto" w:sz="4" w:space="0"/>
            </w:tcBorders>
            <w:vAlign w:val="center"/>
          </w:tcPr>
          <w:p w14:paraId="4F26353E">
            <w:pPr>
              <w:spacing w:line="520" w:lineRule="exact"/>
              <w:jc w:val="center"/>
              <w:rPr>
                <w:rFonts w:hint="eastAsia" w:ascii="仿宋_GB2312" w:eastAsia="仿宋_GB2312"/>
                <w:sz w:val="28"/>
                <w:szCs w:val="28"/>
              </w:rPr>
            </w:pPr>
            <w:r>
              <w:rPr>
                <w:rFonts w:hint="eastAsia" w:ascii="仿宋_GB2312" w:eastAsia="仿宋_GB2312"/>
                <w:sz w:val="28"/>
                <w:szCs w:val="28"/>
              </w:rPr>
              <w:t>完成值</w:t>
            </w:r>
          </w:p>
        </w:tc>
        <w:tc>
          <w:tcPr>
            <w:tcW w:w="3030" w:type="dxa"/>
            <w:tcBorders>
              <w:top w:val="single" w:color="auto" w:sz="4" w:space="0"/>
              <w:left w:val="nil"/>
              <w:bottom w:val="single" w:color="auto" w:sz="4" w:space="0"/>
              <w:right w:val="single" w:color="auto" w:sz="4" w:space="0"/>
            </w:tcBorders>
            <w:vAlign w:val="center"/>
          </w:tcPr>
          <w:p w14:paraId="43928E14">
            <w:pPr>
              <w:spacing w:line="520" w:lineRule="exact"/>
              <w:jc w:val="center"/>
              <w:rPr>
                <w:rFonts w:hint="eastAsia" w:ascii="仿宋_GB2312" w:eastAsia="仿宋_GB2312"/>
                <w:sz w:val="28"/>
                <w:szCs w:val="28"/>
              </w:rPr>
            </w:pPr>
            <w:r>
              <w:rPr>
                <w:rFonts w:hint="eastAsia" w:ascii="仿宋_GB2312" w:eastAsia="仿宋_GB2312"/>
                <w:sz w:val="28"/>
                <w:szCs w:val="28"/>
              </w:rPr>
              <w:t>偏差原因</w:t>
            </w:r>
          </w:p>
        </w:tc>
      </w:tr>
      <w:tr w14:paraId="2EB57137">
        <w:tblPrEx>
          <w:tblCellMar>
            <w:top w:w="0" w:type="dxa"/>
            <w:left w:w="108" w:type="dxa"/>
            <w:bottom w:w="0" w:type="dxa"/>
            <w:right w:w="108" w:type="dxa"/>
          </w:tblCellMar>
        </w:tblPrEx>
        <w:trPr>
          <w:trHeight w:val="510" w:hRule="atLeast"/>
        </w:trPr>
        <w:tc>
          <w:tcPr>
            <w:tcW w:w="880" w:type="dxa"/>
            <w:tcBorders>
              <w:top w:val="single" w:color="auto" w:sz="4" w:space="0"/>
              <w:left w:val="single" w:color="auto" w:sz="4" w:space="0"/>
              <w:bottom w:val="single" w:color="auto" w:sz="4" w:space="0"/>
              <w:right w:val="single" w:color="auto" w:sz="4" w:space="0"/>
            </w:tcBorders>
            <w:vAlign w:val="center"/>
          </w:tcPr>
          <w:p w14:paraId="187CA649">
            <w:pPr>
              <w:widowControl/>
              <w:spacing w:line="520" w:lineRule="exact"/>
              <w:jc w:val="center"/>
              <w:rPr>
                <w:rFonts w:hint="eastAsia" w:ascii="仿宋_GB2312" w:eastAsia="仿宋_GB2312"/>
                <w:sz w:val="28"/>
                <w:szCs w:val="28"/>
              </w:rPr>
            </w:pPr>
            <w:r>
              <w:rPr>
                <w:rFonts w:ascii="仿宋_GB2312" w:hAnsi="宋体" w:eastAsia="仿宋_GB2312" w:cs="宋体"/>
                <w:color w:val="000000"/>
                <w:kern w:val="0"/>
                <w:sz w:val="28"/>
                <w:szCs w:val="28"/>
              </w:rPr>
              <w:t>1</w:t>
            </w:r>
          </w:p>
        </w:tc>
        <w:tc>
          <w:tcPr>
            <w:tcW w:w="4629" w:type="dxa"/>
            <w:tcBorders>
              <w:top w:val="single" w:color="auto" w:sz="4" w:space="0"/>
              <w:left w:val="single" w:color="auto" w:sz="4" w:space="0"/>
              <w:bottom w:val="single" w:color="auto" w:sz="4" w:space="0"/>
              <w:right w:val="single" w:color="auto" w:sz="4" w:space="0"/>
            </w:tcBorders>
            <w:vAlign w:val="center"/>
          </w:tcPr>
          <w:p w14:paraId="4D4BDE3F">
            <w:pPr>
              <w:widowControl/>
              <w:jc w:val="left"/>
              <w:rPr>
                <w:rFonts w:hint="eastAsia" w:ascii="仿宋_GB2312" w:eastAsia="仿宋_GB2312"/>
                <w:sz w:val="28"/>
                <w:szCs w:val="28"/>
              </w:rPr>
            </w:pPr>
            <w:r>
              <w:rPr>
                <w:rFonts w:hint="eastAsia" w:ascii="仿宋_GB2312" w:hAnsi="仿宋" w:eastAsia="仿宋_GB2312" w:cs="Times New Roman"/>
                <w:sz w:val="28"/>
                <w:szCs w:val="28"/>
              </w:rPr>
              <w:t>潭柘戒台风景名胜区总体规划编制工作成果验收合格率</w:t>
            </w:r>
          </w:p>
        </w:tc>
        <w:tc>
          <w:tcPr>
            <w:tcW w:w="2670" w:type="dxa"/>
            <w:tcBorders>
              <w:top w:val="single" w:color="auto" w:sz="4" w:space="0"/>
              <w:left w:val="single" w:color="auto" w:sz="4" w:space="0"/>
              <w:bottom w:val="single" w:color="auto" w:sz="4" w:space="0"/>
              <w:right w:val="single" w:color="auto" w:sz="4" w:space="0"/>
            </w:tcBorders>
            <w:vAlign w:val="center"/>
          </w:tcPr>
          <w:p w14:paraId="091C2E5A">
            <w:pPr>
              <w:widowControl/>
              <w:jc w:val="left"/>
              <w:rPr>
                <w:rFonts w:hint="eastAsia" w:ascii="仿宋_GB2312" w:eastAsia="仿宋_GB2312"/>
                <w:sz w:val="28"/>
                <w:szCs w:val="28"/>
              </w:rPr>
            </w:pPr>
            <w:r>
              <w:rPr>
                <w:rFonts w:hint="eastAsia" w:ascii="仿宋_GB2312" w:hAnsi="仿宋" w:eastAsia="仿宋_GB2312" w:cs="Times New Roman"/>
                <w:sz w:val="28"/>
                <w:szCs w:val="28"/>
                <w:lang w:val="en-US" w:eastAsia="zh-CN"/>
              </w:rPr>
              <w:t>100%</w:t>
            </w:r>
          </w:p>
        </w:tc>
        <w:tc>
          <w:tcPr>
            <w:tcW w:w="3150" w:type="dxa"/>
            <w:tcBorders>
              <w:top w:val="single" w:color="auto" w:sz="4" w:space="0"/>
              <w:left w:val="single" w:color="auto" w:sz="4" w:space="0"/>
              <w:bottom w:val="single" w:color="auto" w:sz="4" w:space="0"/>
              <w:right w:val="single" w:color="auto" w:sz="4" w:space="0"/>
            </w:tcBorders>
            <w:vAlign w:val="center"/>
          </w:tcPr>
          <w:p w14:paraId="4A7C945F">
            <w:pPr>
              <w:widowControl/>
              <w:jc w:val="left"/>
              <w:rPr>
                <w:rFonts w:hint="eastAsia" w:ascii="仿宋_GB2312" w:eastAsia="仿宋_GB2312"/>
                <w:sz w:val="28"/>
                <w:szCs w:val="28"/>
              </w:rPr>
            </w:pPr>
            <w:r>
              <w:rPr>
                <w:rFonts w:hint="eastAsia" w:ascii="仿宋_GB2312" w:hAnsi="仿宋" w:eastAsia="仿宋_GB2312" w:cs="Times New Roman"/>
                <w:sz w:val="28"/>
                <w:szCs w:val="28"/>
              </w:rPr>
              <w:t>　</w:t>
            </w:r>
            <w:r>
              <w:rPr>
                <w:rFonts w:hint="eastAsia" w:ascii="仿宋_GB2312" w:hAnsi="仿宋" w:eastAsia="仿宋_GB2312" w:cs="Times New Roman"/>
                <w:sz w:val="28"/>
                <w:szCs w:val="28"/>
                <w:lang w:val="en-US" w:eastAsia="zh-CN"/>
              </w:rPr>
              <w:t>100%</w:t>
            </w:r>
          </w:p>
        </w:tc>
        <w:tc>
          <w:tcPr>
            <w:tcW w:w="3030" w:type="dxa"/>
            <w:tcBorders>
              <w:top w:val="single" w:color="auto" w:sz="4" w:space="0"/>
              <w:left w:val="single" w:color="auto" w:sz="4" w:space="0"/>
              <w:bottom w:val="single" w:color="auto" w:sz="4" w:space="0"/>
              <w:right w:val="single" w:color="auto" w:sz="4" w:space="0"/>
            </w:tcBorders>
            <w:vAlign w:val="center"/>
          </w:tcPr>
          <w:p w14:paraId="66104418">
            <w:pPr>
              <w:widowControl/>
              <w:spacing w:line="520" w:lineRule="exact"/>
              <w:jc w:val="center"/>
              <w:rPr>
                <w:rFonts w:hint="eastAsia" w:ascii="仿宋_GB2312" w:eastAsia="仿宋_GB2312"/>
                <w:sz w:val="28"/>
                <w:szCs w:val="28"/>
              </w:rPr>
            </w:pPr>
            <w:r>
              <w:rPr>
                <w:rFonts w:hint="eastAsia" w:ascii="仿宋_GB2312" w:hAnsi="宋体" w:eastAsia="仿宋_GB2312" w:cs="宋体"/>
                <w:color w:val="000000"/>
                <w:kern w:val="0"/>
                <w:sz w:val="28"/>
                <w:szCs w:val="28"/>
                <w:lang w:val="en-US" w:eastAsia="zh-CN"/>
              </w:rPr>
              <w:t>无</w:t>
            </w:r>
            <w:r>
              <w:rPr>
                <w:rFonts w:hint="eastAsia" w:ascii="仿宋_GB2312" w:hAnsi="宋体" w:eastAsia="仿宋_GB2312" w:cs="宋体"/>
                <w:color w:val="000000"/>
                <w:kern w:val="0"/>
                <w:sz w:val="28"/>
                <w:szCs w:val="28"/>
              </w:rPr>
              <w:t>　</w:t>
            </w:r>
          </w:p>
        </w:tc>
      </w:tr>
    </w:tbl>
    <w:p w14:paraId="3C9615AC">
      <w:pPr>
        <w:spacing w:line="580" w:lineRule="exact"/>
        <w:ind w:firstLine="640"/>
        <w:rPr>
          <w:rFonts w:hint="eastAsia" w:ascii="仿宋_GB2312" w:eastAsia="仿宋_GB2312"/>
          <w:sz w:val="32"/>
          <w:szCs w:val="32"/>
        </w:rPr>
      </w:pPr>
      <w:r>
        <w:rPr>
          <w:rFonts w:hint="eastAsia" w:ascii="仿宋_GB2312" w:eastAsia="仿宋_GB2312"/>
          <w:sz w:val="32"/>
          <w:szCs w:val="32"/>
        </w:rPr>
        <w:t>（2）产出质量</w:t>
      </w:r>
    </w:p>
    <w:p w14:paraId="15A8F861">
      <w:pPr>
        <w:spacing w:line="580" w:lineRule="exact"/>
        <w:ind w:firstLine="640"/>
        <w:rPr>
          <w:rFonts w:hint="eastAsia"/>
        </w:rPr>
      </w:pPr>
      <w:r>
        <w:rPr>
          <w:rFonts w:hint="eastAsia" w:ascii="仿宋_GB2312" w:eastAsia="仿宋_GB2312"/>
          <w:sz w:val="32"/>
          <w:szCs w:val="32"/>
          <w:lang w:eastAsia="zh-CN"/>
        </w:rPr>
        <w:t>不涉及该指标。</w:t>
      </w:r>
    </w:p>
    <w:p w14:paraId="7D11233F">
      <w:pPr>
        <w:spacing w:line="580" w:lineRule="exact"/>
        <w:ind w:firstLine="640"/>
        <w:rPr>
          <w:rFonts w:hint="eastAsia" w:ascii="仿宋_GB2312" w:eastAsia="仿宋_GB2312"/>
          <w:sz w:val="32"/>
          <w:szCs w:val="32"/>
        </w:rPr>
      </w:pPr>
      <w:r>
        <w:rPr>
          <w:rFonts w:hint="eastAsia" w:ascii="仿宋_GB2312" w:eastAsia="仿宋_GB2312"/>
          <w:sz w:val="32"/>
          <w:szCs w:val="32"/>
        </w:rPr>
        <w:t>（3）产出进度</w:t>
      </w:r>
    </w:p>
    <w:tbl>
      <w:tblPr>
        <w:tblStyle w:val="10"/>
        <w:tblW w:w="14374" w:type="dxa"/>
        <w:tblInd w:w="108" w:type="dxa"/>
        <w:tblLayout w:type="fixed"/>
        <w:tblCellMar>
          <w:top w:w="0" w:type="dxa"/>
          <w:left w:w="108" w:type="dxa"/>
          <w:bottom w:w="0" w:type="dxa"/>
          <w:right w:w="108" w:type="dxa"/>
        </w:tblCellMar>
      </w:tblPr>
      <w:tblGrid>
        <w:gridCol w:w="800"/>
        <w:gridCol w:w="4679"/>
        <w:gridCol w:w="2685"/>
        <w:gridCol w:w="3165"/>
        <w:gridCol w:w="3045"/>
      </w:tblGrid>
      <w:tr w14:paraId="27AA45B9">
        <w:tblPrEx>
          <w:tblCellMar>
            <w:top w:w="0" w:type="dxa"/>
            <w:left w:w="108" w:type="dxa"/>
            <w:bottom w:w="0" w:type="dxa"/>
            <w:right w:w="108" w:type="dxa"/>
          </w:tblCellMar>
        </w:tblPrEx>
        <w:trPr>
          <w:trHeight w:val="510" w:hRule="atLeast"/>
        </w:trPr>
        <w:tc>
          <w:tcPr>
            <w:tcW w:w="800" w:type="dxa"/>
            <w:tcBorders>
              <w:top w:val="single" w:color="auto" w:sz="4" w:space="0"/>
              <w:left w:val="single" w:color="auto" w:sz="4" w:space="0"/>
              <w:bottom w:val="single" w:color="auto" w:sz="4" w:space="0"/>
              <w:right w:val="single" w:color="auto" w:sz="4" w:space="0"/>
            </w:tcBorders>
            <w:vAlign w:val="center"/>
          </w:tcPr>
          <w:p w14:paraId="4B1CA370">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序号</w:t>
            </w:r>
          </w:p>
        </w:tc>
        <w:tc>
          <w:tcPr>
            <w:tcW w:w="4679" w:type="dxa"/>
            <w:tcBorders>
              <w:top w:val="single" w:color="auto" w:sz="4" w:space="0"/>
              <w:left w:val="nil"/>
              <w:bottom w:val="single" w:color="auto" w:sz="4" w:space="0"/>
              <w:right w:val="single" w:color="auto" w:sz="4" w:space="0"/>
            </w:tcBorders>
            <w:vAlign w:val="center"/>
          </w:tcPr>
          <w:p w14:paraId="5A8A2FFA">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三级指标</w:t>
            </w:r>
          </w:p>
        </w:tc>
        <w:tc>
          <w:tcPr>
            <w:tcW w:w="2685" w:type="dxa"/>
            <w:tcBorders>
              <w:top w:val="single" w:color="auto" w:sz="4" w:space="0"/>
              <w:left w:val="nil"/>
              <w:bottom w:val="single" w:color="auto" w:sz="4" w:space="0"/>
              <w:right w:val="single" w:color="auto" w:sz="4" w:space="0"/>
            </w:tcBorders>
            <w:vAlign w:val="center"/>
          </w:tcPr>
          <w:p w14:paraId="12A175FD">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计划值</w:t>
            </w:r>
          </w:p>
        </w:tc>
        <w:tc>
          <w:tcPr>
            <w:tcW w:w="3165" w:type="dxa"/>
            <w:tcBorders>
              <w:top w:val="single" w:color="auto" w:sz="4" w:space="0"/>
              <w:left w:val="nil"/>
              <w:bottom w:val="single" w:color="auto" w:sz="4" w:space="0"/>
              <w:right w:val="single" w:color="auto" w:sz="4" w:space="0"/>
            </w:tcBorders>
            <w:vAlign w:val="center"/>
          </w:tcPr>
          <w:p w14:paraId="3ABA9662">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完成值</w:t>
            </w:r>
          </w:p>
        </w:tc>
        <w:tc>
          <w:tcPr>
            <w:tcW w:w="3045" w:type="dxa"/>
            <w:tcBorders>
              <w:top w:val="single" w:color="auto" w:sz="4" w:space="0"/>
              <w:left w:val="nil"/>
              <w:bottom w:val="single" w:color="auto" w:sz="4" w:space="0"/>
              <w:right w:val="single" w:color="auto" w:sz="4" w:space="0"/>
            </w:tcBorders>
            <w:vAlign w:val="center"/>
          </w:tcPr>
          <w:p w14:paraId="257C0C66">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偏差原因</w:t>
            </w:r>
          </w:p>
        </w:tc>
      </w:tr>
      <w:tr w14:paraId="5CB66387">
        <w:tblPrEx>
          <w:tblCellMar>
            <w:top w:w="0" w:type="dxa"/>
            <w:left w:w="108" w:type="dxa"/>
            <w:bottom w:w="0" w:type="dxa"/>
            <w:right w:w="108" w:type="dxa"/>
          </w:tblCellMar>
        </w:tblPrEx>
        <w:trPr>
          <w:trHeight w:val="510" w:hRule="atLeast"/>
        </w:trPr>
        <w:tc>
          <w:tcPr>
            <w:tcW w:w="800" w:type="dxa"/>
            <w:tcBorders>
              <w:top w:val="nil"/>
              <w:left w:val="single" w:color="auto" w:sz="4" w:space="0"/>
              <w:bottom w:val="single" w:color="auto" w:sz="4" w:space="0"/>
              <w:right w:val="single" w:color="auto" w:sz="4" w:space="0"/>
            </w:tcBorders>
            <w:vAlign w:val="center"/>
          </w:tcPr>
          <w:p w14:paraId="00AD2AAA">
            <w:pPr>
              <w:widowControl/>
              <w:spacing w:line="520" w:lineRule="exact"/>
              <w:jc w:val="center"/>
              <w:rPr>
                <w:rFonts w:hint="eastAsia" w:ascii="仿宋_GB2312" w:hAnsi="宋体" w:eastAsia="仿宋_GB2312" w:cs="宋体"/>
                <w:color w:val="000000"/>
                <w:kern w:val="0"/>
                <w:sz w:val="28"/>
                <w:szCs w:val="28"/>
                <w:lang w:eastAsia="zh-CN"/>
              </w:rPr>
            </w:pPr>
            <w:r>
              <w:rPr>
                <w:rFonts w:hint="eastAsia" w:ascii="仿宋_GB2312" w:hAnsi="宋体" w:eastAsia="仿宋_GB2312" w:cs="宋体"/>
                <w:color w:val="000000"/>
                <w:kern w:val="0"/>
                <w:sz w:val="28"/>
                <w:szCs w:val="28"/>
                <w:lang w:val="en-US" w:eastAsia="zh-CN"/>
              </w:rPr>
              <w:t>1</w:t>
            </w:r>
          </w:p>
        </w:tc>
        <w:tc>
          <w:tcPr>
            <w:tcW w:w="4679" w:type="dxa"/>
            <w:tcBorders>
              <w:top w:val="nil"/>
              <w:left w:val="nil"/>
              <w:bottom w:val="single" w:color="auto" w:sz="4" w:space="0"/>
              <w:right w:val="single" w:color="auto" w:sz="4" w:space="0"/>
            </w:tcBorders>
            <w:vAlign w:val="center"/>
          </w:tcPr>
          <w:p w14:paraId="28E804BA">
            <w:pPr>
              <w:widowControl/>
              <w:spacing w:line="520" w:lineRule="exact"/>
              <w:jc w:val="left"/>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落实好潭柘寺景区后山东西线防火步道整修及潭戒两寺基础设施提升等重点工作任务</w:t>
            </w:r>
          </w:p>
        </w:tc>
        <w:tc>
          <w:tcPr>
            <w:tcW w:w="2685" w:type="dxa"/>
            <w:tcBorders>
              <w:top w:val="nil"/>
              <w:left w:val="nil"/>
              <w:bottom w:val="single" w:color="auto" w:sz="4" w:space="0"/>
              <w:right w:val="single" w:color="auto" w:sz="4" w:space="0"/>
            </w:tcBorders>
            <w:vAlign w:val="center"/>
          </w:tcPr>
          <w:p w14:paraId="72822113">
            <w:pPr>
              <w:widowControl/>
              <w:spacing w:line="520" w:lineRule="exact"/>
              <w:jc w:val="left"/>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按计划工期实施　</w:t>
            </w:r>
          </w:p>
        </w:tc>
        <w:tc>
          <w:tcPr>
            <w:tcW w:w="3165" w:type="dxa"/>
            <w:tcBorders>
              <w:top w:val="nil"/>
              <w:left w:val="nil"/>
              <w:bottom w:val="single" w:color="auto" w:sz="4" w:space="0"/>
              <w:right w:val="single" w:color="auto" w:sz="4" w:space="0"/>
            </w:tcBorders>
            <w:vAlign w:val="center"/>
          </w:tcPr>
          <w:p w14:paraId="1479F82B">
            <w:pPr>
              <w:widowControl/>
              <w:spacing w:line="520" w:lineRule="exact"/>
              <w:jc w:val="left"/>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lang w:eastAsia="zh-CN"/>
              </w:rPr>
              <w:t>完成</w:t>
            </w:r>
            <w:r>
              <w:rPr>
                <w:rFonts w:hint="eastAsia" w:ascii="仿宋_GB2312" w:hAnsi="宋体" w:eastAsia="仿宋_GB2312" w:cs="宋体"/>
                <w:color w:val="000000"/>
                <w:kern w:val="0"/>
                <w:sz w:val="28"/>
                <w:szCs w:val="28"/>
              </w:rPr>
              <w:t>潭柘寺景区后山东西线防火步道整修及潭戒两寺基础设施提升等重点工作任务　</w:t>
            </w:r>
          </w:p>
        </w:tc>
        <w:tc>
          <w:tcPr>
            <w:tcW w:w="3045" w:type="dxa"/>
            <w:tcBorders>
              <w:top w:val="nil"/>
              <w:left w:val="nil"/>
              <w:bottom w:val="single" w:color="auto" w:sz="4" w:space="0"/>
              <w:right w:val="single" w:color="auto" w:sz="4" w:space="0"/>
            </w:tcBorders>
            <w:vAlign w:val="center"/>
          </w:tcPr>
          <w:p w14:paraId="54B5948C">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lang w:val="en-US" w:eastAsia="zh-CN"/>
              </w:rPr>
              <w:t>无</w:t>
            </w:r>
            <w:r>
              <w:rPr>
                <w:rFonts w:hint="eastAsia" w:ascii="仿宋_GB2312" w:hAnsi="宋体" w:eastAsia="仿宋_GB2312" w:cs="宋体"/>
                <w:color w:val="000000"/>
                <w:kern w:val="0"/>
                <w:sz w:val="28"/>
                <w:szCs w:val="28"/>
              </w:rPr>
              <w:t>　</w:t>
            </w:r>
          </w:p>
        </w:tc>
      </w:tr>
    </w:tbl>
    <w:p w14:paraId="5C16292E">
      <w:pPr>
        <w:spacing w:line="580" w:lineRule="exact"/>
        <w:ind w:firstLine="640"/>
        <w:rPr>
          <w:rFonts w:hint="eastAsia" w:ascii="仿宋_GB2312" w:eastAsia="仿宋_GB2312"/>
          <w:sz w:val="32"/>
          <w:szCs w:val="32"/>
        </w:rPr>
      </w:pPr>
      <w:r>
        <w:rPr>
          <w:rFonts w:hint="eastAsia" w:ascii="仿宋_GB2312" w:eastAsia="仿宋_GB2312"/>
          <w:sz w:val="32"/>
          <w:szCs w:val="32"/>
        </w:rPr>
        <w:t>（4）产出成本</w:t>
      </w:r>
    </w:p>
    <w:tbl>
      <w:tblPr>
        <w:tblStyle w:val="10"/>
        <w:tblW w:w="14374" w:type="dxa"/>
        <w:tblInd w:w="108" w:type="dxa"/>
        <w:tblLayout w:type="fixed"/>
        <w:tblCellMar>
          <w:top w:w="0" w:type="dxa"/>
          <w:left w:w="108" w:type="dxa"/>
          <w:bottom w:w="0" w:type="dxa"/>
          <w:right w:w="108" w:type="dxa"/>
        </w:tblCellMar>
      </w:tblPr>
      <w:tblGrid>
        <w:gridCol w:w="800"/>
        <w:gridCol w:w="4679"/>
        <w:gridCol w:w="2700"/>
        <w:gridCol w:w="3165"/>
        <w:gridCol w:w="3030"/>
      </w:tblGrid>
      <w:tr w14:paraId="03F51FDB">
        <w:tblPrEx>
          <w:tblCellMar>
            <w:top w:w="0" w:type="dxa"/>
            <w:left w:w="108" w:type="dxa"/>
            <w:bottom w:w="0" w:type="dxa"/>
            <w:right w:w="108" w:type="dxa"/>
          </w:tblCellMar>
        </w:tblPrEx>
        <w:trPr>
          <w:trHeight w:val="510" w:hRule="atLeast"/>
        </w:trPr>
        <w:tc>
          <w:tcPr>
            <w:tcW w:w="800" w:type="dxa"/>
            <w:tcBorders>
              <w:top w:val="single" w:color="auto" w:sz="4" w:space="0"/>
              <w:left w:val="single" w:color="auto" w:sz="4" w:space="0"/>
              <w:bottom w:val="single" w:color="auto" w:sz="4" w:space="0"/>
              <w:right w:val="single" w:color="auto" w:sz="4" w:space="0"/>
            </w:tcBorders>
            <w:vAlign w:val="center"/>
          </w:tcPr>
          <w:p w14:paraId="2F4427B7">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序号</w:t>
            </w:r>
          </w:p>
        </w:tc>
        <w:tc>
          <w:tcPr>
            <w:tcW w:w="4679" w:type="dxa"/>
            <w:tcBorders>
              <w:top w:val="single" w:color="auto" w:sz="4" w:space="0"/>
              <w:left w:val="nil"/>
              <w:bottom w:val="single" w:color="auto" w:sz="4" w:space="0"/>
              <w:right w:val="single" w:color="auto" w:sz="4" w:space="0"/>
            </w:tcBorders>
            <w:vAlign w:val="center"/>
          </w:tcPr>
          <w:p w14:paraId="0CFAAB97">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三级指标</w:t>
            </w:r>
          </w:p>
        </w:tc>
        <w:tc>
          <w:tcPr>
            <w:tcW w:w="2700" w:type="dxa"/>
            <w:tcBorders>
              <w:top w:val="single" w:color="auto" w:sz="4" w:space="0"/>
              <w:left w:val="nil"/>
              <w:bottom w:val="single" w:color="auto" w:sz="4" w:space="0"/>
              <w:right w:val="single" w:color="auto" w:sz="4" w:space="0"/>
            </w:tcBorders>
            <w:vAlign w:val="center"/>
          </w:tcPr>
          <w:p w14:paraId="02F99372">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计划值</w:t>
            </w:r>
          </w:p>
        </w:tc>
        <w:tc>
          <w:tcPr>
            <w:tcW w:w="3165" w:type="dxa"/>
            <w:tcBorders>
              <w:top w:val="single" w:color="auto" w:sz="4" w:space="0"/>
              <w:left w:val="nil"/>
              <w:bottom w:val="single" w:color="auto" w:sz="4" w:space="0"/>
              <w:right w:val="single" w:color="auto" w:sz="4" w:space="0"/>
            </w:tcBorders>
            <w:vAlign w:val="center"/>
          </w:tcPr>
          <w:p w14:paraId="5612F69F">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完成值</w:t>
            </w:r>
          </w:p>
        </w:tc>
        <w:tc>
          <w:tcPr>
            <w:tcW w:w="3030" w:type="dxa"/>
            <w:tcBorders>
              <w:top w:val="single" w:color="auto" w:sz="4" w:space="0"/>
              <w:left w:val="nil"/>
              <w:bottom w:val="single" w:color="auto" w:sz="4" w:space="0"/>
              <w:right w:val="single" w:color="auto" w:sz="4" w:space="0"/>
            </w:tcBorders>
            <w:vAlign w:val="center"/>
          </w:tcPr>
          <w:p w14:paraId="75E959D2">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偏差原因</w:t>
            </w:r>
          </w:p>
        </w:tc>
      </w:tr>
      <w:tr w14:paraId="14199492">
        <w:tblPrEx>
          <w:tblCellMar>
            <w:top w:w="0" w:type="dxa"/>
            <w:left w:w="108" w:type="dxa"/>
            <w:bottom w:w="0" w:type="dxa"/>
            <w:right w:w="108" w:type="dxa"/>
          </w:tblCellMar>
        </w:tblPrEx>
        <w:trPr>
          <w:trHeight w:val="510" w:hRule="atLeast"/>
        </w:trPr>
        <w:tc>
          <w:tcPr>
            <w:tcW w:w="800" w:type="dxa"/>
            <w:tcBorders>
              <w:top w:val="nil"/>
              <w:left w:val="single" w:color="auto" w:sz="4" w:space="0"/>
              <w:bottom w:val="single" w:color="auto" w:sz="4" w:space="0"/>
              <w:right w:val="single" w:color="auto" w:sz="4" w:space="0"/>
            </w:tcBorders>
            <w:vAlign w:val="center"/>
          </w:tcPr>
          <w:p w14:paraId="72D39E88">
            <w:pPr>
              <w:widowControl/>
              <w:spacing w:line="520" w:lineRule="exact"/>
              <w:jc w:val="center"/>
              <w:rPr>
                <w:rFonts w:hint="eastAsia" w:ascii="仿宋_GB2312" w:hAnsi="宋体" w:eastAsia="仿宋_GB2312" w:cs="宋体"/>
                <w:color w:val="000000"/>
                <w:kern w:val="0"/>
                <w:sz w:val="28"/>
                <w:szCs w:val="28"/>
                <w:lang w:eastAsia="zh-CN"/>
              </w:rPr>
            </w:pPr>
            <w:r>
              <w:rPr>
                <w:rFonts w:hint="eastAsia" w:ascii="仿宋_GB2312" w:hAnsi="宋体" w:eastAsia="仿宋_GB2312" w:cs="宋体"/>
                <w:color w:val="000000"/>
                <w:kern w:val="0"/>
                <w:sz w:val="28"/>
                <w:szCs w:val="28"/>
                <w:lang w:val="en-US" w:eastAsia="zh-CN"/>
              </w:rPr>
              <w:t>1</w:t>
            </w:r>
          </w:p>
        </w:tc>
        <w:tc>
          <w:tcPr>
            <w:tcW w:w="4679" w:type="dxa"/>
            <w:tcBorders>
              <w:top w:val="nil"/>
              <w:left w:val="nil"/>
              <w:bottom w:val="single" w:color="auto" w:sz="4" w:space="0"/>
              <w:right w:val="single" w:color="auto" w:sz="4" w:space="0"/>
            </w:tcBorders>
            <w:vAlign w:val="center"/>
          </w:tcPr>
          <w:p w14:paraId="0AF340F6">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年度支出不超过预算</w:t>
            </w:r>
          </w:p>
        </w:tc>
        <w:tc>
          <w:tcPr>
            <w:tcW w:w="2700" w:type="dxa"/>
            <w:tcBorders>
              <w:top w:val="nil"/>
              <w:left w:val="nil"/>
              <w:bottom w:val="single" w:color="auto" w:sz="4" w:space="0"/>
              <w:right w:val="single" w:color="auto" w:sz="4" w:space="0"/>
            </w:tcBorders>
            <w:vAlign w:val="center"/>
          </w:tcPr>
          <w:p w14:paraId="1369ED76">
            <w:pPr>
              <w:widowControl/>
              <w:spacing w:line="520" w:lineRule="exact"/>
              <w:jc w:val="center"/>
              <w:rPr>
                <w:rFonts w:hint="eastAsia" w:ascii="仿宋_GB2312" w:hAnsi="宋体" w:eastAsia="仿宋_GB2312" w:cs="宋体"/>
                <w:color w:val="000000"/>
                <w:kern w:val="0"/>
                <w:sz w:val="28"/>
                <w:szCs w:val="28"/>
                <w:lang w:eastAsia="zh-CN"/>
              </w:rPr>
            </w:pPr>
            <w:r>
              <w:rPr>
                <w:rFonts w:hint="eastAsia" w:ascii="仿宋_GB2312" w:hAnsi="仿宋" w:eastAsia="仿宋_GB2312" w:cs="Times New Roman"/>
                <w:sz w:val="28"/>
                <w:szCs w:val="28"/>
                <w:highlight w:val="none"/>
              </w:rPr>
              <w:t>13,223,205.30</w:t>
            </w:r>
            <w:r>
              <w:rPr>
                <w:rFonts w:hint="eastAsia" w:ascii="仿宋_GB2312" w:hAnsi="仿宋" w:eastAsia="仿宋_GB2312" w:cs="Times New Roman"/>
                <w:sz w:val="28"/>
                <w:szCs w:val="28"/>
                <w:highlight w:val="none"/>
                <w:lang w:eastAsia="zh-CN"/>
              </w:rPr>
              <w:t>元</w:t>
            </w:r>
          </w:p>
        </w:tc>
        <w:tc>
          <w:tcPr>
            <w:tcW w:w="3165" w:type="dxa"/>
            <w:tcBorders>
              <w:top w:val="nil"/>
              <w:left w:val="nil"/>
              <w:bottom w:val="single" w:color="auto" w:sz="4" w:space="0"/>
              <w:right w:val="single" w:color="auto" w:sz="4" w:space="0"/>
            </w:tcBorders>
            <w:vAlign w:val="center"/>
          </w:tcPr>
          <w:p w14:paraId="4AEA86F2">
            <w:pPr>
              <w:widowControl/>
              <w:spacing w:line="520" w:lineRule="exact"/>
              <w:jc w:val="center"/>
              <w:rPr>
                <w:rFonts w:hint="eastAsia" w:ascii="仿宋_GB2312" w:hAnsi="宋体" w:eastAsia="仿宋_GB2312" w:cs="宋体"/>
                <w:color w:val="000000"/>
                <w:kern w:val="0"/>
                <w:sz w:val="28"/>
                <w:szCs w:val="28"/>
                <w:lang w:eastAsia="zh-CN"/>
              </w:rPr>
            </w:pPr>
            <w:r>
              <w:rPr>
                <w:rFonts w:hint="eastAsia" w:ascii="仿宋_GB2312" w:hAnsi="宋体" w:eastAsia="仿宋_GB2312" w:cs="宋体"/>
                <w:color w:val="000000"/>
                <w:kern w:val="0"/>
                <w:sz w:val="28"/>
                <w:szCs w:val="28"/>
              </w:rPr>
              <w:t>32,553,954.62</w:t>
            </w:r>
            <w:r>
              <w:rPr>
                <w:rFonts w:hint="eastAsia" w:ascii="仿宋_GB2312" w:hAnsi="宋体" w:eastAsia="仿宋_GB2312" w:cs="宋体"/>
                <w:color w:val="000000"/>
                <w:kern w:val="0"/>
                <w:sz w:val="28"/>
                <w:szCs w:val="28"/>
                <w:lang w:eastAsia="zh-CN"/>
              </w:rPr>
              <w:t>元</w:t>
            </w:r>
          </w:p>
        </w:tc>
        <w:tc>
          <w:tcPr>
            <w:tcW w:w="3030" w:type="dxa"/>
            <w:tcBorders>
              <w:top w:val="nil"/>
              <w:left w:val="nil"/>
              <w:bottom w:val="single" w:color="auto" w:sz="4" w:space="0"/>
              <w:right w:val="single" w:color="auto" w:sz="4" w:space="0"/>
            </w:tcBorders>
            <w:vAlign w:val="center"/>
          </w:tcPr>
          <w:p w14:paraId="2E4240AD">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目标设定为年初预算数，年中经审批进行过预算追加，因此全年预算支出数较大　</w:t>
            </w:r>
          </w:p>
        </w:tc>
      </w:tr>
    </w:tbl>
    <w:p w14:paraId="41ACF603">
      <w:pPr>
        <w:spacing w:line="580" w:lineRule="exact"/>
        <w:ind w:firstLine="641"/>
        <w:rPr>
          <w:rFonts w:hint="eastAsia" w:ascii="仿宋_GB2312" w:eastAsia="仿宋_GB2312"/>
          <w:sz w:val="32"/>
          <w:szCs w:val="32"/>
        </w:rPr>
      </w:pPr>
      <w:r>
        <w:rPr>
          <w:rFonts w:hint="eastAsia" w:ascii="仿宋_GB2312" w:eastAsia="仿宋_GB2312"/>
          <w:sz w:val="32"/>
          <w:szCs w:val="32"/>
        </w:rPr>
        <w:t>2.效果实现情况分析</w:t>
      </w:r>
    </w:p>
    <w:p w14:paraId="1C39B29F">
      <w:pPr>
        <w:spacing w:line="580" w:lineRule="exact"/>
        <w:ind w:firstLine="640"/>
        <w:rPr>
          <w:rFonts w:hint="eastAsia" w:ascii="仿宋_GB2312" w:eastAsia="仿宋_GB2312"/>
          <w:sz w:val="32"/>
          <w:szCs w:val="32"/>
        </w:rPr>
      </w:pPr>
      <w:r>
        <w:rPr>
          <w:rFonts w:hint="eastAsia" w:ascii="仿宋_GB2312" w:eastAsia="仿宋_GB2312"/>
          <w:sz w:val="32"/>
          <w:szCs w:val="32"/>
        </w:rPr>
        <w:t>（1）经济效益</w:t>
      </w:r>
    </w:p>
    <w:p w14:paraId="44BB0A1D">
      <w:pPr>
        <w:spacing w:line="580" w:lineRule="exact"/>
        <w:ind w:firstLine="640"/>
        <w:rPr>
          <w:rFonts w:hint="eastAsia" w:ascii="仿宋_GB2312" w:eastAsia="仿宋_GB2312"/>
          <w:sz w:val="32"/>
          <w:szCs w:val="32"/>
          <w:lang w:eastAsia="zh-CN"/>
        </w:rPr>
      </w:pPr>
      <w:r>
        <w:rPr>
          <w:rFonts w:hint="eastAsia" w:ascii="仿宋_GB2312" w:eastAsia="仿宋_GB2312"/>
          <w:sz w:val="32"/>
          <w:szCs w:val="32"/>
          <w:lang w:eastAsia="zh-CN"/>
        </w:rPr>
        <w:t>不涉及该效果。</w:t>
      </w:r>
    </w:p>
    <w:p w14:paraId="286F0CAF">
      <w:pPr>
        <w:spacing w:line="580" w:lineRule="exact"/>
        <w:ind w:firstLine="640"/>
        <w:rPr>
          <w:rFonts w:hint="eastAsia" w:ascii="仿宋_GB2312" w:eastAsia="仿宋_GB2312"/>
          <w:sz w:val="32"/>
          <w:szCs w:val="32"/>
        </w:rPr>
      </w:pPr>
      <w:r>
        <w:rPr>
          <w:rFonts w:hint="eastAsia" w:ascii="仿宋_GB2312" w:eastAsia="仿宋_GB2312"/>
          <w:sz w:val="32"/>
          <w:szCs w:val="32"/>
        </w:rPr>
        <w:t>（2）社会效益</w:t>
      </w:r>
    </w:p>
    <w:tbl>
      <w:tblPr>
        <w:tblStyle w:val="10"/>
        <w:tblW w:w="14389" w:type="dxa"/>
        <w:tblInd w:w="108" w:type="dxa"/>
        <w:tblLayout w:type="fixed"/>
        <w:tblCellMar>
          <w:top w:w="0" w:type="dxa"/>
          <w:left w:w="108" w:type="dxa"/>
          <w:bottom w:w="0" w:type="dxa"/>
          <w:right w:w="108" w:type="dxa"/>
        </w:tblCellMar>
      </w:tblPr>
      <w:tblGrid>
        <w:gridCol w:w="800"/>
        <w:gridCol w:w="4679"/>
        <w:gridCol w:w="2700"/>
        <w:gridCol w:w="3165"/>
        <w:gridCol w:w="3045"/>
      </w:tblGrid>
      <w:tr w14:paraId="5DDB15D5">
        <w:tblPrEx>
          <w:tblCellMar>
            <w:top w:w="0" w:type="dxa"/>
            <w:left w:w="108" w:type="dxa"/>
            <w:bottom w:w="0" w:type="dxa"/>
            <w:right w:w="108" w:type="dxa"/>
          </w:tblCellMar>
        </w:tblPrEx>
        <w:trPr>
          <w:trHeight w:val="90" w:hRule="atLeast"/>
        </w:trPr>
        <w:tc>
          <w:tcPr>
            <w:tcW w:w="800" w:type="dxa"/>
            <w:tcBorders>
              <w:top w:val="single" w:color="auto" w:sz="4" w:space="0"/>
              <w:left w:val="single" w:color="auto" w:sz="4" w:space="0"/>
              <w:bottom w:val="single" w:color="auto" w:sz="4" w:space="0"/>
              <w:right w:val="single" w:color="auto" w:sz="4" w:space="0"/>
            </w:tcBorders>
            <w:vAlign w:val="center"/>
          </w:tcPr>
          <w:p w14:paraId="33F327E9">
            <w:pPr>
              <w:widowControl/>
              <w:spacing w:line="520" w:lineRule="exact"/>
              <w:jc w:val="center"/>
              <w:rPr>
                <w:rFonts w:hint="eastAsia"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序号</w:t>
            </w:r>
          </w:p>
        </w:tc>
        <w:tc>
          <w:tcPr>
            <w:tcW w:w="4679" w:type="dxa"/>
            <w:tcBorders>
              <w:top w:val="single" w:color="auto" w:sz="4" w:space="0"/>
              <w:left w:val="nil"/>
              <w:bottom w:val="single" w:color="auto" w:sz="4" w:space="0"/>
              <w:right w:val="single" w:color="auto" w:sz="4" w:space="0"/>
            </w:tcBorders>
            <w:vAlign w:val="center"/>
          </w:tcPr>
          <w:p w14:paraId="44F9578F">
            <w:pPr>
              <w:widowControl/>
              <w:spacing w:line="520" w:lineRule="exact"/>
              <w:jc w:val="center"/>
              <w:rPr>
                <w:rFonts w:hint="eastAsia"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三级指标</w:t>
            </w:r>
          </w:p>
        </w:tc>
        <w:tc>
          <w:tcPr>
            <w:tcW w:w="2700" w:type="dxa"/>
            <w:tcBorders>
              <w:top w:val="single" w:color="auto" w:sz="4" w:space="0"/>
              <w:left w:val="nil"/>
              <w:bottom w:val="single" w:color="auto" w:sz="4" w:space="0"/>
              <w:right w:val="single" w:color="auto" w:sz="4" w:space="0"/>
            </w:tcBorders>
            <w:vAlign w:val="center"/>
          </w:tcPr>
          <w:p w14:paraId="079BD09B">
            <w:pPr>
              <w:widowControl/>
              <w:spacing w:line="520" w:lineRule="exact"/>
              <w:jc w:val="center"/>
              <w:rPr>
                <w:rFonts w:hint="eastAsia"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计划值</w:t>
            </w:r>
          </w:p>
        </w:tc>
        <w:tc>
          <w:tcPr>
            <w:tcW w:w="3165" w:type="dxa"/>
            <w:tcBorders>
              <w:top w:val="single" w:color="auto" w:sz="4" w:space="0"/>
              <w:left w:val="nil"/>
              <w:bottom w:val="single" w:color="auto" w:sz="4" w:space="0"/>
              <w:right w:val="single" w:color="auto" w:sz="4" w:space="0"/>
            </w:tcBorders>
            <w:vAlign w:val="center"/>
          </w:tcPr>
          <w:p w14:paraId="6700DB36">
            <w:pPr>
              <w:widowControl/>
              <w:spacing w:line="520" w:lineRule="exact"/>
              <w:jc w:val="center"/>
              <w:rPr>
                <w:rFonts w:hint="eastAsia"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完成值</w:t>
            </w:r>
          </w:p>
        </w:tc>
        <w:tc>
          <w:tcPr>
            <w:tcW w:w="3045" w:type="dxa"/>
            <w:tcBorders>
              <w:top w:val="single" w:color="auto" w:sz="4" w:space="0"/>
              <w:left w:val="nil"/>
              <w:bottom w:val="single" w:color="auto" w:sz="4" w:space="0"/>
              <w:right w:val="single" w:color="auto" w:sz="4" w:space="0"/>
            </w:tcBorders>
            <w:vAlign w:val="center"/>
          </w:tcPr>
          <w:p w14:paraId="29E59561">
            <w:pPr>
              <w:widowControl/>
              <w:spacing w:line="520" w:lineRule="exact"/>
              <w:jc w:val="center"/>
              <w:rPr>
                <w:rFonts w:hint="eastAsia"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偏差原因</w:t>
            </w:r>
          </w:p>
        </w:tc>
      </w:tr>
      <w:tr w14:paraId="27B3A249">
        <w:tblPrEx>
          <w:tblCellMar>
            <w:top w:w="0" w:type="dxa"/>
            <w:left w:w="108" w:type="dxa"/>
            <w:bottom w:w="0" w:type="dxa"/>
            <w:right w:w="108" w:type="dxa"/>
          </w:tblCellMar>
        </w:tblPrEx>
        <w:trPr>
          <w:trHeight w:val="510" w:hRule="atLeast"/>
        </w:trPr>
        <w:tc>
          <w:tcPr>
            <w:tcW w:w="800" w:type="dxa"/>
            <w:tcBorders>
              <w:top w:val="single" w:color="auto" w:sz="4" w:space="0"/>
              <w:left w:val="single" w:color="auto" w:sz="4" w:space="0"/>
              <w:bottom w:val="single" w:color="auto" w:sz="4" w:space="0"/>
              <w:right w:val="single" w:color="auto" w:sz="4" w:space="0"/>
            </w:tcBorders>
            <w:vAlign w:val="center"/>
          </w:tcPr>
          <w:p w14:paraId="4249768F">
            <w:pPr>
              <w:widowControl/>
              <w:spacing w:line="520" w:lineRule="exact"/>
              <w:jc w:val="center"/>
              <w:rPr>
                <w:rFonts w:hint="eastAsia" w:ascii="仿宋_GB2312" w:hAnsi="宋体" w:eastAsia="仿宋_GB2312" w:cs="宋体"/>
                <w:color w:val="000000"/>
                <w:kern w:val="0"/>
                <w:sz w:val="28"/>
                <w:szCs w:val="28"/>
                <w:lang w:eastAsia="zh-CN"/>
              </w:rPr>
            </w:pPr>
            <w:r>
              <w:rPr>
                <w:rFonts w:hint="eastAsia" w:ascii="仿宋_GB2312" w:hAnsi="宋体" w:eastAsia="仿宋_GB2312" w:cs="宋体"/>
                <w:color w:val="000000"/>
                <w:kern w:val="0"/>
                <w:sz w:val="28"/>
                <w:szCs w:val="28"/>
                <w:lang w:val="en-US" w:eastAsia="zh-CN"/>
              </w:rPr>
              <w:t>1</w:t>
            </w:r>
          </w:p>
        </w:tc>
        <w:tc>
          <w:tcPr>
            <w:tcW w:w="4679" w:type="dxa"/>
            <w:tcBorders>
              <w:top w:val="single" w:color="auto" w:sz="4" w:space="0"/>
              <w:left w:val="nil"/>
              <w:bottom w:val="single" w:color="auto" w:sz="4" w:space="0"/>
              <w:right w:val="single" w:color="auto" w:sz="4" w:space="0"/>
            </w:tcBorders>
            <w:vAlign w:val="center"/>
          </w:tcPr>
          <w:p w14:paraId="0FB144D0">
            <w:pPr>
              <w:widowControl/>
              <w:spacing w:line="520" w:lineRule="exact"/>
              <w:jc w:val="left"/>
              <w:rPr>
                <w:rFonts w:ascii="仿宋_GB2312" w:hAnsi="宋体" w:eastAsia="仿宋_GB2312" w:cs="宋体"/>
                <w:color w:val="000000"/>
                <w:kern w:val="0"/>
                <w:sz w:val="28"/>
                <w:szCs w:val="28"/>
              </w:rPr>
            </w:pPr>
            <w:r>
              <w:rPr>
                <w:rFonts w:hint="eastAsia" w:ascii="仿宋_GB2312" w:hAnsi="仿宋" w:eastAsia="仿宋_GB2312" w:cs="Times New Roman"/>
                <w:sz w:val="28"/>
                <w:szCs w:val="28"/>
                <w:highlight w:val="none"/>
              </w:rPr>
              <w:t>依据风景名胜区条例相关规定，补齐片区基础设施配套，落实生态资源管护与环境管控</w:t>
            </w:r>
            <w:r>
              <w:rPr>
                <w:rFonts w:hint="eastAsia" w:ascii="仿宋_GB2312" w:hAnsi="仿宋" w:eastAsia="仿宋_GB2312" w:cs="Times New Roman"/>
                <w:sz w:val="28"/>
                <w:szCs w:val="28"/>
                <w:highlight w:val="none"/>
                <w:lang w:eastAsia="zh-CN"/>
              </w:rPr>
              <w:t>要求</w:t>
            </w:r>
            <w:r>
              <w:rPr>
                <w:rFonts w:hint="eastAsia" w:ascii="仿宋_GB2312" w:hAnsi="仿宋" w:eastAsia="仿宋_GB2312" w:cs="Times New Roman"/>
                <w:sz w:val="28"/>
                <w:szCs w:val="28"/>
                <w:highlight w:val="none"/>
              </w:rPr>
              <w:t>，科学指引潭柘戒台风景名胜区资源保护</w:t>
            </w:r>
            <w:r>
              <w:rPr>
                <w:rFonts w:hint="eastAsia" w:ascii="仿宋_GB2312" w:hAnsi="仿宋" w:eastAsia="仿宋_GB2312" w:cs="Times New Roman"/>
                <w:sz w:val="28"/>
                <w:szCs w:val="28"/>
                <w:highlight w:val="none"/>
                <w:lang w:eastAsia="zh-CN"/>
              </w:rPr>
              <w:t>、利用、管理</w:t>
            </w:r>
            <w:r>
              <w:rPr>
                <w:rFonts w:hint="eastAsia" w:ascii="仿宋_GB2312" w:hAnsi="仿宋" w:eastAsia="仿宋_GB2312" w:cs="Times New Roman"/>
                <w:sz w:val="28"/>
                <w:szCs w:val="28"/>
                <w:highlight w:val="none"/>
              </w:rPr>
              <w:t>及高质量发展。</w:t>
            </w:r>
          </w:p>
        </w:tc>
        <w:tc>
          <w:tcPr>
            <w:tcW w:w="2700" w:type="dxa"/>
            <w:tcBorders>
              <w:top w:val="single" w:color="auto" w:sz="4" w:space="0"/>
              <w:left w:val="nil"/>
              <w:bottom w:val="single" w:color="auto" w:sz="4" w:space="0"/>
              <w:right w:val="single" w:color="auto" w:sz="4" w:space="0"/>
            </w:tcBorders>
            <w:vAlign w:val="center"/>
          </w:tcPr>
          <w:p w14:paraId="1332D46C">
            <w:pPr>
              <w:widowControl/>
              <w:spacing w:line="520" w:lineRule="exact"/>
              <w:jc w:val="left"/>
              <w:rPr>
                <w:rFonts w:ascii="仿宋_GB2312" w:hAnsi="宋体" w:eastAsia="仿宋_GB2312" w:cs="宋体"/>
                <w:color w:val="000000"/>
                <w:kern w:val="0"/>
                <w:sz w:val="28"/>
                <w:szCs w:val="28"/>
              </w:rPr>
            </w:pPr>
            <w:r>
              <w:rPr>
                <w:rFonts w:hint="eastAsia" w:ascii="仿宋_GB2312" w:hAnsi="仿宋" w:eastAsia="仿宋_GB2312" w:cs="Times New Roman"/>
                <w:sz w:val="28"/>
                <w:szCs w:val="28"/>
                <w:highlight w:val="none"/>
              </w:rPr>
              <w:t>依据风景名胜区条例相关规定，补齐片区基础设施配套，落实生态资源管护与环境管控</w:t>
            </w:r>
            <w:r>
              <w:rPr>
                <w:rFonts w:hint="eastAsia" w:ascii="仿宋_GB2312" w:hAnsi="仿宋" w:eastAsia="仿宋_GB2312" w:cs="Times New Roman"/>
                <w:sz w:val="28"/>
                <w:szCs w:val="28"/>
                <w:highlight w:val="none"/>
                <w:lang w:eastAsia="zh-CN"/>
              </w:rPr>
              <w:t>要求</w:t>
            </w:r>
            <w:r>
              <w:rPr>
                <w:rFonts w:hint="eastAsia" w:ascii="仿宋_GB2312" w:hAnsi="仿宋" w:eastAsia="仿宋_GB2312" w:cs="Times New Roman"/>
                <w:sz w:val="28"/>
                <w:szCs w:val="28"/>
                <w:highlight w:val="none"/>
              </w:rPr>
              <w:t>，科学指引潭柘戒台风景名胜区资源保护</w:t>
            </w:r>
            <w:r>
              <w:rPr>
                <w:rFonts w:hint="eastAsia" w:ascii="仿宋_GB2312" w:hAnsi="仿宋" w:eastAsia="仿宋_GB2312" w:cs="Times New Roman"/>
                <w:sz w:val="28"/>
                <w:szCs w:val="28"/>
                <w:highlight w:val="none"/>
                <w:lang w:eastAsia="zh-CN"/>
              </w:rPr>
              <w:t>、利用、管理</w:t>
            </w:r>
            <w:r>
              <w:rPr>
                <w:rFonts w:hint="eastAsia" w:ascii="仿宋_GB2312" w:hAnsi="仿宋" w:eastAsia="仿宋_GB2312" w:cs="Times New Roman"/>
                <w:sz w:val="28"/>
                <w:szCs w:val="28"/>
                <w:highlight w:val="none"/>
              </w:rPr>
              <w:t>及高质量发展。</w:t>
            </w:r>
            <w:bookmarkStart w:id="4" w:name="_GoBack"/>
            <w:bookmarkEnd w:id="4"/>
          </w:p>
        </w:tc>
        <w:tc>
          <w:tcPr>
            <w:tcW w:w="3165" w:type="dxa"/>
            <w:tcBorders>
              <w:top w:val="single" w:color="auto" w:sz="4" w:space="0"/>
              <w:left w:val="nil"/>
              <w:bottom w:val="single" w:color="auto" w:sz="4" w:space="0"/>
              <w:right w:val="single" w:color="auto" w:sz="4" w:space="0"/>
            </w:tcBorders>
            <w:vAlign w:val="center"/>
          </w:tcPr>
          <w:p w14:paraId="2BA602DA">
            <w:pPr>
              <w:widowControl/>
              <w:spacing w:line="520" w:lineRule="exact"/>
              <w:jc w:val="left"/>
              <w:rPr>
                <w:rFonts w:hint="eastAsia" w:ascii="仿宋_GB2312" w:hAnsi="宋体" w:eastAsia="仿宋_GB2312" w:cs="宋体"/>
                <w:color w:val="000000"/>
                <w:kern w:val="0"/>
                <w:sz w:val="28"/>
                <w:szCs w:val="28"/>
                <w:lang w:eastAsia="zh-CN"/>
              </w:rPr>
            </w:pPr>
            <w:r>
              <w:rPr>
                <w:rFonts w:hint="eastAsia" w:ascii="仿宋_GB2312" w:hAnsi="宋体" w:eastAsia="仿宋_GB2312" w:cs="宋体"/>
                <w:color w:val="000000"/>
                <w:kern w:val="0"/>
                <w:sz w:val="28"/>
                <w:szCs w:val="28"/>
              </w:rPr>
              <w:t>潭柘戒台风景名胜区总体规划（2023-2035年）》已通过专家评审及部门联审，形成阶段性规划成果</w:t>
            </w:r>
            <w:r>
              <w:rPr>
                <w:rFonts w:hint="eastAsia" w:ascii="仿宋_GB2312" w:hAnsi="宋体" w:eastAsia="仿宋_GB2312" w:cs="宋体"/>
                <w:color w:val="000000"/>
                <w:kern w:val="0"/>
                <w:sz w:val="28"/>
                <w:szCs w:val="28"/>
                <w:lang w:eastAsia="zh-CN"/>
              </w:rPr>
              <w:t>，将作为潭柘戒台风景名胜区未来发展、保护、利用和管理的重要依据。</w:t>
            </w:r>
          </w:p>
        </w:tc>
        <w:tc>
          <w:tcPr>
            <w:tcW w:w="3045" w:type="dxa"/>
            <w:tcBorders>
              <w:top w:val="single" w:color="auto" w:sz="4" w:space="0"/>
              <w:left w:val="nil"/>
              <w:bottom w:val="single" w:color="auto" w:sz="4" w:space="0"/>
              <w:right w:val="single" w:color="auto" w:sz="4" w:space="0"/>
            </w:tcBorders>
            <w:vAlign w:val="center"/>
          </w:tcPr>
          <w:p w14:paraId="659BB259">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lang w:val="en-US" w:eastAsia="zh-CN"/>
              </w:rPr>
              <w:t>无</w:t>
            </w:r>
            <w:r>
              <w:rPr>
                <w:rFonts w:hint="eastAsia" w:ascii="仿宋_GB2312" w:hAnsi="宋体" w:eastAsia="仿宋_GB2312" w:cs="宋体"/>
                <w:color w:val="000000"/>
                <w:kern w:val="0"/>
                <w:sz w:val="28"/>
                <w:szCs w:val="28"/>
              </w:rPr>
              <w:t>　</w:t>
            </w:r>
          </w:p>
        </w:tc>
      </w:tr>
      <w:tr w14:paraId="31F5D16E">
        <w:tblPrEx>
          <w:tblCellMar>
            <w:top w:w="0" w:type="dxa"/>
            <w:left w:w="108" w:type="dxa"/>
            <w:bottom w:w="0" w:type="dxa"/>
            <w:right w:w="108" w:type="dxa"/>
          </w:tblCellMar>
        </w:tblPrEx>
        <w:trPr>
          <w:trHeight w:val="510" w:hRule="atLeast"/>
        </w:trPr>
        <w:tc>
          <w:tcPr>
            <w:tcW w:w="800" w:type="dxa"/>
            <w:tcBorders>
              <w:top w:val="single" w:color="auto" w:sz="4" w:space="0"/>
              <w:left w:val="single" w:color="auto" w:sz="4" w:space="0"/>
              <w:bottom w:val="single" w:color="auto" w:sz="4" w:space="0"/>
              <w:right w:val="single" w:color="auto" w:sz="4" w:space="0"/>
            </w:tcBorders>
            <w:vAlign w:val="center"/>
          </w:tcPr>
          <w:p w14:paraId="2795595D">
            <w:pPr>
              <w:widowControl/>
              <w:spacing w:line="520" w:lineRule="exact"/>
              <w:jc w:val="center"/>
              <w:rPr>
                <w:rFonts w:hint="default" w:ascii="仿宋_GB2312" w:hAnsi="宋体" w:eastAsia="仿宋_GB2312" w:cs="宋体"/>
                <w:color w:val="000000"/>
                <w:kern w:val="0"/>
                <w:sz w:val="28"/>
                <w:szCs w:val="28"/>
                <w:lang w:val="en-US" w:eastAsia="zh-CN"/>
              </w:rPr>
            </w:pPr>
            <w:r>
              <w:rPr>
                <w:rFonts w:hint="eastAsia" w:ascii="仿宋_GB2312" w:hAnsi="宋体" w:eastAsia="仿宋_GB2312" w:cs="宋体"/>
                <w:color w:val="000000"/>
                <w:kern w:val="0"/>
                <w:sz w:val="28"/>
                <w:szCs w:val="28"/>
                <w:lang w:val="en-US" w:eastAsia="zh-CN"/>
              </w:rPr>
              <w:t>2</w:t>
            </w:r>
          </w:p>
        </w:tc>
        <w:tc>
          <w:tcPr>
            <w:tcW w:w="4679" w:type="dxa"/>
            <w:tcBorders>
              <w:top w:val="single" w:color="auto" w:sz="4" w:space="0"/>
              <w:left w:val="nil"/>
              <w:bottom w:val="single" w:color="auto" w:sz="4" w:space="0"/>
              <w:right w:val="single" w:color="auto" w:sz="4" w:space="0"/>
            </w:tcBorders>
            <w:vAlign w:val="center"/>
          </w:tcPr>
          <w:p w14:paraId="0A17860A">
            <w:pPr>
              <w:widowControl/>
              <w:spacing w:line="520" w:lineRule="exact"/>
              <w:jc w:val="left"/>
              <w:rPr>
                <w:rFonts w:hint="eastAsia"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擦亮潭戒两寺金字招牌</w:t>
            </w:r>
          </w:p>
        </w:tc>
        <w:tc>
          <w:tcPr>
            <w:tcW w:w="2700" w:type="dxa"/>
            <w:tcBorders>
              <w:top w:val="single" w:color="auto" w:sz="4" w:space="0"/>
              <w:left w:val="nil"/>
              <w:bottom w:val="single" w:color="auto" w:sz="4" w:space="0"/>
              <w:right w:val="single" w:color="auto" w:sz="4" w:space="0"/>
            </w:tcBorders>
            <w:vAlign w:val="center"/>
          </w:tcPr>
          <w:p w14:paraId="005A84BE">
            <w:pPr>
              <w:widowControl/>
              <w:spacing w:line="520" w:lineRule="exact"/>
              <w:jc w:val="left"/>
              <w:rPr>
                <w:rFonts w:hint="eastAsia"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增强游客体验感和文化认同感，提升潭戒两寺的影响力和知名度</w:t>
            </w:r>
          </w:p>
        </w:tc>
        <w:tc>
          <w:tcPr>
            <w:tcW w:w="3165" w:type="dxa"/>
            <w:tcBorders>
              <w:top w:val="single" w:color="auto" w:sz="4" w:space="0"/>
              <w:left w:val="nil"/>
              <w:bottom w:val="single" w:color="auto" w:sz="4" w:space="0"/>
              <w:right w:val="single" w:color="auto" w:sz="4" w:space="0"/>
            </w:tcBorders>
            <w:vAlign w:val="center"/>
          </w:tcPr>
          <w:p w14:paraId="0443A3DA">
            <w:pPr>
              <w:widowControl/>
              <w:spacing w:line="520" w:lineRule="exact"/>
              <w:jc w:val="left"/>
              <w:rPr>
                <w:rFonts w:hint="eastAsia" w:ascii="仿宋_GB2312" w:hAnsi="宋体" w:eastAsia="仿宋_GB2312" w:cs="宋体"/>
                <w:color w:val="000000"/>
                <w:kern w:val="0"/>
                <w:sz w:val="28"/>
                <w:szCs w:val="28"/>
                <w:lang w:eastAsia="zh-CN"/>
              </w:rPr>
            </w:pPr>
            <w:r>
              <w:rPr>
                <w:rFonts w:hint="eastAsia" w:ascii="仿宋_GB2312" w:hAnsi="宋体" w:eastAsia="仿宋_GB2312" w:cs="宋体"/>
                <w:color w:val="000000"/>
                <w:kern w:val="0"/>
                <w:sz w:val="28"/>
                <w:szCs w:val="28"/>
              </w:rPr>
              <w:t>潭柘休闲旅游度假区在第十二届中国旅游产业发展年会上获评十大“旅游项目高质量建设运营”典型案例；举办“潭柘雅集”文化活动，阐释“潭戒两寺”与北京城的历史文化脉络，吸引60.8万人次在线观看</w:t>
            </w:r>
            <w:r>
              <w:rPr>
                <w:rFonts w:hint="eastAsia" w:ascii="仿宋_GB2312" w:hAnsi="宋体" w:eastAsia="仿宋_GB2312" w:cs="宋体"/>
                <w:color w:val="000000"/>
                <w:kern w:val="0"/>
                <w:sz w:val="28"/>
                <w:szCs w:val="28"/>
                <w:lang w:eastAsia="zh-CN"/>
              </w:rPr>
              <w:t>。</w:t>
            </w:r>
          </w:p>
        </w:tc>
        <w:tc>
          <w:tcPr>
            <w:tcW w:w="3045" w:type="dxa"/>
            <w:tcBorders>
              <w:top w:val="single" w:color="auto" w:sz="4" w:space="0"/>
              <w:left w:val="nil"/>
              <w:bottom w:val="single" w:color="auto" w:sz="4" w:space="0"/>
              <w:right w:val="single" w:color="auto" w:sz="4" w:space="0"/>
            </w:tcBorders>
            <w:vAlign w:val="center"/>
          </w:tcPr>
          <w:p w14:paraId="3B0CD227">
            <w:pPr>
              <w:widowControl/>
              <w:spacing w:line="520" w:lineRule="exact"/>
              <w:jc w:val="center"/>
              <w:rPr>
                <w:rFonts w:hint="eastAsia" w:ascii="仿宋_GB2312" w:hAnsi="宋体" w:eastAsia="仿宋_GB2312" w:cs="宋体"/>
                <w:color w:val="000000"/>
                <w:kern w:val="0"/>
                <w:sz w:val="28"/>
                <w:szCs w:val="28"/>
                <w:lang w:val="en-US" w:eastAsia="zh-CN"/>
              </w:rPr>
            </w:pPr>
            <w:r>
              <w:rPr>
                <w:rFonts w:hint="eastAsia" w:ascii="仿宋_GB2312" w:hAnsi="宋体" w:eastAsia="仿宋_GB2312" w:cs="宋体"/>
                <w:color w:val="000000"/>
                <w:kern w:val="0"/>
                <w:sz w:val="28"/>
                <w:szCs w:val="28"/>
                <w:lang w:val="en-US" w:eastAsia="zh-CN"/>
              </w:rPr>
              <w:t>无</w:t>
            </w:r>
          </w:p>
        </w:tc>
      </w:tr>
      <w:tr w14:paraId="720DB79D">
        <w:tblPrEx>
          <w:tblCellMar>
            <w:top w:w="0" w:type="dxa"/>
            <w:left w:w="108" w:type="dxa"/>
            <w:bottom w:w="0" w:type="dxa"/>
            <w:right w:w="108" w:type="dxa"/>
          </w:tblCellMar>
        </w:tblPrEx>
        <w:trPr>
          <w:trHeight w:val="510" w:hRule="atLeast"/>
        </w:trPr>
        <w:tc>
          <w:tcPr>
            <w:tcW w:w="800" w:type="dxa"/>
            <w:tcBorders>
              <w:top w:val="single" w:color="auto" w:sz="4" w:space="0"/>
              <w:left w:val="single" w:color="auto" w:sz="4" w:space="0"/>
              <w:bottom w:val="single" w:color="auto" w:sz="4" w:space="0"/>
              <w:right w:val="single" w:color="auto" w:sz="4" w:space="0"/>
            </w:tcBorders>
            <w:vAlign w:val="center"/>
          </w:tcPr>
          <w:p w14:paraId="3BAA31B7">
            <w:pPr>
              <w:widowControl/>
              <w:spacing w:line="520" w:lineRule="exact"/>
              <w:jc w:val="center"/>
              <w:rPr>
                <w:rFonts w:hint="default" w:ascii="仿宋_GB2312" w:hAnsi="宋体" w:eastAsia="仿宋_GB2312" w:cs="宋体"/>
                <w:color w:val="000000"/>
                <w:kern w:val="0"/>
                <w:sz w:val="28"/>
                <w:szCs w:val="28"/>
                <w:lang w:val="en-US" w:eastAsia="zh-CN"/>
              </w:rPr>
            </w:pPr>
            <w:r>
              <w:rPr>
                <w:rFonts w:hint="eastAsia" w:ascii="仿宋_GB2312" w:hAnsi="宋体" w:eastAsia="仿宋_GB2312" w:cs="宋体"/>
                <w:color w:val="000000"/>
                <w:kern w:val="0"/>
                <w:sz w:val="28"/>
                <w:szCs w:val="28"/>
                <w:lang w:val="en-US" w:eastAsia="zh-CN"/>
              </w:rPr>
              <w:t>3</w:t>
            </w:r>
          </w:p>
        </w:tc>
        <w:tc>
          <w:tcPr>
            <w:tcW w:w="4679" w:type="dxa"/>
            <w:tcBorders>
              <w:top w:val="single" w:color="auto" w:sz="4" w:space="0"/>
              <w:left w:val="nil"/>
              <w:bottom w:val="single" w:color="auto" w:sz="4" w:space="0"/>
              <w:right w:val="single" w:color="auto" w:sz="4" w:space="0"/>
            </w:tcBorders>
            <w:vAlign w:val="center"/>
          </w:tcPr>
          <w:p w14:paraId="74D21EC5">
            <w:pPr>
              <w:widowControl/>
              <w:spacing w:line="520" w:lineRule="exact"/>
              <w:jc w:val="left"/>
              <w:rPr>
                <w:rFonts w:hint="eastAsia"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保障两寺环境整洁、基础服务设施完善</w:t>
            </w:r>
          </w:p>
        </w:tc>
        <w:tc>
          <w:tcPr>
            <w:tcW w:w="2700" w:type="dxa"/>
            <w:tcBorders>
              <w:top w:val="single" w:color="auto" w:sz="4" w:space="0"/>
              <w:left w:val="nil"/>
              <w:bottom w:val="single" w:color="auto" w:sz="4" w:space="0"/>
              <w:right w:val="single" w:color="auto" w:sz="4" w:space="0"/>
            </w:tcBorders>
            <w:vAlign w:val="center"/>
          </w:tcPr>
          <w:p w14:paraId="011DFD80">
            <w:pPr>
              <w:widowControl/>
              <w:spacing w:line="520" w:lineRule="exact"/>
              <w:jc w:val="left"/>
              <w:rPr>
                <w:rFonts w:hint="eastAsia"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推进重点工程项目落地见效，不断提升景区品质</w:t>
            </w:r>
          </w:p>
        </w:tc>
        <w:tc>
          <w:tcPr>
            <w:tcW w:w="3165" w:type="dxa"/>
            <w:tcBorders>
              <w:top w:val="single" w:color="auto" w:sz="4" w:space="0"/>
              <w:left w:val="nil"/>
              <w:bottom w:val="single" w:color="auto" w:sz="4" w:space="0"/>
              <w:right w:val="single" w:color="auto" w:sz="4" w:space="0"/>
            </w:tcBorders>
            <w:vAlign w:val="center"/>
          </w:tcPr>
          <w:p w14:paraId="39D9457B">
            <w:pPr>
              <w:widowControl/>
              <w:spacing w:line="520" w:lineRule="exact"/>
              <w:jc w:val="left"/>
              <w:rPr>
                <w:rFonts w:hint="eastAsia" w:ascii="仿宋_GB2312" w:hAnsi="宋体" w:eastAsia="仿宋_GB2312" w:cs="宋体"/>
                <w:color w:val="000000"/>
                <w:kern w:val="0"/>
                <w:sz w:val="28"/>
                <w:szCs w:val="28"/>
                <w:lang w:eastAsia="zh-CN"/>
              </w:rPr>
            </w:pPr>
            <w:r>
              <w:rPr>
                <w:rFonts w:hint="eastAsia" w:ascii="仿宋_GB2312" w:hAnsi="宋体" w:eastAsia="仿宋_GB2312" w:cs="宋体"/>
                <w:color w:val="000000"/>
                <w:kern w:val="0"/>
                <w:sz w:val="28"/>
                <w:szCs w:val="28"/>
              </w:rPr>
              <w:t>开展屋面除草等古建养护工作，提升环境整洁度；完成潭戒两寺基础设施提升电力改造，基础设施更加完善</w:t>
            </w:r>
            <w:r>
              <w:rPr>
                <w:rFonts w:hint="eastAsia" w:ascii="仿宋_GB2312" w:hAnsi="宋体" w:eastAsia="仿宋_GB2312" w:cs="宋体"/>
                <w:color w:val="000000"/>
                <w:kern w:val="0"/>
                <w:sz w:val="28"/>
                <w:szCs w:val="28"/>
                <w:lang w:eastAsia="zh-CN"/>
              </w:rPr>
              <w:t>。</w:t>
            </w:r>
          </w:p>
        </w:tc>
        <w:tc>
          <w:tcPr>
            <w:tcW w:w="3045" w:type="dxa"/>
            <w:tcBorders>
              <w:top w:val="single" w:color="auto" w:sz="4" w:space="0"/>
              <w:left w:val="nil"/>
              <w:bottom w:val="single" w:color="auto" w:sz="4" w:space="0"/>
              <w:right w:val="single" w:color="auto" w:sz="4" w:space="0"/>
            </w:tcBorders>
            <w:vAlign w:val="center"/>
          </w:tcPr>
          <w:p w14:paraId="2C6E50C4">
            <w:pPr>
              <w:widowControl/>
              <w:spacing w:line="520" w:lineRule="exact"/>
              <w:jc w:val="center"/>
              <w:rPr>
                <w:rFonts w:hint="eastAsia" w:ascii="仿宋_GB2312" w:hAnsi="宋体" w:eastAsia="仿宋_GB2312" w:cs="宋体"/>
                <w:color w:val="000000"/>
                <w:kern w:val="0"/>
                <w:sz w:val="28"/>
                <w:szCs w:val="28"/>
                <w:lang w:val="en-US" w:eastAsia="zh-CN"/>
              </w:rPr>
            </w:pPr>
            <w:r>
              <w:rPr>
                <w:rFonts w:hint="eastAsia" w:ascii="仿宋_GB2312" w:hAnsi="宋体" w:eastAsia="仿宋_GB2312" w:cs="宋体"/>
                <w:color w:val="000000"/>
                <w:kern w:val="0"/>
                <w:sz w:val="28"/>
                <w:szCs w:val="28"/>
                <w:lang w:val="en-US" w:eastAsia="zh-CN"/>
              </w:rPr>
              <w:t>无</w:t>
            </w:r>
          </w:p>
        </w:tc>
      </w:tr>
    </w:tbl>
    <w:p w14:paraId="63020761">
      <w:pPr>
        <w:spacing w:line="580" w:lineRule="exact"/>
        <w:ind w:firstLine="640"/>
        <w:rPr>
          <w:rFonts w:hint="eastAsia" w:ascii="仿宋_GB2312" w:eastAsia="仿宋_GB2312"/>
          <w:sz w:val="32"/>
          <w:szCs w:val="32"/>
        </w:rPr>
      </w:pPr>
      <w:r>
        <w:rPr>
          <w:rFonts w:hint="eastAsia" w:ascii="仿宋_GB2312" w:eastAsia="仿宋_GB2312"/>
          <w:sz w:val="32"/>
          <w:szCs w:val="32"/>
        </w:rPr>
        <w:t>（3）环境效益</w:t>
      </w:r>
    </w:p>
    <w:p w14:paraId="7AF7E9A7">
      <w:pPr>
        <w:spacing w:line="580" w:lineRule="exact"/>
        <w:ind w:firstLine="640"/>
        <w:rPr>
          <w:rFonts w:hint="eastAsia" w:ascii="仿宋_GB2312" w:eastAsia="仿宋_GB2312"/>
          <w:sz w:val="32"/>
          <w:szCs w:val="32"/>
        </w:rPr>
      </w:pPr>
      <w:r>
        <w:rPr>
          <w:rFonts w:hint="eastAsia" w:ascii="仿宋_GB2312" w:eastAsia="仿宋_GB2312"/>
          <w:sz w:val="32"/>
          <w:szCs w:val="32"/>
          <w:lang w:eastAsia="zh-CN"/>
        </w:rPr>
        <w:t>不涉及该效果。</w:t>
      </w:r>
    </w:p>
    <w:p w14:paraId="3B36C4DB">
      <w:pPr>
        <w:spacing w:line="580" w:lineRule="exact"/>
        <w:ind w:firstLine="640"/>
        <w:rPr>
          <w:rFonts w:hint="eastAsia" w:ascii="仿宋_GB2312" w:eastAsia="仿宋_GB2312"/>
          <w:sz w:val="32"/>
          <w:szCs w:val="32"/>
        </w:rPr>
      </w:pPr>
      <w:r>
        <w:rPr>
          <w:rFonts w:hint="eastAsia" w:ascii="仿宋_GB2312" w:eastAsia="仿宋_GB2312"/>
          <w:sz w:val="32"/>
          <w:szCs w:val="32"/>
        </w:rPr>
        <w:t>（4）可持续影响</w:t>
      </w:r>
    </w:p>
    <w:tbl>
      <w:tblPr>
        <w:tblStyle w:val="10"/>
        <w:tblW w:w="14374" w:type="dxa"/>
        <w:tblInd w:w="108" w:type="dxa"/>
        <w:tblLayout w:type="fixed"/>
        <w:tblCellMar>
          <w:top w:w="0" w:type="dxa"/>
          <w:left w:w="108" w:type="dxa"/>
          <w:bottom w:w="0" w:type="dxa"/>
          <w:right w:w="108" w:type="dxa"/>
        </w:tblCellMar>
      </w:tblPr>
      <w:tblGrid>
        <w:gridCol w:w="800"/>
        <w:gridCol w:w="4664"/>
        <w:gridCol w:w="2730"/>
        <w:gridCol w:w="3165"/>
        <w:gridCol w:w="3015"/>
      </w:tblGrid>
      <w:tr w14:paraId="4B1514F1">
        <w:tblPrEx>
          <w:tblCellMar>
            <w:top w:w="0" w:type="dxa"/>
            <w:left w:w="108" w:type="dxa"/>
            <w:bottom w:w="0" w:type="dxa"/>
            <w:right w:w="108" w:type="dxa"/>
          </w:tblCellMar>
        </w:tblPrEx>
        <w:trPr>
          <w:trHeight w:val="510" w:hRule="atLeast"/>
        </w:trPr>
        <w:tc>
          <w:tcPr>
            <w:tcW w:w="800" w:type="dxa"/>
            <w:tcBorders>
              <w:top w:val="single" w:color="auto" w:sz="4" w:space="0"/>
              <w:left w:val="single" w:color="auto" w:sz="4" w:space="0"/>
              <w:bottom w:val="single" w:color="auto" w:sz="4" w:space="0"/>
              <w:right w:val="single" w:color="auto" w:sz="4" w:space="0"/>
            </w:tcBorders>
            <w:vAlign w:val="center"/>
          </w:tcPr>
          <w:p w14:paraId="0F7E126A">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序号</w:t>
            </w:r>
          </w:p>
        </w:tc>
        <w:tc>
          <w:tcPr>
            <w:tcW w:w="4664" w:type="dxa"/>
            <w:tcBorders>
              <w:top w:val="single" w:color="auto" w:sz="4" w:space="0"/>
              <w:left w:val="nil"/>
              <w:bottom w:val="single" w:color="auto" w:sz="4" w:space="0"/>
              <w:right w:val="single" w:color="auto" w:sz="4" w:space="0"/>
            </w:tcBorders>
            <w:vAlign w:val="center"/>
          </w:tcPr>
          <w:p w14:paraId="3874C140">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三级指标</w:t>
            </w:r>
          </w:p>
        </w:tc>
        <w:tc>
          <w:tcPr>
            <w:tcW w:w="2730" w:type="dxa"/>
            <w:tcBorders>
              <w:top w:val="single" w:color="auto" w:sz="4" w:space="0"/>
              <w:left w:val="nil"/>
              <w:bottom w:val="single" w:color="auto" w:sz="4" w:space="0"/>
              <w:right w:val="single" w:color="auto" w:sz="4" w:space="0"/>
            </w:tcBorders>
            <w:vAlign w:val="center"/>
          </w:tcPr>
          <w:p w14:paraId="611D35EE">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计划值</w:t>
            </w:r>
          </w:p>
        </w:tc>
        <w:tc>
          <w:tcPr>
            <w:tcW w:w="3165" w:type="dxa"/>
            <w:tcBorders>
              <w:top w:val="single" w:color="auto" w:sz="4" w:space="0"/>
              <w:left w:val="nil"/>
              <w:bottom w:val="single" w:color="auto" w:sz="4" w:space="0"/>
              <w:right w:val="single" w:color="auto" w:sz="4" w:space="0"/>
            </w:tcBorders>
            <w:vAlign w:val="center"/>
          </w:tcPr>
          <w:p w14:paraId="2414B863">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完成值</w:t>
            </w:r>
          </w:p>
        </w:tc>
        <w:tc>
          <w:tcPr>
            <w:tcW w:w="3015" w:type="dxa"/>
            <w:tcBorders>
              <w:top w:val="single" w:color="auto" w:sz="4" w:space="0"/>
              <w:left w:val="nil"/>
              <w:bottom w:val="single" w:color="auto" w:sz="4" w:space="0"/>
              <w:right w:val="single" w:color="auto" w:sz="4" w:space="0"/>
            </w:tcBorders>
            <w:vAlign w:val="center"/>
          </w:tcPr>
          <w:p w14:paraId="0024F50B">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偏差原因</w:t>
            </w:r>
          </w:p>
        </w:tc>
      </w:tr>
      <w:tr w14:paraId="48CD145F">
        <w:tblPrEx>
          <w:tblCellMar>
            <w:top w:w="0" w:type="dxa"/>
            <w:left w:w="108" w:type="dxa"/>
            <w:bottom w:w="0" w:type="dxa"/>
            <w:right w:w="108" w:type="dxa"/>
          </w:tblCellMar>
        </w:tblPrEx>
        <w:trPr>
          <w:trHeight w:val="510" w:hRule="atLeast"/>
        </w:trPr>
        <w:tc>
          <w:tcPr>
            <w:tcW w:w="800" w:type="dxa"/>
            <w:tcBorders>
              <w:top w:val="single" w:color="auto" w:sz="4" w:space="0"/>
              <w:left w:val="single" w:color="auto" w:sz="4" w:space="0"/>
              <w:bottom w:val="single" w:color="auto" w:sz="4" w:space="0"/>
              <w:right w:val="single" w:color="auto" w:sz="4" w:space="0"/>
            </w:tcBorders>
            <w:vAlign w:val="center"/>
          </w:tcPr>
          <w:p w14:paraId="44B95EA4">
            <w:pPr>
              <w:widowControl/>
              <w:spacing w:line="520" w:lineRule="exact"/>
              <w:jc w:val="center"/>
              <w:rPr>
                <w:rFonts w:hint="eastAsia" w:ascii="仿宋_GB2312" w:hAnsi="宋体" w:eastAsia="仿宋_GB2312" w:cs="宋体"/>
                <w:color w:val="000000"/>
                <w:kern w:val="0"/>
                <w:sz w:val="28"/>
                <w:szCs w:val="28"/>
                <w:lang w:eastAsia="zh-CN"/>
              </w:rPr>
            </w:pPr>
            <w:r>
              <w:rPr>
                <w:rFonts w:hint="eastAsia" w:ascii="仿宋_GB2312" w:hAnsi="宋体" w:eastAsia="仿宋_GB2312" w:cs="宋体"/>
                <w:color w:val="000000"/>
                <w:kern w:val="0"/>
                <w:sz w:val="28"/>
                <w:szCs w:val="28"/>
                <w:lang w:val="en-US" w:eastAsia="zh-CN"/>
              </w:rPr>
              <w:t>1</w:t>
            </w:r>
          </w:p>
        </w:tc>
        <w:tc>
          <w:tcPr>
            <w:tcW w:w="4664" w:type="dxa"/>
            <w:tcBorders>
              <w:top w:val="single" w:color="auto" w:sz="4" w:space="0"/>
              <w:left w:val="single" w:color="auto" w:sz="4" w:space="0"/>
              <w:bottom w:val="single" w:color="auto" w:sz="4" w:space="0"/>
              <w:right w:val="single" w:color="auto" w:sz="4" w:space="0"/>
            </w:tcBorders>
            <w:vAlign w:val="center"/>
          </w:tcPr>
          <w:p w14:paraId="4F3B8C76">
            <w:pPr>
              <w:widowControl/>
              <w:spacing w:line="520" w:lineRule="exact"/>
              <w:jc w:val="left"/>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推进两寺景区管理办法、授权委托运营管理协议等落地实施</w:t>
            </w:r>
          </w:p>
        </w:tc>
        <w:tc>
          <w:tcPr>
            <w:tcW w:w="2730" w:type="dxa"/>
            <w:tcBorders>
              <w:top w:val="single" w:color="auto" w:sz="4" w:space="0"/>
              <w:left w:val="single" w:color="auto" w:sz="4" w:space="0"/>
              <w:bottom w:val="single" w:color="auto" w:sz="4" w:space="0"/>
              <w:right w:val="single" w:color="auto" w:sz="4" w:space="0"/>
            </w:tcBorders>
            <w:vAlign w:val="center"/>
          </w:tcPr>
          <w:p w14:paraId="136E9CB7">
            <w:pPr>
              <w:widowControl/>
              <w:spacing w:line="520" w:lineRule="exact"/>
              <w:jc w:val="left"/>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进一步明晰各部门职责，明确企业的经营范围和服务内容</w:t>
            </w:r>
          </w:p>
        </w:tc>
        <w:tc>
          <w:tcPr>
            <w:tcW w:w="3165" w:type="dxa"/>
            <w:tcBorders>
              <w:top w:val="single" w:color="auto" w:sz="4" w:space="0"/>
              <w:left w:val="single" w:color="auto" w:sz="4" w:space="0"/>
              <w:bottom w:val="single" w:color="auto" w:sz="4" w:space="0"/>
              <w:right w:val="single" w:color="auto" w:sz="4" w:space="0"/>
            </w:tcBorders>
            <w:vAlign w:val="center"/>
          </w:tcPr>
          <w:p w14:paraId="22CBD7F4">
            <w:pPr>
              <w:widowControl/>
              <w:spacing w:line="520" w:lineRule="exact"/>
              <w:jc w:val="left"/>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制定了《门头沟区潭柘戒台两寺景区管理办法》，与运营企业签署了《授权委托运营协议》；制定潭柘戒台两寺景区授权业务考核评定办法及配套考评细则，开展考核评估工作。</w:t>
            </w:r>
          </w:p>
        </w:tc>
        <w:tc>
          <w:tcPr>
            <w:tcW w:w="3015" w:type="dxa"/>
            <w:tcBorders>
              <w:top w:val="single" w:color="auto" w:sz="4" w:space="0"/>
              <w:left w:val="single" w:color="auto" w:sz="4" w:space="0"/>
              <w:bottom w:val="single" w:color="auto" w:sz="4" w:space="0"/>
              <w:right w:val="single" w:color="auto" w:sz="4" w:space="0"/>
            </w:tcBorders>
            <w:vAlign w:val="center"/>
          </w:tcPr>
          <w:p w14:paraId="35E03952">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lang w:val="en-US" w:eastAsia="zh-CN"/>
              </w:rPr>
              <w:t>无</w:t>
            </w:r>
            <w:r>
              <w:rPr>
                <w:rFonts w:hint="eastAsia" w:ascii="仿宋_GB2312" w:hAnsi="宋体" w:eastAsia="仿宋_GB2312" w:cs="宋体"/>
                <w:color w:val="000000"/>
                <w:kern w:val="0"/>
                <w:sz w:val="28"/>
                <w:szCs w:val="28"/>
              </w:rPr>
              <w:t>　</w:t>
            </w:r>
          </w:p>
        </w:tc>
      </w:tr>
    </w:tbl>
    <w:p w14:paraId="2604C4F8">
      <w:pPr>
        <w:spacing w:line="580" w:lineRule="exact"/>
        <w:ind w:firstLine="640"/>
        <w:rPr>
          <w:rFonts w:hint="eastAsia" w:ascii="仿宋_GB2312" w:eastAsia="仿宋_GB2312"/>
          <w:sz w:val="32"/>
          <w:szCs w:val="32"/>
        </w:rPr>
      </w:pPr>
      <w:r>
        <w:rPr>
          <w:rFonts w:hint="eastAsia" w:ascii="仿宋_GB2312" w:eastAsia="仿宋_GB2312"/>
          <w:sz w:val="32"/>
          <w:szCs w:val="32"/>
        </w:rPr>
        <w:t>（5）服务对象满意度</w:t>
      </w:r>
    </w:p>
    <w:p w14:paraId="1CEAB387">
      <w:pPr>
        <w:spacing w:line="580" w:lineRule="exact"/>
        <w:ind w:firstLine="640"/>
        <w:rPr>
          <w:rFonts w:hint="eastAsia" w:ascii="仿宋_GB2312" w:eastAsia="仿宋_GB2312"/>
          <w:sz w:val="32"/>
          <w:szCs w:val="32"/>
        </w:rPr>
      </w:pPr>
      <w:r>
        <w:rPr>
          <w:rFonts w:hint="eastAsia" w:ascii="仿宋_GB2312" w:eastAsia="仿宋_GB2312"/>
          <w:sz w:val="32"/>
          <w:szCs w:val="32"/>
          <w:lang w:eastAsia="zh-CN"/>
        </w:rPr>
        <w:t>不涉及该效果。</w:t>
      </w:r>
    </w:p>
    <w:p w14:paraId="0A0FB4E5">
      <w:pPr>
        <w:spacing w:line="580" w:lineRule="exact"/>
        <w:ind w:firstLine="640"/>
        <w:rPr>
          <w:rFonts w:hint="eastAsia" w:ascii="楷体_GB2312" w:eastAsia="楷体_GB2312"/>
          <w:b/>
          <w:sz w:val="32"/>
          <w:szCs w:val="32"/>
        </w:rPr>
      </w:pPr>
      <w:r>
        <w:rPr>
          <w:rFonts w:hint="eastAsia" w:ascii="楷体_GB2312" w:eastAsia="楷体_GB2312"/>
          <w:b/>
          <w:sz w:val="32"/>
          <w:szCs w:val="32"/>
        </w:rPr>
        <w:t>（四）预算管理情况分析</w:t>
      </w:r>
    </w:p>
    <w:p w14:paraId="01805042">
      <w:pPr>
        <w:widowControl/>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1.财务管理</w:t>
      </w:r>
    </w:p>
    <w:p w14:paraId="42A2BABD">
      <w:pPr>
        <w:widowControl/>
        <w:spacing w:line="520" w:lineRule="exact"/>
        <w:ind w:firstLine="640" w:firstLineChars="200"/>
        <w:rPr>
          <w:rFonts w:hint="eastAsia" w:ascii="仿宋_GB2312" w:eastAsia="仿宋_GB2312"/>
          <w:sz w:val="32"/>
          <w:szCs w:val="32"/>
        </w:rPr>
      </w:pPr>
      <w:r>
        <w:rPr>
          <w:rFonts w:hint="eastAsia" w:ascii="仿宋_GB2312" w:hAnsi="仿宋" w:eastAsia="仿宋_GB2312" w:cs="Times New Roman"/>
          <w:sz w:val="32"/>
          <w:szCs w:val="32"/>
          <w:lang w:eastAsia="zh-CN"/>
        </w:rPr>
        <w:t>本部门</w:t>
      </w:r>
      <w:r>
        <w:rPr>
          <w:rFonts w:hint="eastAsia" w:ascii="仿宋_GB2312" w:hAnsi="仿宋" w:eastAsia="仿宋_GB2312" w:cs="Times New Roman"/>
          <w:sz w:val="32"/>
          <w:szCs w:val="32"/>
        </w:rPr>
        <w:t>制定了《预决算管理办法》《收支管理办法》《财政票据管理制度》。接受审计部门及单位内部的监督检查。</w:t>
      </w:r>
    </w:p>
    <w:p w14:paraId="0A16A02A">
      <w:pPr>
        <w:widowControl/>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2.资产管理</w:t>
      </w:r>
    </w:p>
    <w:p w14:paraId="53D3E560">
      <w:pPr>
        <w:widowControl/>
        <w:spacing w:line="520" w:lineRule="exact"/>
        <w:ind w:firstLine="640" w:firstLineChars="200"/>
        <w:rPr>
          <w:rFonts w:hint="eastAsia" w:ascii="仿宋_GB2312" w:eastAsia="仿宋_GB2312"/>
          <w:sz w:val="32"/>
          <w:szCs w:val="32"/>
        </w:rPr>
      </w:pPr>
      <w:r>
        <w:rPr>
          <w:rFonts w:hint="eastAsia" w:ascii="仿宋_GB2312" w:hAnsi="仿宋" w:eastAsia="仿宋_GB2312" w:cs="Times New Roman"/>
          <w:sz w:val="32"/>
          <w:szCs w:val="32"/>
          <w:lang w:eastAsia="zh-CN"/>
        </w:rPr>
        <w:t>本部门</w:t>
      </w:r>
      <w:r>
        <w:rPr>
          <w:rFonts w:hint="eastAsia" w:ascii="仿宋_GB2312" w:hAnsi="仿宋" w:eastAsia="仿宋_GB2312" w:cs="Times New Roman"/>
          <w:sz w:val="32"/>
          <w:szCs w:val="32"/>
        </w:rPr>
        <w:t>制定了《固定资产管理办法》《可移动文物保护管理办法（暂行）》《房屋资产使用管理制度》《无形资产管理办法》</w:t>
      </w:r>
      <w:r>
        <w:rPr>
          <w:rFonts w:hint="eastAsia" w:ascii="仿宋_GB2312" w:hAnsi="仿宋" w:eastAsia="仿宋_GB2312" w:cs="Times New Roman"/>
          <w:sz w:val="32"/>
          <w:szCs w:val="32"/>
          <w:lang w:eastAsia="zh-CN"/>
        </w:rPr>
        <w:t>，并严格执行。</w:t>
      </w:r>
    </w:p>
    <w:p w14:paraId="388C3DCB">
      <w:pPr>
        <w:spacing w:line="580" w:lineRule="exact"/>
        <w:ind w:firstLine="640"/>
        <w:rPr>
          <w:rFonts w:hint="eastAsia" w:ascii="仿宋_GB2312" w:eastAsia="仿宋_GB2312"/>
          <w:sz w:val="32"/>
          <w:szCs w:val="32"/>
        </w:rPr>
      </w:pPr>
      <w:r>
        <w:rPr>
          <w:rFonts w:hint="eastAsia" w:ascii="仿宋_GB2312" w:eastAsia="仿宋_GB2312"/>
          <w:sz w:val="32"/>
          <w:szCs w:val="32"/>
        </w:rPr>
        <w:t>3.绩效管理</w:t>
      </w:r>
    </w:p>
    <w:p w14:paraId="2BC97C74">
      <w:pPr>
        <w:widowControl/>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（1）预算绩效管理制度情况</w:t>
      </w:r>
    </w:p>
    <w:p w14:paraId="005A7C86">
      <w:pPr>
        <w:widowControl/>
        <w:spacing w:line="520" w:lineRule="exact"/>
        <w:ind w:firstLine="640" w:firstLineChars="200"/>
        <w:rPr>
          <w:rFonts w:hint="eastAsia" w:ascii="仿宋_GB2312" w:eastAsia="仿宋_GB2312"/>
          <w:sz w:val="32"/>
          <w:szCs w:val="32"/>
        </w:rPr>
      </w:pPr>
      <w:r>
        <w:rPr>
          <w:rFonts w:hint="eastAsia" w:ascii="仿宋_GB2312" w:hAnsi="仿宋" w:eastAsia="仿宋_GB2312" w:cs="Times New Roman"/>
          <w:sz w:val="32"/>
          <w:szCs w:val="32"/>
          <w:lang w:eastAsia="zh-CN"/>
        </w:rPr>
        <w:t>本部门</w:t>
      </w:r>
      <w:r>
        <w:rPr>
          <w:rFonts w:hint="eastAsia" w:ascii="仿宋_GB2312" w:hAnsi="仿宋" w:eastAsia="仿宋_GB2312" w:cs="Times New Roman"/>
          <w:sz w:val="32"/>
          <w:szCs w:val="32"/>
        </w:rPr>
        <w:t>《预决算管理办法》</w:t>
      </w:r>
      <w:r>
        <w:rPr>
          <w:rFonts w:hint="eastAsia" w:ascii="仿宋_GB2312" w:hAnsi="仿宋" w:eastAsia="仿宋_GB2312" w:cs="Times New Roman"/>
          <w:sz w:val="32"/>
          <w:szCs w:val="32"/>
          <w:lang w:eastAsia="zh-CN"/>
        </w:rPr>
        <w:t>中明确规定了绩效管理相关要求</w:t>
      </w:r>
      <w:r>
        <w:rPr>
          <w:rFonts w:hint="eastAsia" w:ascii="仿宋_GB2312" w:hAnsi="仿宋" w:eastAsia="仿宋_GB2312" w:cs="Times New Roman"/>
          <w:sz w:val="32"/>
          <w:szCs w:val="32"/>
        </w:rPr>
        <w:t>并严格执行，将绩效目标设置作为预算安排的前置条件，全面实施绩效管理，完善预算绩效管理流程，扩大预算绩效管理范围，加强评价结果运用，努力盘活存量、用好增量，提高财政资源配置效率和使用效益</w:t>
      </w:r>
      <w:r>
        <w:rPr>
          <w:rFonts w:hint="eastAsia" w:ascii="仿宋_GB2312" w:hAnsi="仿宋" w:eastAsia="仿宋_GB2312" w:cs="Times New Roman"/>
          <w:sz w:val="32"/>
          <w:szCs w:val="32"/>
          <w:lang w:eastAsia="zh-CN"/>
        </w:rPr>
        <w:t>。</w:t>
      </w:r>
    </w:p>
    <w:p w14:paraId="5A7CEE42">
      <w:pPr>
        <w:spacing w:line="580" w:lineRule="exact"/>
        <w:ind w:firstLine="640"/>
        <w:rPr>
          <w:rFonts w:hint="eastAsia" w:ascii="仿宋_GB2312" w:eastAsia="仿宋_GB2312"/>
          <w:sz w:val="32"/>
          <w:szCs w:val="32"/>
        </w:rPr>
      </w:pPr>
      <w:r>
        <w:rPr>
          <w:rFonts w:hint="eastAsia" w:ascii="仿宋_GB2312" w:eastAsia="仿宋_GB2312"/>
          <w:sz w:val="32"/>
          <w:szCs w:val="32"/>
        </w:rPr>
        <w:t>（2）绩效目标管理情况</w:t>
      </w:r>
    </w:p>
    <w:p w14:paraId="64FEF0D4">
      <w:pPr>
        <w:spacing w:line="580" w:lineRule="exact"/>
        <w:ind w:firstLine="640"/>
        <w:rPr>
          <w:rFonts w:hint="eastAsia" w:ascii="仿宋_GB2312" w:eastAsia="仿宋_GB2312"/>
          <w:sz w:val="32"/>
          <w:szCs w:val="32"/>
        </w:rPr>
      </w:pPr>
      <w:r>
        <w:rPr>
          <w:rFonts w:hint="eastAsia" w:ascii="仿宋_GB2312" w:eastAsia="仿宋_GB2312"/>
          <w:sz w:val="32"/>
          <w:szCs w:val="32"/>
        </w:rPr>
        <w:t>2025年部门预算项目</w:t>
      </w:r>
      <w:r>
        <w:rPr>
          <w:rFonts w:hint="eastAsia" w:ascii="仿宋_GB2312" w:eastAsia="仿宋_GB2312"/>
          <w:sz w:val="32"/>
          <w:szCs w:val="32"/>
          <w:lang w:val="en-US" w:eastAsia="zh-CN"/>
        </w:rPr>
        <w:t>6</w:t>
      </w:r>
      <w:r>
        <w:rPr>
          <w:rFonts w:hint="eastAsia" w:ascii="仿宋_GB2312" w:eastAsia="仿宋_GB2312"/>
          <w:sz w:val="32"/>
          <w:szCs w:val="32"/>
        </w:rPr>
        <w:t>个，部门预算公开绩效目标的预算项目</w:t>
      </w:r>
      <w:r>
        <w:rPr>
          <w:rFonts w:hint="eastAsia" w:ascii="仿宋_GB2312" w:eastAsia="仿宋_GB2312"/>
          <w:sz w:val="32"/>
          <w:szCs w:val="32"/>
          <w:lang w:val="en-US" w:eastAsia="zh-CN"/>
        </w:rPr>
        <w:t>6</w:t>
      </w:r>
      <w:r>
        <w:rPr>
          <w:rFonts w:hint="eastAsia" w:ascii="仿宋_GB2312" w:eastAsia="仿宋_GB2312"/>
          <w:sz w:val="32"/>
          <w:szCs w:val="32"/>
        </w:rPr>
        <w:t>个，占本部门全部预算项目的</w:t>
      </w:r>
      <w:r>
        <w:rPr>
          <w:rFonts w:hint="eastAsia" w:ascii="仿宋_GB2312" w:eastAsia="仿宋_GB2312"/>
          <w:sz w:val="32"/>
          <w:szCs w:val="32"/>
          <w:lang w:val="en-US" w:eastAsia="zh-CN"/>
        </w:rPr>
        <w:t>100</w:t>
      </w:r>
      <w:r>
        <w:rPr>
          <w:rFonts w:hint="eastAsia" w:ascii="仿宋_GB2312" w:eastAsia="仿宋_GB2312"/>
          <w:sz w:val="32"/>
          <w:szCs w:val="32"/>
        </w:rPr>
        <w:t>%。</w:t>
      </w:r>
    </w:p>
    <w:p w14:paraId="405F2BF1">
      <w:pPr>
        <w:spacing w:line="580" w:lineRule="exact"/>
        <w:ind w:firstLine="640"/>
        <w:rPr>
          <w:rFonts w:hint="eastAsia" w:ascii="仿宋_GB2312" w:eastAsia="仿宋_GB2312"/>
          <w:sz w:val="32"/>
          <w:szCs w:val="32"/>
        </w:rPr>
      </w:pPr>
      <w:r>
        <w:rPr>
          <w:rFonts w:hint="eastAsia" w:ascii="仿宋_GB2312" w:eastAsia="仿宋_GB2312"/>
          <w:sz w:val="32"/>
          <w:szCs w:val="32"/>
        </w:rPr>
        <w:t>（3）绩效自评情况</w:t>
      </w:r>
    </w:p>
    <w:p w14:paraId="6130A11B">
      <w:pPr>
        <w:spacing w:line="580" w:lineRule="exact"/>
        <w:ind w:firstLine="640"/>
        <w:rPr>
          <w:rFonts w:hint="eastAsia" w:ascii="仿宋_GB2312" w:eastAsia="仿宋_GB2312"/>
          <w:sz w:val="32"/>
          <w:szCs w:val="32"/>
        </w:rPr>
      </w:pPr>
      <w:r>
        <w:rPr>
          <w:rFonts w:hint="eastAsia" w:ascii="仿宋_GB2312" w:eastAsia="仿宋_GB2312"/>
          <w:sz w:val="32"/>
          <w:szCs w:val="32"/>
        </w:rPr>
        <w:t>2025年对本部门2024年项目支出实施了绩效自评，评价项目</w:t>
      </w:r>
      <w:r>
        <w:rPr>
          <w:rFonts w:hint="eastAsia" w:ascii="仿宋_GB2312" w:eastAsia="仿宋_GB2312"/>
          <w:sz w:val="32"/>
          <w:szCs w:val="32"/>
          <w:lang w:val="en-US" w:eastAsia="zh-CN"/>
        </w:rPr>
        <w:t>13</w:t>
      </w:r>
      <w:r>
        <w:rPr>
          <w:rFonts w:hint="eastAsia" w:ascii="仿宋_GB2312" w:eastAsia="仿宋_GB2312"/>
          <w:sz w:val="32"/>
          <w:szCs w:val="32"/>
        </w:rPr>
        <w:t>个，涉及金额 16,784,045.13 元。</w:t>
      </w:r>
    </w:p>
    <w:p w14:paraId="3C07FB85">
      <w:pPr>
        <w:spacing w:line="580" w:lineRule="exact"/>
        <w:ind w:firstLine="640"/>
        <w:rPr>
          <w:rFonts w:hint="eastAsia" w:ascii="楷体_GB2312" w:eastAsia="楷体_GB2312"/>
          <w:b/>
          <w:sz w:val="32"/>
          <w:szCs w:val="32"/>
        </w:rPr>
      </w:pPr>
      <w:r>
        <w:rPr>
          <w:rFonts w:hint="eastAsia" w:ascii="楷体_GB2312" w:eastAsia="楷体_GB2312"/>
          <w:b/>
          <w:sz w:val="32"/>
          <w:szCs w:val="32"/>
        </w:rPr>
        <w:t>（五）总体评价结论</w:t>
      </w:r>
    </w:p>
    <w:p w14:paraId="34ACB73D">
      <w:pPr>
        <w:spacing w:line="580" w:lineRule="exact"/>
        <w:ind w:firstLine="640"/>
        <w:rPr>
          <w:rFonts w:hint="eastAsia" w:ascii="仿宋_GB2312" w:eastAsia="仿宋_GB2312"/>
          <w:sz w:val="32"/>
          <w:szCs w:val="32"/>
        </w:rPr>
      </w:pPr>
      <w:r>
        <w:rPr>
          <w:rFonts w:hint="eastAsia" w:ascii="仿宋_GB2312" w:eastAsia="仿宋_GB2312"/>
          <w:sz w:val="32"/>
          <w:szCs w:val="32"/>
        </w:rPr>
        <w:t>1.评价得分情况</w:t>
      </w:r>
    </w:p>
    <w:p w14:paraId="2987810F">
      <w:pPr>
        <w:spacing w:line="580" w:lineRule="exact"/>
        <w:ind w:firstLine="640"/>
        <w:rPr>
          <w:rFonts w:hint="eastAsia" w:ascii="仿宋_GB2312" w:eastAsia="仿宋_GB2312"/>
          <w:sz w:val="32"/>
          <w:szCs w:val="32"/>
        </w:rPr>
      </w:pPr>
      <w:r>
        <w:rPr>
          <w:rFonts w:hint="eastAsia" w:ascii="仿宋_GB2312" w:eastAsia="仿宋_GB2312"/>
          <w:sz w:val="32"/>
          <w:szCs w:val="32"/>
        </w:rPr>
        <w:t>绩效自评总分：</w:t>
      </w:r>
      <w:r>
        <w:rPr>
          <w:rFonts w:hint="eastAsia" w:ascii="仿宋_GB2312" w:eastAsia="仿宋_GB2312"/>
          <w:sz w:val="32"/>
          <w:szCs w:val="32"/>
          <w:lang w:val="en-US" w:eastAsia="zh-CN"/>
        </w:rPr>
        <w:t>97.65</w:t>
      </w:r>
      <w:r>
        <w:rPr>
          <w:rFonts w:hint="eastAsia" w:ascii="仿宋_GB2312" w:eastAsia="仿宋_GB2312"/>
          <w:sz w:val="32"/>
          <w:szCs w:val="32"/>
        </w:rPr>
        <w:t>分</w:t>
      </w:r>
    </w:p>
    <w:p w14:paraId="10DCA413">
      <w:pPr>
        <w:spacing w:line="580" w:lineRule="exact"/>
        <w:ind w:firstLine="640"/>
        <w:rPr>
          <w:rFonts w:hint="eastAsia" w:ascii="仿宋_GB2312" w:eastAsia="仿宋_GB2312"/>
          <w:sz w:val="32"/>
          <w:szCs w:val="32"/>
          <w:lang w:eastAsia="zh-CN"/>
        </w:rPr>
      </w:pPr>
      <w:r>
        <w:rPr>
          <w:rFonts w:hint="eastAsia" w:ascii="仿宋_GB2312" w:eastAsia="仿宋_GB2312"/>
          <w:sz w:val="32"/>
          <w:szCs w:val="32"/>
        </w:rPr>
        <w:t>绩效自评等级：</w:t>
      </w:r>
      <w:r>
        <w:rPr>
          <w:rFonts w:hint="eastAsia" w:ascii="仿宋_GB2312" w:eastAsia="仿宋_GB2312"/>
          <w:sz w:val="32"/>
          <w:szCs w:val="32"/>
          <w:lang w:eastAsia="zh-CN"/>
        </w:rPr>
        <w:t>优秀</w:t>
      </w:r>
    </w:p>
    <w:p w14:paraId="72549430">
      <w:pPr>
        <w:spacing w:line="580" w:lineRule="exact"/>
        <w:ind w:firstLine="640"/>
        <w:rPr>
          <w:rFonts w:hint="eastAsia" w:ascii="仿宋_GB2312" w:eastAsia="仿宋_GB2312"/>
          <w:sz w:val="32"/>
          <w:szCs w:val="32"/>
        </w:rPr>
      </w:pPr>
      <w:r>
        <w:rPr>
          <w:rFonts w:hint="eastAsia" w:ascii="仿宋_GB2312" w:eastAsia="仿宋_GB2312"/>
          <w:sz w:val="32"/>
          <w:szCs w:val="32"/>
        </w:rPr>
        <w:t>2.存在的问题及原因分析</w:t>
      </w:r>
    </w:p>
    <w:p w14:paraId="144865C6">
      <w:pPr>
        <w:spacing w:line="580" w:lineRule="exact"/>
        <w:ind w:firstLine="640"/>
        <w:rPr>
          <w:rFonts w:hint="eastAsia" w:ascii="仿宋_GB2312" w:eastAsia="仿宋_GB2312"/>
          <w:sz w:val="32"/>
          <w:szCs w:val="32"/>
        </w:rPr>
      </w:pPr>
      <w:r>
        <w:rPr>
          <w:rFonts w:hint="eastAsia" w:ascii="仿宋_GB2312" w:eastAsia="仿宋_GB2312"/>
          <w:sz w:val="32"/>
          <w:szCs w:val="32"/>
        </w:rPr>
        <w:t>（1）潭柘休闲旅游度假区创建国家级旅游度假区品牌塑造项目</w:t>
      </w:r>
      <w:r>
        <w:rPr>
          <w:rFonts w:hint="eastAsia" w:ascii="仿宋_GB2312" w:eastAsia="仿宋_GB2312"/>
          <w:sz w:val="32"/>
          <w:szCs w:val="32"/>
          <w:lang w:eastAsia="zh-CN"/>
        </w:rPr>
        <w:t>预算支出进度低。</w:t>
      </w:r>
      <w:r>
        <w:rPr>
          <w:rFonts w:hint="eastAsia" w:ascii="仿宋_GB2312" w:eastAsia="仿宋_GB2312"/>
          <w:sz w:val="32"/>
          <w:szCs w:val="32"/>
          <w:lang w:val="en-US" w:eastAsia="zh-CN"/>
        </w:rPr>
        <w:t>品牌塑造项目原纳入我单位2025年度预算安排，具备预算执行基础条件。但根据国家级旅游度假区申报相关硬性要求，申报工作须在获评市级旅游度假区满一年后方可启动，该项目核心工作内容与国家级旅游度假区申报筹备直接相关，受申报时限要求限制，无法按原2025年度计划推进实施。同时，结合迎检造势工作实际开展需要，为统筹保障各项重点工作有序推进，经多方论证、统筹协调，对该项目资金使用计划进行合理调整，决定将项目部分资金延迟至2026年上半年执行，因此导致该项目2025年度未完成全部工作及资金支付。</w:t>
      </w:r>
    </w:p>
    <w:p w14:paraId="728350DE">
      <w:pPr>
        <w:spacing w:line="580" w:lineRule="exact"/>
        <w:ind w:firstLine="640"/>
        <w:rPr>
          <w:rFonts w:hint="eastAsia" w:ascii="仿宋_GB2312" w:eastAsia="仿宋_GB2312"/>
          <w:sz w:val="32"/>
          <w:szCs w:val="32"/>
          <w:highlight w:val="none"/>
          <w:lang w:val="en-US" w:eastAsia="zh-CN"/>
        </w:rPr>
      </w:pPr>
      <w:r>
        <w:rPr>
          <w:rFonts w:hint="eastAsia" w:ascii="仿宋_GB2312" w:eastAsia="仿宋_GB2312"/>
          <w:sz w:val="32"/>
          <w:szCs w:val="32"/>
        </w:rPr>
        <w:t>（2）</w:t>
      </w:r>
      <w:r>
        <w:rPr>
          <w:rFonts w:hint="eastAsia" w:ascii="仿宋_GB2312" w:eastAsia="仿宋_GB2312"/>
          <w:sz w:val="32"/>
          <w:szCs w:val="32"/>
          <w:highlight w:val="none"/>
        </w:rPr>
        <w:t>戒台寺景区千佛阁修缮项目(旅游）</w:t>
      </w:r>
      <w:r>
        <w:rPr>
          <w:rFonts w:hint="eastAsia" w:ascii="仿宋_GB2312" w:eastAsia="仿宋_GB2312"/>
          <w:sz w:val="32"/>
          <w:szCs w:val="32"/>
          <w:highlight w:val="none"/>
          <w:lang w:eastAsia="zh-CN"/>
        </w:rPr>
        <w:t>项目预算调整比例较大。</w:t>
      </w:r>
      <w:r>
        <w:rPr>
          <w:rFonts w:hint="eastAsia" w:ascii="仿宋_GB2312" w:eastAsia="仿宋_GB2312"/>
          <w:sz w:val="32"/>
          <w:szCs w:val="32"/>
          <w:highlight w:val="none"/>
          <w:lang w:val="en-US" w:eastAsia="zh-CN"/>
        </w:rPr>
        <w:t>原因为原设计方案未通过国家文物局审核。根据国家文物局批复意见及专家意见，原方案勘察、设计内容及深度已无法全面解决当前现状问题，需重新组织全面勘察工作并修改、深化设计方案。原项目资金不足以支撑项目实施，仅支出了部分勘察、设计及结构安全鉴定的费用，剩余资金予以收回。</w:t>
      </w:r>
    </w:p>
    <w:p w14:paraId="1DA814E7">
      <w:pPr>
        <w:spacing w:line="580" w:lineRule="exact"/>
        <w:ind w:firstLine="640"/>
        <w:rPr>
          <w:rFonts w:hint="eastAsia" w:ascii="仿宋_GB2312" w:eastAsia="仿宋_GB2312"/>
          <w:sz w:val="32"/>
          <w:szCs w:val="32"/>
        </w:rPr>
      </w:pPr>
      <w:r>
        <w:rPr>
          <w:rFonts w:hint="eastAsia" w:ascii="仿宋_GB2312" w:eastAsia="仿宋_GB2312"/>
          <w:sz w:val="32"/>
          <w:szCs w:val="32"/>
        </w:rPr>
        <w:t>3.改进措施</w:t>
      </w:r>
    </w:p>
    <w:bookmarkEnd w:id="2"/>
    <w:p w14:paraId="3F6E267B">
      <w:pPr>
        <w:spacing w:line="580" w:lineRule="exact"/>
        <w:ind w:firstLine="640"/>
        <w:rPr>
          <w:rFonts w:hint="eastAsia" w:ascii="仿宋_GB2312" w:eastAsia="仿宋_GB2312"/>
          <w:sz w:val="32"/>
          <w:szCs w:val="32"/>
        </w:rPr>
      </w:pPr>
      <w:r>
        <w:rPr>
          <w:rFonts w:hint="eastAsia" w:ascii="仿宋_GB2312" w:eastAsia="仿宋_GB2312"/>
          <w:sz w:val="32"/>
          <w:szCs w:val="32"/>
        </w:rPr>
        <w:t>（1）潭柘休闲旅游度假区创建国家级旅游度假区品牌塑造项目</w:t>
      </w:r>
      <w:r>
        <w:rPr>
          <w:rFonts w:hint="eastAsia" w:ascii="仿宋_GB2312" w:eastAsia="仿宋_GB2312"/>
          <w:sz w:val="32"/>
          <w:szCs w:val="32"/>
          <w:lang w:val="en-US" w:eastAsia="zh-CN"/>
        </w:rPr>
        <w:t>将于2026年持续推进项目实施，完成宣传物料制作、线上线下推广等核心工作内容，预期完成时间为2026年5月。后续开展项目验收及资金结算工作，完成项目成果复盘、资料归档，同步办理财务付款手续，确保项目资金合规使用。接下来定期召开工作推进会，实时跟踪项目进度，严格按照既定时间节点推进各项工作，确保项目按时保质完成。严格遵循财务管理制度及预算调整要求，每笔资金支出均按规定流程审批，留存完整票据及凭证，保障资金使用合规、高效。</w:t>
      </w:r>
    </w:p>
    <w:p w14:paraId="0DBD62E7">
      <w:pPr>
        <w:spacing w:line="580" w:lineRule="exact"/>
        <w:ind w:firstLine="640"/>
        <w:rPr>
          <w:rFonts w:hint="eastAsia" w:ascii="仿宋_GB2312" w:eastAsia="仿宋_GB2312"/>
          <w:sz w:val="32"/>
          <w:szCs w:val="32"/>
          <w:highlight w:val="none"/>
          <w:lang w:eastAsia="zh-CN"/>
        </w:rPr>
      </w:pPr>
      <w:r>
        <w:rPr>
          <w:rFonts w:hint="eastAsia" w:ascii="仿宋_GB2312" w:eastAsia="仿宋_GB2312"/>
          <w:sz w:val="32"/>
          <w:szCs w:val="32"/>
        </w:rPr>
        <w:t>（2）</w:t>
      </w:r>
      <w:r>
        <w:rPr>
          <w:rFonts w:hint="eastAsia" w:ascii="仿宋_GB2312" w:eastAsia="仿宋_GB2312"/>
          <w:sz w:val="32"/>
          <w:szCs w:val="32"/>
          <w:highlight w:val="none"/>
        </w:rPr>
        <w:t>戒台寺景区千佛阁修缮项目(旅游）</w:t>
      </w:r>
      <w:r>
        <w:rPr>
          <w:rFonts w:hint="eastAsia" w:ascii="仿宋_GB2312" w:eastAsia="仿宋_GB2312"/>
          <w:sz w:val="32"/>
          <w:szCs w:val="32"/>
          <w:highlight w:val="none"/>
          <w:lang w:eastAsia="zh-CN"/>
        </w:rPr>
        <w:t>项目将</w:t>
      </w:r>
      <w:r>
        <w:rPr>
          <w:rFonts w:hint="eastAsia" w:ascii="仿宋_GB2312" w:eastAsia="仿宋_GB2312"/>
          <w:sz w:val="32"/>
          <w:szCs w:val="32"/>
          <w:highlight w:val="none"/>
          <w:lang w:val="en-US" w:eastAsia="zh-CN"/>
        </w:rPr>
        <w:t>申请市级资金进行木结构检测工作，同时重新组织全面勘察，以修改、深化设计方案。修改完善设计方案后，上报国家文物局及市文物局，申请批复及资金支持。</w:t>
      </w:r>
    </w:p>
    <w:p w14:paraId="776EBB5E">
      <w:pPr>
        <w:spacing w:line="580" w:lineRule="exact"/>
        <w:ind w:firstLine="640"/>
        <w:rPr>
          <w:rFonts w:hint="eastAsia" w:ascii="黑体" w:hAnsi="黑体" w:eastAsia="黑体"/>
          <w:sz w:val="32"/>
          <w:szCs w:val="32"/>
        </w:rPr>
      </w:pPr>
      <w:r>
        <w:rPr>
          <w:rFonts w:hint="eastAsia" w:ascii="黑体" w:hAnsi="黑体" w:eastAsia="黑体"/>
          <w:sz w:val="32"/>
          <w:szCs w:val="32"/>
        </w:rPr>
        <w:t>二、项目支出绩效自评情况</w:t>
      </w:r>
    </w:p>
    <w:p w14:paraId="442E439E">
      <w:pPr>
        <w:keepNext w:val="0"/>
        <w:keepLines w:val="0"/>
        <w:pageBreakBefore w:val="0"/>
        <w:widowControl w:val="0"/>
        <w:kinsoku/>
        <w:wordWrap/>
        <w:overflowPunct/>
        <w:topLinePunct w:val="0"/>
        <w:autoSpaceDE/>
        <w:autoSpaceDN/>
        <w:bidi w:val="0"/>
        <w:adjustRightInd/>
        <w:snapToGrid/>
        <w:spacing w:line="580" w:lineRule="exact"/>
        <w:ind w:firstLine="641" w:firstLineChars="0"/>
        <w:textAlignment w:val="auto"/>
        <w:outlineLvl w:val="9"/>
        <w:rPr>
          <w:rFonts w:hint="eastAsia" w:ascii="楷体_GB2312" w:hAnsi="仿宋" w:eastAsia="楷体_GB2312"/>
          <w:b/>
          <w:sz w:val="32"/>
          <w:szCs w:val="32"/>
        </w:rPr>
      </w:pPr>
      <w:r>
        <w:rPr>
          <w:rFonts w:hint="eastAsia" w:ascii="楷体_GB2312" w:hAnsi="仿宋" w:eastAsia="楷体_GB2312"/>
          <w:b/>
          <w:sz w:val="32"/>
          <w:szCs w:val="32"/>
        </w:rPr>
        <w:t>（一）绩效自评开展总体情况</w:t>
      </w:r>
    </w:p>
    <w:p w14:paraId="7A866D57">
      <w:pPr>
        <w:spacing w:line="580" w:lineRule="exact"/>
        <w:ind w:firstLine="809" w:firstLineChars="253"/>
        <w:rPr>
          <w:rFonts w:hint="eastAsia" w:ascii="仿宋_GB2312" w:hAnsi="Calibri" w:eastAsia="仿宋_GB2312"/>
          <w:sz w:val="32"/>
          <w:szCs w:val="32"/>
        </w:rPr>
      </w:pPr>
      <w:r>
        <w:rPr>
          <w:rFonts w:hint="eastAsia" w:ascii="仿宋_GB2312" w:eastAsia="仿宋_GB2312"/>
          <w:sz w:val="32"/>
          <w:szCs w:val="32"/>
        </w:rPr>
        <w:t>2025年度区财政批复项目支出预算项目</w:t>
      </w:r>
      <w:r>
        <w:rPr>
          <w:rFonts w:hint="eastAsia" w:ascii="仿宋_GB2312" w:eastAsia="仿宋_GB2312"/>
          <w:sz w:val="32"/>
          <w:szCs w:val="32"/>
          <w:lang w:val="en-US" w:eastAsia="zh-CN"/>
        </w:rPr>
        <w:t>12</w:t>
      </w:r>
      <w:r>
        <w:rPr>
          <w:rFonts w:hint="eastAsia" w:ascii="仿宋_GB2312" w:eastAsia="仿宋_GB2312"/>
          <w:sz w:val="32"/>
          <w:szCs w:val="32"/>
        </w:rPr>
        <w:t>个，涉及金额32</w:t>
      </w:r>
      <w:r>
        <w:rPr>
          <w:rFonts w:hint="eastAsia" w:ascii="仿宋_GB2312" w:eastAsia="仿宋_GB2312"/>
          <w:sz w:val="32"/>
          <w:szCs w:val="32"/>
          <w:lang w:val="en-US" w:eastAsia="zh-CN"/>
        </w:rPr>
        <w:t>,</w:t>
      </w:r>
      <w:r>
        <w:rPr>
          <w:rFonts w:hint="eastAsia" w:ascii="仿宋_GB2312" w:eastAsia="仿宋_GB2312"/>
          <w:sz w:val="32"/>
          <w:szCs w:val="32"/>
        </w:rPr>
        <w:t>828</w:t>
      </w:r>
      <w:r>
        <w:rPr>
          <w:rFonts w:hint="eastAsia" w:ascii="仿宋_GB2312" w:eastAsia="仿宋_GB2312"/>
          <w:sz w:val="32"/>
          <w:szCs w:val="32"/>
          <w:lang w:val="en-US" w:eastAsia="zh-CN"/>
        </w:rPr>
        <w:t>,</w:t>
      </w:r>
      <w:r>
        <w:rPr>
          <w:rFonts w:hint="eastAsia" w:ascii="仿宋_GB2312" w:eastAsia="仿宋_GB2312"/>
          <w:sz w:val="32"/>
          <w:szCs w:val="32"/>
        </w:rPr>
        <w:t>748.02元。本次实施绩效自评项目</w:t>
      </w:r>
      <w:r>
        <w:rPr>
          <w:rFonts w:hint="eastAsia" w:ascii="仿宋_GB2312" w:eastAsia="仿宋_GB2312"/>
          <w:sz w:val="32"/>
          <w:szCs w:val="32"/>
          <w:lang w:val="en-US" w:eastAsia="zh-CN"/>
        </w:rPr>
        <w:t>8</w:t>
      </w:r>
      <w:r>
        <w:rPr>
          <w:rFonts w:hint="eastAsia" w:ascii="仿宋_GB2312" w:eastAsia="仿宋_GB2312"/>
          <w:sz w:val="32"/>
          <w:szCs w:val="32"/>
        </w:rPr>
        <w:t>个，涉及金额28</w:t>
      </w:r>
      <w:r>
        <w:rPr>
          <w:rFonts w:hint="eastAsia" w:ascii="仿宋_GB2312" w:eastAsia="仿宋_GB2312"/>
          <w:sz w:val="32"/>
          <w:szCs w:val="32"/>
          <w:lang w:val="en-US" w:eastAsia="zh-CN"/>
        </w:rPr>
        <w:t>,</w:t>
      </w:r>
      <w:r>
        <w:rPr>
          <w:rFonts w:hint="eastAsia" w:ascii="仿宋_GB2312" w:eastAsia="仿宋_GB2312"/>
          <w:sz w:val="32"/>
          <w:szCs w:val="32"/>
        </w:rPr>
        <w:t>377</w:t>
      </w:r>
      <w:r>
        <w:rPr>
          <w:rFonts w:hint="eastAsia" w:ascii="仿宋_GB2312" w:eastAsia="仿宋_GB2312"/>
          <w:sz w:val="32"/>
          <w:szCs w:val="32"/>
          <w:lang w:val="en-US" w:eastAsia="zh-CN"/>
        </w:rPr>
        <w:t>,</w:t>
      </w:r>
      <w:r>
        <w:rPr>
          <w:rFonts w:hint="eastAsia" w:ascii="仿宋_GB2312" w:eastAsia="仿宋_GB2312"/>
          <w:sz w:val="32"/>
          <w:szCs w:val="32"/>
        </w:rPr>
        <w:t>628.41元。评价得分在90分（含90分）以上的</w:t>
      </w:r>
      <w:r>
        <w:rPr>
          <w:rFonts w:hint="eastAsia" w:ascii="仿宋_GB2312" w:eastAsia="仿宋_GB2312"/>
          <w:sz w:val="32"/>
          <w:szCs w:val="32"/>
          <w:lang w:val="en-US" w:eastAsia="zh-CN"/>
        </w:rPr>
        <w:t>8</w:t>
      </w:r>
      <w:r>
        <w:rPr>
          <w:rFonts w:hint="eastAsia" w:ascii="仿宋_GB2312" w:eastAsia="仿宋_GB2312"/>
          <w:sz w:val="32"/>
          <w:szCs w:val="32"/>
        </w:rPr>
        <w:t>个，评价得分在80-90分（含80分）的</w:t>
      </w:r>
      <w:r>
        <w:rPr>
          <w:rFonts w:hint="eastAsia" w:ascii="仿宋_GB2312" w:eastAsia="仿宋_GB2312"/>
          <w:sz w:val="32"/>
          <w:szCs w:val="32"/>
          <w:lang w:val="en-US" w:eastAsia="zh-CN"/>
        </w:rPr>
        <w:t>0</w:t>
      </w:r>
      <w:r>
        <w:rPr>
          <w:rFonts w:hint="eastAsia" w:ascii="仿宋_GB2312" w:eastAsia="仿宋_GB2312"/>
          <w:sz w:val="32"/>
          <w:szCs w:val="32"/>
        </w:rPr>
        <w:t>个，评价得分在60-80分（含60分）的</w:t>
      </w:r>
      <w:r>
        <w:rPr>
          <w:rFonts w:hint="eastAsia" w:ascii="仿宋_GB2312" w:eastAsia="仿宋_GB2312"/>
          <w:sz w:val="32"/>
          <w:szCs w:val="32"/>
          <w:lang w:val="en-US" w:eastAsia="zh-CN"/>
        </w:rPr>
        <w:t>0</w:t>
      </w:r>
      <w:r>
        <w:rPr>
          <w:rFonts w:hint="eastAsia" w:ascii="仿宋_GB2312" w:eastAsia="仿宋_GB2312"/>
          <w:sz w:val="32"/>
          <w:szCs w:val="32"/>
        </w:rPr>
        <w:t>个，评价得分在60分以下的</w:t>
      </w:r>
      <w:r>
        <w:rPr>
          <w:rFonts w:hint="eastAsia" w:ascii="仿宋_GB2312" w:eastAsia="仿宋_GB2312"/>
          <w:sz w:val="32"/>
          <w:szCs w:val="32"/>
          <w:lang w:val="en-US" w:eastAsia="zh-CN"/>
        </w:rPr>
        <w:t>0</w:t>
      </w:r>
      <w:r>
        <w:rPr>
          <w:rFonts w:hint="eastAsia" w:ascii="仿宋_GB2312" w:eastAsia="仿宋_GB2312"/>
          <w:sz w:val="32"/>
          <w:szCs w:val="32"/>
        </w:rPr>
        <w:t>个。</w:t>
      </w:r>
    </w:p>
    <w:p w14:paraId="325A9379">
      <w:pPr>
        <w:keepNext w:val="0"/>
        <w:keepLines w:val="0"/>
        <w:pageBreakBefore w:val="0"/>
        <w:widowControl w:val="0"/>
        <w:kinsoku/>
        <w:wordWrap/>
        <w:overflowPunct/>
        <w:topLinePunct w:val="0"/>
        <w:autoSpaceDE/>
        <w:autoSpaceDN/>
        <w:bidi w:val="0"/>
        <w:adjustRightInd/>
        <w:snapToGrid/>
        <w:spacing w:line="580" w:lineRule="exact"/>
        <w:ind w:firstLine="641" w:firstLineChars="0"/>
        <w:textAlignment w:val="auto"/>
        <w:outlineLvl w:val="9"/>
        <w:rPr>
          <w:rFonts w:hint="eastAsia" w:ascii="楷体_GB2312" w:hAnsi="仿宋" w:eastAsia="楷体_GB2312"/>
          <w:b/>
          <w:sz w:val="32"/>
          <w:szCs w:val="32"/>
        </w:rPr>
      </w:pPr>
      <w:r>
        <w:rPr>
          <w:rFonts w:hint="eastAsia" w:ascii="楷体_GB2312" w:hAnsi="仿宋" w:eastAsia="楷体_GB2312"/>
          <w:b/>
          <w:sz w:val="32"/>
          <w:szCs w:val="32"/>
        </w:rPr>
        <w:t>（二）重点支出项目绩效自评报告</w:t>
      </w:r>
    </w:p>
    <w:p w14:paraId="3CE8AD20">
      <w:pPr>
        <w:spacing w:line="580" w:lineRule="exact"/>
        <w:ind w:firstLine="640" w:firstLineChars="200"/>
        <w:outlineLvl w:val="0"/>
        <w:rPr>
          <w:rFonts w:hint="eastAsia" w:ascii="仿宋_GB2312" w:hAnsi="Calibri" w:eastAsia="仿宋_GB2312"/>
          <w:sz w:val="32"/>
          <w:szCs w:val="32"/>
        </w:rPr>
      </w:pPr>
      <w:r>
        <w:rPr>
          <w:rFonts w:hint="eastAsia" w:ascii="仿宋_GB2312" w:eastAsia="仿宋_GB2312"/>
          <w:sz w:val="32"/>
          <w:szCs w:val="32"/>
          <w:lang w:eastAsia="zh-CN"/>
        </w:rPr>
        <w:t>报告详见附件</w:t>
      </w:r>
      <w:r>
        <w:rPr>
          <w:rFonts w:hint="eastAsia" w:ascii="仿宋_GB2312" w:eastAsia="仿宋_GB2312"/>
          <w:sz w:val="32"/>
          <w:szCs w:val="32"/>
        </w:rPr>
        <w:t>。</w:t>
      </w:r>
    </w:p>
    <w:p w14:paraId="30C67C35">
      <w:pPr>
        <w:keepNext w:val="0"/>
        <w:keepLines w:val="0"/>
        <w:pageBreakBefore w:val="0"/>
        <w:widowControl w:val="0"/>
        <w:kinsoku/>
        <w:wordWrap/>
        <w:overflowPunct/>
        <w:topLinePunct w:val="0"/>
        <w:autoSpaceDE/>
        <w:autoSpaceDN/>
        <w:bidi w:val="0"/>
        <w:adjustRightInd/>
        <w:snapToGrid/>
        <w:spacing w:line="580" w:lineRule="exact"/>
        <w:ind w:firstLine="641" w:firstLineChars="0"/>
        <w:textAlignment w:val="auto"/>
        <w:outlineLvl w:val="9"/>
        <w:rPr>
          <w:rFonts w:hint="eastAsia" w:ascii="楷体_GB2312" w:hAnsi="仿宋" w:eastAsia="楷体_GB2312"/>
          <w:b/>
          <w:sz w:val="32"/>
          <w:szCs w:val="32"/>
        </w:rPr>
      </w:pPr>
      <w:r>
        <w:rPr>
          <w:rFonts w:hint="eastAsia" w:ascii="楷体_GB2312" w:hAnsi="仿宋" w:eastAsia="楷体_GB2312"/>
          <w:b/>
          <w:sz w:val="32"/>
          <w:szCs w:val="32"/>
        </w:rPr>
        <w:t>（三）项目支出绩效自评表</w:t>
      </w:r>
    </w:p>
    <w:p w14:paraId="6A54822C">
      <w:pPr>
        <w:spacing w:line="580" w:lineRule="exact"/>
        <w:ind w:firstLine="640" w:firstLineChars="200"/>
        <w:outlineLvl w:val="0"/>
        <w:rPr>
          <w:rFonts w:hint="eastAsia" w:ascii="仿宋_GB2312" w:hAnsi="Calibri" w:eastAsia="仿宋_GB2312"/>
          <w:sz w:val="32"/>
          <w:szCs w:val="32"/>
        </w:rPr>
      </w:pPr>
      <w:r>
        <w:rPr>
          <w:rFonts w:hint="eastAsia" w:ascii="仿宋_GB2312" w:eastAsia="仿宋_GB2312"/>
          <w:sz w:val="32"/>
          <w:szCs w:val="32"/>
          <w:lang w:eastAsia="zh-CN"/>
        </w:rPr>
        <w:t>自评表详见附件</w:t>
      </w:r>
      <w:r>
        <w:rPr>
          <w:rFonts w:hint="eastAsia" w:ascii="仿宋_GB2312" w:eastAsia="仿宋_GB2312"/>
          <w:sz w:val="32"/>
          <w:szCs w:val="32"/>
        </w:rPr>
        <w:t>。</w:t>
      </w:r>
    </w:p>
    <w:p w14:paraId="5F7D09AE">
      <w:pPr>
        <w:spacing w:line="580" w:lineRule="exact"/>
        <w:ind w:firstLine="640" w:firstLineChars="200"/>
        <w:outlineLvl w:val="0"/>
        <w:rPr>
          <w:rFonts w:hint="eastAsia" w:ascii="仿宋_GB2312" w:eastAsia="仿宋_GB2312"/>
          <w:b/>
          <w:sz w:val="32"/>
          <w:szCs w:val="32"/>
        </w:rPr>
      </w:pPr>
      <w:r>
        <w:rPr>
          <w:rFonts w:hint="eastAsia" w:ascii="仿宋_GB2312" w:eastAsia="仿宋_GB2312"/>
          <w:b/>
          <w:sz w:val="32"/>
          <w:szCs w:val="32"/>
        </w:rPr>
        <w:t>（注：一级预算部门“一、二”均公开；二级预算单位仅公开“二（三）”。）</w:t>
      </w:r>
    </w:p>
    <w:p w14:paraId="370140A2">
      <w:pPr>
        <w:spacing w:line="580" w:lineRule="exact"/>
        <w:ind w:firstLine="800" w:firstLineChars="250"/>
        <w:rPr>
          <w:rFonts w:hint="eastAsia" w:ascii="仿宋_GB2312" w:eastAsia="仿宋_GB2312"/>
          <w:sz w:val="32"/>
          <w:szCs w:val="32"/>
        </w:rPr>
      </w:pPr>
      <w:r>
        <w:rPr>
          <w:rFonts w:hint="eastAsia" w:ascii="仿宋_GB2312" w:eastAsia="仿宋_GB2312"/>
          <w:sz w:val="32"/>
          <w:szCs w:val="32"/>
        </w:rPr>
        <w:t>附件：1.重点支出项目绩效自评报告</w:t>
      </w:r>
    </w:p>
    <w:p w14:paraId="5E6DCD35">
      <w:pPr>
        <w:spacing w:line="580" w:lineRule="exact"/>
        <w:ind w:firstLine="1760" w:firstLineChars="550"/>
        <w:rPr>
          <w:rFonts w:hint="eastAsia" w:ascii="仿宋_GB2312" w:eastAsia="仿宋_GB2312"/>
          <w:sz w:val="32"/>
          <w:szCs w:val="32"/>
        </w:rPr>
      </w:pPr>
      <w:r>
        <w:rPr>
          <w:rFonts w:hint="eastAsia" w:ascii="仿宋_GB2312" w:eastAsia="仿宋_GB2312"/>
          <w:sz w:val="32"/>
          <w:szCs w:val="32"/>
        </w:rPr>
        <w:t>2.项目支出绩效自评表</w:t>
      </w:r>
    </w:p>
    <w:sectPr>
      <w:footerReference r:id="rId4" w:type="default"/>
      <w:footerReference r:id="rId5" w:type="even"/>
      <w:pgSz w:w="16838" w:h="11906" w:orient="landscape"/>
      <w:pgMar w:top="1134" w:right="1134" w:bottom="1134" w:left="1134"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0000" w:usb1="00000000" w:usb2="00000000" w:usb3="00000000" w:csb0="00000000" w:csb1="00000000"/>
  </w:font>
  <w:font w:name="宋体">
    <w:panose1 w:val="02030304000000000000"/>
    <w:charset w:val="7A"/>
    <w:family w:val="auto"/>
    <w:pitch w:val="default"/>
    <w:sig w:usb0="E7FFAEFF" w:usb1="F9FFFFFF" w:usb2="000FFDFF" w:usb3="00000000" w:csb0="603F01FF" w:csb1="FFFF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Cambria">
    <w:altName w:val="FreeSerif"/>
    <w:panose1 w:val="02040503050406030204"/>
    <w:charset w:val="00"/>
    <w:family w:val="roman"/>
    <w:pitch w:val="default"/>
    <w:sig w:usb0="00000000" w:usb1="00000000" w:usb2="00000000" w:usb3="00000000" w:csb0="2000019F" w:csb1="00000000"/>
  </w:font>
  <w:font w:name="FreeSerif">
    <w:panose1 w:val="02020603050405020304"/>
    <w:charset w:val="00"/>
    <w:family w:val="auto"/>
    <w:pitch w:val="default"/>
    <w:sig w:usb0="E59FAFFF" w:usb1="C200FDFF" w:usb2="43501B29" w:usb3="04000043" w:csb0="600101FF" w:csb1="FFFF0000"/>
  </w:font>
  <w:font w:name="仿宋_GB2312">
    <w:panose1 w:val="02010609030101010101"/>
    <w:charset w:val="86"/>
    <w:family w:val="modern"/>
    <w:pitch w:val="default"/>
    <w:sig w:usb0="00000001" w:usb1="080E0000" w:usb2="00000000" w:usb3="00000000" w:csb0="00040000" w:csb1="00000000"/>
  </w:font>
  <w:font w:name="Tahoma">
    <w:altName w:val="noto sans thai"/>
    <w:panose1 w:val="020B0604030504040204"/>
    <w:charset w:val="00"/>
    <w:family w:val="swiss"/>
    <w:pitch w:val="default"/>
    <w:sig w:usb0="00000000" w:usb1="00000000" w:usb2="00000029" w:usb3="00000000" w:csb0="200101FF" w:csb1="20280000"/>
  </w:font>
  <w:font w:name="noto sans thai">
    <w:panose1 w:val="020B0502040504020204"/>
    <w:charset w:val="00"/>
    <w:family w:val="auto"/>
    <w:pitch w:val="default"/>
    <w:sig w:usb0="81000063" w:usb1="00002000" w:usb2="00000000" w:usb3="00000000" w:csb0="00010000" w:csb1="00000000"/>
  </w:font>
  <w:font w:name="仿宋">
    <w:altName w:val="宋体"/>
    <w:panose1 w:val="02010609060101010101"/>
    <w:charset w:val="86"/>
    <w:family w:val="modern"/>
    <w:pitch w:val="default"/>
    <w:sig w:usb0="00000000" w:usb1="00000000"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微软雅黑">
    <w:altName w:val="黑体"/>
    <w:panose1 w:val="00000000000000000000"/>
    <w:charset w:val="00"/>
    <w:family w:val="auto"/>
    <w:pitch w:val="default"/>
    <w:sig w:usb0="00000000" w:usb1="00000000" w:usb2="00000000" w:usb3="00000000" w:csb0="00000000" w:csb1="0000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851C2A">
    <w:pPr>
      <w:pStyle w:val="7"/>
      <w:framePr w:wrap="around" w:vAnchor="text" w:hAnchor="margin" w:xAlign="center" w:y="1"/>
      <w:rPr>
        <w:rStyle w:val="13"/>
      </w:rPr>
    </w:pPr>
    <w:r>
      <w:fldChar w:fldCharType="begin"/>
    </w:r>
    <w:r>
      <w:rPr>
        <w:rStyle w:val="13"/>
      </w:rPr>
      <w:instrText xml:space="preserve">PAGE  </w:instrText>
    </w:r>
    <w:r>
      <w:fldChar w:fldCharType="separate"/>
    </w:r>
    <w:r>
      <w:rPr>
        <w:rStyle w:val="13"/>
      </w:rPr>
      <w:t>3</w:t>
    </w:r>
    <w:r>
      <w:fldChar w:fldCharType="end"/>
    </w:r>
  </w:p>
  <w:p w14:paraId="2E96BFDE">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54891C">
    <w:pPr>
      <w:pStyle w:val="7"/>
      <w:framePr w:wrap="around" w:vAnchor="text" w:hAnchor="margin" w:xAlign="center" w:y="1"/>
      <w:rPr>
        <w:rStyle w:val="13"/>
      </w:rPr>
    </w:pPr>
    <w:r>
      <w:fldChar w:fldCharType="begin"/>
    </w:r>
    <w:r>
      <w:rPr>
        <w:rStyle w:val="13"/>
      </w:rPr>
      <w:instrText xml:space="preserve">PAGE  </w:instrText>
    </w:r>
    <w:r>
      <w:fldChar w:fldCharType="separate"/>
    </w:r>
    <w:r>
      <w:rPr>
        <w:rStyle w:val="13"/>
      </w:rPr>
      <w:t>16</w:t>
    </w:r>
    <w:r>
      <w:fldChar w:fldCharType="end"/>
    </w:r>
  </w:p>
  <w:p w14:paraId="1069A132">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F2BD6A">
    <w:pPr>
      <w:pStyle w:val="7"/>
      <w:framePr w:wrap="around" w:vAnchor="text" w:hAnchor="margin" w:xAlign="center" w:y="1"/>
      <w:rPr>
        <w:rStyle w:val="13"/>
      </w:rPr>
    </w:pPr>
    <w:r>
      <w:fldChar w:fldCharType="begin"/>
    </w:r>
    <w:r>
      <w:rPr>
        <w:rStyle w:val="13"/>
      </w:rPr>
      <w:instrText xml:space="preserve">PAGE  </w:instrText>
    </w:r>
    <w:r>
      <w:fldChar w:fldCharType="separate"/>
    </w:r>
    <w:r>
      <w:rPr>
        <w:rStyle w:val="13"/>
      </w:rPr>
      <w:t>15</w:t>
    </w:r>
    <w:r>
      <w:fldChar w:fldCharType="end"/>
    </w:r>
  </w:p>
  <w:p w14:paraId="0EBFA295">
    <w:pPr>
      <w:pStyle w:val="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DFA0A1B"/>
    <w:multiLevelType w:val="singleLevel"/>
    <w:tmpl w:val="0DFA0A1B"/>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ZmNWE4NzRhMTczNjJlZDE5ZTE5YTczN2QxMzcyMjAifQ=="/>
  </w:docVars>
  <w:rsids>
    <w:rsidRoot w:val="00100246"/>
    <w:rsid w:val="00003B03"/>
    <w:rsid w:val="000040E6"/>
    <w:rsid w:val="00011D72"/>
    <w:rsid w:val="0002352D"/>
    <w:rsid w:val="00027CD5"/>
    <w:rsid w:val="00031B8E"/>
    <w:rsid w:val="00033EC1"/>
    <w:rsid w:val="00034224"/>
    <w:rsid w:val="00040275"/>
    <w:rsid w:val="0004719C"/>
    <w:rsid w:val="00047F6E"/>
    <w:rsid w:val="00051B00"/>
    <w:rsid w:val="000601B1"/>
    <w:rsid w:val="00063034"/>
    <w:rsid w:val="00066E19"/>
    <w:rsid w:val="0006752F"/>
    <w:rsid w:val="00071797"/>
    <w:rsid w:val="00071860"/>
    <w:rsid w:val="0007258E"/>
    <w:rsid w:val="00077A9E"/>
    <w:rsid w:val="00077F4A"/>
    <w:rsid w:val="00077FE5"/>
    <w:rsid w:val="00080447"/>
    <w:rsid w:val="00085663"/>
    <w:rsid w:val="00095948"/>
    <w:rsid w:val="00095C26"/>
    <w:rsid w:val="00096504"/>
    <w:rsid w:val="00096B86"/>
    <w:rsid w:val="000A1770"/>
    <w:rsid w:val="000A283C"/>
    <w:rsid w:val="000B15B7"/>
    <w:rsid w:val="000B70F1"/>
    <w:rsid w:val="000C4611"/>
    <w:rsid w:val="000D1B61"/>
    <w:rsid w:val="000D6854"/>
    <w:rsid w:val="000E0B26"/>
    <w:rsid w:val="000E3291"/>
    <w:rsid w:val="000F08FE"/>
    <w:rsid w:val="000F208B"/>
    <w:rsid w:val="000F2A48"/>
    <w:rsid w:val="000F49BE"/>
    <w:rsid w:val="00100246"/>
    <w:rsid w:val="0010682D"/>
    <w:rsid w:val="001073C6"/>
    <w:rsid w:val="00107DB5"/>
    <w:rsid w:val="00113613"/>
    <w:rsid w:val="0011483D"/>
    <w:rsid w:val="00115724"/>
    <w:rsid w:val="00130995"/>
    <w:rsid w:val="00131FF9"/>
    <w:rsid w:val="00132320"/>
    <w:rsid w:val="00135B6A"/>
    <w:rsid w:val="001369A7"/>
    <w:rsid w:val="001428C5"/>
    <w:rsid w:val="001503D8"/>
    <w:rsid w:val="00157540"/>
    <w:rsid w:val="0017111F"/>
    <w:rsid w:val="00173CF6"/>
    <w:rsid w:val="00180DAD"/>
    <w:rsid w:val="0018370E"/>
    <w:rsid w:val="001852E1"/>
    <w:rsid w:val="00191568"/>
    <w:rsid w:val="001A4277"/>
    <w:rsid w:val="001A7D2E"/>
    <w:rsid w:val="001B1DF9"/>
    <w:rsid w:val="001B1E93"/>
    <w:rsid w:val="001B375E"/>
    <w:rsid w:val="001B4A46"/>
    <w:rsid w:val="001B5E87"/>
    <w:rsid w:val="001B5E91"/>
    <w:rsid w:val="001B69BF"/>
    <w:rsid w:val="001B7988"/>
    <w:rsid w:val="001D78D9"/>
    <w:rsid w:val="001E0556"/>
    <w:rsid w:val="001E2355"/>
    <w:rsid w:val="001E2379"/>
    <w:rsid w:val="001E29A9"/>
    <w:rsid w:val="001F5857"/>
    <w:rsid w:val="00206EC3"/>
    <w:rsid w:val="0021047C"/>
    <w:rsid w:val="00211E4E"/>
    <w:rsid w:val="00213D1C"/>
    <w:rsid w:val="00214C3A"/>
    <w:rsid w:val="00217517"/>
    <w:rsid w:val="00222628"/>
    <w:rsid w:val="002253CB"/>
    <w:rsid w:val="002267A6"/>
    <w:rsid w:val="002326DE"/>
    <w:rsid w:val="00234314"/>
    <w:rsid w:val="00241724"/>
    <w:rsid w:val="0024390C"/>
    <w:rsid w:val="002441F4"/>
    <w:rsid w:val="00244204"/>
    <w:rsid w:val="002448A4"/>
    <w:rsid w:val="00245A0A"/>
    <w:rsid w:val="00246C42"/>
    <w:rsid w:val="002515CC"/>
    <w:rsid w:val="00253EC4"/>
    <w:rsid w:val="00254515"/>
    <w:rsid w:val="0026479D"/>
    <w:rsid w:val="002673C4"/>
    <w:rsid w:val="0027112B"/>
    <w:rsid w:val="00271C3F"/>
    <w:rsid w:val="00272460"/>
    <w:rsid w:val="00273070"/>
    <w:rsid w:val="0027394A"/>
    <w:rsid w:val="00274D50"/>
    <w:rsid w:val="002760D5"/>
    <w:rsid w:val="00276289"/>
    <w:rsid w:val="0028081D"/>
    <w:rsid w:val="0028458C"/>
    <w:rsid w:val="002911BD"/>
    <w:rsid w:val="00291C98"/>
    <w:rsid w:val="00294DE9"/>
    <w:rsid w:val="002A1488"/>
    <w:rsid w:val="002A4C2B"/>
    <w:rsid w:val="002B19D0"/>
    <w:rsid w:val="002B3682"/>
    <w:rsid w:val="002B5464"/>
    <w:rsid w:val="002C0443"/>
    <w:rsid w:val="002C12FB"/>
    <w:rsid w:val="002C24BC"/>
    <w:rsid w:val="002D03C6"/>
    <w:rsid w:val="002D0FDF"/>
    <w:rsid w:val="002D3955"/>
    <w:rsid w:val="002D68A9"/>
    <w:rsid w:val="002E06AE"/>
    <w:rsid w:val="002E4B75"/>
    <w:rsid w:val="002E68DD"/>
    <w:rsid w:val="002F17C2"/>
    <w:rsid w:val="002F32EE"/>
    <w:rsid w:val="002F4054"/>
    <w:rsid w:val="002F5574"/>
    <w:rsid w:val="00301D20"/>
    <w:rsid w:val="00302B19"/>
    <w:rsid w:val="00303428"/>
    <w:rsid w:val="003053C4"/>
    <w:rsid w:val="003058A3"/>
    <w:rsid w:val="00307204"/>
    <w:rsid w:val="00307DA5"/>
    <w:rsid w:val="0031169D"/>
    <w:rsid w:val="0031170D"/>
    <w:rsid w:val="00313E14"/>
    <w:rsid w:val="003167DD"/>
    <w:rsid w:val="00320C8B"/>
    <w:rsid w:val="00321BD8"/>
    <w:rsid w:val="00325687"/>
    <w:rsid w:val="00332C14"/>
    <w:rsid w:val="00335079"/>
    <w:rsid w:val="003352CE"/>
    <w:rsid w:val="00341D8E"/>
    <w:rsid w:val="003502B9"/>
    <w:rsid w:val="00351B8F"/>
    <w:rsid w:val="00353226"/>
    <w:rsid w:val="00353717"/>
    <w:rsid w:val="00354630"/>
    <w:rsid w:val="00365A24"/>
    <w:rsid w:val="003712DB"/>
    <w:rsid w:val="00373DDC"/>
    <w:rsid w:val="00382A86"/>
    <w:rsid w:val="00383BCC"/>
    <w:rsid w:val="00385243"/>
    <w:rsid w:val="003925D4"/>
    <w:rsid w:val="0039318C"/>
    <w:rsid w:val="00393366"/>
    <w:rsid w:val="003937DC"/>
    <w:rsid w:val="00393D75"/>
    <w:rsid w:val="003A2F2D"/>
    <w:rsid w:val="003A43AC"/>
    <w:rsid w:val="003A4EB6"/>
    <w:rsid w:val="003A7AE9"/>
    <w:rsid w:val="003A7BC5"/>
    <w:rsid w:val="003A7FF5"/>
    <w:rsid w:val="003B0352"/>
    <w:rsid w:val="003B4437"/>
    <w:rsid w:val="003B48C4"/>
    <w:rsid w:val="003B5E20"/>
    <w:rsid w:val="003B6DAD"/>
    <w:rsid w:val="003B735F"/>
    <w:rsid w:val="003C030C"/>
    <w:rsid w:val="003C55FC"/>
    <w:rsid w:val="003D0EC3"/>
    <w:rsid w:val="003D7274"/>
    <w:rsid w:val="003E4D82"/>
    <w:rsid w:val="003E5BC1"/>
    <w:rsid w:val="003F0D1B"/>
    <w:rsid w:val="003F1DD6"/>
    <w:rsid w:val="00401087"/>
    <w:rsid w:val="00402E26"/>
    <w:rsid w:val="00405701"/>
    <w:rsid w:val="004110BC"/>
    <w:rsid w:val="0041271F"/>
    <w:rsid w:val="0041688E"/>
    <w:rsid w:val="004170EF"/>
    <w:rsid w:val="0042093C"/>
    <w:rsid w:val="004233DD"/>
    <w:rsid w:val="00424405"/>
    <w:rsid w:val="00425B25"/>
    <w:rsid w:val="00425D24"/>
    <w:rsid w:val="00426A4D"/>
    <w:rsid w:val="00427687"/>
    <w:rsid w:val="00433231"/>
    <w:rsid w:val="004334CA"/>
    <w:rsid w:val="0043506A"/>
    <w:rsid w:val="00435830"/>
    <w:rsid w:val="0043619C"/>
    <w:rsid w:val="0044475D"/>
    <w:rsid w:val="00444D1E"/>
    <w:rsid w:val="0044571A"/>
    <w:rsid w:val="0044705D"/>
    <w:rsid w:val="0045090E"/>
    <w:rsid w:val="00453E36"/>
    <w:rsid w:val="00457286"/>
    <w:rsid w:val="00461FA5"/>
    <w:rsid w:val="00463566"/>
    <w:rsid w:val="00464182"/>
    <w:rsid w:val="00471C52"/>
    <w:rsid w:val="0047460C"/>
    <w:rsid w:val="00474FF2"/>
    <w:rsid w:val="00480098"/>
    <w:rsid w:val="00484A93"/>
    <w:rsid w:val="00485E12"/>
    <w:rsid w:val="004865DA"/>
    <w:rsid w:val="0048779C"/>
    <w:rsid w:val="00487AB7"/>
    <w:rsid w:val="00487ED0"/>
    <w:rsid w:val="00491D09"/>
    <w:rsid w:val="0049682C"/>
    <w:rsid w:val="004A168E"/>
    <w:rsid w:val="004A4EC7"/>
    <w:rsid w:val="004B0003"/>
    <w:rsid w:val="004C020A"/>
    <w:rsid w:val="004C03A3"/>
    <w:rsid w:val="004C44B8"/>
    <w:rsid w:val="004C7629"/>
    <w:rsid w:val="004D0D5D"/>
    <w:rsid w:val="004E27DD"/>
    <w:rsid w:val="004E3350"/>
    <w:rsid w:val="004E5292"/>
    <w:rsid w:val="004F2C5B"/>
    <w:rsid w:val="004F641B"/>
    <w:rsid w:val="004F71F3"/>
    <w:rsid w:val="005052FA"/>
    <w:rsid w:val="005069E1"/>
    <w:rsid w:val="00507E59"/>
    <w:rsid w:val="005122B5"/>
    <w:rsid w:val="0052381C"/>
    <w:rsid w:val="005346B3"/>
    <w:rsid w:val="0054051C"/>
    <w:rsid w:val="00546A84"/>
    <w:rsid w:val="00547BE2"/>
    <w:rsid w:val="0055353D"/>
    <w:rsid w:val="0056187C"/>
    <w:rsid w:val="00576B03"/>
    <w:rsid w:val="00581E1A"/>
    <w:rsid w:val="00591655"/>
    <w:rsid w:val="00591BEC"/>
    <w:rsid w:val="005940EA"/>
    <w:rsid w:val="00594448"/>
    <w:rsid w:val="005A1D6F"/>
    <w:rsid w:val="005A4D82"/>
    <w:rsid w:val="005A52A6"/>
    <w:rsid w:val="005B0DEC"/>
    <w:rsid w:val="005B368E"/>
    <w:rsid w:val="005B6E69"/>
    <w:rsid w:val="005C0015"/>
    <w:rsid w:val="005C1E82"/>
    <w:rsid w:val="005C2BCE"/>
    <w:rsid w:val="005C2CA5"/>
    <w:rsid w:val="005C7062"/>
    <w:rsid w:val="005C7788"/>
    <w:rsid w:val="005D10B9"/>
    <w:rsid w:val="005D18DA"/>
    <w:rsid w:val="005E00DC"/>
    <w:rsid w:val="005E3BBC"/>
    <w:rsid w:val="005E3EC6"/>
    <w:rsid w:val="005E4E07"/>
    <w:rsid w:val="005E4E46"/>
    <w:rsid w:val="005E5275"/>
    <w:rsid w:val="005E7DC8"/>
    <w:rsid w:val="005E7EC9"/>
    <w:rsid w:val="005F7087"/>
    <w:rsid w:val="00611BE4"/>
    <w:rsid w:val="0061219B"/>
    <w:rsid w:val="00621419"/>
    <w:rsid w:val="00626446"/>
    <w:rsid w:val="00626BE8"/>
    <w:rsid w:val="00631827"/>
    <w:rsid w:val="00632804"/>
    <w:rsid w:val="006376DA"/>
    <w:rsid w:val="006459DA"/>
    <w:rsid w:val="006502E8"/>
    <w:rsid w:val="00654A2B"/>
    <w:rsid w:val="0065675C"/>
    <w:rsid w:val="0065793F"/>
    <w:rsid w:val="0066263B"/>
    <w:rsid w:val="0066713A"/>
    <w:rsid w:val="0067195C"/>
    <w:rsid w:val="006724F7"/>
    <w:rsid w:val="0067511A"/>
    <w:rsid w:val="0067539B"/>
    <w:rsid w:val="00675543"/>
    <w:rsid w:val="00677396"/>
    <w:rsid w:val="00677AD9"/>
    <w:rsid w:val="00681970"/>
    <w:rsid w:val="00690641"/>
    <w:rsid w:val="00690D88"/>
    <w:rsid w:val="00691844"/>
    <w:rsid w:val="00693DDF"/>
    <w:rsid w:val="00696F9E"/>
    <w:rsid w:val="006A374A"/>
    <w:rsid w:val="006A505E"/>
    <w:rsid w:val="006A513E"/>
    <w:rsid w:val="006A5265"/>
    <w:rsid w:val="006B0CB9"/>
    <w:rsid w:val="006B2609"/>
    <w:rsid w:val="006B2750"/>
    <w:rsid w:val="006B3678"/>
    <w:rsid w:val="006B7390"/>
    <w:rsid w:val="006C0084"/>
    <w:rsid w:val="006C107D"/>
    <w:rsid w:val="006C3600"/>
    <w:rsid w:val="006C4534"/>
    <w:rsid w:val="006C5205"/>
    <w:rsid w:val="006C75F6"/>
    <w:rsid w:val="006D3F53"/>
    <w:rsid w:val="006D60AF"/>
    <w:rsid w:val="006E4722"/>
    <w:rsid w:val="00701651"/>
    <w:rsid w:val="007049BF"/>
    <w:rsid w:val="00704E79"/>
    <w:rsid w:val="00707A26"/>
    <w:rsid w:val="0071120F"/>
    <w:rsid w:val="00716380"/>
    <w:rsid w:val="00722165"/>
    <w:rsid w:val="00724B1C"/>
    <w:rsid w:val="007428F0"/>
    <w:rsid w:val="007512EF"/>
    <w:rsid w:val="007551AC"/>
    <w:rsid w:val="0076101C"/>
    <w:rsid w:val="00763D87"/>
    <w:rsid w:val="007670B2"/>
    <w:rsid w:val="00771795"/>
    <w:rsid w:val="00774925"/>
    <w:rsid w:val="0079279F"/>
    <w:rsid w:val="00793E69"/>
    <w:rsid w:val="007A063C"/>
    <w:rsid w:val="007A16B0"/>
    <w:rsid w:val="007A19EA"/>
    <w:rsid w:val="007A6092"/>
    <w:rsid w:val="007A60B7"/>
    <w:rsid w:val="007A64A6"/>
    <w:rsid w:val="007A6EE1"/>
    <w:rsid w:val="007A7C89"/>
    <w:rsid w:val="007B1487"/>
    <w:rsid w:val="007B2A43"/>
    <w:rsid w:val="007B326F"/>
    <w:rsid w:val="007B6A58"/>
    <w:rsid w:val="007B6C06"/>
    <w:rsid w:val="007B7B78"/>
    <w:rsid w:val="007C32B1"/>
    <w:rsid w:val="007C7A22"/>
    <w:rsid w:val="007C7C62"/>
    <w:rsid w:val="007D1076"/>
    <w:rsid w:val="007D12B7"/>
    <w:rsid w:val="007D2A49"/>
    <w:rsid w:val="007D5E38"/>
    <w:rsid w:val="007D7AC4"/>
    <w:rsid w:val="007E0340"/>
    <w:rsid w:val="007E1D4A"/>
    <w:rsid w:val="007E53C0"/>
    <w:rsid w:val="007E7703"/>
    <w:rsid w:val="007F4558"/>
    <w:rsid w:val="007F64DF"/>
    <w:rsid w:val="008050EF"/>
    <w:rsid w:val="0080652C"/>
    <w:rsid w:val="0080715F"/>
    <w:rsid w:val="008113D6"/>
    <w:rsid w:val="00812BA7"/>
    <w:rsid w:val="00813A87"/>
    <w:rsid w:val="00813F63"/>
    <w:rsid w:val="00815926"/>
    <w:rsid w:val="00815F57"/>
    <w:rsid w:val="0081760B"/>
    <w:rsid w:val="008218AC"/>
    <w:rsid w:val="00825359"/>
    <w:rsid w:val="00825E13"/>
    <w:rsid w:val="00826F07"/>
    <w:rsid w:val="008337CB"/>
    <w:rsid w:val="00834A3C"/>
    <w:rsid w:val="008360A0"/>
    <w:rsid w:val="00837658"/>
    <w:rsid w:val="00837CD4"/>
    <w:rsid w:val="00837F78"/>
    <w:rsid w:val="008400EE"/>
    <w:rsid w:val="00840791"/>
    <w:rsid w:val="00845576"/>
    <w:rsid w:val="00850708"/>
    <w:rsid w:val="00851024"/>
    <w:rsid w:val="008526D7"/>
    <w:rsid w:val="0086238C"/>
    <w:rsid w:val="008655DC"/>
    <w:rsid w:val="0086732D"/>
    <w:rsid w:val="00870183"/>
    <w:rsid w:val="00875726"/>
    <w:rsid w:val="00877F10"/>
    <w:rsid w:val="0088225D"/>
    <w:rsid w:val="00882F8D"/>
    <w:rsid w:val="00884FB0"/>
    <w:rsid w:val="008853A5"/>
    <w:rsid w:val="008944DA"/>
    <w:rsid w:val="00894D78"/>
    <w:rsid w:val="008A6A18"/>
    <w:rsid w:val="008B033F"/>
    <w:rsid w:val="008B4003"/>
    <w:rsid w:val="008B7443"/>
    <w:rsid w:val="008C179E"/>
    <w:rsid w:val="008C2379"/>
    <w:rsid w:val="008C4FF7"/>
    <w:rsid w:val="008C5C4C"/>
    <w:rsid w:val="008C7056"/>
    <w:rsid w:val="008C706D"/>
    <w:rsid w:val="008D3145"/>
    <w:rsid w:val="008E1A54"/>
    <w:rsid w:val="008E1F95"/>
    <w:rsid w:val="008E36B6"/>
    <w:rsid w:val="008E4267"/>
    <w:rsid w:val="008E4847"/>
    <w:rsid w:val="008E5FF1"/>
    <w:rsid w:val="008E63D2"/>
    <w:rsid w:val="008E6E14"/>
    <w:rsid w:val="008F1528"/>
    <w:rsid w:val="008F1AE5"/>
    <w:rsid w:val="008F55D9"/>
    <w:rsid w:val="009057DE"/>
    <w:rsid w:val="00905F97"/>
    <w:rsid w:val="00906FA3"/>
    <w:rsid w:val="0091239D"/>
    <w:rsid w:val="00912825"/>
    <w:rsid w:val="009129B8"/>
    <w:rsid w:val="00912B99"/>
    <w:rsid w:val="00912C78"/>
    <w:rsid w:val="00927892"/>
    <w:rsid w:val="009319B9"/>
    <w:rsid w:val="009351E9"/>
    <w:rsid w:val="00937862"/>
    <w:rsid w:val="00942279"/>
    <w:rsid w:val="009524EB"/>
    <w:rsid w:val="00962013"/>
    <w:rsid w:val="00963942"/>
    <w:rsid w:val="0096716C"/>
    <w:rsid w:val="009672B2"/>
    <w:rsid w:val="00971C66"/>
    <w:rsid w:val="00972363"/>
    <w:rsid w:val="0098419C"/>
    <w:rsid w:val="009843EF"/>
    <w:rsid w:val="009867F2"/>
    <w:rsid w:val="00991347"/>
    <w:rsid w:val="00996018"/>
    <w:rsid w:val="0099738E"/>
    <w:rsid w:val="009A493E"/>
    <w:rsid w:val="009A531F"/>
    <w:rsid w:val="009A6931"/>
    <w:rsid w:val="009B1F9A"/>
    <w:rsid w:val="009B1FA9"/>
    <w:rsid w:val="009B349F"/>
    <w:rsid w:val="009B4293"/>
    <w:rsid w:val="009B6715"/>
    <w:rsid w:val="009C7B74"/>
    <w:rsid w:val="009D0BE2"/>
    <w:rsid w:val="009D114E"/>
    <w:rsid w:val="009D210F"/>
    <w:rsid w:val="009D309C"/>
    <w:rsid w:val="009D37B1"/>
    <w:rsid w:val="009D4717"/>
    <w:rsid w:val="009D694D"/>
    <w:rsid w:val="009E264E"/>
    <w:rsid w:val="009F0C98"/>
    <w:rsid w:val="009F0F81"/>
    <w:rsid w:val="009F2543"/>
    <w:rsid w:val="009F256D"/>
    <w:rsid w:val="009F341E"/>
    <w:rsid w:val="009F57CE"/>
    <w:rsid w:val="00A117CA"/>
    <w:rsid w:val="00A12225"/>
    <w:rsid w:val="00A14C18"/>
    <w:rsid w:val="00A25898"/>
    <w:rsid w:val="00A3071D"/>
    <w:rsid w:val="00A3182E"/>
    <w:rsid w:val="00A31A89"/>
    <w:rsid w:val="00A32F06"/>
    <w:rsid w:val="00A34934"/>
    <w:rsid w:val="00A34EFE"/>
    <w:rsid w:val="00A36546"/>
    <w:rsid w:val="00A4069C"/>
    <w:rsid w:val="00A413B5"/>
    <w:rsid w:val="00A429CB"/>
    <w:rsid w:val="00A44E87"/>
    <w:rsid w:val="00A5063C"/>
    <w:rsid w:val="00A52749"/>
    <w:rsid w:val="00A5422E"/>
    <w:rsid w:val="00A56EC1"/>
    <w:rsid w:val="00A6350C"/>
    <w:rsid w:val="00A6370B"/>
    <w:rsid w:val="00A63A73"/>
    <w:rsid w:val="00A6655C"/>
    <w:rsid w:val="00A66CBB"/>
    <w:rsid w:val="00A6704E"/>
    <w:rsid w:val="00A67EA4"/>
    <w:rsid w:val="00A773FF"/>
    <w:rsid w:val="00A83AA1"/>
    <w:rsid w:val="00A906F4"/>
    <w:rsid w:val="00A9343A"/>
    <w:rsid w:val="00A9706C"/>
    <w:rsid w:val="00A97B34"/>
    <w:rsid w:val="00AA1B5C"/>
    <w:rsid w:val="00AA7A27"/>
    <w:rsid w:val="00AB3FB0"/>
    <w:rsid w:val="00AB465D"/>
    <w:rsid w:val="00AB713D"/>
    <w:rsid w:val="00AC114C"/>
    <w:rsid w:val="00AC1478"/>
    <w:rsid w:val="00AC6C2D"/>
    <w:rsid w:val="00AC6E17"/>
    <w:rsid w:val="00AD2FF3"/>
    <w:rsid w:val="00AD7764"/>
    <w:rsid w:val="00AD7FE2"/>
    <w:rsid w:val="00AE1284"/>
    <w:rsid w:val="00AE1B18"/>
    <w:rsid w:val="00AE7339"/>
    <w:rsid w:val="00AF1B0B"/>
    <w:rsid w:val="00AF242C"/>
    <w:rsid w:val="00AF3CC4"/>
    <w:rsid w:val="00B05903"/>
    <w:rsid w:val="00B12C7A"/>
    <w:rsid w:val="00B12E10"/>
    <w:rsid w:val="00B22BC3"/>
    <w:rsid w:val="00B25865"/>
    <w:rsid w:val="00B272B6"/>
    <w:rsid w:val="00B2771B"/>
    <w:rsid w:val="00B336E9"/>
    <w:rsid w:val="00B33AE5"/>
    <w:rsid w:val="00B35BE5"/>
    <w:rsid w:val="00B46965"/>
    <w:rsid w:val="00B54ED0"/>
    <w:rsid w:val="00B55D47"/>
    <w:rsid w:val="00B6204E"/>
    <w:rsid w:val="00B649EC"/>
    <w:rsid w:val="00B728DD"/>
    <w:rsid w:val="00B72D43"/>
    <w:rsid w:val="00B74121"/>
    <w:rsid w:val="00B80ABA"/>
    <w:rsid w:val="00B859FF"/>
    <w:rsid w:val="00B85C1B"/>
    <w:rsid w:val="00B85FF0"/>
    <w:rsid w:val="00B86150"/>
    <w:rsid w:val="00B878F9"/>
    <w:rsid w:val="00B9044A"/>
    <w:rsid w:val="00B960F3"/>
    <w:rsid w:val="00B96A31"/>
    <w:rsid w:val="00BA05E6"/>
    <w:rsid w:val="00BA51B0"/>
    <w:rsid w:val="00BA6319"/>
    <w:rsid w:val="00BC03B0"/>
    <w:rsid w:val="00BC06A3"/>
    <w:rsid w:val="00BC0CEA"/>
    <w:rsid w:val="00BC2220"/>
    <w:rsid w:val="00BC26B9"/>
    <w:rsid w:val="00BC26FA"/>
    <w:rsid w:val="00BC4E01"/>
    <w:rsid w:val="00BC73F6"/>
    <w:rsid w:val="00BD1177"/>
    <w:rsid w:val="00BD1374"/>
    <w:rsid w:val="00BD3531"/>
    <w:rsid w:val="00BD4E35"/>
    <w:rsid w:val="00BE34CA"/>
    <w:rsid w:val="00BF116A"/>
    <w:rsid w:val="00C0623C"/>
    <w:rsid w:val="00C06A07"/>
    <w:rsid w:val="00C132B6"/>
    <w:rsid w:val="00C21A6C"/>
    <w:rsid w:val="00C24A10"/>
    <w:rsid w:val="00C27003"/>
    <w:rsid w:val="00C27597"/>
    <w:rsid w:val="00C32BD4"/>
    <w:rsid w:val="00C33E48"/>
    <w:rsid w:val="00C3618B"/>
    <w:rsid w:val="00C403FB"/>
    <w:rsid w:val="00C4316E"/>
    <w:rsid w:val="00C441A2"/>
    <w:rsid w:val="00C5076B"/>
    <w:rsid w:val="00C512D4"/>
    <w:rsid w:val="00C51CF4"/>
    <w:rsid w:val="00C531E2"/>
    <w:rsid w:val="00C53204"/>
    <w:rsid w:val="00C57E34"/>
    <w:rsid w:val="00C64659"/>
    <w:rsid w:val="00C662E9"/>
    <w:rsid w:val="00C66C2D"/>
    <w:rsid w:val="00C7190B"/>
    <w:rsid w:val="00C76852"/>
    <w:rsid w:val="00C77210"/>
    <w:rsid w:val="00C777FA"/>
    <w:rsid w:val="00C77989"/>
    <w:rsid w:val="00C811F4"/>
    <w:rsid w:val="00C81E51"/>
    <w:rsid w:val="00C87B73"/>
    <w:rsid w:val="00C92444"/>
    <w:rsid w:val="00C92FBB"/>
    <w:rsid w:val="00C93327"/>
    <w:rsid w:val="00C97B4D"/>
    <w:rsid w:val="00CA5602"/>
    <w:rsid w:val="00CA5CA9"/>
    <w:rsid w:val="00CA78E2"/>
    <w:rsid w:val="00CB1BBE"/>
    <w:rsid w:val="00CB65DB"/>
    <w:rsid w:val="00CB6BD9"/>
    <w:rsid w:val="00CC293A"/>
    <w:rsid w:val="00CE19F6"/>
    <w:rsid w:val="00CE6B76"/>
    <w:rsid w:val="00CF366B"/>
    <w:rsid w:val="00CF5D9D"/>
    <w:rsid w:val="00CF606C"/>
    <w:rsid w:val="00CF7423"/>
    <w:rsid w:val="00D001F5"/>
    <w:rsid w:val="00D03E80"/>
    <w:rsid w:val="00D1505F"/>
    <w:rsid w:val="00D15B9F"/>
    <w:rsid w:val="00D15DD6"/>
    <w:rsid w:val="00D25548"/>
    <w:rsid w:val="00D2601F"/>
    <w:rsid w:val="00D27759"/>
    <w:rsid w:val="00D30028"/>
    <w:rsid w:val="00D325D3"/>
    <w:rsid w:val="00D408D6"/>
    <w:rsid w:val="00D511DD"/>
    <w:rsid w:val="00D55C2A"/>
    <w:rsid w:val="00D571C1"/>
    <w:rsid w:val="00D602F4"/>
    <w:rsid w:val="00D6457E"/>
    <w:rsid w:val="00D742E2"/>
    <w:rsid w:val="00D7580E"/>
    <w:rsid w:val="00D87DAF"/>
    <w:rsid w:val="00D9446D"/>
    <w:rsid w:val="00DA2994"/>
    <w:rsid w:val="00DB08E8"/>
    <w:rsid w:val="00DB0DED"/>
    <w:rsid w:val="00DB3073"/>
    <w:rsid w:val="00DB3BA9"/>
    <w:rsid w:val="00DB50FE"/>
    <w:rsid w:val="00DB5EDA"/>
    <w:rsid w:val="00DC2349"/>
    <w:rsid w:val="00DC3026"/>
    <w:rsid w:val="00DD1EDB"/>
    <w:rsid w:val="00DD57AA"/>
    <w:rsid w:val="00DE1578"/>
    <w:rsid w:val="00DE7F67"/>
    <w:rsid w:val="00DF0529"/>
    <w:rsid w:val="00DF09EF"/>
    <w:rsid w:val="00DF0D0F"/>
    <w:rsid w:val="00DF13D6"/>
    <w:rsid w:val="00DF27D6"/>
    <w:rsid w:val="00DF2BEA"/>
    <w:rsid w:val="00DF4488"/>
    <w:rsid w:val="00DF5B98"/>
    <w:rsid w:val="00DF6FA8"/>
    <w:rsid w:val="00DF701E"/>
    <w:rsid w:val="00DF7BE5"/>
    <w:rsid w:val="00E00D49"/>
    <w:rsid w:val="00E019A8"/>
    <w:rsid w:val="00E03A46"/>
    <w:rsid w:val="00E03C6D"/>
    <w:rsid w:val="00E0476F"/>
    <w:rsid w:val="00E04899"/>
    <w:rsid w:val="00E0796F"/>
    <w:rsid w:val="00E10948"/>
    <w:rsid w:val="00E24371"/>
    <w:rsid w:val="00E243AB"/>
    <w:rsid w:val="00E26641"/>
    <w:rsid w:val="00E2778F"/>
    <w:rsid w:val="00E278B0"/>
    <w:rsid w:val="00E33023"/>
    <w:rsid w:val="00E331F3"/>
    <w:rsid w:val="00E3498D"/>
    <w:rsid w:val="00E42425"/>
    <w:rsid w:val="00E43E55"/>
    <w:rsid w:val="00E4554E"/>
    <w:rsid w:val="00E46D22"/>
    <w:rsid w:val="00E4768F"/>
    <w:rsid w:val="00E53C0E"/>
    <w:rsid w:val="00E54F7E"/>
    <w:rsid w:val="00E560CE"/>
    <w:rsid w:val="00E5674E"/>
    <w:rsid w:val="00E63783"/>
    <w:rsid w:val="00E650E2"/>
    <w:rsid w:val="00E75CAD"/>
    <w:rsid w:val="00E76922"/>
    <w:rsid w:val="00E8595B"/>
    <w:rsid w:val="00E915EC"/>
    <w:rsid w:val="00EA11B1"/>
    <w:rsid w:val="00EA2224"/>
    <w:rsid w:val="00EA7194"/>
    <w:rsid w:val="00EB1329"/>
    <w:rsid w:val="00EB2987"/>
    <w:rsid w:val="00EB2D75"/>
    <w:rsid w:val="00EB34BE"/>
    <w:rsid w:val="00EB571A"/>
    <w:rsid w:val="00EC2804"/>
    <w:rsid w:val="00EC6117"/>
    <w:rsid w:val="00EC6138"/>
    <w:rsid w:val="00ED1DCF"/>
    <w:rsid w:val="00ED43C9"/>
    <w:rsid w:val="00EE2C60"/>
    <w:rsid w:val="00EE2E58"/>
    <w:rsid w:val="00EE487A"/>
    <w:rsid w:val="00EE734C"/>
    <w:rsid w:val="00EF6907"/>
    <w:rsid w:val="00EF6D91"/>
    <w:rsid w:val="00F01F54"/>
    <w:rsid w:val="00F04D4D"/>
    <w:rsid w:val="00F11DD8"/>
    <w:rsid w:val="00F12745"/>
    <w:rsid w:val="00F13766"/>
    <w:rsid w:val="00F20A77"/>
    <w:rsid w:val="00F22C60"/>
    <w:rsid w:val="00F231A4"/>
    <w:rsid w:val="00F23252"/>
    <w:rsid w:val="00F27B2A"/>
    <w:rsid w:val="00F31762"/>
    <w:rsid w:val="00F345D3"/>
    <w:rsid w:val="00F356ED"/>
    <w:rsid w:val="00F359B5"/>
    <w:rsid w:val="00F4144F"/>
    <w:rsid w:val="00F433F3"/>
    <w:rsid w:val="00F47F64"/>
    <w:rsid w:val="00F522D9"/>
    <w:rsid w:val="00F52F54"/>
    <w:rsid w:val="00F53584"/>
    <w:rsid w:val="00F61B24"/>
    <w:rsid w:val="00F62DE5"/>
    <w:rsid w:val="00F63F8A"/>
    <w:rsid w:val="00F6514E"/>
    <w:rsid w:val="00F703DC"/>
    <w:rsid w:val="00F71D06"/>
    <w:rsid w:val="00F73B46"/>
    <w:rsid w:val="00F73D01"/>
    <w:rsid w:val="00F7642B"/>
    <w:rsid w:val="00F76A43"/>
    <w:rsid w:val="00F80334"/>
    <w:rsid w:val="00F8139D"/>
    <w:rsid w:val="00F83DF9"/>
    <w:rsid w:val="00F85DA0"/>
    <w:rsid w:val="00F930AF"/>
    <w:rsid w:val="00F9352C"/>
    <w:rsid w:val="00F975B0"/>
    <w:rsid w:val="00FA15F1"/>
    <w:rsid w:val="00FA19F5"/>
    <w:rsid w:val="00FA4A69"/>
    <w:rsid w:val="00FA649A"/>
    <w:rsid w:val="00FB1248"/>
    <w:rsid w:val="00FB208D"/>
    <w:rsid w:val="00FB3CF4"/>
    <w:rsid w:val="00FB4A27"/>
    <w:rsid w:val="00FB4A49"/>
    <w:rsid w:val="00FB69B3"/>
    <w:rsid w:val="00FC6FBE"/>
    <w:rsid w:val="00FD1162"/>
    <w:rsid w:val="00FD2232"/>
    <w:rsid w:val="00FD4AE7"/>
    <w:rsid w:val="00FD65A9"/>
    <w:rsid w:val="00FD7508"/>
    <w:rsid w:val="00FE1E51"/>
    <w:rsid w:val="00FE2496"/>
    <w:rsid w:val="00FE6A2B"/>
    <w:rsid w:val="00FF0275"/>
    <w:rsid w:val="00FF07B3"/>
    <w:rsid w:val="00FF1E37"/>
    <w:rsid w:val="014B1DB9"/>
    <w:rsid w:val="02DF48DE"/>
    <w:rsid w:val="02F120AB"/>
    <w:rsid w:val="030C4A00"/>
    <w:rsid w:val="032B5196"/>
    <w:rsid w:val="04C3537C"/>
    <w:rsid w:val="079004AC"/>
    <w:rsid w:val="07F9289A"/>
    <w:rsid w:val="08806C3D"/>
    <w:rsid w:val="09610D84"/>
    <w:rsid w:val="0BA148CA"/>
    <w:rsid w:val="0C1165C4"/>
    <w:rsid w:val="0D6D544B"/>
    <w:rsid w:val="0D966457"/>
    <w:rsid w:val="0DD136FE"/>
    <w:rsid w:val="0DE32578"/>
    <w:rsid w:val="0F6477A5"/>
    <w:rsid w:val="0F8E2C57"/>
    <w:rsid w:val="0FE56A1B"/>
    <w:rsid w:val="1059665E"/>
    <w:rsid w:val="10AC13BA"/>
    <w:rsid w:val="11980797"/>
    <w:rsid w:val="13AF02F7"/>
    <w:rsid w:val="13D535E6"/>
    <w:rsid w:val="145A6C1B"/>
    <w:rsid w:val="14B73493"/>
    <w:rsid w:val="167A2FF9"/>
    <w:rsid w:val="17E05399"/>
    <w:rsid w:val="18370315"/>
    <w:rsid w:val="18581C69"/>
    <w:rsid w:val="186D28E5"/>
    <w:rsid w:val="18A67276"/>
    <w:rsid w:val="18F352C2"/>
    <w:rsid w:val="19443734"/>
    <w:rsid w:val="19A82684"/>
    <w:rsid w:val="1ADA2BAE"/>
    <w:rsid w:val="1AEC0734"/>
    <w:rsid w:val="1B257D8F"/>
    <w:rsid w:val="1C203C3A"/>
    <w:rsid w:val="1DC44278"/>
    <w:rsid w:val="1DEF20B0"/>
    <w:rsid w:val="214243FA"/>
    <w:rsid w:val="21AD613C"/>
    <w:rsid w:val="22467189"/>
    <w:rsid w:val="237144AD"/>
    <w:rsid w:val="24682B47"/>
    <w:rsid w:val="25414BF4"/>
    <w:rsid w:val="257A14F5"/>
    <w:rsid w:val="25F46B95"/>
    <w:rsid w:val="26A579B1"/>
    <w:rsid w:val="27196C26"/>
    <w:rsid w:val="275B1B63"/>
    <w:rsid w:val="293013EE"/>
    <w:rsid w:val="29EF086F"/>
    <w:rsid w:val="2A014A0F"/>
    <w:rsid w:val="2C9A64FA"/>
    <w:rsid w:val="2CC2684E"/>
    <w:rsid w:val="2CE52810"/>
    <w:rsid w:val="2DF3306C"/>
    <w:rsid w:val="2EFFE297"/>
    <w:rsid w:val="2F3102FA"/>
    <w:rsid w:val="2F6F4117"/>
    <w:rsid w:val="301437CA"/>
    <w:rsid w:val="326D35AE"/>
    <w:rsid w:val="32791381"/>
    <w:rsid w:val="32D15A6C"/>
    <w:rsid w:val="349D1F0A"/>
    <w:rsid w:val="34D5344E"/>
    <w:rsid w:val="34DD0473"/>
    <w:rsid w:val="357F07D7"/>
    <w:rsid w:val="36795935"/>
    <w:rsid w:val="3B745E88"/>
    <w:rsid w:val="3C181CA7"/>
    <w:rsid w:val="3C684897"/>
    <w:rsid w:val="3F2B9AD6"/>
    <w:rsid w:val="400D3F51"/>
    <w:rsid w:val="40554C62"/>
    <w:rsid w:val="40F71E76"/>
    <w:rsid w:val="41867DB9"/>
    <w:rsid w:val="41C6204F"/>
    <w:rsid w:val="433E495C"/>
    <w:rsid w:val="43B5081A"/>
    <w:rsid w:val="455B1B42"/>
    <w:rsid w:val="462D019F"/>
    <w:rsid w:val="46815C3F"/>
    <w:rsid w:val="46DD75EF"/>
    <w:rsid w:val="485750B8"/>
    <w:rsid w:val="489F2FD7"/>
    <w:rsid w:val="48A37547"/>
    <w:rsid w:val="4AC27CB3"/>
    <w:rsid w:val="4B3E7A7A"/>
    <w:rsid w:val="4BF72BEF"/>
    <w:rsid w:val="4DF9232E"/>
    <w:rsid w:val="4F362CDD"/>
    <w:rsid w:val="4FA90297"/>
    <w:rsid w:val="4FC41A43"/>
    <w:rsid w:val="5199401E"/>
    <w:rsid w:val="51DB3C59"/>
    <w:rsid w:val="526A0B4D"/>
    <w:rsid w:val="54C63DB8"/>
    <w:rsid w:val="550C0952"/>
    <w:rsid w:val="5552451B"/>
    <w:rsid w:val="55762E42"/>
    <w:rsid w:val="57982B95"/>
    <w:rsid w:val="57A7B272"/>
    <w:rsid w:val="58470068"/>
    <w:rsid w:val="58747CAC"/>
    <w:rsid w:val="599A4FFB"/>
    <w:rsid w:val="59AA67C3"/>
    <w:rsid w:val="5A1720F9"/>
    <w:rsid w:val="5B9C37C2"/>
    <w:rsid w:val="5BA7C654"/>
    <w:rsid w:val="5BCB4C43"/>
    <w:rsid w:val="5CA53D57"/>
    <w:rsid w:val="5CD96157"/>
    <w:rsid w:val="5DF62305"/>
    <w:rsid w:val="5E6836EA"/>
    <w:rsid w:val="5F285448"/>
    <w:rsid w:val="60A54109"/>
    <w:rsid w:val="61D01CDF"/>
    <w:rsid w:val="647F694C"/>
    <w:rsid w:val="64C0607C"/>
    <w:rsid w:val="65756C86"/>
    <w:rsid w:val="673E3FB1"/>
    <w:rsid w:val="674D385B"/>
    <w:rsid w:val="676F09E1"/>
    <w:rsid w:val="6833B920"/>
    <w:rsid w:val="6F3EB3C5"/>
    <w:rsid w:val="6FFFAEFB"/>
    <w:rsid w:val="7011081F"/>
    <w:rsid w:val="70787163"/>
    <w:rsid w:val="714919E0"/>
    <w:rsid w:val="71793A80"/>
    <w:rsid w:val="7357290B"/>
    <w:rsid w:val="761973B3"/>
    <w:rsid w:val="77872B15"/>
    <w:rsid w:val="78577FED"/>
    <w:rsid w:val="78DFF169"/>
    <w:rsid w:val="78FC6FBA"/>
    <w:rsid w:val="798524E4"/>
    <w:rsid w:val="798F07F7"/>
    <w:rsid w:val="7A307549"/>
    <w:rsid w:val="7A7F1C49"/>
    <w:rsid w:val="7ADB2B21"/>
    <w:rsid w:val="7B5B7AE6"/>
    <w:rsid w:val="7B7B6628"/>
    <w:rsid w:val="7BA7071E"/>
    <w:rsid w:val="7BAA756B"/>
    <w:rsid w:val="7BB804E6"/>
    <w:rsid w:val="7BDF6DA8"/>
    <w:rsid w:val="7BDF7589"/>
    <w:rsid w:val="7BF7143C"/>
    <w:rsid w:val="7C7EDC1A"/>
    <w:rsid w:val="7CCED98D"/>
    <w:rsid w:val="7D08410F"/>
    <w:rsid w:val="7D2759BE"/>
    <w:rsid w:val="7DB96DED"/>
    <w:rsid w:val="7DD3AD81"/>
    <w:rsid w:val="7F7FE70F"/>
    <w:rsid w:val="7FFF772F"/>
    <w:rsid w:val="95F35EF6"/>
    <w:rsid w:val="9BFFD860"/>
    <w:rsid w:val="AC5F73DE"/>
    <w:rsid w:val="B5DDD2C8"/>
    <w:rsid w:val="B9DFABD9"/>
    <w:rsid w:val="BC0D83FC"/>
    <w:rsid w:val="BF3BDEFB"/>
    <w:rsid w:val="C75F6086"/>
    <w:rsid w:val="C7F7ED2D"/>
    <w:rsid w:val="CFAF854E"/>
    <w:rsid w:val="D8D7928E"/>
    <w:rsid w:val="D8FE3136"/>
    <w:rsid w:val="DDDE60B7"/>
    <w:rsid w:val="DE9F6A22"/>
    <w:rsid w:val="DF4FCE6A"/>
    <w:rsid w:val="DFEEFE0E"/>
    <w:rsid w:val="E4FED278"/>
    <w:rsid w:val="EDAA365C"/>
    <w:rsid w:val="EDADFC12"/>
    <w:rsid w:val="F2FD229B"/>
    <w:rsid w:val="F72F7C6A"/>
    <w:rsid w:val="F7A7DC0D"/>
    <w:rsid w:val="F7F709E9"/>
    <w:rsid w:val="F7FF3690"/>
    <w:rsid w:val="F9BD3900"/>
    <w:rsid w:val="FB4F5EAB"/>
    <w:rsid w:val="FB7F9495"/>
    <w:rsid w:val="FBFD09E1"/>
    <w:rsid w:val="FC8B9876"/>
    <w:rsid w:val="FEDFF218"/>
    <w:rsid w:val="FEDFFFFF"/>
    <w:rsid w:val="FFD59634"/>
    <w:rsid w:val="FFDD38D9"/>
    <w:rsid w:val="FFE3E6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spacing w:before="100" w:beforeAutospacing="1" w:after="100" w:afterAutospacing="1"/>
      <w:outlineLvl w:val="1"/>
    </w:pPr>
    <w:rPr>
      <w:rFonts w:ascii="Cambria" w:hAnsi="Cambria" w:eastAsia="黑体"/>
      <w:b/>
      <w:bCs/>
      <w:kern w:val="0"/>
      <w:sz w:val="36"/>
      <w:szCs w:val="32"/>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200" w:firstLineChars="200"/>
    </w:pPr>
  </w:style>
  <w:style w:type="paragraph" w:styleId="4">
    <w:name w:val="Body Text Indent"/>
    <w:basedOn w:val="1"/>
    <w:qFormat/>
    <w:uiPriority w:val="0"/>
    <w:pPr>
      <w:ind w:firstLine="645"/>
    </w:pPr>
    <w:rPr>
      <w:rFonts w:ascii="仿宋_GB2312" w:hAnsi="Calibri" w:eastAsia="仿宋_GB2312"/>
      <w:sz w:val="32"/>
      <w:szCs w:val="32"/>
    </w:rPr>
  </w:style>
  <w:style w:type="paragraph" w:styleId="5">
    <w:name w:val="Date"/>
    <w:basedOn w:val="1"/>
    <w:next w:val="1"/>
    <w:qFormat/>
    <w:uiPriority w:val="0"/>
    <w:pPr>
      <w:ind w:left="100" w:leftChars="2500"/>
    </w:pPr>
  </w:style>
  <w:style w:type="paragraph" w:styleId="6">
    <w:name w:val="Balloon Text"/>
    <w:basedOn w:val="1"/>
    <w:semiHidden/>
    <w:qFormat/>
    <w:uiPriority w:val="0"/>
    <w:rPr>
      <w:sz w:val="18"/>
      <w:szCs w:val="18"/>
    </w:rPr>
  </w:style>
  <w:style w:type="paragraph" w:styleId="7">
    <w:name w:val="footer"/>
    <w:basedOn w:val="1"/>
    <w:link w:val="14"/>
    <w:qFormat/>
    <w:uiPriority w:val="0"/>
    <w:pPr>
      <w:tabs>
        <w:tab w:val="center" w:pos="4153"/>
        <w:tab w:val="right" w:pos="8306"/>
      </w:tabs>
      <w:snapToGrid w:val="0"/>
      <w:jc w:val="left"/>
    </w:pPr>
    <w:rPr>
      <w:sz w:val="18"/>
      <w:szCs w:val="18"/>
    </w:rPr>
  </w:style>
  <w:style w:type="paragraph" w:styleId="8">
    <w:name w:val="header"/>
    <w:basedOn w:val="1"/>
    <w:link w:val="15"/>
    <w:qFormat/>
    <w:uiPriority w:val="0"/>
    <w:pPr>
      <w:pBdr>
        <w:bottom w:val="single" w:color="auto" w:sz="6" w:space="1"/>
      </w:pBdr>
      <w:tabs>
        <w:tab w:val="center" w:pos="4153"/>
        <w:tab w:val="right" w:pos="8306"/>
      </w:tabs>
      <w:snapToGrid w:val="0"/>
      <w:jc w:val="center"/>
    </w:pPr>
    <w:rPr>
      <w:rFonts w:ascii="Calibri" w:hAnsi="Calibri"/>
      <w:sz w:val="18"/>
      <w:szCs w:val="18"/>
    </w:rPr>
  </w:style>
  <w:style w:type="paragraph" w:styleId="9">
    <w:name w:val="Normal (Web)"/>
    <w:basedOn w:val="1"/>
    <w:unhideWhenUsed/>
    <w:qFormat/>
    <w:uiPriority w:val="0"/>
    <w:pPr>
      <w:spacing w:before="100" w:beforeAutospacing="1" w:after="100" w:afterAutospacing="1"/>
      <w:ind w:right="238"/>
      <w:jc w:val="left"/>
    </w:pPr>
    <w:rPr>
      <w:b/>
      <w:kern w:val="0"/>
      <w:sz w:val="24"/>
      <w:szCs w:val="20"/>
    </w:rPr>
  </w:style>
  <w:style w:type="character" w:styleId="12">
    <w:name w:val="Strong"/>
    <w:qFormat/>
    <w:uiPriority w:val="0"/>
    <w:rPr>
      <w:b/>
    </w:rPr>
  </w:style>
  <w:style w:type="character" w:styleId="13">
    <w:name w:val="page number"/>
    <w:qFormat/>
    <w:uiPriority w:val="0"/>
  </w:style>
  <w:style w:type="character" w:customStyle="1" w:styleId="14">
    <w:name w:val="页脚 Char"/>
    <w:link w:val="7"/>
    <w:qFormat/>
    <w:uiPriority w:val="0"/>
    <w:rPr>
      <w:rFonts w:eastAsia="宋体"/>
      <w:kern w:val="2"/>
      <w:sz w:val="18"/>
      <w:szCs w:val="18"/>
      <w:lang w:val="en-US" w:eastAsia="zh-CN" w:bidi="ar-SA"/>
    </w:rPr>
  </w:style>
  <w:style w:type="character" w:customStyle="1" w:styleId="15">
    <w:name w:val="页眉 Char"/>
    <w:link w:val="8"/>
    <w:qFormat/>
    <w:uiPriority w:val="0"/>
    <w:rPr>
      <w:rFonts w:ascii="Calibri" w:hAnsi="Calibri" w:eastAsia="宋体"/>
      <w:kern w:val="2"/>
      <w:sz w:val="18"/>
      <w:szCs w:val="18"/>
      <w:lang w:val="en-US" w:eastAsia="zh-CN" w:bidi="ar-SA"/>
    </w:rPr>
  </w:style>
  <w:style w:type="paragraph" w:customStyle="1" w:styleId="16">
    <w:name w:val="Char Char Char Char Char Char Char"/>
    <w:basedOn w:val="1"/>
    <w:qFormat/>
    <w:uiPriority w:val="0"/>
    <w:rPr>
      <w:rFonts w:ascii="Tahoma" w:hAnsi="Tahoma"/>
      <w:sz w:val="24"/>
      <w:szCs w:val="20"/>
    </w:rPr>
  </w:style>
  <w:style w:type="paragraph" w:customStyle="1" w:styleId="17">
    <w:name w:val="Char1 Char Char Char"/>
    <w:basedOn w:val="1"/>
    <w:qFormat/>
    <w:uiPriority w:val="0"/>
    <w:pPr>
      <w:widowControl/>
      <w:spacing w:after="160" w:line="240" w:lineRule="exact"/>
      <w:jc w:val="left"/>
    </w:pPr>
    <w:rPr>
      <w:szCs w:val="20"/>
    </w:rPr>
  </w:style>
  <w:style w:type="paragraph" w:customStyle="1" w:styleId="18">
    <w:name w:val="Char"/>
    <w:basedOn w:val="1"/>
    <w:qFormat/>
    <w:uiPriority w:val="0"/>
    <w:rPr>
      <w:rFonts w:ascii="Tahoma" w:hAnsi="Tahoma"/>
      <w:sz w:val="24"/>
      <w:szCs w:val="20"/>
    </w:rPr>
  </w:style>
  <w:style w:type="paragraph" w:customStyle="1" w:styleId="19">
    <w:name w:val="Char Char3 Char Char"/>
    <w:basedOn w:val="1"/>
    <w:qFormat/>
    <w:uiPriority w:val="0"/>
    <w:rPr>
      <w:szCs w:val="21"/>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收入</c:v>
                </c:pt>
              </c:strCache>
            </c:strRef>
          </c:tx>
          <c:explosion val="0"/>
          <c:dPt>
            <c:idx val="0"/>
            <c:bubble3D val="0"/>
          </c:dPt>
          <c:dPt>
            <c:idx val="1"/>
            <c:bubble3D val="0"/>
          </c:dPt>
          <c:dPt>
            <c:idx val="2"/>
            <c:bubble3D val="0"/>
          </c:dPt>
          <c:dPt>
            <c:idx val="3"/>
            <c:bubble3D val="0"/>
          </c:dPt>
          <c:dPt>
            <c:idx val="4"/>
            <c:bubble3D val="0"/>
          </c:dPt>
          <c:dPt>
            <c:idx val="5"/>
            <c:bubble3D val="0"/>
          </c:dPt>
          <c:dLbls>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Sheet1!$A$2:$A$7</c:f>
              <c:strCache>
                <c:ptCount val="6"/>
                <c:pt idx="0">
                  <c:v>财政拨款收入</c:v>
                </c:pt>
                <c:pt idx="1">
                  <c:v>上级补助收入</c:v>
                </c:pt>
                <c:pt idx="2">
                  <c:v>事业收入</c:v>
                </c:pt>
                <c:pt idx="3">
                  <c:v>经营收入</c:v>
                </c:pt>
                <c:pt idx="4">
                  <c:v>附属单位上缴</c:v>
                </c:pt>
                <c:pt idx="5">
                  <c:v>其他收入</c:v>
                </c:pt>
              </c:strCache>
            </c:strRef>
          </c:cat>
          <c:val>
            <c:numRef>
              <c:f>Sheet1!$B$2:$B$7</c:f>
              <c:numCache>
                <c:formatCode>General</c:formatCode>
                <c:ptCount val="6"/>
                <c:pt idx="0">
                  <c:v>3141.91</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300cf20c-29b6-402d-b9f6-7ac9f346ed96}"/>
      </c:ext>
    </c:extLst>
  </c:chart>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Sheet0!$B$1</c:f>
              <c:strCache>
                <c:ptCount val="1"/>
                <c:pt idx="0">
                  <c:v>支出</c:v>
                </c:pt>
              </c:strCache>
            </c:strRef>
          </c:tx>
          <c:explosion val="0"/>
          <c:dPt>
            <c:idx val="0"/>
            <c:bubble3D val="0"/>
            <c:spPr>
              <a:solidFill>
                <a:srgbClr val="4F81BD"/>
              </a:solidFill>
              <a:ln w="19050">
                <a:solidFill>
                  <a:srgbClr val="FFFFFF"/>
                </a:solidFill>
              </a:ln>
              <a:effectLst/>
            </c:spPr>
          </c:dPt>
          <c:dPt>
            <c:idx val="1"/>
            <c:bubble3D val="0"/>
            <c:spPr>
              <a:solidFill>
                <a:srgbClr val="C0504D"/>
              </a:solidFill>
              <a:ln w="19050">
                <a:solidFill>
                  <a:srgbClr val="FFFFFF"/>
                </a:solidFill>
              </a:ln>
              <a:effectLst/>
            </c:spPr>
          </c:dPt>
          <c:dPt>
            <c:idx val="2"/>
            <c:bubble3D val="0"/>
            <c:spPr>
              <a:solidFill>
                <a:srgbClr val="9BBB59"/>
              </a:solidFill>
              <a:ln w="19050">
                <a:solidFill>
                  <a:srgbClr val="FFFFFF"/>
                </a:solidFill>
              </a:ln>
              <a:effectLst/>
            </c:spPr>
          </c:dPt>
          <c:dPt>
            <c:idx val="3"/>
            <c:bubble3D val="0"/>
            <c:spPr>
              <a:solidFill>
                <a:srgbClr val="8064A2"/>
              </a:solidFill>
              <a:ln w="19050">
                <a:solidFill>
                  <a:srgbClr val="FFFFFF"/>
                </a:solidFill>
              </a:ln>
              <a:effectLst/>
            </c:spPr>
          </c:dPt>
          <c:dPt>
            <c:idx val="4"/>
            <c:bubble3D val="0"/>
            <c:spPr>
              <a:solidFill>
                <a:srgbClr val="4BACC6"/>
              </a:solidFill>
              <a:ln w="19050">
                <a:solidFill>
                  <a:srgbClr val="FFFFFF"/>
                </a:solidFill>
              </a:ln>
              <a:effectLst/>
            </c:spPr>
          </c:dPt>
          <c:dLbls>
            <c:dLbl>
              <c:idx val="2"/>
              <c:layout>
                <c:manualLayout>
                  <c:x val="-0.03900372940115"/>
                  <c:y val="0.0328271436107878"/>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dLbl>
              <c:idx val="4"/>
              <c:layout>
                <c:manualLayout>
                  <c:x val="0.0389887693586102"/>
                  <c:y val="0.0105112295100623"/>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A6A6A6">
                          <a:lumMod val="35000"/>
                          <a:lumOff val="65000"/>
                        </a:srgbClr>
                      </a:solidFill>
                      <a:prstDash val="solid"/>
                      <a:round/>
                    </a:ln>
                    <a:effectLst/>
                  </c:spPr>
                </c15:leaderLines>
              </c:ext>
            </c:extLst>
          </c:dLbls>
          <c:cat>
            <c:strRef>
              <c:f>Sheet0!$A$2:$A$6</c:f>
              <c:strCache>
                <c:ptCount val="5"/>
                <c:pt idx="0">
                  <c:v>基本支出</c:v>
                </c:pt>
                <c:pt idx="1">
                  <c:v>项目支出</c:v>
                </c:pt>
                <c:pt idx="2">
                  <c:v>上缴上级支出</c:v>
                </c:pt>
                <c:pt idx="3">
                  <c:v>经营支出</c:v>
                </c:pt>
                <c:pt idx="4">
                  <c:v>对附属单位补助支出</c:v>
                </c:pt>
              </c:strCache>
            </c:strRef>
          </c:cat>
          <c:val>
            <c:numRef>
              <c:f>Sheet0!$B$2:$B$6</c:f>
              <c:numCache>
                <c:formatCode>General</c:formatCode>
                <c:ptCount val="5"/>
                <c:pt idx="0">
                  <c:v>824.96</c:v>
                </c:pt>
                <c:pt idx="1">
                  <c:v>2430.44</c:v>
                </c:pt>
                <c:pt idx="2">
                  <c:v>0</c:v>
                </c:pt>
                <c:pt idx="3">
                  <c:v>0</c:v>
                </c:pt>
                <c:pt idx="4">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egendEntry>
        <c:idx val="0"/>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1"/>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2"/>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3"/>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4"/>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f84875c3-ecd5-4160-aab2-2d8d217e65fd}"/>
      </c:ext>
    </c:extLst>
  </c:chart>
  <c:spPr>
    <a:ln w="9525" cap="flat" cmpd="sng" algn="ctr">
      <a:solidFill>
        <a:srgbClr val="D9D9D9">
          <a:lumMod val="15000"/>
          <a:lumOff val="85000"/>
        </a:srgbClr>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23</Pages>
  <Words>3958</Words>
  <Characters>6108</Characters>
  <Lines>47</Lines>
  <Paragraphs>13</Paragraphs>
  <TotalTime>4</TotalTime>
  <ScaleCrop>false</ScaleCrop>
  <LinksUpToDate>false</LinksUpToDate>
  <CharactersWithSpaces>6191</CharactersWithSpaces>
  <Application>WPS Office_12.8.2.20327_F1E327BC-269C-435d-A152-05C5408002CA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2017-07-11T23:16:00Z</dcterms:created>
  <dc:creator>常程</dc:creator>
  <cp:lastModifiedBy>test</cp:lastModifiedBy>
  <cp:lastPrinted>2026-08-20T16:22:01Z</cp:lastPrinted>
  <dcterms:modified xsi:type="dcterms:W3CDTF">2026-08-20T16:25:47Z</dcterms:modified>
  <dc:title>北京市财政局关于做好向市人大常委会报送2015年度市级部门决算（草案）</dc:title>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2052-12.8.2.20327</vt:lpwstr>
  </property>
  <property fmtid="{D5CDD505-2E9C-101B-9397-08002B2CF9AE}" pid="3" name="ICV">
    <vt:lpwstr>435078ACFECC4A5A8A519EF4C3681114_13</vt:lpwstr>
  </property>
  <property fmtid="{D5CDD505-2E9C-101B-9397-08002B2CF9AE}" pid="4" name="KSOTemplateDocerSaveRecord">
    <vt:lpwstr>eyJoZGlkIjoiYjNlN2I2OGQxOGI1NmIxMWI3ZTg2MzgyOGIwNzE1YjAiLCJ1c2VySWQiOiI2NzgwOTI3MjgifQ==</vt:lpwstr>
  </property>
</Properties>
</file>