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A110C">
      <w:pPr>
        <w:jc w:val="center"/>
        <w:rPr>
          <w:rFonts w:ascii="仿宋_GB2312" w:eastAsia="仿宋_GB2312"/>
          <w:b/>
          <w:sz w:val="32"/>
          <w:szCs w:val="32"/>
        </w:rPr>
      </w:pPr>
    </w:p>
    <w:p w14:paraId="22913D3A">
      <w:pPr>
        <w:jc w:val="center"/>
        <w:rPr>
          <w:rFonts w:ascii="黑体" w:eastAsia="黑体"/>
          <w:sz w:val="72"/>
          <w:szCs w:val="72"/>
        </w:rPr>
      </w:pPr>
    </w:p>
    <w:p w14:paraId="5260F3FF">
      <w:pPr>
        <w:jc w:val="center"/>
        <w:rPr>
          <w:rFonts w:ascii="黑体" w:eastAsia="黑体"/>
          <w:sz w:val="72"/>
          <w:szCs w:val="72"/>
        </w:rPr>
      </w:pPr>
    </w:p>
    <w:p w14:paraId="1A2254FD">
      <w:pPr>
        <w:jc w:val="center"/>
        <w:rPr>
          <w:rFonts w:ascii="黑体" w:eastAsia="黑体"/>
          <w:sz w:val="72"/>
          <w:szCs w:val="72"/>
        </w:rPr>
      </w:pPr>
    </w:p>
    <w:p w14:paraId="6B9CB0DD">
      <w:pPr>
        <w:jc w:val="center"/>
        <w:rPr>
          <w:rFonts w:ascii="黑体" w:eastAsia="黑体"/>
          <w:sz w:val="72"/>
          <w:szCs w:val="72"/>
        </w:rPr>
      </w:pPr>
    </w:p>
    <w:p w14:paraId="428C13AC">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4B839E8A">
      <w:pPr>
        <w:jc w:val="center"/>
        <w:rPr>
          <w:rFonts w:ascii="黑体" w:eastAsia="黑体"/>
          <w:sz w:val="52"/>
          <w:szCs w:val="52"/>
        </w:rPr>
      </w:pPr>
    </w:p>
    <w:p w14:paraId="03151A21">
      <w:pPr>
        <w:jc w:val="center"/>
        <w:rPr>
          <w:rFonts w:ascii="黑体" w:eastAsia="黑体"/>
          <w:sz w:val="52"/>
          <w:szCs w:val="52"/>
        </w:rPr>
      </w:pPr>
    </w:p>
    <w:p w14:paraId="2771C5A0">
      <w:pPr>
        <w:jc w:val="center"/>
        <w:rPr>
          <w:rFonts w:ascii="黑体" w:eastAsia="黑体"/>
          <w:sz w:val="52"/>
          <w:szCs w:val="52"/>
        </w:rPr>
      </w:pPr>
    </w:p>
    <w:p w14:paraId="6BF644D8">
      <w:pPr>
        <w:jc w:val="center"/>
        <w:rPr>
          <w:rFonts w:ascii="黑体" w:eastAsia="黑体"/>
          <w:sz w:val="52"/>
          <w:szCs w:val="52"/>
        </w:rPr>
      </w:pPr>
    </w:p>
    <w:p w14:paraId="73046582">
      <w:pPr>
        <w:jc w:val="center"/>
        <w:rPr>
          <w:rFonts w:ascii="黑体" w:eastAsia="黑体"/>
          <w:sz w:val="32"/>
          <w:szCs w:val="32"/>
        </w:rPr>
      </w:pPr>
    </w:p>
    <w:p w14:paraId="1CE02CF9">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25293528">
      <w:pPr>
        <w:spacing w:line="500" w:lineRule="exact"/>
        <w:ind w:firstLine="645"/>
        <w:jc w:val="center"/>
        <w:rPr>
          <w:rFonts w:ascii="宋体" w:hAnsi="宋体" w:cs="宋体"/>
          <w:b/>
          <w:bCs/>
          <w:kern w:val="0"/>
          <w:sz w:val="36"/>
          <w:szCs w:val="36"/>
        </w:rPr>
      </w:pPr>
    </w:p>
    <w:p w14:paraId="35632F6C">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132203F9">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7E3B0C5A">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58A86BCB">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65712A6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11E0D625">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7AFAB5E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33DA75C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5401A1E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77ACE275">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516BB2F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18C69B2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728F5ADD">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24B6413A">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37C7B262">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7155004A">
      <w:pPr>
        <w:tabs>
          <w:tab w:val="center" w:pos="6979"/>
        </w:tabs>
        <w:spacing w:before="156" w:beforeLines="50" w:after="156" w:afterLines="50"/>
        <w:jc w:val="center"/>
        <w:rPr>
          <w:rFonts w:ascii="宋体" w:hAnsi="宋体" w:cs="宋体"/>
          <w:b/>
          <w:bCs/>
          <w:spacing w:val="40"/>
          <w:kern w:val="0"/>
          <w:sz w:val="32"/>
          <w:szCs w:val="32"/>
        </w:rPr>
      </w:pPr>
    </w:p>
    <w:p w14:paraId="45267CC4">
      <w:pPr>
        <w:tabs>
          <w:tab w:val="center" w:pos="6979"/>
        </w:tabs>
        <w:spacing w:before="156" w:beforeLines="50" w:after="156" w:afterLines="50"/>
        <w:jc w:val="center"/>
        <w:rPr>
          <w:rFonts w:ascii="宋体" w:hAnsi="宋体" w:cs="宋体"/>
          <w:b/>
          <w:bCs/>
          <w:spacing w:val="40"/>
          <w:kern w:val="0"/>
          <w:sz w:val="32"/>
          <w:szCs w:val="32"/>
        </w:rPr>
      </w:pPr>
    </w:p>
    <w:p w14:paraId="67B824EA">
      <w:pPr>
        <w:tabs>
          <w:tab w:val="center" w:pos="6979"/>
        </w:tabs>
        <w:spacing w:before="156" w:beforeLines="50" w:after="156" w:afterLines="50"/>
        <w:jc w:val="center"/>
        <w:rPr>
          <w:rFonts w:ascii="宋体" w:hAnsi="宋体" w:cs="宋体"/>
          <w:b/>
          <w:bCs/>
          <w:spacing w:val="40"/>
          <w:kern w:val="0"/>
          <w:sz w:val="32"/>
          <w:szCs w:val="32"/>
        </w:rPr>
      </w:pPr>
    </w:p>
    <w:p w14:paraId="56B2AD71">
      <w:pPr>
        <w:tabs>
          <w:tab w:val="center" w:pos="6979"/>
        </w:tabs>
        <w:spacing w:before="156" w:beforeLines="50" w:after="156" w:afterLines="50"/>
        <w:jc w:val="center"/>
        <w:rPr>
          <w:rFonts w:ascii="宋体" w:hAnsi="宋体" w:cs="宋体"/>
          <w:b/>
          <w:bCs/>
          <w:spacing w:val="40"/>
          <w:kern w:val="0"/>
          <w:sz w:val="32"/>
          <w:szCs w:val="32"/>
        </w:rPr>
      </w:pPr>
    </w:p>
    <w:p w14:paraId="23DF4606">
      <w:pPr>
        <w:tabs>
          <w:tab w:val="center" w:pos="6979"/>
        </w:tabs>
        <w:spacing w:before="156" w:beforeLines="50" w:after="156" w:afterLines="50"/>
        <w:jc w:val="center"/>
        <w:rPr>
          <w:rFonts w:ascii="宋体" w:hAnsi="宋体" w:cs="宋体"/>
          <w:b/>
          <w:bCs/>
          <w:spacing w:val="40"/>
          <w:kern w:val="0"/>
          <w:sz w:val="32"/>
          <w:szCs w:val="32"/>
        </w:rPr>
      </w:pPr>
    </w:p>
    <w:p w14:paraId="391DBC28">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68DE57F7">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056E6105">
      <w:pPr>
        <w:keepNext w:val="0"/>
        <w:keepLines w:val="0"/>
        <w:pageBreakBefore w:val="0"/>
        <w:tabs>
          <w:tab w:val="center" w:pos="6979"/>
        </w:tabs>
        <w:kinsoku/>
        <w:wordWrap/>
        <w:overflowPunct/>
        <w:topLinePunct w:val="0"/>
        <w:spacing w:line="560" w:lineRule="exact"/>
        <w:ind w:left="0"/>
        <w:jc w:val="center"/>
        <w:textAlignment w:val="auto"/>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3032CCA8">
      <w:pPr>
        <w:keepNext w:val="0"/>
        <w:keepLines w:val="0"/>
        <w:pageBreakBefore w:val="0"/>
        <w:tabs>
          <w:tab w:val="center" w:pos="6979"/>
        </w:tabs>
        <w:kinsoku/>
        <w:wordWrap/>
        <w:overflowPunct/>
        <w:topLinePunct w:val="0"/>
        <w:spacing w:line="560" w:lineRule="exact"/>
        <w:ind w:left="0" w:firstLine="548" w:firstLineChars="196"/>
        <w:textAlignment w:val="auto"/>
        <w:rPr>
          <w:rFonts w:ascii="黑体" w:eastAsia="黑体"/>
          <w:b/>
          <w:sz w:val="28"/>
          <w:szCs w:val="28"/>
        </w:rPr>
      </w:pPr>
      <w:r>
        <w:rPr>
          <w:rFonts w:hint="eastAsia" w:ascii="黑体" w:eastAsia="黑体"/>
          <w:b/>
          <w:sz w:val="28"/>
          <w:szCs w:val="28"/>
        </w:rPr>
        <w:t>一、部门基本情况</w:t>
      </w:r>
    </w:p>
    <w:p w14:paraId="4F04D372">
      <w:pPr>
        <w:keepNext w:val="0"/>
        <w:keepLines w:val="0"/>
        <w:pageBreakBefore w:val="0"/>
        <w:tabs>
          <w:tab w:val="center" w:pos="6979"/>
        </w:tabs>
        <w:kinsoku/>
        <w:wordWrap/>
        <w:overflowPunct/>
        <w:topLinePunct w:val="0"/>
        <w:spacing w:line="560" w:lineRule="exact"/>
        <w:ind w:left="0" w:firstLine="700" w:firstLineChars="250"/>
        <w:textAlignment w:val="auto"/>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276B6FF3">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贯彻落实国家、北京市有关机关事务管理服务的</w:t>
      </w:r>
      <w:r>
        <w:rPr>
          <w:rFonts w:hint="eastAsia" w:ascii="仿宋_GB2312" w:eastAsia="仿宋_GB2312"/>
          <w:sz w:val="28"/>
          <w:szCs w:val="28"/>
          <w:lang w:eastAsia="zh-CN"/>
        </w:rPr>
        <w:t>法律法规</w:t>
      </w:r>
      <w:r>
        <w:rPr>
          <w:rFonts w:hint="eastAsia" w:ascii="仿宋_GB2312" w:eastAsia="仿宋_GB2312"/>
          <w:sz w:val="28"/>
          <w:szCs w:val="28"/>
        </w:rPr>
        <w:t>和政策规定，牵头制定并组织实施本区相关制度。</w:t>
      </w:r>
    </w:p>
    <w:p w14:paraId="66ADFE26">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负责统一管理全区党政群、人大、政协机关，各镇街和区直属事业单位的办公用房。</w:t>
      </w:r>
    </w:p>
    <w:p w14:paraId="0A44B3B9">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负责统一管理全区党政群、人大、政协机关，各镇街和区直属事业单位的公务用车和区级执法车辆平台。</w:t>
      </w:r>
    </w:p>
    <w:p w14:paraId="0FD6C3AF">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负责全区节约型机关创建、公共机构节能管理工作。</w:t>
      </w:r>
    </w:p>
    <w:p w14:paraId="2AB99BE0">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负责</w:t>
      </w:r>
      <w:r>
        <w:rPr>
          <w:rFonts w:hint="eastAsia" w:ascii="仿宋_GB2312" w:eastAsia="仿宋_GB2312"/>
          <w:sz w:val="28"/>
          <w:szCs w:val="28"/>
          <w:lang w:eastAsia="zh-CN"/>
        </w:rPr>
        <w:t>区委、区政府</w:t>
      </w:r>
      <w:r>
        <w:rPr>
          <w:rFonts w:hint="eastAsia" w:ascii="仿宋_GB2312" w:eastAsia="仿宋_GB2312"/>
          <w:sz w:val="28"/>
          <w:szCs w:val="28"/>
        </w:rPr>
        <w:t>机关大院内生活垃圾分类工作。</w:t>
      </w:r>
    </w:p>
    <w:p w14:paraId="46EAC351">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负责</w:t>
      </w:r>
      <w:r>
        <w:rPr>
          <w:rFonts w:hint="eastAsia" w:ascii="仿宋_GB2312" w:eastAsia="仿宋_GB2312"/>
          <w:sz w:val="28"/>
          <w:szCs w:val="28"/>
          <w:lang w:eastAsia="zh-CN"/>
        </w:rPr>
        <w:t>区委、区政府</w:t>
      </w:r>
      <w:r>
        <w:rPr>
          <w:rFonts w:hint="eastAsia" w:ascii="仿宋_GB2312" w:eastAsia="仿宋_GB2312"/>
          <w:sz w:val="28"/>
          <w:szCs w:val="28"/>
        </w:rPr>
        <w:t>机关大院内基建、通讯设备、固定资产、水电暖维修保障、报纸报刊收发、会议室会议服务、就餐、安全保卫、消防、绿化美化、卫生保洁等服务保障工作。</w:t>
      </w:r>
    </w:p>
    <w:p w14:paraId="7617BE9A">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完成区委、区政府交办的其他任务。</w:t>
      </w:r>
    </w:p>
    <w:p w14:paraId="58A18E90">
      <w:pPr>
        <w:keepNext w:val="0"/>
        <w:keepLines w:val="0"/>
        <w:pageBreakBefore w:val="0"/>
        <w:tabs>
          <w:tab w:val="center" w:pos="6979"/>
        </w:tabs>
        <w:kinsoku/>
        <w:wordWrap/>
        <w:overflowPunct/>
        <w:topLinePunct w:val="0"/>
        <w:spacing w:line="560" w:lineRule="exact"/>
        <w:ind w:left="0" w:firstLine="700" w:firstLineChars="250"/>
        <w:textAlignment w:val="auto"/>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14:paraId="56B230E9">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lang w:val="en-US" w:eastAsia="zh-CN"/>
        </w:rPr>
      </w:pPr>
      <w:r>
        <w:rPr>
          <w:rFonts w:hint="eastAsia" w:ascii="仿宋_GB2312" w:eastAsia="仿宋_GB2312"/>
          <w:sz w:val="28"/>
          <w:szCs w:val="28"/>
        </w:rPr>
        <w:t>本部门共设8个内设机构，分别是办公室、办公用房管理科、公务用车管理科、</w:t>
      </w:r>
      <w:r>
        <w:rPr>
          <w:rFonts w:hint="eastAsia" w:ascii="仿宋_GB2312" w:eastAsia="仿宋_GB2312"/>
          <w:sz w:val="28"/>
          <w:szCs w:val="28"/>
          <w:lang w:eastAsia="zh-CN"/>
        </w:rPr>
        <w:t>公共机构节能管理科</w:t>
      </w:r>
      <w:r>
        <w:rPr>
          <w:rFonts w:hint="eastAsia" w:ascii="仿宋_GB2312" w:eastAsia="仿宋_GB2312"/>
          <w:sz w:val="28"/>
          <w:szCs w:val="28"/>
        </w:rPr>
        <w:t>、安全</w:t>
      </w:r>
      <w:r>
        <w:rPr>
          <w:rFonts w:hint="eastAsia" w:ascii="仿宋_GB2312" w:eastAsia="仿宋_GB2312"/>
          <w:sz w:val="28"/>
          <w:szCs w:val="28"/>
          <w:lang w:eastAsia="zh-CN"/>
        </w:rPr>
        <w:t>保卫</w:t>
      </w:r>
      <w:r>
        <w:rPr>
          <w:rFonts w:hint="eastAsia" w:ascii="仿宋_GB2312" w:eastAsia="仿宋_GB2312"/>
          <w:sz w:val="28"/>
          <w:szCs w:val="28"/>
        </w:rPr>
        <w:t>科、综合服务科、财务科、膳食科。下设0个事业单位。行政编制0名，事业编制51名。</w:t>
      </w:r>
    </w:p>
    <w:p w14:paraId="392D2733">
      <w:pPr>
        <w:keepNext w:val="0"/>
        <w:keepLines w:val="0"/>
        <w:pageBreakBefore w:val="0"/>
        <w:tabs>
          <w:tab w:val="center" w:pos="6979"/>
        </w:tabs>
        <w:kinsoku/>
        <w:wordWrap/>
        <w:overflowPunct/>
        <w:topLinePunct w:val="0"/>
        <w:spacing w:line="560" w:lineRule="exact"/>
        <w:ind w:left="0"/>
        <w:textAlignment w:val="auto"/>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14:paraId="08E98280">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2025年度收、支总计34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426.94元，比上年减少</w:t>
      </w:r>
      <w:r>
        <w:rPr>
          <w:rFonts w:hint="eastAsia" w:ascii="仿宋_GB2312" w:eastAsia="仿宋_GB2312"/>
          <w:sz w:val="28"/>
          <w:szCs w:val="28"/>
          <w:lang w:val="en-US" w:eastAsia="zh-CN"/>
        </w:rPr>
        <w:t>4,919,112.61</w:t>
      </w:r>
      <w:r>
        <w:rPr>
          <w:rFonts w:hint="eastAsia" w:ascii="仿宋_GB2312" w:eastAsia="仿宋_GB2312"/>
          <w:sz w:val="28"/>
          <w:szCs w:val="28"/>
        </w:rPr>
        <w:t>元，下降</w:t>
      </w:r>
      <w:r>
        <w:rPr>
          <w:rFonts w:hint="eastAsia" w:ascii="仿宋_GB2312" w:eastAsia="仿宋_GB2312"/>
          <w:sz w:val="28"/>
          <w:szCs w:val="28"/>
          <w:lang w:val="en-US" w:eastAsia="zh-CN"/>
        </w:rPr>
        <w:t>12.4</w:t>
      </w:r>
      <w:r>
        <w:rPr>
          <w:rFonts w:hint="eastAsia" w:ascii="仿宋_GB2312" w:eastAsia="仿宋_GB2312"/>
          <w:sz w:val="28"/>
          <w:szCs w:val="28"/>
        </w:rPr>
        <w:t>%。</w:t>
      </w:r>
    </w:p>
    <w:p w14:paraId="6ED5A7B8">
      <w:pPr>
        <w:keepNext w:val="0"/>
        <w:keepLines w:val="0"/>
        <w:pageBreakBefore w:val="0"/>
        <w:tabs>
          <w:tab w:val="center" w:pos="6979"/>
        </w:tabs>
        <w:kinsoku/>
        <w:wordWrap/>
        <w:overflowPunct/>
        <w:topLinePunct w:val="0"/>
        <w:spacing w:line="560" w:lineRule="exact"/>
        <w:ind w:left="0" w:firstLine="570"/>
        <w:textAlignment w:val="auto"/>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54EC8FEF">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2025年度本年收入合计34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426.94元，比上年减少</w:t>
      </w:r>
      <w:r>
        <w:rPr>
          <w:rFonts w:hint="eastAsia" w:ascii="仿宋_GB2312" w:eastAsia="仿宋_GB2312"/>
          <w:sz w:val="28"/>
          <w:szCs w:val="28"/>
          <w:lang w:val="en-US" w:eastAsia="zh-CN"/>
        </w:rPr>
        <w:t>4,919,112.61</w:t>
      </w:r>
      <w:r>
        <w:rPr>
          <w:rFonts w:hint="eastAsia" w:ascii="仿宋_GB2312" w:eastAsia="仿宋_GB2312"/>
          <w:sz w:val="28"/>
          <w:szCs w:val="28"/>
        </w:rPr>
        <w:t>元，下降</w:t>
      </w:r>
      <w:r>
        <w:rPr>
          <w:rFonts w:hint="eastAsia" w:ascii="仿宋_GB2312" w:eastAsia="仿宋_GB2312"/>
          <w:sz w:val="28"/>
          <w:szCs w:val="28"/>
          <w:lang w:val="en-US" w:eastAsia="zh-CN"/>
        </w:rPr>
        <w:t>12.4</w:t>
      </w:r>
      <w:r>
        <w:rPr>
          <w:rFonts w:hint="eastAsia" w:ascii="仿宋_GB2312" w:eastAsia="仿宋_GB2312"/>
          <w:sz w:val="28"/>
          <w:szCs w:val="28"/>
        </w:rPr>
        <w:t>%。</w:t>
      </w:r>
    </w:p>
    <w:p w14:paraId="50E70CF2">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1.财政拨款收入34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426.94元，占收入合计的100%。其中：一般公共预算财政拨款收入34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426.94元，占收入合计的100%；政府性基金预算财政拨款收入0元，占收入合计的0%；国有资本经营预算财政拨款收入0元，占收入合计的0%；</w:t>
      </w:r>
    </w:p>
    <w:p w14:paraId="086B4024">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2.上级补助收入0元，占收入合计的0%；</w:t>
      </w:r>
    </w:p>
    <w:p w14:paraId="1551FC01">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3.事业收入0元，占收入合计的0%；</w:t>
      </w:r>
    </w:p>
    <w:p w14:paraId="79848809">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4.经营收入0元，占收入合计的0%；</w:t>
      </w:r>
    </w:p>
    <w:p w14:paraId="6BF46FBD">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5.附属单位上缴收入0元，占收入合计的0%；</w:t>
      </w:r>
    </w:p>
    <w:p w14:paraId="3A1CB51D">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6.其他收入0元，占收入合计的0%。</w:t>
      </w:r>
    </w:p>
    <w:p w14:paraId="2EAB96B9">
      <w:pPr>
        <w:keepNext w:val="0"/>
        <w:keepLines w:val="0"/>
        <w:pageBreakBefore w:val="0"/>
        <w:tabs>
          <w:tab w:val="center" w:pos="6979"/>
        </w:tabs>
        <w:kinsoku/>
        <w:wordWrap/>
        <w:overflowPunct/>
        <w:topLinePunct w:val="0"/>
        <w:spacing w:line="560" w:lineRule="exact"/>
        <w:ind w:left="0" w:firstLine="570"/>
        <w:textAlignment w:val="auto"/>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546859DA">
      <w:pPr>
        <w:keepNext w:val="0"/>
        <w:keepLines w:val="0"/>
        <w:pageBreakBefore w:val="0"/>
        <w:tabs>
          <w:tab w:val="center" w:pos="6979"/>
        </w:tabs>
        <w:kinsoku/>
        <w:wordWrap/>
        <w:overflowPunct/>
        <w:topLinePunct w:val="0"/>
        <w:spacing w:line="560" w:lineRule="exact"/>
        <w:ind w:left="0" w:firstLine="570"/>
        <w:textAlignment w:val="auto"/>
        <w:rPr>
          <w:rFonts w:ascii="黑体" w:eastAsia="黑体"/>
          <w:b/>
          <w:sz w:val="28"/>
          <w:szCs w:val="28"/>
        </w:rPr>
      </w:pPr>
      <w:r>
        <w:rPr>
          <w:rFonts w:hint="eastAsia" w:ascii="仿宋_GB2312" w:eastAsia="仿宋_GB2312"/>
          <w:sz w:val="28"/>
          <w:szCs w:val="28"/>
        </w:rPr>
        <w:t>2025年度本年支出合计34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426.94元，比上年减少</w:t>
      </w:r>
      <w:r>
        <w:rPr>
          <w:rFonts w:hint="eastAsia" w:ascii="仿宋_GB2312" w:eastAsia="仿宋_GB2312"/>
          <w:sz w:val="28"/>
          <w:szCs w:val="28"/>
          <w:lang w:val="en-US" w:eastAsia="zh-CN"/>
        </w:rPr>
        <w:t>4,919,112.61</w:t>
      </w:r>
      <w:r>
        <w:rPr>
          <w:rFonts w:hint="eastAsia" w:ascii="仿宋_GB2312" w:eastAsia="仿宋_GB2312"/>
          <w:sz w:val="28"/>
          <w:szCs w:val="28"/>
        </w:rPr>
        <w:t>元，下降</w:t>
      </w:r>
      <w:r>
        <w:rPr>
          <w:rFonts w:hint="eastAsia" w:ascii="仿宋_GB2312" w:eastAsia="仿宋_GB2312"/>
          <w:sz w:val="28"/>
          <w:szCs w:val="28"/>
          <w:lang w:val="en-US" w:eastAsia="zh-CN"/>
        </w:rPr>
        <w:t>12.4</w:t>
      </w:r>
      <w:r>
        <w:rPr>
          <w:rFonts w:hint="eastAsia" w:ascii="仿宋_GB2312" w:eastAsia="仿宋_GB2312"/>
          <w:sz w:val="28"/>
          <w:szCs w:val="28"/>
        </w:rPr>
        <w:t>%，其中：基本支出22</w:t>
      </w:r>
      <w:r>
        <w:rPr>
          <w:rFonts w:hint="eastAsia" w:ascii="仿宋_GB2312" w:eastAsia="仿宋_GB2312"/>
          <w:sz w:val="28"/>
          <w:szCs w:val="28"/>
          <w:lang w:val="en-US" w:eastAsia="zh-CN"/>
        </w:rPr>
        <w:t>,</w:t>
      </w:r>
      <w:r>
        <w:rPr>
          <w:rFonts w:hint="eastAsia" w:ascii="仿宋_GB2312" w:eastAsia="仿宋_GB2312"/>
          <w:sz w:val="28"/>
          <w:szCs w:val="28"/>
        </w:rPr>
        <w:t>966</w:t>
      </w:r>
      <w:r>
        <w:rPr>
          <w:rFonts w:hint="eastAsia" w:ascii="仿宋_GB2312" w:eastAsia="仿宋_GB2312"/>
          <w:sz w:val="28"/>
          <w:szCs w:val="28"/>
          <w:lang w:val="en-US" w:eastAsia="zh-CN"/>
        </w:rPr>
        <w:t>,</w:t>
      </w:r>
      <w:r>
        <w:rPr>
          <w:rFonts w:hint="eastAsia" w:ascii="仿宋_GB2312" w:eastAsia="仿宋_GB2312"/>
          <w:sz w:val="28"/>
          <w:szCs w:val="28"/>
        </w:rPr>
        <w:t>918.88元，占支出合计的66%；项目支出11</w:t>
      </w:r>
      <w:r>
        <w:rPr>
          <w:rFonts w:hint="eastAsia" w:ascii="仿宋_GB2312" w:eastAsia="仿宋_GB2312"/>
          <w:sz w:val="28"/>
          <w:szCs w:val="28"/>
          <w:lang w:val="en-US" w:eastAsia="zh-CN"/>
        </w:rPr>
        <w:t>,</w:t>
      </w:r>
      <w:r>
        <w:rPr>
          <w:rFonts w:hint="eastAsia" w:ascii="仿宋_GB2312" w:eastAsia="仿宋_GB2312"/>
          <w:sz w:val="28"/>
          <w:szCs w:val="28"/>
        </w:rPr>
        <w:t>830</w:t>
      </w:r>
      <w:r>
        <w:rPr>
          <w:rFonts w:hint="eastAsia" w:ascii="仿宋_GB2312" w:eastAsia="仿宋_GB2312"/>
          <w:sz w:val="28"/>
          <w:szCs w:val="28"/>
          <w:lang w:val="en-US" w:eastAsia="zh-CN"/>
        </w:rPr>
        <w:t>,</w:t>
      </w:r>
      <w:r>
        <w:rPr>
          <w:rFonts w:hint="eastAsia" w:ascii="仿宋_GB2312" w:eastAsia="仿宋_GB2312"/>
          <w:sz w:val="28"/>
          <w:szCs w:val="28"/>
        </w:rPr>
        <w:t>508.06元，占支出合计的34%</w:t>
      </w:r>
      <w:r>
        <w:rPr>
          <w:rFonts w:hint="eastAsia" w:ascii="仿宋_GB2312" w:eastAsia="仿宋_GB2312"/>
          <w:sz w:val="28"/>
          <w:szCs w:val="28"/>
          <w:lang w:eastAsia="zh-CN"/>
        </w:rPr>
        <w:t>；</w:t>
      </w:r>
      <w:r>
        <w:rPr>
          <w:rFonts w:hint="eastAsia" w:ascii="仿宋_GB2312" w:eastAsia="仿宋_GB2312"/>
          <w:sz w:val="28"/>
          <w:szCs w:val="28"/>
        </w:rPr>
        <w:t>上缴上级支出0元，占支出合计的0%；经营支出0元，占支出合计的0%；对附属单位补助支出0元，占支出合计的0%。</w:t>
      </w:r>
    </w:p>
    <w:p w14:paraId="3844E456">
      <w:pPr>
        <w:keepNext w:val="0"/>
        <w:keepLines w:val="0"/>
        <w:pageBreakBefore w:val="0"/>
        <w:tabs>
          <w:tab w:val="center" w:pos="6979"/>
        </w:tabs>
        <w:kinsoku/>
        <w:wordWrap/>
        <w:overflowPunct/>
        <w:topLinePunct w:val="0"/>
        <w:spacing w:line="560" w:lineRule="exact"/>
        <w:ind w:left="0" w:firstLine="548" w:firstLineChars="196"/>
        <w:textAlignment w:val="auto"/>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7D40BED4">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2025年度财政拨款收、支总计34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426.94元，比上年减少4,919,112.61元，下降12.4%。主要原因：</w:t>
      </w:r>
      <w:r>
        <w:rPr>
          <w:rFonts w:hint="eastAsia" w:ascii="仿宋_GB2312" w:eastAsia="仿宋_GB2312"/>
          <w:sz w:val="28"/>
          <w:szCs w:val="28"/>
          <w:lang w:val="en-US" w:eastAsia="zh-CN"/>
        </w:rPr>
        <w:t>落实过紧日子要求，减少非急需非刚性支出。</w:t>
      </w:r>
    </w:p>
    <w:p w14:paraId="59494784">
      <w:pPr>
        <w:keepNext w:val="0"/>
        <w:keepLines w:val="0"/>
        <w:pageBreakBefore w:val="0"/>
        <w:kinsoku/>
        <w:wordWrap/>
        <w:overflowPunct/>
        <w:topLinePunct w:val="0"/>
        <w:autoSpaceDE w:val="0"/>
        <w:autoSpaceDN w:val="0"/>
        <w:adjustRightInd w:val="0"/>
        <w:spacing w:line="560" w:lineRule="exact"/>
        <w:ind w:left="0" w:firstLine="560" w:firstLineChars="200"/>
        <w:jc w:val="left"/>
        <w:textAlignment w:val="auto"/>
        <w:rPr>
          <w:rFonts w:ascii="仿宋_GB2312" w:eastAsia="仿宋_GB2312"/>
          <w:sz w:val="28"/>
          <w:szCs w:val="28"/>
        </w:rPr>
      </w:pPr>
      <w:r>
        <w:rPr>
          <w:rFonts w:hint="eastAsia" w:ascii="仿宋_GB2312" w:eastAsia="仿宋_GB2312"/>
          <w:sz w:val="28"/>
          <w:szCs w:val="28"/>
        </w:rPr>
        <w:t>（一）一般公共预算财政拨款支出决算总体情况</w:t>
      </w:r>
    </w:p>
    <w:p w14:paraId="50D373CE">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lang w:val="en-US" w:eastAsia="zh-CN"/>
        </w:rPr>
      </w:pPr>
      <w:r>
        <w:rPr>
          <w:rFonts w:hint="eastAsia" w:ascii="仿宋_GB2312" w:eastAsia="仿宋_GB2312"/>
          <w:sz w:val="28"/>
          <w:szCs w:val="28"/>
        </w:rPr>
        <w:t>2025年度一般公共预算财政拨款支出34</w:t>
      </w:r>
      <w:r>
        <w:rPr>
          <w:rFonts w:hint="eastAsia" w:ascii="仿宋_GB2312" w:eastAsia="仿宋_GB2312"/>
          <w:sz w:val="28"/>
          <w:szCs w:val="28"/>
          <w:lang w:val="en-US" w:eastAsia="zh-CN"/>
        </w:rPr>
        <w:t>,</w:t>
      </w:r>
      <w:r>
        <w:rPr>
          <w:rFonts w:hint="eastAsia" w:ascii="仿宋_GB2312" w:eastAsia="仿宋_GB2312"/>
          <w:sz w:val="28"/>
          <w:szCs w:val="28"/>
        </w:rPr>
        <w:t>797</w:t>
      </w:r>
      <w:r>
        <w:rPr>
          <w:rFonts w:hint="eastAsia" w:ascii="仿宋_GB2312" w:eastAsia="仿宋_GB2312"/>
          <w:sz w:val="28"/>
          <w:szCs w:val="28"/>
          <w:lang w:val="en-US" w:eastAsia="zh-CN"/>
        </w:rPr>
        <w:t>,</w:t>
      </w:r>
      <w:r>
        <w:rPr>
          <w:rFonts w:hint="eastAsia" w:ascii="仿宋_GB2312" w:eastAsia="仿宋_GB2312"/>
          <w:sz w:val="28"/>
          <w:szCs w:val="28"/>
        </w:rPr>
        <w:t>426.94元，主要用于以下方面（按大类）</w:t>
      </w:r>
      <w:r>
        <w:rPr>
          <w:rFonts w:hint="eastAsia" w:ascii="仿宋_GB2312" w:eastAsia="仿宋_GB2312"/>
          <w:sz w:val="28"/>
          <w:szCs w:val="28"/>
          <w:lang w:eastAsia="zh-CN"/>
        </w:rPr>
        <w:t>：</w:t>
      </w:r>
      <w:r>
        <w:rPr>
          <w:rFonts w:hint="eastAsia" w:ascii="仿宋_GB2312" w:eastAsia="仿宋_GB2312"/>
          <w:sz w:val="28"/>
          <w:szCs w:val="28"/>
        </w:rPr>
        <w:t>一般公共服务支出34,713,886.94元，占本年财政拨款支出</w:t>
      </w:r>
      <w:r>
        <w:rPr>
          <w:rFonts w:hint="eastAsia" w:ascii="仿宋_GB2312" w:eastAsia="仿宋_GB2312"/>
          <w:sz w:val="28"/>
          <w:szCs w:val="28"/>
          <w:lang w:val="en-US" w:eastAsia="zh-CN"/>
        </w:rPr>
        <w:t>99.8</w:t>
      </w:r>
      <w:r>
        <w:rPr>
          <w:rFonts w:hint="eastAsia" w:ascii="仿宋_GB2312" w:eastAsia="仿宋_GB2312"/>
          <w:sz w:val="28"/>
          <w:szCs w:val="28"/>
        </w:rPr>
        <w:t>%；社会保障和就业支出79,190.00</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0.2</w:t>
      </w:r>
      <w:r>
        <w:rPr>
          <w:rFonts w:hint="eastAsia" w:ascii="仿宋_GB2312" w:eastAsia="仿宋_GB2312"/>
          <w:sz w:val="28"/>
          <w:szCs w:val="28"/>
        </w:rPr>
        <w:t>%。</w:t>
      </w:r>
    </w:p>
    <w:p w14:paraId="5E5A13C9">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（二）一般公共预算财政拨款支出决算具体情况</w:t>
      </w:r>
    </w:p>
    <w:p w14:paraId="79256F6B">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lang w:eastAsia="zh-CN"/>
        </w:rPr>
        <w:t>1.</w:t>
      </w:r>
      <w:r>
        <w:rPr>
          <w:rFonts w:hint="eastAsia" w:ascii="仿宋_GB2312" w:eastAsia="仿宋_GB2312"/>
          <w:sz w:val="28"/>
          <w:szCs w:val="28"/>
        </w:rPr>
        <w:t>“一般公共服务支出”（类）2025年度年初预算30,151,274.69元，2025年度决算34,713,886.94元，完成年初预算的</w:t>
      </w:r>
      <w:r>
        <w:rPr>
          <w:rFonts w:hint="eastAsia" w:ascii="仿宋_GB2312" w:eastAsia="仿宋_GB2312"/>
          <w:sz w:val="28"/>
          <w:szCs w:val="28"/>
          <w:lang w:val="en-US" w:eastAsia="zh-CN"/>
        </w:rPr>
        <w:t>115.1</w:t>
      </w:r>
      <w:r>
        <w:rPr>
          <w:rFonts w:hint="eastAsia" w:ascii="仿宋_GB2312" w:eastAsia="仿宋_GB2312"/>
          <w:sz w:val="28"/>
          <w:szCs w:val="28"/>
        </w:rPr>
        <w:t>%。</w:t>
      </w:r>
    </w:p>
    <w:p w14:paraId="0DE501B3">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其中：</w:t>
      </w:r>
    </w:p>
    <w:p w14:paraId="779727A5">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highlight w:val="yellow"/>
        </w:rPr>
      </w:pPr>
      <w:r>
        <w:rPr>
          <w:rFonts w:hint="eastAsia" w:ascii="仿宋_GB2312" w:eastAsia="仿宋_GB2312"/>
          <w:sz w:val="28"/>
          <w:szCs w:val="28"/>
        </w:rPr>
        <w:t>“</w:t>
      </w:r>
      <w:r>
        <w:rPr>
          <w:rFonts w:hint="eastAsia" w:ascii="仿宋_GB2312" w:eastAsia="仿宋_GB2312"/>
          <w:sz w:val="28"/>
          <w:szCs w:val="28"/>
          <w:lang w:eastAsia="zh-CN"/>
        </w:rPr>
        <w:t>机关服务</w:t>
      </w:r>
      <w:r>
        <w:rPr>
          <w:rFonts w:hint="eastAsia" w:ascii="仿宋_GB2312" w:eastAsia="仿宋_GB2312"/>
          <w:sz w:val="28"/>
          <w:szCs w:val="28"/>
        </w:rPr>
        <w:t>”（款，下同）2025年度年初预算30,151,274.69元，2025年度决算34,713,886.94元，完成年初预算的</w:t>
      </w:r>
      <w:r>
        <w:rPr>
          <w:rFonts w:hint="eastAsia" w:ascii="仿宋_GB2312" w:eastAsia="仿宋_GB2312"/>
          <w:sz w:val="28"/>
          <w:szCs w:val="28"/>
          <w:lang w:val="en-US" w:eastAsia="zh-CN"/>
        </w:rPr>
        <w:t>115.1</w:t>
      </w:r>
      <w:r>
        <w:rPr>
          <w:rFonts w:hint="eastAsia" w:ascii="仿宋_GB2312" w:eastAsia="仿宋_GB2312"/>
          <w:sz w:val="28"/>
          <w:szCs w:val="28"/>
        </w:rPr>
        <w:t>%。</w:t>
      </w:r>
      <w:r>
        <w:rPr>
          <w:rFonts w:hint="eastAsia" w:ascii="仿宋_GB2312" w:eastAsia="仿宋_GB2312"/>
          <w:sz w:val="28"/>
          <w:szCs w:val="28"/>
          <w:highlight w:val="none"/>
        </w:rPr>
        <w:t>主要原因：</w:t>
      </w:r>
      <w:r>
        <w:rPr>
          <w:rFonts w:hint="eastAsia" w:ascii="仿宋_GB2312" w:eastAsia="仿宋_GB2312"/>
          <w:sz w:val="28"/>
          <w:szCs w:val="28"/>
          <w:lang w:val="en-US" w:eastAsia="zh-CN"/>
        </w:rPr>
        <w:t>落实过紧日子要求，</w:t>
      </w:r>
      <w:r>
        <w:rPr>
          <w:rFonts w:hint="eastAsia" w:ascii="仿宋_GB2312" w:eastAsia="仿宋_GB2312"/>
          <w:sz w:val="28"/>
          <w:szCs w:val="28"/>
          <w:highlight w:val="none"/>
          <w:lang w:val="en-US" w:eastAsia="zh-CN"/>
        </w:rPr>
        <w:t>项目支出按</w:t>
      </w:r>
      <w:r>
        <w:rPr>
          <w:rFonts w:hint="eastAsia" w:ascii="仿宋_GB2312" w:eastAsia="仿宋_GB2312"/>
          <w:sz w:val="28"/>
          <w:szCs w:val="28"/>
          <w:lang w:val="en-US" w:eastAsia="zh-CN"/>
        </w:rPr>
        <w:t>照比例45%下达</w:t>
      </w:r>
      <w:r>
        <w:rPr>
          <w:rFonts w:hint="eastAsia" w:ascii="仿宋_GB2312" w:eastAsia="仿宋_GB2312"/>
          <w:sz w:val="28"/>
          <w:szCs w:val="28"/>
          <w:highlight w:val="none"/>
        </w:rPr>
        <w:t>。</w:t>
      </w:r>
    </w:p>
    <w:p w14:paraId="5A97F25C">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lang w:eastAsia="zh-CN"/>
        </w:rPr>
        <w:t>2.</w:t>
      </w:r>
      <w:r>
        <w:rPr>
          <w:rFonts w:hint="eastAsia" w:ascii="仿宋_GB2312" w:eastAsia="仿宋_GB2312"/>
          <w:sz w:val="28"/>
          <w:szCs w:val="28"/>
        </w:rPr>
        <w:t>“社会保障和就业支出”</w:t>
      </w:r>
      <w:r>
        <w:rPr>
          <w:rFonts w:hint="eastAsia" w:ascii="仿宋_GB2312" w:eastAsia="仿宋_GB2312"/>
          <w:sz w:val="28"/>
          <w:szCs w:val="28"/>
          <w:lang w:eastAsia="zh-CN"/>
        </w:rPr>
        <w:t>（</w:t>
      </w:r>
      <w:r>
        <w:rPr>
          <w:rFonts w:hint="eastAsia" w:ascii="仿宋_GB2312" w:eastAsia="仿宋_GB2312"/>
          <w:sz w:val="28"/>
          <w:szCs w:val="28"/>
        </w:rPr>
        <w:t>类</w:t>
      </w:r>
      <w:r>
        <w:rPr>
          <w:rFonts w:hint="eastAsia" w:ascii="仿宋_GB2312" w:eastAsia="仿宋_GB2312"/>
          <w:sz w:val="28"/>
          <w:szCs w:val="28"/>
          <w:lang w:eastAsia="zh-CN"/>
        </w:rPr>
        <w:t>）</w:t>
      </w:r>
      <w:r>
        <w:rPr>
          <w:rFonts w:hint="eastAsia" w:ascii="仿宋_GB2312" w:eastAsia="仿宋_GB2312"/>
          <w:sz w:val="28"/>
          <w:szCs w:val="28"/>
        </w:rPr>
        <w:t>2025年度年初预算</w:t>
      </w:r>
      <w:r>
        <w:rPr>
          <w:rFonts w:hint="eastAsia" w:ascii="仿宋_GB2312" w:eastAsia="仿宋_GB2312"/>
          <w:sz w:val="28"/>
          <w:szCs w:val="28"/>
          <w:lang w:val="en-US" w:eastAsia="zh-CN"/>
        </w:rPr>
        <w:t>42,260.00</w:t>
      </w:r>
      <w:r>
        <w:rPr>
          <w:rFonts w:hint="eastAsia" w:ascii="仿宋_GB2312" w:eastAsia="仿宋_GB2312"/>
          <w:sz w:val="28"/>
          <w:szCs w:val="28"/>
        </w:rPr>
        <w:t>元，2025年度决算</w:t>
      </w:r>
      <w:r>
        <w:rPr>
          <w:rFonts w:hint="eastAsia" w:ascii="仿宋_GB2312" w:eastAsia="仿宋_GB2312"/>
          <w:sz w:val="28"/>
          <w:szCs w:val="28"/>
          <w:lang w:val="en-US" w:eastAsia="zh-CN"/>
        </w:rPr>
        <w:t>79,190.00</w:t>
      </w:r>
      <w:r>
        <w:rPr>
          <w:rFonts w:hint="eastAsia" w:ascii="仿宋_GB2312" w:eastAsia="仿宋_GB2312"/>
          <w:sz w:val="28"/>
          <w:szCs w:val="28"/>
        </w:rPr>
        <w:t>元，完成年初预算的</w:t>
      </w:r>
      <w:r>
        <w:rPr>
          <w:rFonts w:hint="eastAsia" w:ascii="仿宋_GB2312" w:eastAsia="仿宋_GB2312"/>
          <w:sz w:val="28"/>
          <w:szCs w:val="28"/>
          <w:lang w:val="en-US" w:eastAsia="zh-CN"/>
        </w:rPr>
        <w:t>187.2</w:t>
      </w:r>
      <w:r>
        <w:rPr>
          <w:rFonts w:hint="eastAsia" w:ascii="仿宋_GB2312" w:eastAsia="仿宋_GB2312"/>
          <w:sz w:val="28"/>
          <w:szCs w:val="28"/>
        </w:rPr>
        <w:t>%。其中：</w:t>
      </w:r>
    </w:p>
    <w:p w14:paraId="48F51EB0">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“事业单位离退休”（款）2025年度年初预算</w:t>
      </w:r>
      <w:r>
        <w:rPr>
          <w:rFonts w:hint="eastAsia" w:ascii="仿宋_GB2312" w:eastAsia="仿宋_GB2312"/>
          <w:sz w:val="28"/>
          <w:szCs w:val="28"/>
          <w:lang w:val="en-US" w:eastAsia="zh-CN"/>
        </w:rPr>
        <w:t>42,260.00</w:t>
      </w:r>
      <w:r>
        <w:rPr>
          <w:rFonts w:hint="eastAsia" w:ascii="仿宋_GB2312" w:eastAsia="仿宋_GB2312"/>
          <w:sz w:val="28"/>
          <w:szCs w:val="28"/>
        </w:rPr>
        <w:t>万元，2025年度决算</w:t>
      </w:r>
      <w:r>
        <w:rPr>
          <w:rFonts w:hint="eastAsia" w:ascii="仿宋_GB2312" w:eastAsia="仿宋_GB2312"/>
          <w:sz w:val="28"/>
          <w:szCs w:val="28"/>
          <w:lang w:val="en-US" w:eastAsia="zh-CN"/>
        </w:rPr>
        <w:t>79,190.00</w:t>
      </w:r>
      <w:r>
        <w:rPr>
          <w:rFonts w:hint="eastAsia" w:ascii="仿宋_GB2312" w:eastAsia="仿宋_GB2312"/>
          <w:sz w:val="28"/>
          <w:szCs w:val="28"/>
        </w:rPr>
        <w:t>元，完成年初预算的</w:t>
      </w:r>
      <w:r>
        <w:rPr>
          <w:rFonts w:hint="eastAsia" w:ascii="仿宋_GB2312" w:eastAsia="仿宋_GB2312"/>
          <w:sz w:val="28"/>
          <w:szCs w:val="28"/>
          <w:lang w:val="en-US" w:eastAsia="zh-CN"/>
        </w:rPr>
        <w:t>187.2</w:t>
      </w:r>
      <w:r>
        <w:rPr>
          <w:rFonts w:hint="eastAsia" w:ascii="仿宋_GB2312" w:eastAsia="仿宋_GB2312"/>
          <w:sz w:val="28"/>
          <w:szCs w:val="28"/>
        </w:rPr>
        <w:t>%。主要原因：</w:t>
      </w:r>
      <w:r>
        <w:rPr>
          <w:rFonts w:hint="eastAsia" w:ascii="仿宋_GB2312" w:eastAsia="仿宋_GB2312"/>
          <w:sz w:val="28"/>
          <w:szCs w:val="28"/>
          <w:lang w:eastAsia="zh-CN"/>
        </w:rPr>
        <w:t>本年度新增退休</w:t>
      </w:r>
      <w:r>
        <w:rPr>
          <w:rFonts w:hint="eastAsia" w:ascii="仿宋_GB2312" w:eastAsia="仿宋_GB2312"/>
          <w:sz w:val="28"/>
          <w:szCs w:val="28"/>
          <w:lang w:val="en-US" w:eastAsia="zh-CN"/>
        </w:rPr>
        <w:t>1人</w:t>
      </w:r>
      <w:r>
        <w:rPr>
          <w:rFonts w:hint="eastAsia" w:ascii="仿宋_GB2312" w:eastAsia="仿宋_GB2312"/>
          <w:sz w:val="28"/>
          <w:szCs w:val="28"/>
        </w:rPr>
        <w:t>。</w:t>
      </w:r>
    </w:p>
    <w:p w14:paraId="77730750">
      <w:pPr>
        <w:keepNext w:val="0"/>
        <w:keepLines w:val="0"/>
        <w:pageBreakBefore w:val="0"/>
        <w:tabs>
          <w:tab w:val="center" w:pos="6979"/>
        </w:tabs>
        <w:kinsoku/>
        <w:wordWrap/>
        <w:overflowPunct/>
        <w:topLinePunct w:val="0"/>
        <w:spacing w:line="560" w:lineRule="exact"/>
        <w:ind w:left="0" w:firstLine="570"/>
        <w:textAlignment w:val="auto"/>
        <w:rPr>
          <w:rFonts w:hint="eastAsia" w:ascii="仿宋_GB2312" w:eastAsia="仿宋_GB2312"/>
          <w:sz w:val="28"/>
          <w:szCs w:val="28"/>
        </w:rPr>
      </w:pPr>
      <w:r>
        <w:rPr>
          <w:rFonts w:hint="eastAsia" w:ascii="仿宋_GB2312" w:eastAsia="仿宋_GB2312"/>
          <w:sz w:val="28"/>
          <w:szCs w:val="28"/>
        </w:rPr>
        <w:t>“资源勘探工业信息等支出”（款）2025年度年初预算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元，2025年度决算4,350.00元，主要原因：</w:t>
      </w:r>
      <w:r>
        <w:rPr>
          <w:rFonts w:hint="eastAsia" w:ascii="仿宋_GB2312" w:eastAsia="仿宋_GB2312"/>
          <w:sz w:val="28"/>
          <w:szCs w:val="28"/>
          <w:lang w:val="en-US" w:eastAsia="zh-CN"/>
        </w:rPr>
        <w:t>因工作需要，购置信息化能力提升设备1台</w:t>
      </w:r>
      <w:r>
        <w:rPr>
          <w:rFonts w:hint="eastAsia" w:ascii="仿宋_GB2312" w:eastAsia="仿宋_GB2312"/>
          <w:sz w:val="28"/>
          <w:szCs w:val="28"/>
        </w:rPr>
        <w:t>。</w:t>
      </w:r>
    </w:p>
    <w:p w14:paraId="5BBCD025">
      <w:pPr>
        <w:keepNext w:val="0"/>
        <w:keepLines w:val="0"/>
        <w:pageBreakBefore w:val="0"/>
        <w:kinsoku/>
        <w:wordWrap/>
        <w:overflowPunct/>
        <w:topLinePunct w:val="0"/>
        <w:spacing w:line="560" w:lineRule="exact"/>
        <w:ind w:left="0" w:firstLine="560" w:firstLineChars="200"/>
        <w:textAlignment w:val="auto"/>
        <w:rPr>
          <w:rFonts w:ascii="仿宋_GB2312" w:eastAsia="仿宋_GB2312"/>
          <w:sz w:val="28"/>
          <w:szCs w:val="28"/>
        </w:rPr>
      </w:pPr>
      <w:r>
        <w:rPr>
          <w:rFonts w:hint="eastAsia" w:ascii="黑体" w:eastAsia="黑体"/>
          <w:b/>
          <w:sz w:val="28"/>
          <w:szCs w:val="28"/>
        </w:rPr>
        <w:t>五、政府性基金预算财政拨款支出决算情况说明</w:t>
      </w:r>
    </w:p>
    <w:p w14:paraId="59C2DE98">
      <w:pPr>
        <w:keepNext w:val="0"/>
        <w:keepLines w:val="0"/>
        <w:pageBreakBefore w:val="0"/>
        <w:kinsoku/>
        <w:wordWrap/>
        <w:overflowPunct/>
        <w:topLinePunct w:val="0"/>
        <w:spacing w:line="560" w:lineRule="exact"/>
        <w:ind w:left="0" w:firstLine="560" w:firstLineChars="200"/>
        <w:textAlignment w:val="auto"/>
        <w:rPr>
          <w:rFonts w:hint="eastAsia" w:ascii="仿宋_GB2312" w:eastAsia="仿宋_GB2312"/>
          <w:sz w:val="28"/>
          <w:szCs w:val="28"/>
          <w:lang w:eastAsia="zh-CN"/>
        </w:rPr>
      </w:pPr>
      <w:r>
        <w:rPr>
          <w:rFonts w:hint="eastAsia" w:ascii="仿宋_GB2312" w:eastAsia="仿宋_GB2312"/>
          <w:sz w:val="28"/>
          <w:szCs w:val="28"/>
          <w:lang w:eastAsia="zh-CN"/>
        </w:rPr>
        <w:t>本年度无此项支出。</w:t>
      </w:r>
    </w:p>
    <w:p w14:paraId="2989062B">
      <w:pPr>
        <w:keepNext w:val="0"/>
        <w:keepLines w:val="0"/>
        <w:pageBreakBefore w:val="0"/>
        <w:kinsoku/>
        <w:wordWrap/>
        <w:overflowPunct/>
        <w:topLinePunct w:val="0"/>
        <w:spacing w:line="560" w:lineRule="exact"/>
        <w:ind w:left="0" w:firstLine="560" w:firstLineChars="200"/>
        <w:textAlignment w:val="auto"/>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67066A1F">
      <w:pPr>
        <w:keepNext w:val="0"/>
        <w:keepLines w:val="0"/>
        <w:pageBreakBefore w:val="0"/>
        <w:kinsoku/>
        <w:wordWrap/>
        <w:overflowPunct/>
        <w:topLinePunct w:val="0"/>
        <w:spacing w:line="560" w:lineRule="exact"/>
        <w:ind w:left="0" w:firstLine="560" w:firstLineChars="200"/>
        <w:textAlignment w:val="auto"/>
        <w:rPr>
          <w:rFonts w:hint="eastAsia" w:ascii="仿宋_GB2312" w:eastAsia="仿宋_GB2312"/>
          <w:sz w:val="28"/>
          <w:szCs w:val="28"/>
          <w:lang w:eastAsia="zh-CN"/>
        </w:rPr>
      </w:pPr>
      <w:r>
        <w:rPr>
          <w:rFonts w:hint="eastAsia" w:ascii="仿宋_GB2312" w:eastAsia="仿宋_GB2312"/>
          <w:sz w:val="28"/>
          <w:szCs w:val="28"/>
          <w:lang w:eastAsia="zh-CN"/>
        </w:rPr>
        <w:t>本年度无此项支出。</w:t>
      </w:r>
    </w:p>
    <w:p w14:paraId="3D1B63CB">
      <w:pPr>
        <w:keepNext w:val="0"/>
        <w:keepLines w:val="0"/>
        <w:pageBreakBefore w:val="0"/>
        <w:kinsoku/>
        <w:wordWrap/>
        <w:overflowPunct/>
        <w:topLinePunct w:val="0"/>
        <w:spacing w:line="560" w:lineRule="exact"/>
        <w:ind w:left="0" w:firstLine="548" w:firstLineChars="196"/>
        <w:textAlignment w:val="auto"/>
        <w:rPr>
          <w:rFonts w:ascii="黑体" w:eastAsia="黑体"/>
          <w:sz w:val="28"/>
          <w:szCs w:val="28"/>
        </w:rPr>
      </w:pPr>
      <w:r>
        <w:rPr>
          <w:rFonts w:hint="eastAsia" w:ascii="黑体" w:eastAsia="黑体"/>
          <w:b/>
          <w:sz w:val="28"/>
          <w:szCs w:val="28"/>
        </w:rPr>
        <w:t>七、财政拨款基本支出决算情况说明</w:t>
      </w:r>
    </w:p>
    <w:p w14:paraId="17A097B1">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2025年度使用一般公共预算财政拨款安排基本支出22</w:t>
      </w:r>
      <w:r>
        <w:rPr>
          <w:rFonts w:hint="eastAsia" w:ascii="仿宋_GB2312" w:eastAsia="仿宋_GB2312"/>
          <w:sz w:val="28"/>
          <w:szCs w:val="28"/>
          <w:lang w:val="en-US" w:eastAsia="zh-CN"/>
        </w:rPr>
        <w:t>,</w:t>
      </w:r>
      <w:r>
        <w:rPr>
          <w:rFonts w:hint="eastAsia" w:ascii="仿宋_GB2312" w:eastAsia="仿宋_GB2312"/>
          <w:sz w:val="28"/>
          <w:szCs w:val="28"/>
        </w:rPr>
        <w:t>966</w:t>
      </w:r>
      <w:r>
        <w:rPr>
          <w:rFonts w:hint="eastAsia" w:ascii="仿宋_GB2312" w:eastAsia="仿宋_GB2312"/>
          <w:sz w:val="28"/>
          <w:szCs w:val="28"/>
          <w:lang w:val="en-US" w:eastAsia="zh-CN"/>
        </w:rPr>
        <w:t>,</w:t>
      </w:r>
      <w:r>
        <w:rPr>
          <w:rFonts w:hint="eastAsia" w:ascii="仿宋_GB2312" w:eastAsia="仿宋_GB2312"/>
          <w:sz w:val="28"/>
          <w:szCs w:val="28"/>
        </w:rPr>
        <w:t>918.88元，使用政府性基金财政拨款安排基本支出0元，</w:t>
      </w:r>
    </w:p>
    <w:p w14:paraId="2B468F82">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（1）工资福利支出包括基本工资、津贴补贴、奖金、伙食补助费、绩效工资、其他社会保障缴费、其他工资福利等支出12,009,433.59</w:t>
      </w:r>
      <w:r>
        <w:rPr>
          <w:rFonts w:hint="eastAsia" w:ascii="仿宋_GB2312" w:eastAsia="仿宋_GB2312"/>
          <w:sz w:val="28"/>
          <w:szCs w:val="28"/>
          <w:lang w:eastAsia="zh-CN"/>
        </w:rPr>
        <w:t>元</w:t>
      </w:r>
      <w:r>
        <w:rPr>
          <w:rFonts w:hint="eastAsia" w:ascii="仿宋_GB2312" w:eastAsia="仿宋_GB2312"/>
          <w:sz w:val="28"/>
          <w:szCs w:val="28"/>
        </w:rPr>
        <w:t>；</w:t>
      </w:r>
    </w:p>
    <w:p w14:paraId="2940693A">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2）商品和服务支出包括办公费、印刷费、手续费、水费、电费、邮电费、取暖费、物业管理费、差旅费、因公出国（境）费、维修（护）费、租赁费、会议费、培训费、公务接待费、专用材料费、劳务费、委托业务费、工会经费、福利费、公务用车运行维护费、其他交通费用、其他商品和服务等支出10,881,255.29</w:t>
      </w:r>
      <w:r>
        <w:rPr>
          <w:rFonts w:hint="eastAsia" w:ascii="仿宋_GB2312" w:eastAsia="仿宋_GB2312"/>
          <w:sz w:val="28"/>
          <w:szCs w:val="28"/>
          <w:lang w:eastAsia="zh-CN"/>
        </w:rPr>
        <w:t>元</w:t>
      </w:r>
      <w:r>
        <w:rPr>
          <w:rFonts w:hint="eastAsia" w:ascii="仿宋_GB2312" w:eastAsia="仿宋_GB2312"/>
          <w:sz w:val="28"/>
          <w:szCs w:val="28"/>
        </w:rPr>
        <w:t>；</w:t>
      </w:r>
    </w:p>
    <w:p w14:paraId="7AB50CFE">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（3）对个人和家庭补助支出包括离休费、退休费、抚恤金、生活补助、救济费、医疗费补助、助学金、奖励金、其他对个人和家庭的补助等支出76,230.00</w:t>
      </w:r>
      <w:r>
        <w:rPr>
          <w:rFonts w:hint="eastAsia" w:ascii="仿宋_GB2312" w:eastAsia="仿宋_GB2312"/>
          <w:sz w:val="28"/>
          <w:szCs w:val="28"/>
          <w:lang w:eastAsia="zh-CN"/>
        </w:rPr>
        <w:t>元</w:t>
      </w:r>
      <w:r>
        <w:rPr>
          <w:rFonts w:hint="eastAsia" w:ascii="仿宋_GB2312" w:eastAsia="仿宋_GB2312"/>
          <w:sz w:val="28"/>
          <w:szCs w:val="28"/>
        </w:rPr>
        <w:t>。</w:t>
      </w:r>
    </w:p>
    <w:p w14:paraId="1640787F">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（4）其他资本性支出包括办公设备购置、专用设备购置等</w:t>
      </w:r>
      <w:r>
        <w:rPr>
          <w:rFonts w:hint="eastAsia" w:ascii="仿宋_GB2312" w:eastAsia="仿宋_GB2312"/>
          <w:sz w:val="28"/>
          <w:szCs w:val="28"/>
          <w:lang w:val="en-US" w:eastAsia="zh-CN"/>
        </w:rPr>
        <w:t>0元</w:t>
      </w:r>
      <w:r>
        <w:rPr>
          <w:rFonts w:hint="eastAsia" w:ascii="仿宋_GB2312" w:eastAsia="仿宋_GB2312"/>
          <w:sz w:val="28"/>
          <w:szCs w:val="28"/>
        </w:rPr>
        <w:t>。</w:t>
      </w:r>
    </w:p>
    <w:p w14:paraId="70C60027">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p>
    <w:p w14:paraId="742A921C">
      <w:pPr>
        <w:keepNext w:val="0"/>
        <w:keepLines w:val="0"/>
        <w:pageBreakBefore w:val="0"/>
        <w:tabs>
          <w:tab w:val="center" w:pos="6979"/>
        </w:tabs>
        <w:kinsoku/>
        <w:wordWrap/>
        <w:overflowPunct/>
        <w:topLinePunct w:val="0"/>
        <w:spacing w:line="560" w:lineRule="exact"/>
        <w:ind w:left="0"/>
        <w:jc w:val="center"/>
        <w:textAlignment w:val="auto"/>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64E646EB">
      <w:pPr>
        <w:keepNext w:val="0"/>
        <w:keepLines w:val="0"/>
        <w:pageBreakBefore w:val="0"/>
        <w:kinsoku/>
        <w:wordWrap/>
        <w:overflowPunct/>
        <w:topLinePunct w:val="0"/>
        <w:spacing w:line="560" w:lineRule="exact"/>
        <w:ind w:left="0" w:firstLine="560" w:firstLineChars="200"/>
        <w:textAlignment w:val="auto"/>
        <w:rPr>
          <w:rFonts w:ascii="黑体" w:eastAsia="黑体"/>
          <w:sz w:val="28"/>
          <w:szCs w:val="28"/>
        </w:rPr>
      </w:pPr>
      <w:r>
        <w:rPr>
          <w:rFonts w:hint="eastAsia" w:ascii="黑体" w:eastAsia="黑体"/>
          <w:sz w:val="28"/>
          <w:szCs w:val="28"/>
        </w:rPr>
        <w:t>一、“三公”经费财政拨款决算情况</w:t>
      </w:r>
    </w:p>
    <w:p w14:paraId="1307127A">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2025年度“三公”经费财政拨款决算数2</w:t>
      </w:r>
      <w:r>
        <w:rPr>
          <w:rFonts w:hint="eastAsia" w:ascii="仿宋_GB2312" w:eastAsia="仿宋_GB2312"/>
          <w:sz w:val="28"/>
          <w:szCs w:val="28"/>
          <w:lang w:val="en-US" w:eastAsia="zh-CN"/>
        </w:rPr>
        <w:t>,</w:t>
      </w:r>
      <w:r>
        <w:rPr>
          <w:rFonts w:hint="eastAsia" w:ascii="仿宋_GB2312" w:eastAsia="仿宋_GB2312"/>
          <w:sz w:val="28"/>
          <w:szCs w:val="28"/>
        </w:rPr>
        <w:t>171</w:t>
      </w:r>
      <w:r>
        <w:rPr>
          <w:rFonts w:hint="eastAsia" w:ascii="仿宋_GB2312" w:eastAsia="仿宋_GB2312"/>
          <w:sz w:val="28"/>
          <w:szCs w:val="28"/>
          <w:lang w:val="en-US" w:eastAsia="zh-CN"/>
        </w:rPr>
        <w:t>,</w:t>
      </w:r>
      <w:r>
        <w:rPr>
          <w:rFonts w:hint="eastAsia" w:ascii="仿宋_GB2312" w:eastAsia="仿宋_GB2312"/>
          <w:sz w:val="28"/>
          <w:szCs w:val="28"/>
        </w:rPr>
        <w:t>024.84元，比2025年度“三公”经费财政拨款年初预算2</w:t>
      </w:r>
      <w:r>
        <w:rPr>
          <w:rFonts w:hint="eastAsia" w:ascii="仿宋_GB2312" w:eastAsia="仿宋_GB2312"/>
          <w:sz w:val="28"/>
          <w:szCs w:val="28"/>
          <w:lang w:val="en-US" w:eastAsia="zh-CN"/>
        </w:rPr>
        <w:t>,</w:t>
      </w:r>
      <w:r>
        <w:rPr>
          <w:rFonts w:hint="eastAsia" w:ascii="仿宋_GB2312" w:eastAsia="仿宋_GB2312"/>
          <w:sz w:val="28"/>
          <w:szCs w:val="28"/>
        </w:rPr>
        <w:t>301</w:t>
      </w:r>
      <w:r>
        <w:rPr>
          <w:rFonts w:hint="eastAsia" w:ascii="仿宋_GB2312" w:eastAsia="仿宋_GB2312"/>
          <w:sz w:val="28"/>
          <w:szCs w:val="28"/>
          <w:lang w:val="en-US" w:eastAsia="zh-CN"/>
        </w:rPr>
        <w:t>,</w:t>
      </w:r>
      <w:r>
        <w:rPr>
          <w:rFonts w:hint="eastAsia" w:ascii="仿宋_GB2312" w:eastAsia="仿宋_GB2312"/>
          <w:sz w:val="28"/>
          <w:szCs w:val="28"/>
        </w:rPr>
        <w:t>200元减少130</w:t>
      </w:r>
      <w:r>
        <w:rPr>
          <w:rFonts w:hint="eastAsia" w:ascii="仿宋_GB2312" w:eastAsia="仿宋_GB2312"/>
          <w:sz w:val="28"/>
          <w:szCs w:val="28"/>
          <w:lang w:val="en-US" w:eastAsia="zh-CN"/>
        </w:rPr>
        <w:t>,</w:t>
      </w:r>
      <w:r>
        <w:rPr>
          <w:rFonts w:hint="eastAsia" w:ascii="仿宋_GB2312" w:eastAsia="仿宋_GB2312"/>
          <w:sz w:val="28"/>
          <w:szCs w:val="28"/>
        </w:rPr>
        <w:t>175.16元。其中：</w:t>
      </w:r>
    </w:p>
    <w:p w14:paraId="613E4578">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1.因公出国（境）费用。2025年度决算数0元，比2025年度年初预算数0元无变化。</w:t>
      </w:r>
    </w:p>
    <w:p w14:paraId="39763B98">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lang w:val="en-US" w:eastAsia="zh-CN"/>
        </w:rPr>
      </w:pPr>
      <w:r>
        <w:rPr>
          <w:rFonts w:hint="eastAsia" w:ascii="仿宋_GB2312" w:eastAsia="仿宋_GB2312"/>
          <w:sz w:val="28"/>
          <w:szCs w:val="28"/>
        </w:rPr>
        <w:t>2.公务接待费。2025年度决算数0元，比2025年度年初预算数5200元减少5200元。主要原因：</w:t>
      </w:r>
      <w:r>
        <w:rPr>
          <w:rFonts w:hint="eastAsia" w:ascii="仿宋_GB2312" w:eastAsia="仿宋_GB2312"/>
          <w:sz w:val="28"/>
          <w:szCs w:val="28"/>
          <w:lang w:eastAsia="zh-CN"/>
        </w:rPr>
        <w:t>本年度无公务接待工作。</w:t>
      </w:r>
    </w:p>
    <w:p w14:paraId="3B83FD9C">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3.公务用车购置及运行维护费。2025年度决算数2</w:t>
      </w:r>
      <w:r>
        <w:rPr>
          <w:rFonts w:hint="eastAsia" w:ascii="仿宋_GB2312" w:eastAsia="仿宋_GB2312"/>
          <w:sz w:val="28"/>
          <w:szCs w:val="28"/>
          <w:lang w:val="en-US" w:eastAsia="zh-CN"/>
        </w:rPr>
        <w:t>,</w:t>
      </w:r>
      <w:r>
        <w:rPr>
          <w:rFonts w:hint="eastAsia" w:ascii="仿宋_GB2312" w:eastAsia="仿宋_GB2312"/>
          <w:sz w:val="28"/>
          <w:szCs w:val="28"/>
        </w:rPr>
        <w:t>171</w:t>
      </w:r>
      <w:r>
        <w:rPr>
          <w:rFonts w:hint="eastAsia" w:ascii="仿宋_GB2312" w:eastAsia="仿宋_GB2312"/>
          <w:sz w:val="28"/>
          <w:szCs w:val="28"/>
          <w:lang w:val="en-US" w:eastAsia="zh-CN"/>
        </w:rPr>
        <w:t>,</w:t>
      </w:r>
      <w:r>
        <w:rPr>
          <w:rFonts w:hint="eastAsia" w:ascii="仿宋_GB2312" w:eastAsia="仿宋_GB2312"/>
          <w:sz w:val="28"/>
          <w:szCs w:val="28"/>
        </w:rPr>
        <w:t>024.84元，比2025年度年初预算数2</w:t>
      </w:r>
      <w:r>
        <w:rPr>
          <w:rFonts w:hint="eastAsia" w:ascii="仿宋_GB2312" w:eastAsia="仿宋_GB2312"/>
          <w:sz w:val="28"/>
          <w:szCs w:val="28"/>
          <w:lang w:val="en-US" w:eastAsia="zh-CN"/>
        </w:rPr>
        <w:t>,</w:t>
      </w:r>
      <w:r>
        <w:rPr>
          <w:rFonts w:hint="eastAsia" w:ascii="仿宋_GB2312" w:eastAsia="仿宋_GB2312"/>
          <w:sz w:val="28"/>
          <w:szCs w:val="28"/>
        </w:rPr>
        <w:t>296</w:t>
      </w:r>
      <w:r>
        <w:rPr>
          <w:rFonts w:hint="eastAsia" w:ascii="仿宋_GB2312" w:eastAsia="仿宋_GB2312"/>
          <w:sz w:val="28"/>
          <w:szCs w:val="28"/>
          <w:lang w:val="en-US" w:eastAsia="zh-CN"/>
        </w:rPr>
        <w:t>,</w:t>
      </w:r>
      <w:r>
        <w:rPr>
          <w:rFonts w:hint="eastAsia" w:ascii="仿宋_GB2312" w:eastAsia="仿宋_GB2312"/>
          <w:sz w:val="28"/>
          <w:szCs w:val="28"/>
        </w:rPr>
        <w:t>000元减少124</w:t>
      </w:r>
      <w:r>
        <w:rPr>
          <w:rFonts w:hint="eastAsia" w:ascii="仿宋_GB2312" w:eastAsia="仿宋_GB2312"/>
          <w:sz w:val="28"/>
          <w:szCs w:val="28"/>
          <w:lang w:val="en-US" w:eastAsia="zh-CN"/>
        </w:rPr>
        <w:t>,</w:t>
      </w:r>
      <w:r>
        <w:rPr>
          <w:rFonts w:hint="eastAsia" w:ascii="仿宋_GB2312" w:eastAsia="仿宋_GB2312"/>
          <w:sz w:val="28"/>
          <w:szCs w:val="28"/>
        </w:rPr>
        <w:t>975.16元。其中，公务用车购置费2025年度决算数277</w:t>
      </w:r>
      <w:r>
        <w:rPr>
          <w:rFonts w:hint="eastAsia" w:ascii="仿宋_GB2312" w:eastAsia="仿宋_GB2312"/>
          <w:sz w:val="28"/>
          <w:szCs w:val="28"/>
          <w:lang w:val="en-US" w:eastAsia="zh-CN"/>
        </w:rPr>
        <w:t>,</w:t>
      </w:r>
      <w:r>
        <w:rPr>
          <w:rFonts w:hint="eastAsia" w:ascii="仿宋_GB2312" w:eastAsia="仿宋_GB2312"/>
          <w:sz w:val="28"/>
          <w:szCs w:val="28"/>
        </w:rPr>
        <w:t>800元，主要原因：</w:t>
      </w:r>
      <w:r>
        <w:rPr>
          <w:rFonts w:hint="eastAsia" w:ascii="仿宋_GB2312" w:eastAsia="仿宋_GB2312"/>
          <w:sz w:val="28"/>
          <w:szCs w:val="28"/>
          <w:lang w:eastAsia="zh-CN"/>
        </w:rPr>
        <w:t>新购置</w:t>
      </w:r>
      <w:r>
        <w:rPr>
          <w:rFonts w:hint="eastAsia" w:ascii="仿宋_GB2312" w:eastAsia="仿宋_GB2312"/>
          <w:sz w:val="28"/>
          <w:szCs w:val="28"/>
          <w:lang w:val="en-US" w:eastAsia="zh-CN"/>
        </w:rPr>
        <w:t>2辆公务用车，</w:t>
      </w:r>
      <w:r>
        <w:rPr>
          <w:rFonts w:hint="eastAsia" w:ascii="仿宋_GB2312" w:eastAsia="仿宋_GB2312"/>
          <w:sz w:val="28"/>
          <w:szCs w:val="28"/>
        </w:rPr>
        <w:t>2025年度购置（更新）2辆。公务用车运行维护费2025年度决算数1</w:t>
      </w:r>
      <w:r>
        <w:rPr>
          <w:rFonts w:hint="eastAsia" w:ascii="仿宋_GB2312" w:eastAsia="仿宋_GB2312"/>
          <w:sz w:val="28"/>
          <w:szCs w:val="28"/>
          <w:lang w:val="en-US" w:eastAsia="zh-CN"/>
        </w:rPr>
        <w:t>,</w:t>
      </w:r>
      <w:r>
        <w:rPr>
          <w:rFonts w:hint="eastAsia" w:ascii="仿宋_GB2312" w:eastAsia="仿宋_GB2312"/>
          <w:sz w:val="28"/>
          <w:szCs w:val="28"/>
        </w:rPr>
        <w:t>893</w:t>
      </w:r>
      <w:r>
        <w:rPr>
          <w:rFonts w:hint="eastAsia" w:ascii="仿宋_GB2312" w:eastAsia="仿宋_GB2312"/>
          <w:sz w:val="28"/>
          <w:szCs w:val="28"/>
          <w:lang w:val="en-US" w:eastAsia="zh-CN"/>
        </w:rPr>
        <w:t>,</w:t>
      </w:r>
      <w:r>
        <w:rPr>
          <w:rFonts w:hint="eastAsia" w:ascii="仿宋_GB2312" w:eastAsia="仿宋_GB2312"/>
          <w:sz w:val="28"/>
          <w:szCs w:val="28"/>
        </w:rPr>
        <w:t>224.84元，主要原因：主要原因：</w:t>
      </w:r>
      <w:r>
        <w:rPr>
          <w:rFonts w:hint="eastAsia" w:ascii="仿宋_GB2312" w:eastAsia="仿宋_GB2312"/>
          <w:sz w:val="28"/>
          <w:szCs w:val="28"/>
          <w:lang w:eastAsia="zh-CN"/>
        </w:rPr>
        <w:t>油车保有量减少，公务用车运行费降低</w:t>
      </w:r>
      <w:r>
        <w:rPr>
          <w:rFonts w:hint="eastAsia" w:ascii="仿宋_GB2312" w:eastAsia="仿宋_GB2312"/>
          <w:sz w:val="28"/>
          <w:szCs w:val="28"/>
        </w:rPr>
        <w:t>。2025年度公务用车保有量103辆。</w:t>
      </w:r>
    </w:p>
    <w:p w14:paraId="445A06C1">
      <w:pPr>
        <w:keepNext w:val="0"/>
        <w:keepLines w:val="0"/>
        <w:pageBreakBefore w:val="0"/>
        <w:tabs>
          <w:tab w:val="center" w:pos="6979"/>
        </w:tabs>
        <w:kinsoku/>
        <w:wordWrap/>
        <w:overflowPunct/>
        <w:topLinePunct w:val="0"/>
        <w:spacing w:line="560" w:lineRule="exact"/>
        <w:ind w:left="0" w:firstLine="554" w:firstLineChars="198"/>
        <w:textAlignment w:val="auto"/>
        <w:rPr>
          <w:rFonts w:ascii="黑体" w:eastAsia="黑体"/>
          <w:sz w:val="28"/>
          <w:szCs w:val="28"/>
        </w:rPr>
      </w:pPr>
      <w:r>
        <w:rPr>
          <w:rFonts w:hint="eastAsia" w:ascii="黑体" w:eastAsia="黑体"/>
          <w:sz w:val="28"/>
          <w:szCs w:val="28"/>
        </w:rPr>
        <w:t>二、机关运行经费支出情况</w:t>
      </w:r>
    </w:p>
    <w:p w14:paraId="0A0716C5">
      <w:pPr>
        <w:keepNext w:val="0"/>
        <w:keepLines w:val="0"/>
        <w:pageBreakBefore w:val="0"/>
        <w:kinsoku/>
        <w:wordWrap/>
        <w:overflowPunct/>
        <w:topLinePunct w:val="0"/>
        <w:spacing w:line="560" w:lineRule="exact"/>
        <w:ind w:left="0" w:firstLine="560" w:firstLineChars="200"/>
        <w:textAlignment w:val="auto"/>
        <w:rPr>
          <w:rFonts w:hint="default" w:ascii="仿宋_GB2312" w:eastAsia="仿宋_GB2312"/>
          <w:sz w:val="28"/>
          <w:szCs w:val="28"/>
          <w:lang w:val="en-US" w:eastAsia="zh-CN"/>
        </w:rPr>
      </w:pPr>
      <w:r>
        <w:rPr>
          <w:rFonts w:hint="eastAsia" w:ascii="仿宋_GB2312" w:eastAsia="仿宋_GB2312"/>
          <w:sz w:val="28"/>
          <w:szCs w:val="28"/>
          <w:lang w:eastAsia="zh-CN"/>
        </w:rPr>
        <w:t>本部门</w:t>
      </w:r>
      <w:r>
        <w:rPr>
          <w:rFonts w:hint="eastAsia" w:ascii="仿宋_GB2312" w:eastAsia="仿宋_GB2312"/>
          <w:sz w:val="28"/>
          <w:szCs w:val="28"/>
          <w:lang w:val="en-US" w:eastAsia="zh-CN"/>
        </w:rPr>
        <w:t>2025年无机关运行经费。</w:t>
      </w:r>
    </w:p>
    <w:p w14:paraId="2D68A882">
      <w:pPr>
        <w:keepNext w:val="0"/>
        <w:keepLines w:val="0"/>
        <w:pageBreakBefore w:val="0"/>
        <w:kinsoku/>
        <w:wordWrap/>
        <w:overflowPunct/>
        <w:topLinePunct w:val="0"/>
        <w:spacing w:line="560" w:lineRule="exact"/>
        <w:ind w:left="0" w:firstLine="560" w:firstLineChars="200"/>
        <w:textAlignment w:val="auto"/>
        <w:rPr>
          <w:rFonts w:ascii="黑体" w:eastAsia="黑体"/>
          <w:sz w:val="28"/>
          <w:szCs w:val="28"/>
        </w:rPr>
      </w:pPr>
      <w:r>
        <w:rPr>
          <w:rFonts w:hint="eastAsia" w:ascii="黑体" w:eastAsia="黑体"/>
          <w:sz w:val="28"/>
          <w:szCs w:val="28"/>
        </w:rPr>
        <w:t>三、政府采购支出情况</w:t>
      </w:r>
    </w:p>
    <w:p w14:paraId="0A4A807F">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2025年度政府采购支出总额2</w:t>
      </w:r>
      <w:r>
        <w:rPr>
          <w:rFonts w:hint="eastAsia" w:ascii="仿宋_GB2312" w:eastAsia="仿宋_GB2312"/>
          <w:sz w:val="28"/>
          <w:szCs w:val="28"/>
          <w:lang w:val="en-US" w:eastAsia="zh-CN"/>
        </w:rPr>
        <w:t>,</w:t>
      </w:r>
      <w:r>
        <w:rPr>
          <w:rFonts w:hint="eastAsia" w:ascii="仿宋_GB2312" w:eastAsia="仿宋_GB2312"/>
          <w:sz w:val="28"/>
          <w:szCs w:val="28"/>
        </w:rPr>
        <w:t>877</w:t>
      </w:r>
      <w:r>
        <w:rPr>
          <w:rFonts w:hint="eastAsia" w:ascii="仿宋_GB2312" w:eastAsia="仿宋_GB2312"/>
          <w:sz w:val="28"/>
          <w:szCs w:val="28"/>
          <w:lang w:val="en-US" w:eastAsia="zh-CN"/>
        </w:rPr>
        <w:t>,</w:t>
      </w:r>
      <w:r>
        <w:rPr>
          <w:rFonts w:hint="eastAsia" w:ascii="仿宋_GB2312" w:eastAsia="仿宋_GB2312"/>
          <w:sz w:val="28"/>
          <w:szCs w:val="28"/>
        </w:rPr>
        <w:t>959.46元，其中：政府采购货物支出1</w:t>
      </w:r>
      <w:r>
        <w:rPr>
          <w:rFonts w:hint="eastAsia" w:ascii="仿宋_GB2312" w:eastAsia="仿宋_GB2312"/>
          <w:sz w:val="28"/>
          <w:szCs w:val="28"/>
          <w:lang w:val="en-US" w:eastAsia="zh-CN"/>
        </w:rPr>
        <w:t>,</w:t>
      </w:r>
      <w:r>
        <w:rPr>
          <w:rFonts w:hint="eastAsia" w:ascii="仿宋_GB2312" w:eastAsia="仿宋_GB2312"/>
          <w:sz w:val="28"/>
          <w:szCs w:val="28"/>
        </w:rPr>
        <w:t>187</w:t>
      </w:r>
      <w:r>
        <w:rPr>
          <w:rFonts w:hint="eastAsia" w:ascii="仿宋_GB2312" w:eastAsia="仿宋_GB2312"/>
          <w:sz w:val="28"/>
          <w:szCs w:val="28"/>
          <w:lang w:val="en-US" w:eastAsia="zh-CN"/>
        </w:rPr>
        <w:t>,</w:t>
      </w:r>
      <w:r>
        <w:rPr>
          <w:rFonts w:hint="eastAsia" w:ascii="仿宋_GB2312" w:eastAsia="仿宋_GB2312"/>
          <w:sz w:val="28"/>
          <w:szCs w:val="28"/>
        </w:rPr>
        <w:t>193.66元，政府采购工程支出0元，政府采购服务支出1</w:t>
      </w:r>
      <w:r>
        <w:rPr>
          <w:rFonts w:hint="eastAsia" w:ascii="仿宋_GB2312" w:eastAsia="仿宋_GB2312"/>
          <w:sz w:val="28"/>
          <w:szCs w:val="28"/>
          <w:lang w:val="en-US" w:eastAsia="zh-CN"/>
        </w:rPr>
        <w:t>,</w:t>
      </w:r>
      <w:r>
        <w:rPr>
          <w:rFonts w:hint="eastAsia" w:ascii="仿宋_GB2312" w:eastAsia="仿宋_GB2312"/>
          <w:sz w:val="28"/>
          <w:szCs w:val="28"/>
        </w:rPr>
        <w:t>690</w:t>
      </w:r>
      <w:r>
        <w:rPr>
          <w:rFonts w:hint="eastAsia" w:ascii="仿宋_GB2312" w:eastAsia="仿宋_GB2312"/>
          <w:sz w:val="28"/>
          <w:szCs w:val="28"/>
          <w:lang w:val="en-US" w:eastAsia="zh-CN"/>
        </w:rPr>
        <w:t>,</w:t>
      </w:r>
      <w:r>
        <w:rPr>
          <w:rFonts w:hint="eastAsia" w:ascii="仿宋_GB2312" w:eastAsia="仿宋_GB2312"/>
          <w:sz w:val="28"/>
          <w:szCs w:val="28"/>
        </w:rPr>
        <w:t>765.8元。授予中小企业合同金额1</w:t>
      </w:r>
      <w:r>
        <w:rPr>
          <w:rFonts w:hint="eastAsia" w:ascii="仿宋_GB2312" w:eastAsia="仿宋_GB2312"/>
          <w:sz w:val="28"/>
          <w:szCs w:val="28"/>
          <w:lang w:val="en-US" w:eastAsia="zh-CN"/>
        </w:rPr>
        <w:t>,</w:t>
      </w:r>
      <w:r>
        <w:rPr>
          <w:rFonts w:hint="eastAsia" w:ascii="仿宋_GB2312" w:eastAsia="仿宋_GB2312"/>
          <w:sz w:val="28"/>
          <w:szCs w:val="28"/>
        </w:rPr>
        <w:t>999</w:t>
      </w:r>
      <w:r>
        <w:rPr>
          <w:rFonts w:hint="eastAsia" w:ascii="仿宋_GB2312" w:eastAsia="仿宋_GB2312"/>
          <w:sz w:val="28"/>
          <w:szCs w:val="28"/>
          <w:lang w:val="en-US" w:eastAsia="zh-CN"/>
        </w:rPr>
        <w:t>,</w:t>
      </w:r>
      <w:r>
        <w:rPr>
          <w:rFonts w:hint="eastAsia" w:ascii="仿宋_GB2312" w:eastAsia="仿宋_GB2312"/>
          <w:sz w:val="28"/>
          <w:szCs w:val="28"/>
        </w:rPr>
        <w:t>523.66元，占政府采购支出总额的69.</w:t>
      </w:r>
      <w:r>
        <w:rPr>
          <w:rFonts w:hint="eastAsia" w:ascii="仿宋_GB2312" w:eastAsia="仿宋_GB2312"/>
          <w:sz w:val="28"/>
          <w:szCs w:val="28"/>
          <w:lang w:val="en-US" w:eastAsia="zh-CN"/>
        </w:rPr>
        <w:t>5</w:t>
      </w:r>
      <w:r>
        <w:rPr>
          <w:rFonts w:hint="eastAsia" w:ascii="仿宋_GB2312" w:eastAsia="仿宋_GB2312"/>
          <w:sz w:val="28"/>
          <w:szCs w:val="28"/>
        </w:rPr>
        <w:t>%，其中：授予小微企业合同金额1</w:t>
      </w:r>
      <w:r>
        <w:rPr>
          <w:rFonts w:hint="eastAsia" w:ascii="仿宋_GB2312" w:eastAsia="仿宋_GB2312"/>
          <w:sz w:val="28"/>
          <w:szCs w:val="28"/>
          <w:lang w:val="en-US" w:eastAsia="zh-CN"/>
        </w:rPr>
        <w:t>,</w:t>
      </w:r>
      <w:r>
        <w:rPr>
          <w:rFonts w:hint="eastAsia" w:ascii="仿宋_GB2312" w:eastAsia="仿宋_GB2312"/>
          <w:sz w:val="28"/>
          <w:szCs w:val="28"/>
        </w:rPr>
        <w:t>999</w:t>
      </w:r>
      <w:r>
        <w:rPr>
          <w:rFonts w:hint="eastAsia" w:ascii="仿宋_GB2312" w:eastAsia="仿宋_GB2312"/>
          <w:sz w:val="28"/>
          <w:szCs w:val="28"/>
          <w:lang w:val="en-US" w:eastAsia="zh-CN"/>
        </w:rPr>
        <w:t>,</w:t>
      </w:r>
      <w:r>
        <w:rPr>
          <w:rFonts w:hint="eastAsia" w:ascii="仿宋_GB2312" w:eastAsia="仿宋_GB2312"/>
          <w:sz w:val="28"/>
          <w:szCs w:val="28"/>
        </w:rPr>
        <w:t>523.66元，占政府采购支出总额的69.</w:t>
      </w:r>
      <w:r>
        <w:rPr>
          <w:rFonts w:hint="eastAsia" w:ascii="仿宋_GB2312" w:eastAsia="仿宋_GB2312"/>
          <w:sz w:val="28"/>
          <w:szCs w:val="28"/>
          <w:lang w:val="en-US" w:eastAsia="zh-CN"/>
        </w:rPr>
        <w:t>5</w:t>
      </w:r>
      <w:r>
        <w:rPr>
          <w:rFonts w:hint="eastAsia" w:ascii="仿宋_GB2312" w:eastAsia="仿宋_GB2312"/>
          <w:sz w:val="28"/>
          <w:szCs w:val="28"/>
        </w:rPr>
        <w:t>%。</w:t>
      </w:r>
    </w:p>
    <w:p w14:paraId="360549F1">
      <w:pPr>
        <w:keepNext w:val="0"/>
        <w:keepLines w:val="0"/>
        <w:pageBreakBefore w:val="0"/>
        <w:kinsoku/>
        <w:wordWrap/>
        <w:overflowPunct/>
        <w:topLinePunct w:val="0"/>
        <w:spacing w:line="560" w:lineRule="exact"/>
        <w:ind w:left="0" w:firstLine="560" w:firstLineChars="200"/>
        <w:textAlignment w:val="auto"/>
        <w:rPr>
          <w:rFonts w:ascii="黑体" w:eastAsia="黑体"/>
          <w:sz w:val="28"/>
          <w:szCs w:val="28"/>
          <w:highlight w:val="yellow"/>
        </w:rPr>
      </w:pPr>
      <w:r>
        <w:rPr>
          <w:rFonts w:hint="eastAsia" w:ascii="黑体" w:eastAsia="黑体"/>
          <w:sz w:val="28"/>
          <w:szCs w:val="28"/>
        </w:rPr>
        <w:t>四、国有资产占用情况</w:t>
      </w:r>
    </w:p>
    <w:p w14:paraId="5E7B3775">
      <w:pPr>
        <w:keepNext w:val="0"/>
        <w:keepLines w:val="0"/>
        <w:pageBreakBefore w:val="0"/>
        <w:tabs>
          <w:tab w:val="center" w:pos="6979"/>
        </w:tabs>
        <w:kinsoku/>
        <w:wordWrap/>
        <w:overflowPunct/>
        <w:topLinePunct w:val="0"/>
        <w:spacing w:line="560" w:lineRule="exact"/>
        <w:ind w:left="0" w:firstLine="548" w:firstLineChars="196"/>
        <w:textAlignment w:val="auto"/>
        <w:rPr>
          <w:rFonts w:hint="eastAsia" w:ascii="仿宋_GB2312" w:eastAsia="仿宋_GB2312"/>
          <w:sz w:val="28"/>
          <w:szCs w:val="28"/>
        </w:rPr>
      </w:pPr>
      <w:r>
        <w:rPr>
          <w:rFonts w:hint="eastAsia" w:ascii="仿宋_GB2312" w:eastAsia="仿宋_GB2312"/>
          <w:sz w:val="28"/>
          <w:szCs w:val="28"/>
        </w:rPr>
        <w:t>截至12月31日，北京市门头沟区机关事务管理服务中心（部门）共有车辆103台；单位价值100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元（含）以上的设备0台（套）。</w:t>
      </w:r>
    </w:p>
    <w:p w14:paraId="20EC05CF">
      <w:pPr>
        <w:keepNext w:val="0"/>
        <w:keepLines w:val="0"/>
        <w:pageBreakBefore w:val="0"/>
        <w:kinsoku/>
        <w:wordWrap/>
        <w:overflowPunct/>
        <w:topLinePunct w:val="0"/>
        <w:spacing w:line="560" w:lineRule="exact"/>
        <w:ind w:left="0" w:firstLine="560" w:firstLineChars="200"/>
        <w:jc w:val="left"/>
        <w:textAlignment w:val="auto"/>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07EA7717">
      <w:pPr>
        <w:keepNext w:val="0"/>
        <w:keepLines w:val="0"/>
        <w:pageBreakBefore w:val="0"/>
        <w:kinsoku/>
        <w:wordWrap/>
        <w:overflowPunct/>
        <w:topLinePunct w:val="0"/>
        <w:spacing w:line="560" w:lineRule="exact"/>
        <w:ind w:left="0" w:firstLine="560" w:firstLineChars="200"/>
        <w:textAlignment w:val="auto"/>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13DD6AEE">
      <w:pPr>
        <w:keepNext w:val="0"/>
        <w:keepLines w:val="0"/>
        <w:pageBreakBefore w:val="0"/>
        <w:kinsoku/>
        <w:wordWrap/>
        <w:overflowPunct/>
        <w:topLinePunct w:val="0"/>
        <w:spacing w:line="560" w:lineRule="exact"/>
        <w:ind w:left="0" w:firstLine="560" w:firstLineChars="200"/>
        <w:textAlignment w:val="auto"/>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4861F23F">
      <w:pPr>
        <w:keepNext w:val="0"/>
        <w:keepLines w:val="0"/>
        <w:pageBreakBefore w:val="0"/>
        <w:kinsoku/>
        <w:wordWrap/>
        <w:overflowPunct/>
        <w:topLinePunct w:val="0"/>
        <w:spacing w:line="560" w:lineRule="exact"/>
        <w:ind w:left="0" w:firstLine="560" w:firstLineChars="200"/>
        <w:textAlignment w:val="auto"/>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7A8BE3F3">
      <w:pPr>
        <w:keepNext w:val="0"/>
        <w:keepLines w:val="0"/>
        <w:pageBreakBefore w:val="0"/>
        <w:kinsoku/>
        <w:wordWrap/>
        <w:overflowPunct/>
        <w:topLinePunct w:val="0"/>
        <w:spacing w:line="560" w:lineRule="exact"/>
        <w:ind w:left="0" w:firstLine="560" w:firstLineChars="200"/>
        <w:textAlignment w:val="auto"/>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7AF5F7F1">
      <w:pPr>
        <w:keepNext w:val="0"/>
        <w:keepLines w:val="0"/>
        <w:pageBreakBefore w:val="0"/>
        <w:kinsoku/>
        <w:wordWrap/>
        <w:overflowPunct/>
        <w:topLinePunct w:val="0"/>
        <w:spacing w:line="560" w:lineRule="exact"/>
        <w:ind w:left="0" w:firstLine="560" w:firstLineChars="200"/>
        <w:textAlignment w:val="auto"/>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4B01A7C2">
      <w:pPr>
        <w:keepNext w:val="0"/>
        <w:keepLines w:val="0"/>
        <w:pageBreakBefore w:val="0"/>
        <w:kinsoku/>
        <w:wordWrap/>
        <w:overflowPunct/>
        <w:topLinePunct w:val="0"/>
        <w:spacing w:line="560" w:lineRule="exact"/>
        <w:ind w:left="0" w:firstLine="560" w:firstLineChars="200"/>
        <w:textAlignment w:val="auto"/>
        <w:rPr>
          <w:rFonts w:hint="eastAsia" w:ascii="仿宋_GB2312" w:eastAsia="仿宋_GB2312"/>
          <w:sz w:val="28"/>
          <w:szCs w:val="28"/>
          <w:lang w:val="en-US" w:eastAsia="zh-CN"/>
        </w:rPr>
      </w:pPr>
      <w:bookmarkStart w:id="4" w:name="_GoBack"/>
      <w:r>
        <w:rPr>
          <w:rFonts w:hint="eastAsia" w:ascii="仿宋_GB2312" w:eastAsia="仿宋_GB2312"/>
          <w:sz w:val="28"/>
          <w:szCs w:val="28"/>
        </w:rPr>
        <w:t>6.</w:t>
      </w:r>
      <w:r>
        <w:rPr>
          <w:rFonts w:hint="eastAsia" w:ascii="仿宋_GB2312" w:eastAsia="仿宋_GB2312"/>
          <w:sz w:val="28"/>
          <w:szCs w:val="28"/>
          <w:lang w:val="en-US" w:eastAsia="zh-CN"/>
        </w:rPr>
        <w:t>机关事务管理，是指对机关自身行政事务进行的综合性管理，即负责机关专业和职能部门业务以外的其他事务。机关事务管理主要包括经费管理、资产管理和服务管理等；结合机关工作实际，一般涵盖财务管理、生活管理、办公环境管理、物资房产管理、总务勤杂管理等。其基本任务是，通过对机关人员、设备、物资等的综合处理与统筹控制，在保障机关正常运行的同时，厉行节约、降低机关运行成本、建设节约型机关，实现管理效能的最佳化。具体范围涵盖机关办公处所，领导和干部的生活用房，财物、车辆、食堂、会场等设施，以及机关内外环境美化与清洁卫生等事务。</w:t>
      </w:r>
    </w:p>
    <w:bookmarkEnd w:id="4"/>
    <w:p w14:paraId="12F6C13E">
      <w:pPr>
        <w:keepNext w:val="0"/>
        <w:keepLines w:val="0"/>
        <w:pageBreakBefore w:val="0"/>
        <w:kinsoku/>
        <w:wordWrap/>
        <w:overflowPunct/>
        <w:topLinePunct w:val="0"/>
        <w:spacing w:line="560" w:lineRule="exact"/>
        <w:ind w:left="0" w:firstLine="560" w:firstLineChars="200"/>
        <w:textAlignment w:val="auto"/>
        <w:rPr>
          <w:rFonts w:hint="eastAsia" w:ascii="仿宋_GB2312" w:eastAsia="仿宋_GB2312"/>
          <w:sz w:val="28"/>
          <w:szCs w:val="28"/>
          <w:lang w:val="en-US" w:eastAsia="zh-CN"/>
        </w:rPr>
      </w:pPr>
    </w:p>
    <w:p w14:paraId="1278EE09">
      <w:pPr>
        <w:keepNext w:val="0"/>
        <w:keepLines w:val="0"/>
        <w:pageBreakBefore w:val="0"/>
        <w:tabs>
          <w:tab w:val="center" w:pos="6979"/>
        </w:tabs>
        <w:kinsoku/>
        <w:wordWrap/>
        <w:overflowPunct/>
        <w:topLinePunct w:val="0"/>
        <w:spacing w:line="560" w:lineRule="exact"/>
        <w:ind w:left="0"/>
        <w:jc w:val="center"/>
        <w:textAlignment w:val="auto"/>
        <w:rPr>
          <w:rFonts w:hint="eastAsia" w:ascii="宋体" w:hAnsi="宋体" w:cs="宋体"/>
          <w:b/>
          <w:bCs/>
          <w:spacing w:val="40"/>
          <w:kern w:val="0"/>
          <w:sz w:val="32"/>
          <w:szCs w:val="32"/>
        </w:rPr>
      </w:pPr>
      <w:r>
        <w:rPr>
          <w:rFonts w:hint="eastAsia" w:ascii="宋体" w:hAnsi="宋体" w:cs="宋体"/>
          <w:b/>
          <w:bCs/>
          <w:spacing w:val="40"/>
          <w:kern w:val="0"/>
          <w:sz w:val="32"/>
          <w:szCs w:val="32"/>
        </w:rPr>
        <w:t>第四部分2025年度部门绩效评价情况</w:t>
      </w:r>
    </w:p>
    <w:p w14:paraId="5BF323B1">
      <w:pPr>
        <w:keepNext w:val="0"/>
        <w:keepLines w:val="0"/>
        <w:pageBreakBefore w:val="0"/>
        <w:kinsoku/>
        <w:wordWrap/>
        <w:overflowPunct/>
        <w:topLinePunct w:val="0"/>
        <w:spacing w:line="560" w:lineRule="exact"/>
        <w:ind w:left="0"/>
        <w:textAlignment w:val="auto"/>
        <w:rPr>
          <w:rFonts w:hint="eastAsia" w:ascii="黑体" w:eastAsia="黑体"/>
          <w:sz w:val="28"/>
          <w:szCs w:val="28"/>
        </w:rPr>
      </w:pPr>
      <w:r>
        <w:rPr>
          <w:rFonts w:hint="eastAsia" w:ascii="黑体" w:eastAsia="黑体"/>
          <w:sz w:val="28"/>
          <w:szCs w:val="28"/>
        </w:rPr>
        <w:t xml:space="preserve"> 一、部门整体绩效评价报告</w:t>
      </w:r>
    </w:p>
    <w:p w14:paraId="42EEB74E">
      <w:pPr>
        <w:keepNext w:val="0"/>
        <w:keepLines w:val="0"/>
        <w:pageBreakBefore w:val="0"/>
        <w:kinsoku/>
        <w:wordWrap/>
        <w:overflowPunct/>
        <w:topLinePunct w:val="0"/>
        <w:spacing w:line="560" w:lineRule="exact"/>
        <w:ind w:left="0" w:firstLine="640"/>
        <w:textAlignment w:val="auto"/>
        <w:rPr>
          <w:rFonts w:hint="eastAsia" w:ascii="楷体_GB2312" w:hAnsi="Calibri" w:eastAsia="楷体_GB2312"/>
          <w:b/>
          <w:sz w:val="32"/>
          <w:szCs w:val="32"/>
        </w:rPr>
      </w:pPr>
      <w:r>
        <w:rPr>
          <w:rFonts w:hint="eastAsia" w:ascii="楷体_GB2312" w:eastAsia="楷体_GB2312"/>
          <w:b/>
          <w:sz w:val="28"/>
          <w:szCs w:val="28"/>
        </w:rPr>
        <w:t>（一）部门概况</w:t>
      </w:r>
    </w:p>
    <w:p w14:paraId="4086721E">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bookmarkStart w:id="0" w:name="_Toc268005755"/>
      <w:r>
        <w:rPr>
          <w:rFonts w:hint="eastAsia" w:ascii="仿宋_GB2312" w:eastAsia="仿宋_GB2312"/>
          <w:sz w:val="28"/>
          <w:szCs w:val="28"/>
        </w:rPr>
        <w:t>1.部门职责情况</w:t>
      </w:r>
    </w:p>
    <w:p w14:paraId="120ACD9A">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贯彻落实国家、北京市有关机关事务管理服务的</w:t>
      </w:r>
      <w:r>
        <w:rPr>
          <w:rFonts w:hint="eastAsia" w:ascii="仿宋_GB2312" w:eastAsia="仿宋_GB2312"/>
          <w:sz w:val="28"/>
          <w:szCs w:val="28"/>
          <w:lang w:eastAsia="zh-CN"/>
        </w:rPr>
        <w:t>法律法规</w:t>
      </w:r>
      <w:r>
        <w:rPr>
          <w:rFonts w:hint="eastAsia" w:ascii="仿宋_GB2312" w:eastAsia="仿宋_GB2312"/>
          <w:sz w:val="28"/>
          <w:szCs w:val="28"/>
        </w:rPr>
        <w:t>和政策规定，牵头制定并组织实施本区相关制度。</w:t>
      </w:r>
    </w:p>
    <w:p w14:paraId="60E5977A">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负责统一管理全区党政群、人大、政协机关，各镇街和区直属事业单位的办公用房。</w:t>
      </w:r>
    </w:p>
    <w:p w14:paraId="159D59D3">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负责统一管理全区党政群、人大、政协机关，各镇街和区直属事业单位的公务用车和区级执法车辆平台。</w:t>
      </w:r>
    </w:p>
    <w:p w14:paraId="0FAA2D12">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负责全区节约型机关创建、公共机构节能管理工作。</w:t>
      </w:r>
    </w:p>
    <w:p w14:paraId="28C5E6A2">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lang w:val="en-US" w:eastAsia="zh-CN"/>
        </w:rPr>
        <w:t>负</w:t>
      </w:r>
      <w:r>
        <w:rPr>
          <w:rFonts w:hint="eastAsia" w:ascii="仿宋_GB2312" w:eastAsia="仿宋_GB2312"/>
          <w:sz w:val="28"/>
          <w:szCs w:val="28"/>
        </w:rPr>
        <w:t>责</w:t>
      </w:r>
      <w:r>
        <w:rPr>
          <w:rFonts w:hint="eastAsia" w:ascii="仿宋_GB2312" w:eastAsia="仿宋_GB2312"/>
          <w:sz w:val="28"/>
          <w:szCs w:val="28"/>
          <w:lang w:eastAsia="zh-CN"/>
        </w:rPr>
        <w:t>区委、区政府</w:t>
      </w:r>
      <w:r>
        <w:rPr>
          <w:rFonts w:hint="eastAsia" w:ascii="仿宋_GB2312" w:eastAsia="仿宋_GB2312"/>
          <w:sz w:val="28"/>
          <w:szCs w:val="28"/>
        </w:rPr>
        <w:t>机关大院内生活垃圾分类工作。</w:t>
      </w:r>
    </w:p>
    <w:p w14:paraId="72923872">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负责</w:t>
      </w:r>
      <w:r>
        <w:rPr>
          <w:rFonts w:hint="eastAsia" w:ascii="仿宋_GB2312" w:eastAsia="仿宋_GB2312"/>
          <w:sz w:val="28"/>
          <w:szCs w:val="28"/>
          <w:lang w:eastAsia="zh-CN"/>
        </w:rPr>
        <w:t>区委、区政府</w:t>
      </w:r>
      <w:r>
        <w:rPr>
          <w:rFonts w:hint="eastAsia" w:ascii="仿宋_GB2312" w:eastAsia="仿宋_GB2312"/>
          <w:sz w:val="28"/>
          <w:szCs w:val="28"/>
        </w:rPr>
        <w:t>机关大院内基建、通讯设备、固定资产、水电暖维修保障、报纸报刊收发、会议室会议服务、就餐、安全保卫、消防、绿化美化、卫生保洁等服务保障工作。</w:t>
      </w:r>
    </w:p>
    <w:p w14:paraId="09EE2A5C">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完成区委、区政府交办的其他任务。</w:t>
      </w:r>
    </w:p>
    <w:p w14:paraId="453A69AC">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2.部门机构设置情况</w:t>
      </w:r>
    </w:p>
    <w:p w14:paraId="729D9E79">
      <w:pPr>
        <w:keepNext w:val="0"/>
        <w:keepLines w:val="0"/>
        <w:pageBreakBefore w:val="0"/>
        <w:numPr>
          <w:ilvl w:val="0"/>
          <w:numId w:val="0"/>
        </w:numPr>
        <w:kinsoku/>
        <w:wordWrap/>
        <w:overflowPunct/>
        <w:topLinePunct w:val="0"/>
        <w:snapToGrid w:val="0"/>
        <w:spacing w:line="560" w:lineRule="exact"/>
        <w:ind w:left="0" w:firstLine="560" w:firstLineChars="200"/>
        <w:textAlignment w:val="auto"/>
        <w:rPr>
          <w:rFonts w:hint="eastAsia" w:ascii="仿宋_GB2312" w:eastAsia="仿宋_GB2312"/>
          <w:sz w:val="28"/>
          <w:szCs w:val="28"/>
        </w:rPr>
      </w:pPr>
      <w:r>
        <w:rPr>
          <w:rFonts w:hint="eastAsia" w:ascii="仿宋_GB2312" w:hAnsi="仿宋" w:eastAsia="仿宋_GB2312"/>
          <w:sz w:val="28"/>
          <w:szCs w:val="28"/>
        </w:rPr>
        <w:t>本部门共设8个内设机构，下设0个事业单位。行政编制0名，事业编制51名。</w:t>
      </w:r>
    </w:p>
    <w:p w14:paraId="1E2A3E86">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3.2025年主要工作任务</w:t>
      </w:r>
    </w:p>
    <w:p w14:paraId="178562F8">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highlight w:val="none"/>
        </w:rPr>
      </w:pPr>
      <w:r>
        <w:rPr>
          <w:rFonts w:hint="eastAsia" w:ascii="仿宋_GB2312" w:eastAsia="仿宋_GB2312"/>
          <w:sz w:val="28"/>
          <w:szCs w:val="28"/>
        </w:rPr>
        <w:t>机关事务中心作为保障党政机关高效运转的重要支撑部门，始终坚持以服务为核心、以保障为基础、以管理为抓手，紧紧</w:t>
      </w:r>
      <w:r>
        <w:rPr>
          <w:rFonts w:hint="eastAsia" w:ascii="仿宋_GB2312" w:eastAsia="仿宋_GB2312"/>
          <w:sz w:val="28"/>
          <w:szCs w:val="28"/>
          <w:lang w:eastAsia="zh-CN"/>
        </w:rPr>
        <w:t>围绕中心、服务大局</w:t>
      </w:r>
      <w:r>
        <w:rPr>
          <w:rFonts w:hint="eastAsia" w:ascii="仿宋_GB2312" w:eastAsia="仿宋_GB2312"/>
          <w:sz w:val="28"/>
          <w:szCs w:val="28"/>
        </w:rPr>
        <w:t>，各项工作取得显著成效，为机关高效运转提供坚实有力</w:t>
      </w:r>
      <w:r>
        <w:rPr>
          <w:rFonts w:hint="eastAsia" w:ascii="仿宋_GB2312" w:eastAsia="仿宋_GB2312"/>
          <w:sz w:val="28"/>
          <w:szCs w:val="28"/>
          <w:lang w:eastAsia="zh-CN"/>
        </w:rPr>
        <w:t>的</w:t>
      </w:r>
      <w:r>
        <w:rPr>
          <w:rFonts w:hint="eastAsia" w:ascii="仿宋_GB2312" w:eastAsia="仿宋_GB2312"/>
          <w:sz w:val="28"/>
          <w:szCs w:val="28"/>
        </w:rPr>
        <w:t>后勤保障。在办公用房管理方面：深入推进办公用房统一规划、统一处置管理，优化资源配置，盘活存量资产，保障办公需求。公车管理方面：建立健全信息化、平台化管理制度，加强车辆调度、维护监管，保障公务出行，有效降低运行成本。后勤服务保障</w:t>
      </w:r>
      <w:r>
        <w:rPr>
          <w:rFonts w:hint="eastAsia" w:ascii="仿宋_GB2312" w:eastAsia="仿宋_GB2312"/>
          <w:sz w:val="28"/>
          <w:szCs w:val="28"/>
          <w:lang w:eastAsia="zh-CN"/>
        </w:rPr>
        <w:t>方面</w:t>
      </w:r>
      <w:r>
        <w:rPr>
          <w:rFonts w:hint="eastAsia" w:ascii="仿宋_GB2312" w:eastAsia="仿宋_GB2312"/>
          <w:sz w:val="28"/>
          <w:szCs w:val="28"/>
        </w:rPr>
        <w:t>：推行标准化、精细化服务模式，提升机关干部职工的满意度与获得感。公共机构节能管理</w:t>
      </w:r>
      <w:r>
        <w:rPr>
          <w:rFonts w:hint="eastAsia" w:ascii="仿宋_GB2312" w:eastAsia="仿宋_GB2312"/>
          <w:sz w:val="28"/>
          <w:szCs w:val="28"/>
          <w:lang w:eastAsia="zh-CN"/>
        </w:rPr>
        <w:t>方面</w:t>
      </w:r>
      <w:r>
        <w:rPr>
          <w:rFonts w:hint="eastAsia" w:ascii="仿宋_GB2312" w:eastAsia="仿宋_GB2312"/>
          <w:sz w:val="28"/>
          <w:szCs w:val="28"/>
        </w:rPr>
        <w:t>：牵头组织实施公共机构节约能源</w:t>
      </w:r>
      <w:r>
        <w:rPr>
          <w:rFonts w:hint="eastAsia" w:ascii="仿宋_GB2312" w:eastAsia="仿宋_GB2312"/>
          <w:sz w:val="28"/>
          <w:szCs w:val="28"/>
          <w:lang w:eastAsia="zh-CN"/>
        </w:rPr>
        <w:t>工作</w:t>
      </w:r>
      <w:r>
        <w:rPr>
          <w:rFonts w:hint="eastAsia" w:ascii="仿宋_GB2312" w:eastAsia="仿宋_GB2312"/>
          <w:sz w:val="28"/>
          <w:szCs w:val="28"/>
        </w:rPr>
        <w:t>，推广节能技术应用，开展示范单位创建，能耗指标持续下降，绿色发展成效明显。总结而言，机关事务中心通过扎实有效的工作，在服务保障、管理能效、改革创新、绿色发展等方面取得丰硕成果。</w:t>
      </w:r>
      <w:r>
        <w:rPr>
          <w:rFonts w:hint="eastAsia" w:ascii="仿宋_GB2312" w:eastAsia="仿宋_GB2312"/>
          <w:sz w:val="28"/>
          <w:szCs w:val="28"/>
          <w:highlight w:val="none"/>
        </w:rPr>
        <w:t>未来，</w:t>
      </w:r>
      <w:r>
        <w:rPr>
          <w:rFonts w:hint="eastAsia" w:ascii="仿宋_GB2312" w:eastAsia="仿宋_GB2312"/>
          <w:sz w:val="28"/>
          <w:szCs w:val="28"/>
          <w:highlight w:val="none"/>
          <w:lang w:val="en-US" w:eastAsia="zh-CN"/>
        </w:rPr>
        <w:t>中心</w:t>
      </w:r>
      <w:r>
        <w:rPr>
          <w:rFonts w:hint="eastAsia" w:ascii="仿宋_GB2312" w:eastAsia="仿宋_GB2312"/>
          <w:sz w:val="28"/>
          <w:szCs w:val="28"/>
          <w:highlight w:val="none"/>
        </w:rPr>
        <w:t>将不断提升管理保障服务效能，推动机关事务工作高质量发展。</w:t>
      </w:r>
    </w:p>
    <w:bookmarkEnd w:id="0"/>
    <w:p w14:paraId="18565A73">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bookmarkStart w:id="1" w:name="_Toc268005759"/>
      <w:bookmarkStart w:id="2" w:name="_Toc263686375"/>
      <w:r>
        <w:rPr>
          <w:rFonts w:hint="eastAsia" w:ascii="仿宋_GB2312" w:eastAsia="仿宋_GB2312"/>
          <w:sz w:val="28"/>
          <w:szCs w:val="28"/>
        </w:rPr>
        <w:t>4.部门</w:t>
      </w:r>
      <w:bookmarkEnd w:id="1"/>
      <w:r>
        <w:rPr>
          <w:rFonts w:hint="eastAsia" w:ascii="仿宋_GB2312" w:eastAsia="仿宋_GB2312"/>
          <w:sz w:val="28"/>
          <w:szCs w:val="28"/>
        </w:rPr>
        <w:t>整体绩效目标设立情况</w:t>
      </w:r>
    </w:p>
    <w:tbl>
      <w:tblPr>
        <w:tblStyle w:val="10"/>
        <w:tblW w:w="50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3035"/>
        <w:gridCol w:w="1458"/>
        <w:gridCol w:w="1119"/>
        <w:gridCol w:w="1462"/>
        <w:gridCol w:w="1726"/>
      </w:tblGrid>
      <w:tr w14:paraId="6920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62" w:type="pct"/>
            <w:noWrap/>
            <w:vAlign w:val="center"/>
          </w:tcPr>
          <w:p w14:paraId="5BC5ED4A">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序号</w:t>
            </w:r>
          </w:p>
        </w:tc>
        <w:tc>
          <w:tcPr>
            <w:tcW w:w="1530" w:type="pct"/>
            <w:noWrap/>
            <w:vAlign w:val="center"/>
          </w:tcPr>
          <w:p w14:paraId="6CC21CBD">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三级指标</w:t>
            </w:r>
          </w:p>
        </w:tc>
        <w:tc>
          <w:tcPr>
            <w:tcW w:w="735" w:type="pct"/>
            <w:noWrap/>
            <w:vAlign w:val="center"/>
          </w:tcPr>
          <w:p w14:paraId="3D47B26A">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指标性质</w:t>
            </w:r>
          </w:p>
        </w:tc>
        <w:tc>
          <w:tcPr>
            <w:tcW w:w="564" w:type="pct"/>
            <w:noWrap/>
            <w:vAlign w:val="center"/>
          </w:tcPr>
          <w:p w14:paraId="3659C5B7">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指标值</w:t>
            </w:r>
          </w:p>
        </w:tc>
        <w:tc>
          <w:tcPr>
            <w:tcW w:w="737" w:type="pct"/>
            <w:vAlign w:val="center"/>
          </w:tcPr>
          <w:p w14:paraId="0C1D8AC3">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度量单位</w:t>
            </w:r>
          </w:p>
        </w:tc>
        <w:tc>
          <w:tcPr>
            <w:tcW w:w="870" w:type="pct"/>
            <w:vAlign w:val="center"/>
          </w:tcPr>
          <w:p w14:paraId="2C4132C9">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指标权重</w:t>
            </w:r>
          </w:p>
        </w:tc>
      </w:tr>
      <w:tr w14:paraId="0F34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62" w:type="pct"/>
            <w:noWrap/>
            <w:vAlign w:val="center"/>
          </w:tcPr>
          <w:p w14:paraId="0918435B">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1</w:t>
            </w:r>
          </w:p>
        </w:tc>
        <w:tc>
          <w:tcPr>
            <w:tcW w:w="1530" w:type="pct"/>
            <w:shd w:val="clear" w:color="auto" w:fill="auto"/>
            <w:noWrap/>
            <w:vAlign w:val="center"/>
          </w:tcPr>
          <w:p w14:paraId="1ADE65B6">
            <w:pPr>
              <w:keepNext w:val="0"/>
              <w:keepLines w:val="0"/>
              <w:pageBreakBefore w:val="0"/>
              <w:tabs>
                <w:tab w:val="left" w:pos="215"/>
              </w:tabs>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eastAsia="仿宋_GB2312"/>
                <w:sz w:val="28"/>
                <w:szCs w:val="28"/>
                <w:lang w:val="en-US" w:eastAsia="zh-CN"/>
              </w:rPr>
              <w:t>服务面积</w:t>
            </w:r>
          </w:p>
        </w:tc>
        <w:tc>
          <w:tcPr>
            <w:tcW w:w="735" w:type="pct"/>
            <w:shd w:val="clear" w:color="auto" w:fill="auto"/>
            <w:noWrap/>
            <w:vAlign w:val="center"/>
          </w:tcPr>
          <w:p w14:paraId="508BE59A">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rPr>
              <w:t>≥</w:t>
            </w:r>
          </w:p>
        </w:tc>
        <w:tc>
          <w:tcPr>
            <w:tcW w:w="564" w:type="pct"/>
            <w:shd w:val="clear" w:color="auto" w:fill="auto"/>
            <w:noWrap/>
            <w:vAlign w:val="center"/>
          </w:tcPr>
          <w:p w14:paraId="207431D6">
            <w:pPr>
              <w:keepNext w:val="0"/>
              <w:keepLines w:val="0"/>
              <w:pageBreakBefore w:val="0"/>
              <w:numPr>
                <w:ilvl w:val="0"/>
                <w:numId w:val="0"/>
              </w:numPr>
              <w:kinsoku/>
              <w:wordWrap/>
              <w:overflowPunct/>
              <w:topLinePunct w:val="0"/>
              <w:autoSpaceDE/>
              <w:autoSpaceDN/>
              <w:bidi/>
              <w:adjustRightInd/>
              <w:snapToGrid/>
              <w:spacing w:line="560" w:lineRule="exact"/>
              <w:ind w:left="0" w:leftChars="0" w:firstLine="0" w:firstLineChars="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rPr>
              <w:t>60156</w:t>
            </w:r>
          </w:p>
        </w:tc>
        <w:tc>
          <w:tcPr>
            <w:tcW w:w="737" w:type="pct"/>
            <w:shd w:val="clear" w:color="auto" w:fill="auto"/>
            <w:vAlign w:val="center"/>
          </w:tcPr>
          <w:p w14:paraId="254BC5AD">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平方米</w:t>
            </w:r>
          </w:p>
        </w:tc>
        <w:tc>
          <w:tcPr>
            <w:tcW w:w="870" w:type="pct"/>
            <w:shd w:val="clear" w:color="auto" w:fill="auto"/>
            <w:vAlign w:val="center"/>
          </w:tcPr>
          <w:p w14:paraId="4AF01CEE">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20</w:t>
            </w:r>
          </w:p>
        </w:tc>
      </w:tr>
      <w:tr w14:paraId="3C84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62" w:type="pct"/>
            <w:noWrap/>
            <w:vAlign w:val="center"/>
          </w:tcPr>
          <w:p w14:paraId="5A1143E1">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2</w:t>
            </w:r>
          </w:p>
        </w:tc>
        <w:tc>
          <w:tcPr>
            <w:tcW w:w="1530" w:type="pct"/>
            <w:shd w:val="clear" w:color="auto" w:fill="auto"/>
            <w:noWrap/>
            <w:vAlign w:val="center"/>
          </w:tcPr>
          <w:p w14:paraId="349D52AF">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服务效果</w:t>
            </w:r>
          </w:p>
        </w:tc>
        <w:tc>
          <w:tcPr>
            <w:tcW w:w="735" w:type="pct"/>
            <w:shd w:val="clear" w:color="auto" w:fill="auto"/>
            <w:noWrap/>
            <w:vAlign w:val="center"/>
          </w:tcPr>
          <w:p w14:paraId="39CC16CF">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rPr>
              <w:t>定性</w:t>
            </w:r>
          </w:p>
        </w:tc>
        <w:tc>
          <w:tcPr>
            <w:tcW w:w="564" w:type="pct"/>
            <w:shd w:val="clear" w:color="auto" w:fill="auto"/>
            <w:noWrap/>
            <w:vAlign w:val="center"/>
          </w:tcPr>
          <w:p w14:paraId="3356F653">
            <w:pPr>
              <w:keepNext w:val="0"/>
              <w:keepLines w:val="0"/>
              <w:pageBreakBefore w:val="0"/>
              <w:numPr>
                <w:ilvl w:val="0"/>
                <w:numId w:val="0"/>
              </w:numPr>
              <w:kinsoku/>
              <w:wordWrap/>
              <w:overflowPunct/>
              <w:topLinePunct w:val="0"/>
              <w:autoSpaceDE/>
              <w:autoSpaceDN/>
              <w:bidi/>
              <w:adjustRightInd/>
              <w:snapToGrid/>
              <w:spacing w:line="560" w:lineRule="exact"/>
              <w:ind w:left="0" w:leftChars="0" w:firstLine="0" w:firstLineChars="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rPr>
              <w:t>优良差</w:t>
            </w:r>
          </w:p>
        </w:tc>
        <w:tc>
          <w:tcPr>
            <w:tcW w:w="737" w:type="pct"/>
            <w:shd w:val="clear" w:color="auto" w:fill="auto"/>
            <w:vAlign w:val="center"/>
          </w:tcPr>
          <w:p w14:paraId="775A563C">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项</w:t>
            </w:r>
          </w:p>
        </w:tc>
        <w:tc>
          <w:tcPr>
            <w:tcW w:w="870" w:type="pct"/>
            <w:shd w:val="clear" w:color="auto" w:fill="auto"/>
            <w:vAlign w:val="center"/>
          </w:tcPr>
          <w:p w14:paraId="728DA204">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20</w:t>
            </w:r>
          </w:p>
        </w:tc>
      </w:tr>
      <w:tr w14:paraId="3E50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562" w:type="pct"/>
            <w:noWrap/>
            <w:vAlign w:val="center"/>
          </w:tcPr>
          <w:p w14:paraId="3F536048">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rPr>
            </w:pPr>
            <w:r>
              <w:rPr>
                <w:rFonts w:hint="eastAsia" w:ascii="仿宋_GB2312" w:eastAsia="仿宋_GB2312"/>
                <w:sz w:val="28"/>
                <w:szCs w:val="28"/>
              </w:rPr>
              <w:t>3</w:t>
            </w:r>
          </w:p>
        </w:tc>
        <w:tc>
          <w:tcPr>
            <w:tcW w:w="1530" w:type="pct"/>
            <w:shd w:val="clear" w:color="auto" w:fill="auto"/>
            <w:noWrap/>
            <w:vAlign w:val="center"/>
          </w:tcPr>
          <w:p w14:paraId="243C8561">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服务</w:t>
            </w:r>
            <w:r>
              <w:rPr>
                <w:rFonts w:hint="eastAsia" w:ascii="仿宋_GB2312" w:hAnsi="仿宋" w:eastAsia="仿宋_GB2312" w:cs="Times New Roman"/>
                <w:sz w:val="28"/>
                <w:szCs w:val="28"/>
              </w:rPr>
              <w:t>持续性</w:t>
            </w:r>
          </w:p>
        </w:tc>
        <w:tc>
          <w:tcPr>
            <w:tcW w:w="735" w:type="pct"/>
            <w:shd w:val="clear" w:color="auto" w:fill="auto"/>
            <w:noWrap/>
            <w:vAlign w:val="center"/>
          </w:tcPr>
          <w:p w14:paraId="19534562">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w:t>
            </w:r>
          </w:p>
        </w:tc>
        <w:tc>
          <w:tcPr>
            <w:tcW w:w="564" w:type="pct"/>
            <w:shd w:val="clear" w:color="auto" w:fill="auto"/>
            <w:noWrap/>
            <w:vAlign w:val="center"/>
          </w:tcPr>
          <w:p w14:paraId="5C762805">
            <w:pPr>
              <w:keepNext w:val="0"/>
              <w:keepLines w:val="0"/>
              <w:pageBreakBefore w:val="0"/>
              <w:numPr>
                <w:ilvl w:val="0"/>
                <w:numId w:val="0"/>
              </w:numPr>
              <w:kinsoku/>
              <w:wordWrap/>
              <w:overflowPunct/>
              <w:topLinePunct w:val="0"/>
              <w:autoSpaceDE/>
              <w:autoSpaceDN/>
              <w:bidi/>
              <w:adjustRightInd/>
              <w:snapToGrid/>
              <w:spacing w:line="560" w:lineRule="exact"/>
              <w:ind w:left="0" w:leftChars="0" w:firstLine="0" w:firstLineChars="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eastAsia="仿宋_GB2312"/>
                <w:sz w:val="28"/>
                <w:szCs w:val="28"/>
                <w:lang w:val="en-US" w:eastAsia="zh-CN"/>
              </w:rPr>
              <w:t>1</w:t>
            </w:r>
          </w:p>
        </w:tc>
        <w:tc>
          <w:tcPr>
            <w:tcW w:w="737" w:type="pct"/>
            <w:shd w:val="clear" w:color="auto" w:fill="auto"/>
            <w:vAlign w:val="center"/>
          </w:tcPr>
          <w:p w14:paraId="40C5C305">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年</w:t>
            </w:r>
          </w:p>
        </w:tc>
        <w:tc>
          <w:tcPr>
            <w:tcW w:w="870" w:type="pct"/>
            <w:shd w:val="clear" w:color="auto" w:fill="auto"/>
            <w:vAlign w:val="center"/>
          </w:tcPr>
          <w:p w14:paraId="3D9932B8">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20</w:t>
            </w:r>
          </w:p>
        </w:tc>
      </w:tr>
      <w:tr w14:paraId="6B33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562" w:type="pct"/>
            <w:noWrap/>
            <w:vAlign w:val="center"/>
          </w:tcPr>
          <w:p w14:paraId="4D4F2277">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lang w:eastAsia="zh-CN"/>
              </w:rPr>
            </w:pPr>
            <w:r>
              <w:rPr>
                <w:rFonts w:hint="eastAsia" w:ascii="仿宋_GB2312" w:eastAsia="仿宋_GB2312"/>
                <w:sz w:val="28"/>
                <w:szCs w:val="28"/>
                <w:lang w:val="en-US" w:eastAsia="zh-CN"/>
              </w:rPr>
              <w:t>4</w:t>
            </w:r>
          </w:p>
        </w:tc>
        <w:tc>
          <w:tcPr>
            <w:tcW w:w="1530" w:type="pct"/>
            <w:shd w:val="clear" w:color="auto" w:fill="auto"/>
            <w:noWrap/>
            <w:vAlign w:val="center"/>
          </w:tcPr>
          <w:p w14:paraId="7F37AE9B">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hAnsi="仿宋" w:eastAsia="仿宋_GB2312" w:cs="Times New Roman"/>
                <w:sz w:val="28"/>
                <w:szCs w:val="28"/>
              </w:rPr>
              <w:t>服务目标</w:t>
            </w:r>
          </w:p>
        </w:tc>
        <w:tc>
          <w:tcPr>
            <w:tcW w:w="735" w:type="pct"/>
            <w:shd w:val="clear" w:color="auto" w:fill="auto"/>
            <w:noWrap/>
            <w:vAlign w:val="center"/>
          </w:tcPr>
          <w:p w14:paraId="603A9B35">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Calibri" w:eastAsia="仿宋_GB2312" w:cs="Times New Roman"/>
                <w:kern w:val="2"/>
                <w:sz w:val="28"/>
                <w:szCs w:val="28"/>
                <w:lang w:val="en-US" w:eastAsia="zh-CN" w:bidi="ar-SA"/>
              </w:rPr>
            </w:pPr>
            <w:r>
              <w:rPr>
                <w:rFonts w:hint="eastAsia" w:ascii="仿宋_GB2312" w:hAnsi="仿宋" w:eastAsia="仿宋_GB2312" w:cs="Times New Roman"/>
                <w:sz w:val="28"/>
                <w:szCs w:val="28"/>
              </w:rPr>
              <w:t>定性</w:t>
            </w:r>
          </w:p>
        </w:tc>
        <w:tc>
          <w:tcPr>
            <w:tcW w:w="564" w:type="pct"/>
            <w:shd w:val="clear" w:color="auto" w:fill="auto"/>
            <w:noWrap/>
            <w:vAlign w:val="center"/>
          </w:tcPr>
          <w:p w14:paraId="097C7B3C">
            <w:pPr>
              <w:keepNext w:val="0"/>
              <w:keepLines w:val="0"/>
              <w:pageBreakBefore w:val="0"/>
              <w:numPr>
                <w:ilvl w:val="0"/>
                <w:numId w:val="0"/>
              </w:numPr>
              <w:kinsoku/>
              <w:wordWrap/>
              <w:overflowPunct/>
              <w:topLinePunct w:val="0"/>
              <w:autoSpaceDE/>
              <w:autoSpaceDN/>
              <w:bidi/>
              <w:adjustRightInd/>
              <w:snapToGrid/>
              <w:spacing w:line="560" w:lineRule="exact"/>
              <w:ind w:left="0" w:leftChars="0" w:firstLine="0" w:firstLineChars="0"/>
              <w:jc w:val="center"/>
              <w:textAlignment w:val="auto"/>
              <w:outlineLvl w:val="0"/>
              <w:rPr>
                <w:rFonts w:hint="eastAsia" w:ascii="仿宋_GB2312" w:hAnsi="Calibri" w:eastAsia="仿宋_GB2312" w:cs="Times New Roman"/>
                <w:kern w:val="2"/>
                <w:sz w:val="28"/>
                <w:szCs w:val="28"/>
                <w:lang w:val="en-US" w:eastAsia="zh-CN" w:bidi="ar-SA"/>
              </w:rPr>
            </w:pPr>
            <w:r>
              <w:rPr>
                <w:rFonts w:hint="eastAsia" w:ascii="仿宋_GB2312" w:hAnsi="仿宋" w:eastAsia="仿宋_GB2312" w:cs="Times New Roman"/>
                <w:sz w:val="28"/>
                <w:szCs w:val="28"/>
              </w:rPr>
              <w:t>优良差</w:t>
            </w:r>
          </w:p>
        </w:tc>
        <w:tc>
          <w:tcPr>
            <w:tcW w:w="737" w:type="pct"/>
            <w:shd w:val="clear" w:color="auto" w:fill="auto"/>
            <w:vAlign w:val="center"/>
          </w:tcPr>
          <w:p w14:paraId="3F11A630">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Calibri" w:eastAsia="仿宋_GB2312" w:cs="Times New Roman"/>
                <w:kern w:val="2"/>
                <w:sz w:val="28"/>
                <w:szCs w:val="28"/>
                <w:lang w:val="en-US" w:eastAsia="zh-CN" w:bidi="ar-SA"/>
              </w:rPr>
            </w:pPr>
            <w:r>
              <w:rPr>
                <w:rFonts w:hint="eastAsia" w:ascii="仿宋_GB2312" w:hAnsi="Calibri" w:eastAsia="仿宋_GB2312" w:cs="Times New Roman"/>
                <w:kern w:val="2"/>
                <w:sz w:val="28"/>
                <w:szCs w:val="28"/>
                <w:lang w:val="en-US" w:eastAsia="zh-CN" w:bidi="ar-SA"/>
              </w:rPr>
              <w:t>项</w:t>
            </w:r>
          </w:p>
        </w:tc>
        <w:tc>
          <w:tcPr>
            <w:tcW w:w="870" w:type="pct"/>
            <w:shd w:val="clear" w:color="auto" w:fill="auto"/>
            <w:vAlign w:val="center"/>
          </w:tcPr>
          <w:p w14:paraId="7DC45955">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20</w:t>
            </w:r>
          </w:p>
        </w:tc>
      </w:tr>
      <w:tr w14:paraId="2D7E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562" w:type="pct"/>
            <w:noWrap/>
            <w:vAlign w:val="center"/>
          </w:tcPr>
          <w:p w14:paraId="0A98828B">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eastAsia="仿宋_GB2312"/>
                <w:sz w:val="28"/>
                <w:szCs w:val="28"/>
                <w:lang w:val="en-US" w:eastAsia="zh-CN"/>
              </w:rPr>
            </w:pPr>
            <w:bookmarkStart w:id="3" w:name="_Toc268005761"/>
            <w:r>
              <w:rPr>
                <w:rFonts w:hint="eastAsia" w:ascii="仿宋_GB2312" w:eastAsia="仿宋_GB2312"/>
                <w:sz w:val="28"/>
                <w:szCs w:val="28"/>
                <w:lang w:val="en-US" w:eastAsia="zh-CN"/>
              </w:rPr>
              <w:t>5</w:t>
            </w:r>
          </w:p>
        </w:tc>
        <w:tc>
          <w:tcPr>
            <w:tcW w:w="1530" w:type="pct"/>
            <w:shd w:val="clear" w:color="auto" w:fill="auto"/>
            <w:noWrap/>
            <w:vAlign w:val="center"/>
          </w:tcPr>
          <w:p w14:paraId="2E983A02">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lang w:val="en-US" w:eastAsia="zh-CN"/>
              </w:rPr>
            </w:pPr>
            <w:r>
              <w:rPr>
                <w:rFonts w:hint="eastAsia" w:ascii="仿宋_GB2312" w:eastAsia="仿宋_GB2312"/>
                <w:sz w:val="28"/>
                <w:szCs w:val="28"/>
                <w:lang w:val="en-US" w:eastAsia="zh-CN"/>
              </w:rPr>
              <w:t>服务项目持续性</w:t>
            </w:r>
          </w:p>
        </w:tc>
        <w:tc>
          <w:tcPr>
            <w:tcW w:w="735" w:type="pct"/>
            <w:shd w:val="clear" w:color="auto" w:fill="auto"/>
            <w:noWrap/>
            <w:vAlign w:val="center"/>
          </w:tcPr>
          <w:p w14:paraId="787A4C5D">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lang w:val="en-US" w:eastAsia="zh-CN"/>
              </w:rPr>
            </w:pPr>
            <w:r>
              <w:rPr>
                <w:rFonts w:hint="eastAsia" w:ascii="仿宋_GB2312" w:hAnsi="仿宋" w:eastAsia="仿宋_GB2312" w:cs="Times New Roman"/>
                <w:sz w:val="28"/>
                <w:szCs w:val="28"/>
              </w:rPr>
              <w:t>≥</w:t>
            </w:r>
          </w:p>
        </w:tc>
        <w:tc>
          <w:tcPr>
            <w:tcW w:w="564" w:type="pct"/>
            <w:shd w:val="clear" w:color="auto" w:fill="auto"/>
            <w:noWrap/>
            <w:vAlign w:val="center"/>
          </w:tcPr>
          <w:p w14:paraId="6D26D1EC">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lang w:val="en-US" w:eastAsia="zh-CN"/>
              </w:rPr>
            </w:pPr>
            <w:r>
              <w:rPr>
                <w:rFonts w:hint="eastAsia" w:ascii="仿宋_GB2312" w:eastAsia="仿宋_GB2312"/>
                <w:sz w:val="28"/>
                <w:szCs w:val="28"/>
                <w:lang w:val="en-US" w:eastAsia="zh-CN"/>
              </w:rPr>
              <w:t>1</w:t>
            </w:r>
          </w:p>
        </w:tc>
        <w:tc>
          <w:tcPr>
            <w:tcW w:w="737" w:type="pct"/>
            <w:shd w:val="clear" w:color="auto" w:fill="auto"/>
            <w:vAlign w:val="center"/>
          </w:tcPr>
          <w:p w14:paraId="3F37FAA7">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eastAsia="仿宋_GB2312"/>
                <w:sz w:val="28"/>
                <w:szCs w:val="28"/>
                <w:lang w:val="en-US" w:eastAsia="zh-CN"/>
              </w:rPr>
            </w:pPr>
            <w:r>
              <w:rPr>
                <w:rFonts w:hint="eastAsia" w:ascii="仿宋_GB2312" w:eastAsia="仿宋_GB2312"/>
                <w:sz w:val="28"/>
                <w:szCs w:val="28"/>
                <w:lang w:val="en-US" w:eastAsia="zh-CN"/>
              </w:rPr>
              <w:t>年</w:t>
            </w:r>
          </w:p>
        </w:tc>
        <w:tc>
          <w:tcPr>
            <w:tcW w:w="870" w:type="pct"/>
            <w:shd w:val="clear" w:color="auto" w:fill="auto"/>
            <w:vAlign w:val="center"/>
          </w:tcPr>
          <w:p w14:paraId="794E7526">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eastAsia="仿宋_GB2312"/>
                <w:sz w:val="28"/>
                <w:szCs w:val="28"/>
                <w:lang w:val="en-US" w:eastAsia="zh-CN"/>
              </w:rPr>
            </w:pPr>
            <w:r>
              <w:rPr>
                <w:rFonts w:hint="eastAsia" w:ascii="仿宋_GB2312" w:eastAsia="仿宋_GB2312"/>
                <w:sz w:val="28"/>
                <w:szCs w:val="28"/>
                <w:lang w:val="en-US" w:eastAsia="zh-CN"/>
              </w:rPr>
              <w:t>20</w:t>
            </w:r>
          </w:p>
        </w:tc>
      </w:tr>
      <w:tr w14:paraId="1C22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62" w:type="pct"/>
            <w:noWrap/>
            <w:vAlign w:val="center"/>
          </w:tcPr>
          <w:p w14:paraId="123891FE">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eastAsia="仿宋_GB2312"/>
                <w:sz w:val="28"/>
                <w:szCs w:val="28"/>
                <w:lang w:val="en-US" w:eastAsia="zh-CN"/>
              </w:rPr>
            </w:pPr>
            <w:r>
              <w:rPr>
                <w:rFonts w:hint="eastAsia" w:ascii="仿宋_GB2312" w:eastAsia="仿宋_GB2312"/>
                <w:sz w:val="28"/>
                <w:szCs w:val="28"/>
                <w:lang w:val="en-US" w:eastAsia="zh-CN"/>
              </w:rPr>
              <w:t>6</w:t>
            </w:r>
          </w:p>
        </w:tc>
        <w:tc>
          <w:tcPr>
            <w:tcW w:w="1530" w:type="pct"/>
            <w:shd w:val="clear" w:color="auto" w:fill="auto"/>
            <w:noWrap/>
            <w:vAlign w:val="center"/>
          </w:tcPr>
          <w:p w14:paraId="54748026">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eastAsia" w:ascii="仿宋_GB2312" w:hAnsi="Times New Roman" w:eastAsia="仿宋_GB2312" w:cs="Times New Roman"/>
                <w:kern w:val="2"/>
                <w:sz w:val="28"/>
                <w:szCs w:val="28"/>
                <w:lang w:val="en-US" w:eastAsia="zh-CN" w:bidi="ar-SA"/>
              </w:rPr>
            </w:pPr>
            <w:r>
              <w:rPr>
                <w:rFonts w:hint="eastAsia" w:ascii="仿宋_GB2312" w:eastAsia="仿宋_GB2312"/>
                <w:sz w:val="28"/>
                <w:szCs w:val="28"/>
                <w:lang w:val="en-US" w:eastAsia="zh-CN"/>
              </w:rPr>
              <w:t>区政府工作人员满意度</w:t>
            </w:r>
          </w:p>
        </w:tc>
        <w:tc>
          <w:tcPr>
            <w:tcW w:w="735" w:type="pct"/>
            <w:shd w:val="clear" w:color="auto" w:fill="auto"/>
            <w:noWrap/>
            <w:vAlign w:val="center"/>
          </w:tcPr>
          <w:p w14:paraId="159C2721">
            <w:pPr>
              <w:keepNext w:val="0"/>
              <w:keepLines w:val="0"/>
              <w:pageBreakBefore w:val="0"/>
              <w:widowControl/>
              <w:kinsoku/>
              <w:wordWrap/>
              <w:overflowPunct/>
              <w:topLinePunct w:val="0"/>
              <w:autoSpaceDE/>
              <w:autoSpaceDN/>
              <w:bidi/>
              <w:adjustRightInd/>
              <w:snapToGrid/>
              <w:spacing w:line="560" w:lineRule="exact"/>
              <w:ind w:left="0"/>
              <w:jc w:val="center"/>
              <w:textAlignment w:val="auto"/>
              <w:outlineLvl w:val="0"/>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w:t>
            </w:r>
          </w:p>
        </w:tc>
        <w:tc>
          <w:tcPr>
            <w:tcW w:w="564" w:type="pct"/>
            <w:shd w:val="clear" w:color="auto" w:fill="auto"/>
            <w:noWrap/>
            <w:vAlign w:val="center"/>
          </w:tcPr>
          <w:p w14:paraId="2CE4C244">
            <w:pPr>
              <w:keepNext w:val="0"/>
              <w:keepLines w:val="0"/>
              <w:pageBreakBefore w:val="0"/>
              <w:widowControl/>
              <w:numPr>
                <w:ilvl w:val="0"/>
                <w:numId w:val="0"/>
              </w:numPr>
              <w:kinsoku/>
              <w:wordWrap/>
              <w:overflowPunct/>
              <w:topLinePunct w:val="0"/>
              <w:autoSpaceDE/>
              <w:autoSpaceDN/>
              <w:bidi/>
              <w:adjustRightInd/>
              <w:snapToGrid/>
              <w:spacing w:line="560" w:lineRule="exact"/>
              <w:ind w:left="0" w:leftChars="0" w:firstLine="0" w:firstLineChars="0"/>
              <w:jc w:val="center"/>
              <w:textAlignment w:val="auto"/>
              <w:outlineLvl w:val="0"/>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90</w:t>
            </w:r>
          </w:p>
        </w:tc>
        <w:tc>
          <w:tcPr>
            <w:tcW w:w="737" w:type="pct"/>
            <w:shd w:val="clear" w:color="auto" w:fill="auto"/>
            <w:vAlign w:val="center"/>
          </w:tcPr>
          <w:p w14:paraId="4BD1DDEF">
            <w:pPr>
              <w:keepNext w:val="0"/>
              <w:keepLines w:val="0"/>
              <w:pageBreakBefore w:val="0"/>
              <w:widowControl/>
              <w:kinsoku/>
              <w:wordWrap/>
              <w:overflowPunct/>
              <w:topLinePunct w:val="0"/>
              <w:autoSpaceDE/>
              <w:autoSpaceDN/>
              <w:bidi/>
              <w:adjustRightInd/>
              <w:snapToGrid/>
              <w:spacing w:line="560" w:lineRule="exact"/>
              <w:ind w:left="0"/>
              <w:jc w:val="center"/>
              <w:textAlignment w:val="auto"/>
              <w:outlineLvl w:val="0"/>
              <w:rPr>
                <w:rFonts w:hint="default" w:ascii="仿宋_GB2312" w:hAnsi="仿宋" w:eastAsia="仿宋_GB2312" w:cs="Times New Roman"/>
                <w:kern w:val="2"/>
                <w:sz w:val="28"/>
                <w:szCs w:val="28"/>
                <w:lang w:val="en-US" w:eastAsia="zh-CN" w:bidi="ar-SA"/>
              </w:rPr>
            </w:pPr>
            <w:r>
              <w:rPr>
                <w:rFonts w:hint="eastAsia" w:ascii="仿宋_GB2312" w:hAnsi="仿宋" w:eastAsia="仿宋_GB2312" w:cs="Times New Roman"/>
                <w:kern w:val="2"/>
                <w:sz w:val="28"/>
                <w:szCs w:val="28"/>
                <w:lang w:val="en-US" w:eastAsia="zh-CN" w:bidi="ar-SA"/>
              </w:rPr>
              <w:t>%</w:t>
            </w:r>
          </w:p>
        </w:tc>
        <w:tc>
          <w:tcPr>
            <w:tcW w:w="870" w:type="pct"/>
            <w:shd w:val="clear" w:color="auto" w:fill="auto"/>
            <w:vAlign w:val="center"/>
          </w:tcPr>
          <w:p w14:paraId="45B171FE">
            <w:pPr>
              <w:keepNext w:val="0"/>
              <w:keepLines w:val="0"/>
              <w:pageBreakBefore w:val="0"/>
              <w:kinsoku/>
              <w:wordWrap/>
              <w:overflowPunct/>
              <w:topLinePunct w:val="0"/>
              <w:autoSpaceDE/>
              <w:autoSpaceDN/>
              <w:bidi/>
              <w:adjustRightInd/>
              <w:snapToGrid/>
              <w:spacing w:line="560" w:lineRule="exact"/>
              <w:ind w:left="0"/>
              <w:jc w:val="center"/>
              <w:textAlignment w:val="auto"/>
              <w:outlineLvl w:val="0"/>
              <w:rPr>
                <w:rFonts w:hint="default"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20</w:t>
            </w:r>
          </w:p>
        </w:tc>
      </w:tr>
    </w:tbl>
    <w:p w14:paraId="1FBED8C5">
      <w:pPr>
        <w:keepNext w:val="0"/>
        <w:keepLines w:val="0"/>
        <w:pageBreakBefore w:val="0"/>
        <w:kinsoku/>
        <w:wordWrap/>
        <w:overflowPunct/>
        <w:topLinePunct w:val="0"/>
        <w:spacing w:line="560" w:lineRule="exact"/>
        <w:ind w:left="0" w:firstLine="641"/>
        <w:textAlignment w:val="auto"/>
        <w:rPr>
          <w:rFonts w:hint="eastAsia" w:ascii="楷体_GB2312" w:hAnsi="Calibri" w:eastAsia="楷体_GB2312"/>
          <w:b/>
          <w:sz w:val="28"/>
          <w:szCs w:val="28"/>
        </w:rPr>
      </w:pPr>
      <w:r>
        <w:rPr>
          <w:rFonts w:hint="eastAsia" w:ascii="楷体_GB2312" w:eastAsia="楷体_GB2312"/>
          <w:b/>
          <w:sz w:val="28"/>
          <w:szCs w:val="28"/>
          <w:lang w:eastAsia="zh-CN"/>
        </w:rPr>
        <w:t>（二）</w:t>
      </w:r>
      <w:r>
        <w:rPr>
          <w:rFonts w:hint="eastAsia" w:ascii="楷体_GB2312" w:eastAsia="楷体_GB2312"/>
          <w:b/>
          <w:sz w:val="28"/>
          <w:szCs w:val="28"/>
        </w:rPr>
        <w:t>当年预算执行情况</w:t>
      </w:r>
      <w:bookmarkEnd w:id="3"/>
      <w:r>
        <w:rPr>
          <w:rFonts w:hint="eastAsia" w:ascii="仿宋_GB2312" w:eastAsia="仿宋_GB2312"/>
          <w:sz w:val="28"/>
          <w:szCs w:val="28"/>
        </w:rPr>
        <w:t xml:space="preserve">  </w:t>
      </w:r>
    </w:p>
    <w:p w14:paraId="22F0A1A1">
      <w:pPr>
        <w:keepNext w:val="0"/>
        <w:keepLines w:val="0"/>
        <w:pageBreakBefore w:val="0"/>
        <w:kinsoku/>
        <w:wordWrap/>
        <w:overflowPunct/>
        <w:topLinePunct w:val="0"/>
        <w:spacing w:line="560" w:lineRule="exact"/>
        <w:ind w:left="0" w:firstLine="641"/>
        <w:textAlignment w:val="auto"/>
        <w:rPr>
          <w:rFonts w:hint="eastAsia" w:ascii="仿宋_GB2312" w:eastAsia="仿宋_GB2312"/>
          <w:sz w:val="28"/>
          <w:szCs w:val="28"/>
        </w:rPr>
      </w:pPr>
      <w:r>
        <w:rPr>
          <w:rFonts w:hint="eastAsia" w:ascii="仿宋_GB2312" w:eastAsia="仿宋_GB2312"/>
          <w:sz w:val="28"/>
          <w:szCs w:val="28"/>
        </w:rPr>
        <w:t>2025年全年预算数</w:t>
      </w:r>
      <w:r>
        <w:rPr>
          <w:rFonts w:hint="eastAsia" w:ascii="仿宋_GB2312" w:eastAsia="仿宋_GB2312"/>
          <w:sz w:val="28"/>
          <w:szCs w:val="28"/>
          <w:lang w:val="en-US" w:eastAsia="zh-CN"/>
        </w:rPr>
        <w:t>34,797,426.94</w:t>
      </w:r>
      <w:r>
        <w:rPr>
          <w:rFonts w:hint="eastAsia" w:ascii="仿宋_GB2312" w:eastAsia="仿宋_GB2312"/>
          <w:sz w:val="28"/>
          <w:szCs w:val="28"/>
        </w:rPr>
        <w:t>元，其中，基本支出预算数22</w:t>
      </w:r>
      <w:r>
        <w:rPr>
          <w:rFonts w:hint="eastAsia" w:ascii="仿宋_GB2312" w:eastAsia="仿宋_GB2312"/>
          <w:sz w:val="28"/>
          <w:szCs w:val="28"/>
          <w:lang w:val="en-US" w:eastAsia="zh-CN"/>
        </w:rPr>
        <w:t>,</w:t>
      </w:r>
      <w:r>
        <w:rPr>
          <w:rFonts w:hint="eastAsia" w:ascii="仿宋_GB2312" w:eastAsia="仿宋_GB2312"/>
          <w:sz w:val="28"/>
          <w:szCs w:val="28"/>
        </w:rPr>
        <w:t>966</w:t>
      </w:r>
      <w:r>
        <w:rPr>
          <w:rFonts w:hint="eastAsia" w:ascii="仿宋_GB2312" w:eastAsia="仿宋_GB2312"/>
          <w:sz w:val="28"/>
          <w:szCs w:val="28"/>
          <w:lang w:val="en-US" w:eastAsia="zh-CN"/>
        </w:rPr>
        <w:t>,</w:t>
      </w:r>
      <w:r>
        <w:rPr>
          <w:rFonts w:hint="eastAsia" w:ascii="仿宋_GB2312" w:eastAsia="仿宋_GB2312"/>
          <w:sz w:val="28"/>
          <w:szCs w:val="28"/>
        </w:rPr>
        <w:t>918.88元，项目支出预算数</w:t>
      </w:r>
      <w:r>
        <w:rPr>
          <w:rFonts w:hint="eastAsia" w:ascii="仿宋_GB2312" w:eastAsia="仿宋_GB2312"/>
          <w:sz w:val="28"/>
          <w:szCs w:val="28"/>
          <w:lang w:val="en-US" w:eastAsia="zh-CN"/>
        </w:rPr>
        <w:t>11,830,508.06</w:t>
      </w:r>
      <w:r>
        <w:rPr>
          <w:rFonts w:hint="eastAsia" w:ascii="仿宋_GB2312" w:eastAsia="仿宋_GB2312"/>
          <w:sz w:val="28"/>
          <w:szCs w:val="28"/>
        </w:rPr>
        <w:t>元。全年</w:t>
      </w:r>
      <w:r>
        <w:rPr>
          <w:rFonts w:hint="eastAsia" w:ascii="仿宋_GB2312" w:eastAsia="仿宋_GB2312"/>
          <w:sz w:val="28"/>
          <w:szCs w:val="28"/>
          <w:lang w:eastAsia="zh-CN"/>
        </w:rPr>
        <w:t>支出</w:t>
      </w:r>
      <w:r>
        <w:rPr>
          <w:rFonts w:hint="eastAsia" w:ascii="仿宋_GB2312" w:eastAsia="仿宋_GB2312"/>
          <w:sz w:val="28"/>
          <w:szCs w:val="28"/>
          <w:lang w:val="en-US" w:eastAsia="zh-CN"/>
        </w:rPr>
        <w:t>34,797,426.94</w:t>
      </w:r>
      <w:r>
        <w:rPr>
          <w:rFonts w:hint="eastAsia" w:ascii="仿宋_GB2312" w:eastAsia="仿宋_GB2312"/>
          <w:sz w:val="28"/>
          <w:szCs w:val="28"/>
        </w:rPr>
        <w:t>元，其中，基本支出22</w:t>
      </w:r>
      <w:r>
        <w:rPr>
          <w:rFonts w:hint="eastAsia" w:ascii="仿宋_GB2312" w:eastAsia="仿宋_GB2312"/>
          <w:sz w:val="28"/>
          <w:szCs w:val="28"/>
          <w:lang w:val="en-US" w:eastAsia="zh-CN"/>
        </w:rPr>
        <w:t>,</w:t>
      </w:r>
      <w:r>
        <w:rPr>
          <w:rFonts w:hint="eastAsia" w:ascii="仿宋_GB2312" w:eastAsia="仿宋_GB2312"/>
          <w:sz w:val="28"/>
          <w:szCs w:val="28"/>
        </w:rPr>
        <w:t>966</w:t>
      </w:r>
      <w:r>
        <w:rPr>
          <w:rFonts w:hint="eastAsia" w:ascii="仿宋_GB2312" w:eastAsia="仿宋_GB2312"/>
          <w:sz w:val="28"/>
          <w:szCs w:val="28"/>
          <w:lang w:val="en-US" w:eastAsia="zh-CN"/>
        </w:rPr>
        <w:t>,</w:t>
      </w:r>
      <w:r>
        <w:rPr>
          <w:rFonts w:hint="eastAsia" w:ascii="仿宋_GB2312" w:eastAsia="仿宋_GB2312"/>
          <w:sz w:val="28"/>
          <w:szCs w:val="28"/>
        </w:rPr>
        <w:t>918.88元，项目支出</w:t>
      </w:r>
      <w:r>
        <w:rPr>
          <w:rFonts w:hint="eastAsia" w:ascii="仿宋_GB2312" w:eastAsia="仿宋_GB2312"/>
          <w:sz w:val="28"/>
          <w:szCs w:val="28"/>
          <w:lang w:val="en-US" w:eastAsia="zh-CN"/>
        </w:rPr>
        <w:t>11,830,508.06</w:t>
      </w:r>
      <w:r>
        <w:rPr>
          <w:rFonts w:hint="eastAsia" w:ascii="仿宋_GB2312" w:eastAsia="仿宋_GB2312"/>
          <w:sz w:val="28"/>
          <w:szCs w:val="28"/>
        </w:rPr>
        <w:t>元。预算执行率为</w:t>
      </w:r>
      <w:r>
        <w:rPr>
          <w:rFonts w:hint="eastAsia" w:ascii="仿宋_GB2312" w:eastAsia="仿宋_GB2312"/>
          <w:sz w:val="28"/>
          <w:szCs w:val="28"/>
          <w:lang w:val="en-US" w:eastAsia="zh-CN"/>
        </w:rPr>
        <w:t>100</w:t>
      </w:r>
      <w:r>
        <w:rPr>
          <w:rFonts w:hint="eastAsia" w:ascii="仿宋_GB2312" w:eastAsia="仿宋_GB2312"/>
          <w:sz w:val="28"/>
          <w:szCs w:val="28"/>
        </w:rPr>
        <w:t xml:space="preserve">%。                                  </w:t>
      </w:r>
    </w:p>
    <w:p w14:paraId="12F32258">
      <w:pPr>
        <w:keepNext w:val="0"/>
        <w:keepLines w:val="0"/>
        <w:pageBreakBefore w:val="0"/>
        <w:kinsoku/>
        <w:wordWrap/>
        <w:overflowPunct/>
        <w:topLinePunct w:val="0"/>
        <w:spacing w:line="560" w:lineRule="exact"/>
        <w:ind w:left="0" w:firstLine="641"/>
        <w:textAlignment w:val="auto"/>
        <w:rPr>
          <w:rFonts w:hint="eastAsia" w:ascii="仿宋_GB2312" w:eastAsia="仿宋_GB2312"/>
          <w:sz w:val="28"/>
          <w:szCs w:val="28"/>
        </w:rPr>
      </w:pPr>
      <w:r>
        <w:rPr>
          <w:rFonts w:hint="eastAsia" w:ascii="仿宋_GB2312" w:eastAsia="仿宋_GB2312"/>
          <w:sz w:val="28"/>
          <w:szCs w:val="28"/>
        </w:rPr>
        <w:t>2025年年末结转结余资金总额为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w:t>
      </w:r>
      <w:r>
        <w:rPr>
          <w:rFonts w:hint="eastAsia" w:ascii="仿宋_GB2312" w:eastAsia="仿宋_GB2312"/>
          <w:sz w:val="28"/>
          <w:szCs w:val="28"/>
          <w:lang w:val="en-US" w:eastAsia="zh-CN"/>
        </w:rPr>
        <w:t>0</w:t>
      </w:r>
      <w:r>
        <w:rPr>
          <w:rFonts w:hint="eastAsia" w:ascii="仿宋_GB2312" w:eastAsia="仿宋_GB2312"/>
          <w:sz w:val="28"/>
          <w:szCs w:val="28"/>
        </w:rPr>
        <w:t>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%；2024年年末结转结余资金总额为</w:t>
      </w:r>
      <w:r>
        <w:rPr>
          <w:rFonts w:hint="eastAsia" w:ascii="仿宋_GB2312" w:eastAsia="仿宋_GB2312"/>
          <w:sz w:val="28"/>
          <w:szCs w:val="28"/>
          <w:lang w:val="en-US" w:eastAsia="zh-CN"/>
        </w:rPr>
        <w:t>0</w:t>
      </w:r>
      <w:r>
        <w:rPr>
          <w:rFonts w:hint="eastAsia" w:ascii="仿宋_GB2312" w:eastAsia="仿宋_GB2312"/>
          <w:sz w:val="28"/>
          <w:szCs w:val="28"/>
        </w:rPr>
        <w:t>元，全年支出预算数为39</w:t>
      </w:r>
      <w:r>
        <w:rPr>
          <w:rFonts w:hint="eastAsia" w:ascii="仿宋_GB2312" w:eastAsia="仿宋_GB2312"/>
          <w:sz w:val="28"/>
          <w:szCs w:val="28"/>
          <w:lang w:val="en-US" w:eastAsia="zh-CN"/>
        </w:rPr>
        <w:t>,</w:t>
      </w:r>
      <w:r>
        <w:rPr>
          <w:rFonts w:hint="eastAsia" w:ascii="仿宋_GB2312" w:eastAsia="仿宋_GB2312"/>
          <w:sz w:val="28"/>
          <w:szCs w:val="28"/>
        </w:rPr>
        <w:t>716</w:t>
      </w:r>
      <w:r>
        <w:rPr>
          <w:rFonts w:hint="eastAsia" w:ascii="仿宋_GB2312" w:eastAsia="仿宋_GB2312"/>
          <w:sz w:val="28"/>
          <w:szCs w:val="28"/>
          <w:lang w:val="en-US" w:eastAsia="zh-CN"/>
        </w:rPr>
        <w:t>,</w:t>
      </w:r>
      <w:r>
        <w:rPr>
          <w:rFonts w:hint="eastAsia" w:ascii="仿宋_GB2312" w:eastAsia="仿宋_GB2312"/>
          <w:sz w:val="28"/>
          <w:szCs w:val="28"/>
        </w:rPr>
        <w:t>539.55元，资金结转结余率为</w:t>
      </w:r>
      <w:r>
        <w:rPr>
          <w:rFonts w:hint="eastAsia" w:ascii="仿宋_GB2312" w:eastAsia="仿宋_GB2312"/>
          <w:sz w:val="28"/>
          <w:szCs w:val="28"/>
          <w:lang w:val="en-US" w:eastAsia="zh-CN"/>
        </w:rPr>
        <w:t>0</w:t>
      </w:r>
      <w:r>
        <w:rPr>
          <w:rFonts w:hint="eastAsia" w:ascii="仿宋_GB2312" w:eastAsia="仿宋_GB2312"/>
          <w:sz w:val="28"/>
          <w:szCs w:val="28"/>
        </w:rPr>
        <w:t>%；2025年度部门结转结余率较上一年无变化。</w:t>
      </w:r>
    </w:p>
    <w:p w14:paraId="6A294B07">
      <w:pPr>
        <w:keepNext w:val="0"/>
        <w:keepLines w:val="0"/>
        <w:pageBreakBefore w:val="0"/>
        <w:kinsoku/>
        <w:wordWrap/>
        <w:overflowPunct/>
        <w:topLinePunct w:val="0"/>
        <w:spacing w:line="560" w:lineRule="exact"/>
        <w:ind w:left="0" w:firstLine="641"/>
        <w:textAlignment w:val="auto"/>
        <w:rPr>
          <w:rFonts w:hint="eastAsia" w:ascii="楷体_GB2312" w:eastAsia="楷体_GB2312"/>
          <w:b/>
          <w:sz w:val="28"/>
          <w:szCs w:val="28"/>
        </w:rPr>
      </w:pPr>
      <w:r>
        <w:rPr>
          <w:rFonts w:hint="eastAsia" w:ascii="楷体_GB2312" w:eastAsia="楷体_GB2312"/>
          <w:b/>
          <w:sz w:val="28"/>
          <w:szCs w:val="28"/>
        </w:rPr>
        <w:t>（三）整体绩效目标实现情况</w:t>
      </w:r>
    </w:p>
    <w:p w14:paraId="26CCF8EF">
      <w:pPr>
        <w:keepNext w:val="0"/>
        <w:keepLines w:val="0"/>
        <w:pageBreakBefore w:val="0"/>
        <w:kinsoku/>
        <w:wordWrap/>
        <w:overflowPunct/>
        <w:topLinePunct w:val="0"/>
        <w:spacing w:line="560" w:lineRule="exact"/>
        <w:ind w:left="0" w:firstLine="641"/>
        <w:textAlignment w:val="auto"/>
        <w:rPr>
          <w:rFonts w:hint="eastAsia" w:ascii="仿宋_GB2312" w:eastAsia="仿宋_GB2312"/>
          <w:sz w:val="28"/>
          <w:szCs w:val="28"/>
        </w:rPr>
      </w:pPr>
      <w:r>
        <w:rPr>
          <w:rFonts w:hint="eastAsia" w:ascii="仿宋_GB2312" w:eastAsia="仿宋_GB2312"/>
          <w:sz w:val="28"/>
          <w:szCs w:val="28"/>
        </w:rPr>
        <w:t>1.产出完成情况分析</w:t>
      </w:r>
    </w:p>
    <w:p w14:paraId="0129A73B">
      <w:pPr>
        <w:keepNext w:val="0"/>
        <w:keepLines w:val="0"/>
        <w:pageBreakBefore w:val="0"/>
        <w:kinsoku/>
        <w:wordWrap/>
        <w:overflowPunct/>
        <w:topLinePunct w:val="0"/>
        <w:spacing w:line="560" w:lineRule="exact"/>
        <w:ind w:left="0" w:firstLine="641"/>
        <w:textAlignment w:val="auto"/>
        <w:rPr>
          <w:rFonts w:hint="eastAsia" w:ascii="仿宋_GB2312" w:eastAsia="仿宋_GB2312"/>
          <w:sz w:val="28"/>
          <w:szCs w:val="28"/>
        </w:rPr>
      </w:pPr>
      <w:r>
        <w:rPr>
          <w:rFonts w:hint="eastAsia" w:ascii="仿宋_GB2312" w:eastAsia="仿宋_GB2312"/>
          <w:sz w:val="28"/>
          <w:szCs w:val="28"/>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2262"/>
        <w:gridCol w:w="1894"/>
        <w:gridCol w:w="2180"/>
      </w:tblGrid>
      <w:tr w14:paraId="313E3DD1">
        <w:tblPrEx>
          <w:tblCellMar>
            <w:top w:w="0" w:type="dxa"/>
            <w:left w:w="108" w:type="dxa"/>
            <w:bottom w:w="0" w:type="dxa"/>
            <w:right w:w="108" w:type="dxa"/>
          </w:tblCellMar>
        </w:tblPrEx>
        <w:trPr>
          <w:trHeight w:val="528" w:hRule="atLeast"/>
        </w:trPr>
        <w:tc>
          <w:tcPr>
            <w:tcW w:w="880" w:type="dxa"/>
            <w:tcBorders>
              <w:top w:val="single" w:color="auto" w:sz="4" w:space="0"/>
              <w:left w:val="single" w:color="auto" w:sz="4" w:space="0"/>
              <w:bottom w:val="single" w:color="auto" w:sz="4" w:space="0"/>
              <w:right w:val="single" w:color="auto" w:sz="4" w:space="0"/>
            </w:tcBorders>
            <w:vAlign w:val="center"/>
          </w:tcPr>
          <w:p w14:paraId="774B561C">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29783ECC">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三级指标</w:t>
            </w:r>
          </w:p>
        </w:tc>
        <w:tc>
          <w:tcPr>
            <w:tcW w:w="2262" w:type="dxa"/>
            <w:tcBorders>
              <w:top w:val="single" w:color="auto" w:sz="4" w:space="0"/>
              <w:left w:val="nil"/>
              <w:bottom w:val="single" w:color="auto" w:sz="4" w:space="0"/>
              <w:right w:val="single" w:color="auto" w:sz="4" w:space="0"/>
            </w:tcBorders>
            <w:vAlign w:val="center"/>
          </w:tcPr>
          <w:p w14:paraId="5EAFC8F0">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计划值</w:t>
            </w:r>
          </w:p>
        </w:tc>
        <w:tc>
          <w:tcPr>
            <w:tcW w:w="1894" w:type="dxa"/>
            <w:tcBorders>
              <w:top w:val="single" w:color="auto" w:sz="4" w:space="0"/>
              <w:left w:val="nil"/>
              <w:bottom w:val="single" w:color="auto" w:sz="4" w:space="0"/>
              <w:right w:val="single" w:color="auto" w:sz="4" w:space="0"/>
            </w:tcBorders>
            <w:vAlign w:val="center"/>
          </w:tcPr>
          <w:p w14:paraId="4A5D8449">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完成值</w:t>
            </w:r>
          </w:p>
        </w:tc>
        <w:tc>
          <w:tcPr>
            <w:tcW w:w="2180" w:type="dxa"/>
            <w:tcBorders>
              <w:top w:val="single" w:color="auto" w:sz="4" w:space="0"/>
              <w:left w:val="nil"/>
              <w:bottom w:val="single" w:color="auto" w:sz="4" w:space="0"/>
              <w:right w:val="single" w:color="auto" w:sz="4" w:space="0"/>
            </w:tcBorders>
            <w:vAlign w:val="center"/>
          </w:tcPr>
          <w:p w14:paraId="1DB05BAC">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偏差原因</w:t>
            </w:r>
          </w:p>
        </w:tc>
      </w:tr>
      <w:tr w14:paraId="14D44F74">
        <w:tblPrEx>
          <w:tblCellMar>
            <w:top w:w="0" w:type="dxa"/>
            <w:left w:w="108" w:type="dxa"/>
            <w:bottom w:w="0" w:type="dxa"/>
            <w:right w:w="108" w:type="dxa"/>
          </w:tblCellMar>
        </w:tblPrEx>
        <w:trPr>
          <w:trHeight w:val="1046" w:hRule="atLeast"/>
        </w:trPr>
        <w:tc>
          <w:tcPr>
            <w:tcW w:w="880" w:type="dxa"/>
            <w:tcBorders>
              <w:top w:val="nil"/>
              <w:left w:val="single" w:color="auto" w:sz="4" w:space="0"/>
              <w:bottom w:val="single" w:color="auto" w:sz="4" w:space="0"/>
              <w:right w:val="single" w:color="auto" w:sz="4" w:space="0"/>
            </w:tcBorders>
            <w:vAlign w:val="center"/>
          </w:tcPr>
          <w:p w14:paraId="5B070455">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shd w:val="clear" w:color="auto" w:fill="auto"/>
            <w:vAlign w:val="center"/>
          </w:tcPr>
          <w:p w14:paraId="32470535">
            <w:pPr>
              <w:keepNext w:val="0"/>
              <w:keepLines w:val="0"/>
              <w:pageBreakBefore w:val="0"/>
              <w:widowControl/>
              <w:kinsoku/>
              <w:wordWrap/>
              <w:overflowPunct/>
              <w:topLinePunct w:val="0"/>
              <w:spacing w:line="560" w:lineRule="exact"/>
              <w:ind w:left="0"/>
              <w:jc w:val="center"/>
              <w:textAlignment w:val="auto"/>
              <w:rPr>
                <w:rFonts w:hint="eastAsia" w:ascii="仿宋_GB2312" w:hAnsi="宋体" w:eastAsia="仿宋_GB2312" w:cs="宋体"/>
                <w:color w:val="000000"/>
                <w:kern w:val="0"/>
                <w:sz w:val="28"/>
                <w:szCs w:val="28"/>
                <w:lang w:val="en-US" w:eastAsia="zh-CN" w:bidi="ar-SA"/>
              </w:rPr>
            </w:pPr>
            <w:r>
              <w:rPr>
                <w:rFonts w:hint="eastAsia" w:ascii="仿宋_GB2312" w:hAnsi="仿宋" w:eastAsia="仿宋_GB2312" w:cs="Times New Roman"/>
                <w:sz w:val="28"/>
                <w:szCs w:val="28"/>
              </w:rPr>
              <w:t>服务面积</w:t>
            </w:r>
            <w:r>
              <w:rPr>
                <w:rFonts w:hint="eastAsia" w:ascii="仿宋_GB2312" w:hAnsi="宋体" w:eastAsia="仿宋_GB2312" w:cs="宋体"/>
                <w:color w:val="000000"/>
                <w:kern w:val="0"/>
                <w:sz w:val="28"/>
                <w:szCs w:val="28"/>
              </w:rPr>
              <w:t>　</w:t>
            </w:r>
          </w:p>
        </w:tc>
        <w:tc>
          <w:tcPr>
            <w:tcW w:w="2262" w:type="dxa"/>
            <w:tcBorders>
              <w:top w:val="nil"/>
              <w:left w:val="nil"/>
              <w:bottom w:val="single" w:color="auto" w:sz="4" w:space="0"/>
              <w:right w:val="single" w:color="auto" w:sz="4" w:space="0"/>
            </w:tcBorders>
            <w:shd w:val="clear" w:color="auto" w:fill="auto"/>
            <w:vAlign w:val="center"/>
          </w:tcPr>
          <w:p w14:paraId="51ACB11D">
            <w:pPr>
              <w:keepNext w:val="0"/>
              <w:keepLines w:val="0"/>
              <w:pageBreakBefore w:val="0"/>
              <w:widowControl/>
              <w:kinsoku/>
              <w:wordWrap/>
              <w:overflowPunct/>
              <w:topLinePunct w:val="0"/>
              <w:spacing w:line="560" w:lineRule="exact"/>
              <w:ind w:left="0"/>
              <w:jc w:val="center"/>
              <w:textAlignment w:val="auto"/>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　</w:t>
            </w:r>
            <w:r>
              <w:rPr>
                <w:rFonts w:hint="eastAsia" w:ascii="仿宋_GB2312" w:hAnsi="仿宋" w:eastAsia="仿宋_GB2312" w:cs="Times New Roman"/>
                <w:sz w:val="28"/>
                <w:szCs w:val="28"/>
              </w:rPr>
              <w:t>60156平方米</w:t>
            </w:r>
          </w:p>
        </w:tc>
        <w:tc>
          <w:tcPr>
            <w:tcW w:w="1894" w:type="dxa"/>
            <w:tcBorders>
              <w:top w:val="nil"/>
              <w:left w:val="nil"/>
              <w:bottom w:val="single" w:color="auto" w:sz="4" w:space="0"/>
              <w:right w:val="single" w:color="auto" w:sz="4" w:space="0"/>
            </w:tcBorders>
            <w:shd w:val="clear" w:color="auto" w:fill="auto"/>
            <w:vAlign w:val="center"/>
          </w:tcPr>
          <w:p w14:paraId="7FD51D09">
            <w:pPr>
              <w:keepNext w:val="0"/>
              <w:keepLines w:val="0"/>
              <w:pageBreakBefore w:val="0"/>
              <w:widowControl/>
              <w:kinsoku/>
              <w:wordWrap/>
              <w:overflowPunct/>
              <w:topLinePunct w:val="0"/>
              <w:spacing w:line="560" w:lineRule="exact"/>
              <w:ind w:left="0"/>
              <w:jc w:val="center"/>
              <w:textAlignment w:val="auto"/>
              <w:rPr>
                <w:rFonts w:hint="eastAsia" w:ascii="仿宋_GB2312" w:hAnsi="宋体" w:eastAsia="仿宋_GB2312" w:cs="宋体"/>
                <w:color w:val="000000"/>
                <w:kern w:val="0"/>
                <w:sz w:val="28"/>
                <w:szCs w:val="28"/>
                <w:lang w:val="en-US" w:eastAsia="zh-CN" w:bidi="ar-SA"/>
              </w:rPr>
            </w:pPr>
            <w:r>
              <w:rPr>
                <w:rFonts w:hint="eastAsia" w:ascii="仿宋_GB2312" w:hAnsi="仿宋" w:eastAsia="仿宋_GB2312" w:cs="Times New Roman"/>
                <w:sz w:val="28"/>
                <w:szCs w:val="28"/>
              </w:rPr>
              <w:t>60156平方米</w:t>
            </w:r>
          </w:p>
        </w:tc>
        <w:tc>
          <w:tcPr>
            <w:tcW w:w="2180" w:type="dxa"/>
            <w:tcBorders>
              <w:top w:val="nil"/>
              <w:left w:val="nil"/>
              <w:bottom w:val="single" w:color="auto" w:sz="4" w:space="0"/>
              <w:right w:val="single" w:color="auto" w:sz="4" w:space="0"/>
            </w:tcBorders>
            <w:vAlign w:val="center"/>
          </w:tcPr>
          <w:p w14:paraId="1EBBFCA8">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lang w:val="en-US" w:eastAsia="zh-CN"/>
              </w:rPr>
              <w:t>无偏差</w:t>
            </w:r>
          </w:p>
        </w:tc>
      </w:tr>
      <w:tr w14:paraId="16B9F424">
        <w:tblPrEx>
          <w:tblCellMar>
            <w:top w:w="0" w:type="dxa"/>
            <w:left w:w="108" w:type="dxa"/>
            <w:bottom w:w="0" w:type="dxa"/>
            <w:right w:w="108" w:type="dxa"/>
          </w:tblCellMar>
        </w:tblPrEx>
        <w:trPr>
          <w:trHeight w:val="884" w:hRule="atLeast"/>
        </w:trPr>
        <w:tc>
          <w:tcPr>
            <w:tcW w:w="880" w:type="dxa"/>
            <w:tcBorders>
              <w:top w:val="nil"/>
              <w:left w:val="single" w:color="auto" w:sz="4" w:space="0"/>
              <w:bottom w:val="single" w:color="auto" w:sz="4" w:space="0"/>
              <w:right w:val="single" w:color="auto" w:sz="4" w:space="0"/>
            </w:tcBorders>
            <w:vAlign w:val="center"/>
          </w:tcPr>
          <w:p w14:paraId="41E0D8BE">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shd w:val="clear" w:color="auto" w:fill="auto"/>
            <w:vAlign w:val="center"/>
          </w:tcPr>
          <w:p w14:paraId="3C63B39F">
            <w:pPr>
              <w:keepNext w:val="0"/>
              <w:keepLines w:val="0"/>
              <w:pageBreakBefore w:val="0"/>
              <w:widowControl/>
              <w:kinsoku/>
              <w:wordWrap/>
              <w:overflowPunct/>
              <w:topLinePunct w:val="0"/>
              <w:spacing w:line="560" w:lineRule="exact"/>
              <w:ind w:left="0"/>
              <w:jc w:val="center"/>
              <w:textAlignment w:val="auto"/>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服务效果　</w:t>
            </w:r>
          </w:p>
        </w:tc>
        <w:tc>
          <w:tcPr>
            <w:tcW w:w="2262" w:type="dxa"/>
            <w:tcBorders>
              <w:top w:val="nil"/>
              <w:left w:val="nil"/>
              <w:bottom w:val="single" w:color="auto" w:sz="4" w:space="0"/>
              <w:right w:val="single" w:color="auto" w:sz="4" w:space="0"/>
            </w:tcBorders>
            <w:shd w:val="clear" w:color="auto" w:fill="auto"/>
            <w:vAlign w:val="center"/>
          </w:tcPr>
          <w:p w14:paraId="3846026E">
            <w:pPr>
              <w:keepNext w:val="0"/>
              <w:keepLines w:val="0"/>
              <w:pageBreakBefore w:val="0"/>
              <w:widowControl/>
              <w:kinsoku/>
              <w:wordWrap/>
              <w:overflowPunct/>
              <w:topLinePunct w:val="0"/>
              <w:spacing w:line="560" w:lineRule="exact"/>
              <w:ind w:left="0"/>
              <w:jc w:val="center"/>
              <w:textAlignment w:val="auto"/>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优　</w:t>
            </w:r>
          </w:p>
        </w:tc>
        <w:tc>
          <w:tcPr>
            <w:tcW w:w="1894" w:type="dxa"/>
            <w:tcBorders>
              <w:top w:val="nil"/>
              <w:left w:val="nil"/>
              <w:bottom w:val="single" w:color="auto" w:sz="4" w:space="0"/>
              <w:right w:val="single" w:color="auto" w:sz="4" w:space="0"/>
            </w:tcBorders>
            <w:shd w:val="clear" w:color="auto" w:fill="auto"/>
            <w:vAlign w:val="center"/>
          </w:tcPr>
          <w:p w14:paraId="4095EF3D">
            <w:pPr>
              <w:keepNext w:val="0"/>
              <w:keepLines w:val="0"/>
              <w:pageBreakBefore w:val="0"/>
              <w:widowControl/>
              <w:kinsoku/>
              <w:wordWrap/>
              <w:overflowPunct/>
              <w:topLinePunct w:val="0"/>
              <w:spacing w:line="560" w:lineRule="exact"/>
              <w:ind w:left="0"/>
              <w:jc w:val="center"/>
              <w:textAlignment w:val="auto"/>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　优</w:t>
            </w:r>
          </w:p>
        </w:tc>
        <w:tc>
          <w:tcPr>
            <w:tcW w:w="2180" w:type="dxa"/>
            <w:tcBorders>
              <w:top w:val="nil"/>
              <w:left w:val="nil"/>
              <w:bottom w:val="single" w:color="auto" w:sz="4" w:space="0"/>
              <w:right w:val="single" w:color="auto" w:sz="4" w:space="0"/>
            </w:tcBorders>
            <w:vAlign w:val="center"/>
          </w:tcPr>
          <w:p w14:paraId="2FE42340">
            <w:pPr>
              <w:keepNext w:val="0"/>
              <w:keepLines w:val="0"/>
              <w:pageBreakBefore w:val="0"/>
              <w:kinsoku/>
              <w:wordWrap/>
              <w:overflowPunct/>
              <w:topLinePunct w:val="0"/>
              <w:spacing w:line="560" w:lineRule="exact"/>
              <w:ind w:left="0"/>
              <w:jc w:val="center"/>
              <w:textAlignment w:val="auto"/>
              <w:rPr>
                <w:rFonts w:hint="eastAsia" w:ascii="仿宋_GB2312" w:eastAsia="仿宋_GB2312"/>
                <w:sz w:val="28"/>
                <w:szCs w:val="28"/>
              </w:rPr>
            </w:pPr>
            <w:r>
              <w:rPr>
                <w:rFonts w:hint="eastAsia" w:ascii="仿宋_GB2312" w:eastAsia="仿宋_GB2312"/>
                <w:sz w:val="28"/>
                <w:szCs w:val="28"/>
                <w:lang w:val="en-US" w:eastAsia="zh-CN"/>
              </w:rPr>
              <w:t>无偏差</w:t>
            </w:r>
          </w:p>
        </w:tc>
      </w:tr>
    </w:tbl>
    <w:p w14:paraId="279B9821">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val="en-US" w:eastAsia="zh-CN"/>
        </w:rPr>
      </w:pPr>
      <w:r>
        <w:rPr>
          <w:rFonts w:hint="eastAsia" w:ascii="仿宋_GB2312" w:eastAsia="仿宋_GB2312"/>
          <w:sz w:val="28"/>
          <w:szCs w:val="28"/>
        </w:rPr>
        <w:t>（2）产出质量</w:t>
      </w:r>
      <w:r>
        <w:rPr>
          <w:rFonts w:hint="eastAsia" w:ascii="仿宋_GB2312" w:eastAsia="仿宋_GB2312"/>
          <w:sz w:val="28"/>
          <w:szCs w:val="28"/>
          <w:lang w:eastAsia="zh-CN"/>
        </w:rPr>
        <w:t>。</w:t>
      </w:r>
      <w:r>
        <w:rPr>
          <w:rFonts w:hint="eastAsia" w:ascii="仿宋_GB2312" w:eastAsia="仿宋_GB2312"/>
          <w:sz w:val="28"/>
          <w:szCs w:val="28"/>
        </w:rPr>
        <w:t>整体绩效目标稳步落实。后勤保障各项服务产出质量达标，严格按照管理规范完成</w:t>
      </w:r>
      <w:r>
        <w:rPr>
          <w:rFonts w:hint="eastAsia" w:ascii="仿宋_GB2312" w:eastAsia="仿宋_GB2312"/>
          <w:sz w:val="28"/>
          <w:szCs w:val="28"/>
          <w:lang w:eastAsia="zh-CN"/>
        </w:rPr>
        <w:t>会务</w:t>
      </w:r>
      <w:r>
        <w:rPr>
          <w:rFonts w:hint="eastAsia" w:ascii="仿宋_GB2312" w:eastAsia="仿宋_GB2312"/>
          <w:sz w:val="28"/>
          <w:szCs w:val="28"/>
        </w:rPr>
        <w:t>保障、环境运维、物资保障等工作，保障工作运转平稳。部分保障事项精细化程度仍存在提升空间。下一步将细化前置筹备核查，强化现场管控，补齐细节短板，持续提升后勤服务保障品质。</w:t>
      </w:r>
    </w:p>
    <w:p w14:paraId="3B84B946">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（3）产出进度</w:t>
      </w:r>
      <w:r>
        <w:rPr>
          <w:rFonts w:hint="eastAsia" w:ascii="仿宋_GB2312" w:eastAsia="仿宋_GB2312"/>
          <w:sz w:val="28"/>
          <w:szCs w:val="28"/>
          <w:lang w:eastAsia="zh-CN"/>
        </w:rPr>
        <w:t>。各项机关事务服务任务推进顺畅，产出进度总体优于时序计划。常态化保障按期落实，专项会务、突击保障任务均按时完成。持续强化工作预判，对重点任务提前部署，保障后续工作高效推进。</w:t>
      </w:r>
    </w:p>
    <w:p w14:paraId="70875ABD">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（4）产出成本</w:t>
      </w:r>
      <w:r>
        <w:rPr>
          <w:rFonts w:hint="eastAsia" w:ascii="仿宋_GB2312" w:eastAsia="仿宋_GB2312"/>
          <w:sz w:val="28"/>
          <w:szCs w:val="28"/>
          <w:lang w:eastAsia="zh-CN"/>
        </w:rPr>
        <w:t>。强化预算刚性约束，机关事务各类保障成本严格控制在预算额度之内。经费审批、物资领用管理规范，耗材统筹复用成效明显。持续落实节约化保障举措，进一步提高财政资金使用效率。</w:t>
      </w:r>
    </w:p>
    <w:p w14:paraId="011917BA">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2.效果实现情况分析</w:t>
      </w:r>
    </w:p>
    <w:p w14:paraId="161CCA75">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（1）经济效益</w:t>
      </w:r>
      <w:r>
        <w:rPr>
          <w:rFonts w:hint="eastAsia" w:ascii="仿宋_GB2312" w:eastAsia="仿宋_GB2312"/>
          <w:sz w:val="28"/>
          <w:szCs w:val="28"/>
          <w:lang w:eastAsia="zh-CN"/>
        </w:rPr>
        <w:t>。本周期严格落实厉行节约要求，强化后勤经费与物资精细化管理。各项保障支出严格控制在预算范围内，严控非刚性开支，优化物资统筹调配、循环复用资源，有效压缩无效损耗。资金使用规范高效，实现了降本增效的管理目标，整体财政资金使用效益稳步提升。</w:t>
      </w:r>
    </w:p>
    <w:p w14:paraId="420955E0">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（2）社会效益</w:t>
      </w:r>
      <w:r>
        <w:rPr>
          <w:rFonts w:hint="eastAsia" w:ascii="仿宋_GB2312" w:eastAsia="仿宋_GB2312"/>
          <w:sz w:val="28"/>
          <w:szCs w:val="28"/>
          <w:lang w:eastAsia="zh-CN"/>
        </w:rPr>
        <w:t>。扎实做好机关后勤支撑保障，规范落实会务运维、环境管护、物资保障各项服务，营造安全有序、整洁规范的办公环境。有力保障公务业务顺畅开展，为各项工作落地提供坚实后勤支撑。服务保障能力持续增强，机关办公运行秩序平稳，获得服务对象的肯定。</w:t>
      </w:r>
    </w:p>
    <w:p w14:paraId="4E7059D2">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（3）环境效益</w:t>
      </w:r>
      <w:r>
        <w:rPr>
          <w:rFonts w:hint="eastAsia" w:ascii="仿宋_GB2312" w:eastAsia="仿宋_GB2312"/>
          <w:sz w:val="28"/>
          <w:szCs w:val="28"/>
          <w:lang w:eastAsia="zh-CN"/>
        </w:rPr>
        <w:t>。落实绿色后勤建设要求，抓好办公区域节能管护，规范废弃物分类处置。积极推行节约耗材、节水节电举措，减少资源消耗，办公区域环境整洁有序，取得良好的环境效益。</w:t>
      </w:r>
    </w:p>
    <w:p w14:paraId="24F28615">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（4）可持续影响</w:t>
      </w:r>
      <w:r>
        <w:rPr>
          <w:rFonts w:hint="eastAsia" w:ascii="仿宋_GB2312" w:eastAsia="仿宋_GB2312"/>
          <w:sz w:val="28"/>
          <w:szCs w:val="28"/>
          <w:lang w:eastAsia="zh-CN"/>
        </w:rPr>
        <w:t>。不断健全后勤运维、物资管理各项工作机制，规范服务操作流程。相关管理制度持续完善，节约保障、绿色运维的工作模式逐步固化，对机关长期平稳运转、建设节约型机关形成长效支撑。</w:t>
      </w:r>
    </w:p>
    <w:p w14:paraId="1BB5DCA7">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（5）服务对象满意度</w:t>
      </w:r>
      <w:r>
        <w:rPr>
          <w:rFonts w:hint="eastAsia" w:ascii="仿宋_GB2312" w:eastAsia="仿宋_GB2312"/>
          <w:sz w:val="28"/>
          <w:szCs w:val="28"/>
          <w:lang w:eastAsia="zh-CN"/>
        </w:rPr>
        <w:t>。常态化收集服务对象意见，整体满意度较好。机关各科室对会务保障、物资供给、办公运维等后勤服务高度认可。</w:t>
      </w:r>
    </w:p>
    <w:p w14:paraId="183D08BF">
      <w:pPr>
        <w:keepNext w:val="0"/>
        <w:keepLines w:val="0"/>
        <w:pageBreakBefore w:val="0"/>
        <w:kinsoku/>
        <w:wordWrap/>
        <w:overflowPunct/>
        <w:topLinePunct w:val="0"/>
        <w:spacing w:line="560" w:lineRule="exact"/>
        <w:ind w:left="0" w:firstLine="640"/>
        <w:textAlignment w:val="auto"/>
        <w:rPr>
          <w:rFonts w:hint="eastAsia" w:ascii="楷体_GB2312" w:eastAsia="楷体_GB2312"/>
          <w:b/>
          <w:sz w:val="28"/>
          <w:szCs w:val="28"/>
        </w:rPr>
      </w:pPr>
      <w:r>
        <w:rPr>
          <w:rFonts w:hint="eastAsia" w:ascii="楷体_GB2312" w:eastAsia="楷体_GB2312"/>
          <w:b/>
          <w:sz w:val="28"/>
          <w:szCs w:val="28"/>
        </w:rPr>
        <w:t>（四）预算管理情况分析</w:t>
      </w:r>
    </w:p>
    <w:p w14:paraId="4C57B3DB">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1.财务管理</w:t>
      </w:r>
      <w:r>
        <w:rPr>
          <w:rFonts w:hint="eastAsia" w:ascii="仿宋_GB2312" w:eastAsia="仿宋_GB2312"/>
          <w:sz w:val="28"/>
          <w:szCs w:val="28"/>
          <w:lang w:eastAsia="zh-CN"/>
        </w:rPr>
        <w:t>。严格执行财经法律法规及单位财务管理制度，规范经费审批、资金支付、财务报销全流程管理。所有后勤保障支出均按预算执行，开支合规有序、手续完备，严格落实专款专用要求，无超范围、超标准支出情况。财务核算真实规范，资金使用安全可控，有效保障机关后勤各项工作平稳开展。</w:t>
      </w:r>
    </w:p>
    <w:p w14:paraId="1852C1CC">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2.资产管理</w:t>
      </w:r>
      <w:r>
        <w:rPr>
          <w:rFonts w:hint="eastAsia" w:ascii="仿宋_GB2312" w:eastAsia="仿宋_GB2312"/>
          <w:sz w:val="28"/>
          <w:szCs w:val="28"/>
          <w:lang w:eastAsia="zh-CN"/>
        </w:rPr>
        <w:t>。严格落实行政事业单位资产管理规定，规范资产采购、入库登记、领用使用、保管维护、清查盘点等全链条管理。资产台账更新及时、账实基本相符，资产领用、归还、处置流程规范有序。常态化开展资产清查工作，盘活存量资产，杜绝闲置浪费，进一步提升资产使用效率和规范化管理水平。</w:t>
      </w:r>
    </w:p>
    <w:p w14:paraId="6E08E69A">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3.绩效管理</w:t>
      </w:r>
    </w:p>
    <w:p w14:paraId="7C220D1B">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（1）预算绩效管理制度情况</w:t>
      </w:r>
      <w:r>
        <w:rPr>
          <w:rFonts w:hint="eastAsia" w:ascii="仿宋_GB2312" w:eastAsia="仿宋_GB2312"/>
          <w:sz w:val="28"/>
          <w:szCs w:val="28"/>
          <w:lang w:eastAsia="zh-CN"/>
        </w:rPr>
        <w:t>。严格落实预算绩效管理工作要求，建立健全预算绩效管理工作机制，将绩效管理贯穿预算编制、执行、监控、自评全过程。严格按照制度开展绩效运行监控、年度绩效自评、问题整改等工作，制度执行总体规范有效。结合后勤服务工作实际持续完善配套管理细则，进一步夯实绩效管理制度化、规范化基础。</w:t>
      </w:r>
    </w:p>
    <w:p w14:paraId="5A6E3DC5">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（2）绩效目标管理情况</w:t>
      </w:r>
    </w:p>
    <w:p w14:paraId="6F6D6A73">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2025年部门预算项目</w:t>
      </w:r>
      <w:r>
        <w:rPr>
          <w:rFonts w:hint="eastAsia" w:ascii="仿宋_GB2312" w:eastAsia="仿宋_GB2312"/>
          <w:sz w:val="28"/>
          <w:szCs w:val="28"/>
          <w:lang w:val="en-US" w:eastAsia="zh-CN"/>
        </w:rPr>
        <w:t>9</w:t>
      </w:r>
      <w:r>
        <w:rPr>
          <w:rFonts w:hint="eastAsia" w:ascii="仿宋_GB2312" w:eastAsia="仿宋_GB2312"/>
          <w:sz w:val="28"/>
          <w:szCs w:val="28"/>
        </w:rPr>
        <w:t>个，部门预算公开绩效目标的预算项目</w:t>
      </w:r>
      <w:r>
        <w:rPr>
          <w:rFonts w:hint="eastAsia" w:ascii="仿宋_GB2312" w:eastAsia="仿宋_GB2312"/>
          <w:sz w:val="28"/>
          <w:szCs w:val="28"/>
          <w:lang w:val="en-US" w:eastAsia="zh-CN"/>
        </w:rPr>
        <w:t>9</w:t>
      </w:r>
      <w:r>
        <w:rPr>
          <w:rFonts w:hint="eastAsia" w:ascii="仿宋_GB2312" w:eastAsia="仿宋_GB2312"/>
          <w:sz w:val="28"/>
          <w:szCs w:val="28"/>
        </w:rPr>
        <w:t>个，占本部门全部预算项目的</w:t>
      </w:r>
      <w:r>
        <w:rPr>
          <w:rFonts w:hint="eastAsia" w:ascii="仿宋_GB2312" w:eastAsia="仿宋_GB2312"/>
          <w:sz w:val="28"/>
          <w:szCs w:val="28"/>
          <w:lang w:val="en-US" w:eastAsia="zh-CN"/>
        </w:rPr>
        <w:t>100</w:t>
      </w:r>
      <w:r>
        <w:rPr>
          <w:rFonts w:hint="eastAsia" w:ascii="仿宋_GB2312" w:eastAsia="仿宋_GB2312"/>
          <w:sz w:val="28"/>
          <w:szCs w:val="28"/>
        </w:rPr>
        <w:t>%。</w:t>
      </w:r>
    </w:p>
    <w:p w14:paraId="5D074448">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（3）绩效自评情况</w:t>
      </w:r>
    </w:p>
    <w:p w14:paraId="6A9831E8">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highlight w:val="none"/>
        </w:rPr>
      </w:pPr>
      <w:r>
        <w:rPr>
          <w:rFonts w:hint="eastAsia" w:ascii="仿宋_GB2312" w:eastAsia="仿宋_GB2312"/>
          <w:sz w:val="28"/>
          <w:szCs w:val="28"/>
        </w:rPr>
        <w:t>2025年对本部门及所属单位2024年项目支出实施了绩效自评，评价项目</w:t>
      </w:r>
      <w:r>
        <w:rPr>
          <w:rFonts w:hint="eastAsia" w:ascii="仿宋_GB2312" w:eastAsia="仿宋_GB2312"/>
          <w:sz w:val="28"/>
          <w:szCs w:val="28"/>
          <w:lang w:val="en-US" w:eastAsia="zh-CN"/>
        </w:rPr>
        <w:t>11</w:t>
      </w:r>
      <w:r>
        <w:rPr>
          <w:rFonts w:hint="eastAsia" w:ascii="仿宋_GB2312" w:eastAsia="仿宋_GB2312"/>
          <w:sz w:val="28"/>
          <w:szCs w:val="28"/>
        </w:rPr>
        <w:t>个，</w:t>
      </w:r>
      <w:r>
        <w:rPr>
          <w:rFonts w:hint="eastAsia" w:ascii="仿宋_GB2312" w:eastAsia="仿宋_GB2312"/>
          <w:sz w:val="28"/>
          <w:szCs w:val="28"/>
          <w:highlight w:val="none"/>
        </w:rPr>
        <w:t>涉及金额18</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098</w:t>
      </w:r>
      <w:r>
        <w:rPr>
          <w:rFonts w:hint="eastAsia" w:ascii="仿宋_GB2312" w:eastAsia="仿宋_GB2312"/>
          <w:sz w:val="28"/>
          <w:szCs w:val="28"/>
          <w:highlight w:val="none"/>
          <w:lang w:val="en-US" w:eastAsia="zh-CN"/>
        </w:rPr>
        <w:t>,</w:t>
      </w:r>
      <w:r>
        <w:rPr>
          <w:rFonts w:hint="eastAsia" w:ascii="仿宋_GB2312" w:eastAsia="仿宋_GB2312"/>
          <w:sz w:val="28"/>
          <w:szCs w:val="28"/>
          <w:highlight w:val="none"/>
        </w:rPr>
        <w:t>231.89元。</w:t>
      </w:r>
    </w:p>
    <w:p w14:paraId="2FDB24C4">
      <w:pPr>
        <w:keepNext w:val="0"/>
        <w:keepLines w:val="0"/>
        <w:pageBreakBefore w:val="0"/>
        <w:kinsoku/>
        <w:wordWrap/>
        <w:overflowPunct/>
        <w:topLinePunct w:val="0"/>
        <w:spacing w:line="560" w:lineRule="exact"/>
        <w:ind w:left="0" w:firstLine="640"/>
        <w:textAlignment w:val="auto"/>
        <w:rPr>
          <w:rFonts w:hint="eastAsia" w:ascii="楷体_GB2312" w:eastAsia="楷体_GB2312"/>
          <w:b/>
          <w:sz w:val="28"/>
          <w:szCs w:val="28"/>
        </w:rPr>
      </w:pPr>
      <w:r>
        <w:rPr>
          <w:rFonts w:hint="eastAsia" w:ascii="楷体_GB2312" w:eastAsia="楷体_GB2312"/>
          <w:b/>
          <w:sz w:val="28"/>
          <w:szCs w:val="28"/>
        </w:rPr>
        <w:t>（五）总体评价结论</w:t>
      </w:r>
    </w:p>
    <w:p w14:paraId="16920CFC">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1.评价得分情况</w:t>
      </w:r>
    </w:p>
    <w:p w14:paraId="0C3889B3">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绩效自评总分：</w:t>
      </w:r>
      <w:r>
        <w:rPr>
          <w:rFonts w:hint="eastAsia" w:ascii="仿宋_GB2312" w:eastAsia="仿宋_GB2312"/>
          <w:sz w:val="28"/>
          <w:szCs w:val="28"/>
          <w:lang w:val="en-US" w:eastAsia="zh-CN"/>
        </w:rPr>
        <w:t>98</w:t>
      </w:r>
      <w:r>
        <w:rPr>
          <w:rFonts w:hint="eastAsia" w:ascii="仿宋_GB2312" w:eastAsia="仿宋_GB2312"/>
          <w:sz w:val="28"/>
          <w:szCs w:val="28"/>
        </w:rPr>
        <w:t>分</w:t>
      </w:r>
    </w:p>
    <w:p w14:paraId="0587584C">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lang w:eastAsia="zh-CN"/>
        </w:rPr>
      </w:pPr>
      <w:r>
        <w:rPr>
          <w:rFonts w:hint="eastAsia" w:ascii="仿宋_GB2312" w:eastAsia="仿宋_GB2312"/>
          <w:sz w:val="28"/>
          <w:szCs w:val="28"/>
        </w:rPr>
        <w:t>绩效自评等级：</w:t>
      </w:r>
      <w:r>
        <w:rPr>
          <w:rFonts w:hint="eastAsia" w:ascii="仿宋_GB2312" w:eastAsia="仿宋_GB2312"/>
          <w:sz w:val="28"/>
          <w:szCs w:val="28"/>
          <w:lang w:eastAsia="zh-CN"/>
        </w:rPr>
        <w:t>优秀</w:t>
      </w:r>
    </w:p>
    <w:p w14:paraId="477AD8D5">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2.存在的问题及原因分析</w:t>
      </w:r>
    </w:p>
    <w:bookmarkEnd w:id="2"/>
    <w:p w14:paraId="4A3A22D2">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（1）预算编制科学性不足。预算编制缺乏系统性、整体性考量，未能精准反映实际需求与工作目标，前瞻性与可执行性有待提升。</w:t>
      </w:r>
    </w:p>
    <w:p w14:paraId="12855FB1">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（2）预算计划精细化程度不高。预算指标设置较为笼统、目标界定不够明确，导致部门间职责边界不清、资源配置存在一定盲目性，影响预算执行的规范性。</w:t>
      </w:r>
    </w:p>
    <w:p w14:paraId="5461B6EB">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（3）部门间沟通协作不畅。预算编制与执行过程中信息传递不充分、部门衔接不紧密，一定程度上影响了工作效率与整体管理质量。</w:t>
      </w:r>
    </w:p>
    <w:p w14:paraId="22B328EF">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3. 改进措施</w:t>
      </w:r>
    </w:p>
    <w:p w14:paraId="00F111F3">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（1）提高预算编制科学性。充分结合上一年度预算执行情况和本年度预算收支变化因素，统筹谋划、科学论证，合理编制年度预算，确保预算安排与需求目标精准匹配。</w:t>
      </w:r>
    </w:p>
    <w:p w14:paraId="5885ED37">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（2）细化预算指标管理。在预算计划中明确具体、量化的目标指标，清晰界定各部门职责分工，建立配套的绩效评估与考核机制，提升资源配置效率。</w:t>
      </w:r>
    </w:p>
    <w:p w14:paraId="719A9781">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（3）强化沟通协作机制。建立健全畅通高效的沟通渠道，推动信息共享与协同联动，切实提升预算管理的工作效能。</w:t>
      </w:r>
    </w:p>
    <w:p w14:paraId="2C1572BD">
      <w:pPr>
        <w:keepNext w:val="0"/>
        <w:keepLines w:val="0"/>
        <w:pageBreakBefore w:val="0"/>
        <w:kinsoku/>
        <w:wordWrap/>
        <w:overflowPunct/>
        <w:topLinePunct w:val="0"/>
        <w:spacing w:line="560" w:lineRule="exact"/>
        <w:ind w:left="0"/>
        <w:textAlignment w:val="auto"/>
        <w:rPr>
          <w:rFonts w:hint="eastAsia" w:ascii="黑体" w:eastAsia="黑体"/>
          <w:sz w:val="28"/>
          <w:szCs w:val="28"/>
        </w:rPr>
      </w:pPr>
      <w:r>
        <w:rPr>
          <w:rFonts w:hint="eastAsia" w:ascii="黑体" w:eastAsia="黑体"/>
          <w:sz w:val="28"/>
          <w:szCs w:val="28"/>
        </w:rPr>
        <w:t>二、项目支出绩效自评情况</w:t>
      </w:r>
    </w:p>
    <w:p w14:paraId="770F7721">
      <w:pPr>
        <w:keepNext w:val="0"/>
        <w:keepLines w:val="0"/>
        <w:pageBreakBefore w:val="0"/>
        <w:kinsoku/>
        <w:wordWrap/>
        <w:overflowPunct/>
        <w:topLinePunct w:val="0"/>
        <w:spacing w:line="560" w:lineRule="exact"/>
        <w:ind w:left="0" w:firstLine="708" w:firstLineChars="253"/>
        <w:textAlignment w:val="auto"/>
        <w:rPr>
          <w:rFonts w:hint="eastAsia" w:ascii="楷体_GB2312" w:hAnsi="仿宋" w:eastAsia="楷体_GB2312"/>
          <w:b/>
          <w:sz w:val="28"/>
          <w:szCs w:val="28"/>
        </w:rPr>
      </w:pPr>
      <w:r>
        <w:rPr>
          <w:rFonts w:hint="eastAsia" w:ascii="楷体_GB2312" w:hAnsi="仿宋" w:eastAsia="楷体_GB2312"/>
          <w:b/>
          <w:sz w:val="28"/>
          <w:szCs w:val="28"/>
        </w:rPr>
        <w:t>（一）绩效自评开展总体情况</w:t>
      </w:r>
    </w:p>
    <w:p w14:paraId="49F77E5B">
      <w:pPr>
        <w:keepNext w:val="0"/>
        <w:keepLines w:val="0"/>
        <w:pageBreakBefore w:val="0"/>
        <w:kinsoku/>
        <w:wordWrap/>
        <w:overflowPunct/>
        <w:topLinePunct w:val="0"/>
        <w:spacing w:line="560" w:lineRule="exact"/>
        <w:ind w:left="0" w:firstLine="640"/>
        <w:textAlignment w:val="auto"/>
        <w:rPr>
          <w:rFonts w:hint="eastAsia" w:ascii="仿宋_GB2312" w:eastAsia="仿宋_GB2312"/>
          <w:sz w:val="28"/>
          <w:szCs w:val="28"/>
        </w:rPr>
      </w:pPr>
      <w:r>
        <w:rPr>
          <w:rFonts w:hint="eastAsia" w:ascii="仿宋_GB2312" w:eastAsia="仿宋_GB2312"/>
          <w:sz w:val="28"/>
          <w:szCs w:val="28"/>
        </w:rPr>
        <w:t>2025年度区财政批复项目支出预算项目</w:t>
      </w:r>
      <w:r>
        <w:rPr>
          <w:rFonts w:hint="eastAsia" w:ascii="仿宋_GB2312" w:eastAsia="仿宋_GB2312"/>
          <w:sz w:val="28"/>
          <w:szCs w:val="28"/>
          <w:lang w:val="en-US" w:eastAsia="zh-CN"/>
        </w:rPr>
        <w:t>9</w:t>
      </w:r>
      <w:r>
        <w:rPr>
          <w:rFonts w:hint="eastAsia" w:ascii="仿宋_GB2312" w:eastAsia="仿宋_GB2312"/>
          <w:sz w:val="28"/>
          <w:szCs w:val="28"/>
        </w:rPr>
        <w:t>个，涉及金额。本次实施绩效自评项目</w:t>
      </w:r>
      <w:r>
        <w:rPr>
          <w:rFonts w:hint="eastAsia" w:ascii="仿宋_GB2312" w:eastAsia="仿宋_GB2312"/>
          <w:sz w:val="28"/>
          <w:szCs w:val="28"/>
          <w:lang w:val="en-US" w:eastAsia="zh-CN"/>
        </w:rPr>
        <w:t>9</w:t>
      </w:r>
      <w:r>
        <w:rPr>
          <w:rFonts w:hint="eastAsia" w:ascii="仿宋_GB2312" w:eastAsia="仿宋_GB2312"/>
          <w:sz w:val="28"/>
          <w:szCs w:val="28"/>
        </w:rPr>
        <w:t>个，涉及金额11</w:t>
      </w:r>
      <w:r>
        <w:rPr>
          <w:rFonts w:hint="eastAsia" w:ascii="仿宋_GB2312" w:eastAsia="仿宋_GB2312"/>
          <w:sz w:val="28"/>
          <w:szCs w:val="28"/>
          <w:lang w:val="en-US" w:eastAsia="zh-CN"/>
        </w:rPr>
        <w:t>,</w:t>
      </w:r>
      <w:r>
        <w:rPr>
          <w:rFonts w:hint="eastAsia" w:ascii="仿宋_GB2312" w:eastAsia="仿宋_GB2312"/>
          <w:sz w:val="28"/>
          <w:szCs w:val="28"/>
        </w:rPr>
        <w:t>830</w:t>
      </w:r>
      <w:r>
        <w:rPr>
          <w:rFonts w:hint="eastAsia" w:ascii="仿宋_GB2312" w:eastAsia="仿宋_GB2312"/>
          <w:sz w:val="28"/>
          <w:szCs w:val="28"/>
          <w:lang w:val="en-US" w:eastAsia="zh-CN"/>
        </w:rPr>
        <w:t>,</w:t>
      </w:r>
      <w:r>
        <w:rPr>
          <w:rFonts w:hint="eastAsia" w:ascii="仿宋_GB2312" w:eastAsia="仿宋_GB2312"/>
          <w:sz w:val="28"/>
          <w:szCs w:val="28"/>
        </w:rPr>
        <w:t>508.06元。评价得分在90分（含90分）以上的</w:t>
      </w:r>
      <w:r>
        <w:rPr>
          <w:rFonts w:hint="eastAsia" w:ascii="仿宋_GB2312" w:eastAsia="仿宋_GB2312"/>
          <w:sz w:val="28"/>
          <w:szCs w:val="28"/>
          <w:lang w:val="en-US" w:eastAsia="zh-CN"/>
        </w:rPr>
        <w:t>9</w:t>
      </w:r>
      <w:r>
        <w:rPr>
          <w:rFonts w:hint="eastAsia" w:ascii="仿宋_GB2312" w:eastAsia="仿宋_GB2312"/>
          <w:sz w:val="28"/>
          <w:szCs w:val="28"/>
        </w:rPr>
        <w:t>个，评价得分在80</w:t>
      </w:r>
      <w:r>
        <w:rPr>
          <w:rFonts w:hint="eastAsia" w:ascii="仿宋_GB2312" w:eastAsia="仿宋_GB2312"/>
          <w:sz w:val="28"/>
          <w:szCs w:val="28"/>
          <w:lang w:eastAsia="zh-CN"/>
        </w:rPr>
        <w:t>—</w:t>
      </w:r>
      <w:r>
        <w:rPr>
          <w:rFonts w:hint="eastAsia" w:ascii="仿宋_GB2312" w:eastAsia="仿宋_GB2312"/>
          <w:sz w:val="28"/>
          <w:szCs w:val="28"/>
        </w:rPr>
        <w:t>90分（含80分）的</w:t>
      </w:r>
      <w:r>
        <w:rPr>
          <w:rFonts w:hint="eastAsia" w:ascii="仿宋_GB2312" w:eastAsia="仿宋_GB2312"/>
          <w:sz w:val="28"/>
          <w:szCs w:val="28"/>
          <w:lang w:val="en-US" w:eastAsia="zh-CN"/>
        </w:rPr>
        <w:t>0</w:t>
      </w:r>
      <w:r>
        <w:rPr>
          <w:rFonts w:hint="eastAsia" w:ascii="仿宋_GB2312" w:eastAsia="仿宋_GB2312"/>
          <w:sz w:val="28"/>
          <w:szCs w:val="28"/>
        </w:rPr>
        <w:t>个，评价得分在60</w:t>
      </w:r>
      <w:r>
        <w:rPr>
          <w:rFonts w:hint="eastAsia" w:ascii="仿宋_GB2312" w:eastAsia="仿宋_GB2312"/>
          <w:sz w:val="28"/>
          <w:szCs w:val="28"/>
          <w:lang w:eastAsia="zh-CN"/>
        </w:rPr>
        <w:t>—</w:t>
      </w:r>
      <w:r>
        <w:rPr>
          <w:rFonts w:hint="eastAsia" w:ascii="仿宋_GB2312" w:eastAsia="仿宋_GB2312"/>
          <w:sz w:val="28"/>
          <w:szCs w:val="28"/>
        </w:rPr>
        <w:t>80分（含60分）的</w:t>
      </w:r>
      <w:r>
        <w:rPr>
          <w:rFonts w:hint="eastAsia" w:ascii="仿宋_GB2312" w:eastAsia="仿宋_GB2312"/>
          <w:sz w:val="28"/>
          <w:szCs w:val="28"/>
          <w:lang w:val="en-US" w:eastAsia="zh-CN"/>
        </w:rPr>
        <w:t>0</w:t>
      </w:r>
      <w:r>
        <w:rPr>
          <w:rFonts w:hint="eastAsia" w:ascii="仿宋_GB2312" w:eastAsia="仿宋_GB2312"/>
          <w:sz w:val="28"/>
          <w:szCs w:val="28"/>
        </w:rPr>
        <w:t>个，评价得分在60分以下的</w:t>
      </w:r>
      <w:r>
        <w:rPr>
          <w:rFonts w:hint="eastAsia" w:ascii="仿宋_GB2312" w:eastAsia="仿宋_GB2312"/>
          <w:sz w:val="28"/>
          <w:szCs w:val="28"/>
          <w:lang w:val="en-US" w:eastAsia="zh-CN"/>
        </w:rPr>
        <w:t>0</w:t>
      </w:r>
      <w:r>
        <w:rPr>
          <w:rFonts w:hint="eastAsia" w:ascii="仿宋_GB2312" w:eastAsia="仿宋_GB2312"/>
          <w:sz w:val="28"/>
          <w:szCs w:val="28"/>
        </w:rPr>
        <w:t>个。</w:t>
      </w:r>
    </w:p>
    <w:p w14:paraId="4839DF75">
      <w:pPr>
        <w:keepNext w:val="0"/>
        <w:keepLines w:val="0"/>
        <w:pageBreakBefore w:val="0"/>
        <w:kinsoku/>
        <w:wordWrap/>
        <w:overflowPunct/>
        <w:topLinePunct w:val="0"/>
        <w:spacing w:line="560" w:lineRule="exact"/>
        <w:ind w:left="0" w:firstLine="560" w:firstLineChars="200"/>
        <w:textAlignment w:val="auto"/>
        <w:rPr>
          <w:rFonts w:hint="eastAsia" w:ascii="楷体_GB2312" w:hAnsi="仿宋" w:eastAsia="楷体_GB2312"/>
          <w:b/>
          <w:sz w:val="28"/>
          <w:szCs w:val="28"/>
          <w:lang w:eastAsia="zh-CN"/>
        </w:rPr>
      </w:pPr>
      <w:r>
        <w:rPr>
          <w:rFonts w:hint="eastAsia" w:ascii="楷体_GB2312" w:hAnsi="仿宋" w:eastAsia="楷体_GB2312"/>
          <w:b/>
          <w:sz w:val="28"/>
          <w:szCs w:val="28"/>
        </w:rPr>
        <w:t>（二）重点支出项目绩效自评报告</w:t>
      </w:r>
      <w:r>
        <w:rPr>
          <w:rFonts w:hint="eastAsia" w:ascii="楷体_GB2312" w:hAnsi="仿宋" w:eastAsia="楷体_GB2312"/>
          <w:b/>
          <w:sz w:val="28"/>
          <w:szCs w:val="28"/>
          <w:lang w:eastAsia="zh-CN"/>
        </w:rPr>
        <w:t>（</w:t>
      </w:r>
      <w:r>
        <w:rPr>
          <w:rFonts w:hint="eastAsia" w:ascii="楷体_GB2312" w:hAnsi="仿宋" w:eastAsia="楷体_GB2312"/>
          <w:b/>
          <w:sz w:val="28"/>
          <w:szCs w:val="28"/>
          <w:lang w:val="en-US" w:eastAsia="zh-CN"/>
        </w:rPr>
        <w:t>附件1</w:t>
      </w:r>
      <w:r>
        <w:rPr>
          <w:rFonts w:hint="eastAsia" w:ascii="楷体_GB2312" w:hAnsi="仿宋" w:eastAsia="楷体_GB2312"/>
          <w:b/>
          <w:sz w:val="28"/>
          <w:szCs w:val="28"/>
          <w:lang w:eastAsia="zh-CN"/>
        </w:rPr>
        <w:t>）</w:t>
      </w:r>
    </w:p>
    <w:p w14:paraId="0454045F">
      <w:pPr>
        <w:keepNext w:val="0"/>
        <w:keepLines w:val="0"/>
        <w:pageBreakBefore w:val="0"/>
        <w:kinsoku/>
        <w:wordWrap/>
        <w:overflowPunct/>
        <w:topLinePunct w:val="0"/>
        <w:spacing w:line="560" w:lineRule="exact"/>
        <w:ind w:left="0" w:firstLine="560" w:firstLineChars="200"/>
        <w:textAlignment w:val="auto"/>
        <w:rPr>
          <w:rFonts w:hint="eastAsia" w:ascii="楷体_GB2312" w:hAnsi="仿宋" w:eastAsia="楷体_GB2312"/>
          <w:b/>
          <w:sz w:val="28"/>
          <w:szCs w:val="28"/>
          <w:lang w:eastAsia="zh-CN"/>
        </w:rPr>
      </w:pPr>
      <w:r>
        <w:rPr>
          <w:rFonts w:hint="eastAsia" w:ascii="楷体_GB2312" w:hAnsi="仿宋" w:eastAsia="楷体_GB2312"/>
          <w:b/>
          <w:sz w:val="28"/>
          <w:szCs w:val="28"/>
        </w:rPr>
        <w:t>（三）项目支出绩效自评表</w:t>
      </w:r>
      <w:r>
        <w:rPr>
          <w:rFonts w:hint="eastAsia" w:ascii="楷体_GB2312" w:hAnsi="仿宋" w:eastAsia="楷体_GB2312"/>
          <w:b/>
          <w:sz w:val="28"/>
          <w:szCs w:val="28"/>
          <w:lang w:eastAsia="zh-CN"/>
        </w:rPr>
        <w:t>（</w:t>
      </w:r>
      <w:r>
        <w:rPr>
          <w:rFonts w:hint="eastAsia" w:ascii="楷体_GB2312" w:hAnsi="仿宋" w:eastAsia="楷体_GB2312"/>
          <w:b/>
          <w:sz w:val="28"/>
          <w:szCs w:val="28"/>
          <w:lang w:val="en-US" w:eastAsia="zh-CN"/>
        </w:rPr>
        <w:t>附件2</w:t>
      </w:r>
      <w:r>
        <w:rPr>
          <w:rFonts w:hint="eastAsia" w:ascii="楷体_GB2312" w:hAnsi="仿宋" w:eastAsia="楷体_GB2312"/>
          <w:b/>
          <w:sz w:val="28"/>
          <w:szCs w:val="28"/>
          <w:lang w:eastAsia="zh-CN"/>
        </w:rPr>
        <w:t>）</w:t>
      </w:r>
    </w:p>
    <w:p w14:paraId="0DF365F1">
      <w:pPr>
        <w:spacing w:line="580" w:lineRule="exact"/>
        <w:ind w:firstLine="560" w:firstLineChars="200"/>
        <w:outlineLvl w:val="0"/>
        <w:rPr>
          <w:rFonts w:hint="eastAsia" w:ascii="仿宋_GB2312" w:hAnsi="Calibri" w:eastAsia="仿宋_GB2312"/>
          <w:sz w:val="28"/>
          <w:szCs w:val="28"/>
        </w:rPr>
      </w:pPr>
    </w:p>
    <w:p w14:paraId="221061BA">
      <w:pPr>
        <w:spacing w:line="580" w:lineRule="exact"/>
        <w:ind w:firstLine="560" w:firstLineChars="200"/>
        <w:outlineLvl w:val="0"/>
        <w:rPr>
          <w:rFonts w:hint="eastAsia" w:ascii="仿宋_GB2312" w:hAnsi="Calibri" w:eastAsia="仿宋_GB2312"/>
          <w:sz w:val="28"/>
          <w:szCs w:val="28"/>
        </w:rPr>
      </w:pPr>
    </w:p>
    <w:p w14:paraId="0DAFCEED">
      <w:pPr>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附件：1.重点支出项目绩效自评报告</w:t>
      </w:r>
    </w:p>
    <w:p w14:paraId="68621C0A">
      <w:pPr>
        <w:spacing w:line="580" w:lineRule="exact"/>
        <w:ind w:firstLine="1540" w:firstLineChars="550"/>
        <w:rPr>
          <w:rFonts w:hint="eastAsia" w:ascii="仿宋_GB2312" w:eastAsia="仿宋_GB2312"/>
          <w:sz w:val="28"/>
          <w:szCs w:val="28"/>
        </w:rPr>
      </w:pPr>
      <w:r>
        <w:rPr>
          <w:rFonts w:hint="eastAsia" w:ascii="仿宋_GB2312" w:eastAsia="仿宋_GB2312"/>
          <w:sz w:val="28"/>
          <w:szCs w:val="28"/>
        </w:rPr>
        <w:t>2.项目支出绩效自评表</w:t>
      </w:r>
    </w:p>
    <w:sectPr>
      <w:footerReference r:id="rId4" w:type="default"/>
      <w:footerReference r:id="rId5" w:type="even"/>
      <w:pgSz w:w="11906" w:h="16838"/>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CB562">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0BC6239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C67FB">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304CE23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812E">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5CBB1DBD">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1700"/>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374792"/>
    <w:rsid w:val="02F120AB"/>
    <w:rsid w:val="032B5196"/>
    <w:rsid w:val="04C3537C"/>
    <w:rsid w:val="067F3525"/>
    <w:rsid w:val="079004AC"/>
    <w:rsid w:val="08AF79C5"/>
    <w:rsid w:val="0AD449B2"/>
    <w:rsid w:val="0BA148CA"/>
    <w:rsid w:val="0C1165C4"/>
    <w:rsid w:val="0D5F0D6D"/>
    <w:rsid w:val="0D6D544B"/>
    <w:rsid w:val="0DC57BAE"/>
    <w:rsid w:val="0DD136FE"/>
    <w:rsid w:val="0DE620DB"/>
    <w:rsid w:val="0E5153B4"/>
    <w:rsid w:val="0F8E2C57"/>
    <w:rsid w:val="1059665E"/>
    <w:rsid w:val="105F7F23"/>
    <w:rsid w:val="10AC13BA"/>
    <w:rsid w:val="11980797"/>
    <w:rsid w:val="124E7C4F"/>
    <w:rsid w:val="12DF03EC"/>
    <w:rsid w:val="13C43F55"/>
    <w:rsid w:val="14353475"/>
    <w:rsid w:val="145A6C1B"/>
    <w:rsid w:val="14B73493"/>
    <w:rsid w:val="167A2FF9"/>
    <w:rsid w:val="179A231D"/>
    <w:rsid w:val="17E05399"/>
    <w:rsid w:val="18581C69"/>
    <w:rsid w:val="186D28E5"/>
    <w:rsid w:val="188E5849"/>
    <w:rsid w:val="1933444D"/>
    <w:rsid w:val="1AEC0734"/>
    <w:rsid w:val="1C203C3A"/>
    <w:rsid w:val="1D48246B"/>
    <w:rsid w:val="1DEF20B0"/>
    <w:rsid w:val="1F0B1BBB"/>
    <w:rsid w:val="1F615A66"/>
    <w:rsid w:val="1F876485"/>
    <w:rsid w:val="204C276E"/>
    <w:rsid w:val="214243FA"/>
    <w:rsid w:val="21907BC0"/>
    <w:rsid w:val="21AD613C"/>
    <w:rsid w:val="22467189"/>
    <w:rsid w:val="22926345"/>
    <w:rsid w:val="236312FC"/>
    <w:rsid w:val="24B86128"/>
    <w:rsid w:val="257A14F5"/>
    <w:rsid w:val="27196C26"/>
    <w:rsid w:val="29EF086F"/>
    <w:rsid w:val="2A014A0F"/>
    <w:rsid w:val="2EFFE297"/>
    <w:rsid w:val="301437CA"/>
    <w:rsid w:val="305B5385"/>
    <w:rsid w:val="311B37AF"/>
    <w:rsid w:val="320873BF"/>
    <w:rsid w:val="32791381"/>
    <w:rsid w:val="33122EA7"/>
    <w:rsid w:val="349D1F0A"/>
    <w:rsid w:val="34DD0473"/>
    <w:rsid w:val="399D7242"/>
    <w:rsid w:val="3C181CA7"/>
    <w:rsid w:val="3C6760F3"/>
    <w:rsid w:val="3C684897"/>
    <w:rsid w:val="3CF73244"/>
    <w:rsid w:val="41410DFB"/>
    <w:rsid w:val="41422BEE"/>
    <w:rsid w:val="41C6204F"/>
    <w:rsid w:val="433E495C"/>
    <w:rsid w:val="45224346"/>
    <w:rsid w:val="45CD646C"/>
    <w:rsid w:val="489E7893"/>
    <w:rsid w:val="489F2FD7"/>
    <w:rsid w:val="48AC74A2"/>
    <w:rsid w:val="48C2169B"/>
    <w:rsid w:val="498D2E30"/>
    <w:rsid w:val="49D7251E"/>
    <w:rsid w:val="4AC05DF2"/>
    <w:rsid w:val="4AC27CB3"/>
    <w:rsid w:val="4BF72BEF"/>
    <w:rsid w:val="4F8130C7"/>
    <w:rsid w:val="4FA90297"/>
    <w:rsid w:val="4FC41A43"/>
    <w:rsid w:val="50131BB5"/>
    <w:rsid w:val="50537358"/>
    <w:rsid w:val="51DB3C59"/>
    <w:rsid w:val="550C0952"/>
    <w:rsid w:val="55762E42"/>
    <w:rsid w:val="55A439DB"/>
    <w:rsid w:val="55F10BEA"/>
    <w:rsid w:val="569C4D2E"/>
    <w:rsid w:val="571921A6"/>
    <w:rsid w:val="57A7B272"/>
    <w:rsid w:val="57BE4AFC"/>
    <w:rsid w:val="58470068"/>
    <w:rsid w:val="58747CAC"/>
    <w:rsid w:val="5A1720F9"/>
    <w:rsid w:val="5B9C37C2"/>
    <w:rsid w:val="5BA7C654"/>
    <w:rsid w:val="5CDD5A18"/>
    <w:rsid w:val="5DB91FED"/>
    <w:rsid w:val="5ED3796D"/>
    <w:rsid w:val="609D39EF"/>
    <w:rsid w:val="60A54109"/>
    <w:rsid w:val="61595D47"/>
    <w:rsid w:val="61D01CDF"/>
    <w:rsid w:val="635E4DF1"/>
    <w:rsid w:val="64C0607C"/>
    <w:rsid w:val="655D1532"/>
    <w:rsid w:val="65756C86"/>
    <w:rsid w:val="673E3A69"/>
    <w:rsid w:val="674D385B"/>
    <w:rsid w:val="676F09E1"/>
    <w:rsid w:val="697B45FB"/>
    <w:rsid w:val="6B5C3503"/>
    <w:rsid w:val="6C0B1412"/>
    <w:rsid w:val="6C0B610A"/>
    <w:rsid w:val="6C226FA5"/>
    <w:rsid w:val="6C987F38"/>
    <w:rsid w:val="6E315BD0"/>
    <w:rsid w:val="70D13822"/>
    <w:rsid w:val="716A5681"/>
    <w:rsid w:val="716F0EE9"/>
    <w:rsid w:val="71793A80"/>
    <w:rsid w:val="7357290B"/>
    <w:rsid w:val="78AC4C67"/>
    <w:rsid w:val="798524E4"/>
    <w:rsid w:val="7A6D1D3E"/>
    <w:rsid w:val="7A7F1C49"/>
    <w:rsid w:val="7B5B7AE6"/>
    <w:rsid w:val="7B7B6628"/>
    <w:rsid w:val="7BA7071E"/>
    <w:rsid w:val="7BDF6DA8"/>
    <w:rsid w:val="7BDF7589"/>
    <w:rsid w:val="7C7EDC1A"/>
    <w:rsid w:val="7CCED98D"/>
    <w:rsid w:val="7D08410F"/>
    <w:rsid w:val="7D2759BE"/>
    <w:rsid w:val="7D676C50"/>
    <w:rsid w:val="7D7A30EF"/>
    <w:rsid w:val="7DB45822"/>
    <w:rsid w:val="7DB96DED"/>
    <w:rsid w:val="7DD3AD81"/>
    <w:rsid w:val="7F385010"/>
    <w:rsid w:val="7F7FE70F"/>
    <w:rsid w:val="7FDD0C4C"/>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52087003-5505-4038-8a93-4cab11f1a4c2</errorID>
      <errorWord>《重点支出项目绩效自评报告》</errorWord>
      <group>L1_Official</group>
      <groupName>公文问题</groupName>
      <ability>L2_Official</ability>
      <abilityName>公文问题</abilityName>
      <candidateList/>
      <explain>公文文件引用格式不规范</explain>
      <paraID>5C1B7746</paraID>
      <start>53</start>
      <end>67</end>
      <status>unmodified</status>
      <modifiedWord/>
      <trackRevisions>false</trackRevisions>
    </reviewItem>
    <reviewItem>
      <errorID>1c4fb790-433e-49b2-8a75-a833f8ee77e9</errorID>
      <errorWord>（</errorWord>
      <group>L1_Punc</group>
      <groupName>标点问题</groupName>
      <ability>L2_Punc_CN</ability>
      <abilityName>标点符号检查</abilityName>
      <candidateList/>
      <explain>同一形式括号套用。</explain>
      <paraID>589ED313</paraID>
      <start>29</start>
      <end>30</end>
      <status>unmodified</status>
      <modifiedWord/>
      <trackRevisions>false</trackRevisions>
    </reviewItem>
    <reviewItem>
      <errorID>b5111351-83f3-40ca-91c3-c061bb60a729</errorID>
      <errorWord>）</errorWord>
      <group>L1_Punc</group>
      <groupName>标点问题</groupName>
      <ability>L2_Punc_CN</ability>
      <abilityName>标点符号检查</abilityName>
      <candidateList/>
      <explain>同一形式括号套用。</explain>
      <paraID>589ED313</paraID>
      <start>31</start>
      <end>32</end>
      <status>unmodified</status>
      <modifiedWord/>
      <trackRevisions>false</trackRevisions>
    </reviewItem>
  </reviewItems>
  <config/>
</contractReview>
</file>

<file path=customXml/itemProps1.xml><?xml version="1.0" encoding="utf-8"?>
<ds:datastoreItem xmlns:ds="http://schemas.openxmlformats.org/officeDocument/2006/customXml" ds:itemID="{f1f1ba52-106a-448a-ad9e-5c1c749dbbe7}">
  <ds:schemaRefs/>
</ds:datastoreItem>
</file>

<file path=docProps/app.xml><?xml version="1.0" encoding="utf-8"?>
<Properties xmlns="http://schemas.openxmlformats.org/officeDocument/2006/extended-properties" xmlns:vt="http://schemas.openxmlformats.org/officeDocument/2006/docPropsVTypes">
  <Template>Normal</Template>
  <Pages>14</Pages>
  <Words>6028</Words>
  <Characters>6869</Characters>
  <Lines>47</Lines>
  <Paragraphs>13</Paragraphs>
  <TotalTime>23</TotalTime>
  <ScaleCrop>false</ScaleCrop>
  <LinksUpToDate>false</LinksUpToDate>
  <CharactersWithSpaces>6928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LY晴</cp:lastModifiedBy>
  <cp:lastPrinted>2020-08-07T11:39:00Z</cp:lastPrinted>
  <dcterms:modified xsi:type="dcterms:W3CDTF">2026-08-20T08:16:46Z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211222AA72F141CBB8A4A55FB04F0139_13</vt:lpwstr>
  </property>
  <property fmtid="{D5CDD505-2E9C-101B-9397-08002B2CF9AE}" pid="4" name="KSOTemplateDocerSaveRecord">
    <vt:lpwstr>eyJoZGlkIjoiMDUwNWM2YzU4ODNmMTA1NmJhZWYwYzBkM2I1MmE1ZGIiLCJ1c2VySWQiOiI0NTQ4NDYwMjcifQ==</vt:lpwstr>
  </property>
</Properties>
</file>