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476E0">
      <w:pPr>
        <w:jc w:val="center"/>
        <w:rPr>
          <w:rFonts w:ascii="仿宋_GB2312" w:eastAsia="仿宋_GB2312"/>
          <w:b/>
          <w:sz w:val="32"/>
          <w:szCs w:val="32"/>
        </w:rPr>
      </w:pPr>
    </w:p>
    <w:p w14:paraId="4FD6AF57">
      <w:pPr>
        <w:jc w:val="center"/>
        <w:rPr>
          <w:rFonts w:ascii="黑体" w:eastAsia="黑体"/>
          <w:sz w:val="72"/>
          <w:szCs w:val="72"/>
        </w:rPr>
      </w:pPr>
    </w:p>
    <w:p w14:paraId="790915D0">
      <w:pPr>
        <w:jc w:val="center"/>
        <w:rPr>
          <w:rFonts w:ascii="黑体" w:eastAsia="黑体"/>
          <w:sz w:val="72"/>
          <w:szCs w:val="72"/>
        </w:rPr>
      </w:pPr>
    </w:p>
    <w:p w14:paraId="0277BE22">
      <w:pPr>
        <w:jc w:val="center"/>
        <w:rPr>
          <w:rFonts w:ascii="黑体" w:eastAsia="黑体"/>
          <w:sz w:val="72"/>
          <w:szCs w:val="72"/>
        </w:rPr>
      </w:pPr>
    </w:p>
    <w:p w14:paraId="105E818A">
      <w:pPr>
        <w:jc w:val="center"/>
        <w:rPr>
          <w:rFonts w:hint="eastAsia" w:ascii="黑体" w:eastAsia="黑体"/>
          <w:sz w:val="72"/>
          <w:szCs w:val="72"/>
          <w:lang w:eastAsia="zh-CN"/>
        </w:rPr>
      </w:pPr>
      <w:r>
        <w:rPr>
          <w:rFonts w:hint="eastAsia" w:ascii="黑体" w:eastAsia="黑体"/>
          <w:sz w:val="72"/>
          <w:szCs w:val="72"/>
        </w:rPr>
        <w:t>2025年度</w:t>
      </w:r>
      <w:r>
        <w:rPr>
          <w:rFonts w:hint="eastAsia" w:ascii="黑体" w:eastAsia="黑体"/>
          <w:sz w:val="72"/>
          <w:szCs w:val="72"/>
          <w:lang w:eastAsia="zh-CN"/>
        </w:rPr>
        <w:t>北京市门头沟区土地储备事务中心</w:t>
      </w:r>
    </w:p>
    <w:p w14:paraId="0FC053B7">
      <w:pPr>
        <w:jc w:val="center"/>
        <w:rPr>
          <w:rFonts w:ascii="黑体" w:eastAsia="黑体"/>
          <w:sz w:val="72"/>
          <w:szCs w:val="72"/>
        </w:rPr>
      </w:pPr>
      <w:r>
        <w:rPr>
          <w:rFonts w:hint="eastAsia" w:ascii="黑体" w:eastAsia="黑体"/>
          <w:sz w:val="72"/>
          <w:szCs w:val="72"/>
          <w:lang w:eastAsia="zh-CN"/>
        </w:rPr>
        <w:t>单位</w:t>
      </w:r>
      <w:r>
        <w:rPr>
          <w:rFonts w:hint="eastAsia" w:ascii="黑体" w:eastAsia="黑体"/>
          <w:sz w:val="72"/>
          <w:szCs w:val="72"/>
        </w:rPr>
        <w:t>决算（公开</w:t>
      </w:r>
      <w:r>
        <w:rPr>
          <w:rFonts w:ascii="黑体" w:eastAsia="黑体"/>
          <w:sz w:val="72"/>
          <w:szCs w:val="72"/>
        </w:rPr>
        <w:t>）</w:t>
      </w:r>
    </w:p>
    <w:p w14:paraId="35CD25CC">
      <w:pPr>
        <w:jc w:val="center"/>
        <w:rPr>
          <w:rFonts w:ascii="黑体" w:eastAsia="黑体"/>
          <w:sz w:val="52"/>
          <w:szCs w:val="52"/>
        </w:rPr>
      </w:pPr>
    </w:p>
    <w:p w14:paraId="119EDC33">
      <w:pPr>
        <w:pStyle w:val="2"/>
      </w:pPr>
    </w:p>
    <w:p w14:paraId="39BBD083">
      <w:pPr>
        <w:jc w:val="center"/>
        <w:rPr>
          <w:rFonts w:ascii="黑体" w:eastAsia="黑体"/>
          <w:sz w:val="52"/>
          <w:szCs w:val="52"/>
        </w:rPr>
      </w:pPr>
    </w:p>
    <w:p w14:paraId="54DB191C">
      <w:pPr>
        <w:jc w:val="both"/>
        <w:rPr>
          <w:rFonts w:ascii="黑体" w:eastAsia="黑体"/>
          <w:sz w:val="52"/>
          <w:szCs w:val="52"/>
        </w:rPr>
      </w:pPr>
    </w:p>
    <w:p w14:paraId="2BE271BB">
      <w:pPr>
        <w:jc w:val="center"/>
        <w:rPr>
          <w:rFonts w:ascii="黑体" w:eastAsia="黑体"/>
          <w:sz w:val="32"/>
          <w:szCs w:val="32"/>
        </w:rPr>
      </w:pPr>
    </w:p>
    <w:p w14:paraId="2877CCC3">
      <w:pPr>
        <w:spacing w:line="500" w:lineRule="exact"/>
        <w:ind w:firstLine="880" w:firstLineChars="200"/>
        <w:jc w:val="center"/>
        <w:rPr>
          <w:rFonts w:ascii="宋体" w:hAnsi="宋体" w:cs="宋体"/>
          <w:b/>
          <w:bCs/>
          <w:kern w:val="0"/>
          <w:sz w:val="44"/>
          <w:szCs w:val="36"/>
        </w:rPr>
      </w:pPr>
      <w:r>
        <w:rPr>
          <w:rFonts w:hint="eastAsia" w:ascii="宋体" w:hAnsi="宋体" w:cs="宋体"/>
          <w:b/>
          <w:bCs/>
          <w:kern w:val="0"/>
          <w:sz w:val="44"/>
          <w:szCs w:val="36"/>
        </w:rPr>
        <w:t>目    录</w:t>
      </w:r>
    </w:p>
    <w:p w14:paraId="3CBD984B">
      <w:pPr>
        <w:spacing w:line="500" w:lineRule="exact"/>
        <w:ind w:firstLine="645"/>
        <w:jc w:val="center"/>
        <w:rPr>
          <w:rFonts w:ascii="宋体" w:hAnsi="宋体" w:cs="宋体"/>
          <w:b/>
          <w:bCs/>
          <w:kern w:val="0"/>
          <w:sz w:val="36"/>
          <w:szCs w:val="36"/>
        </w:rPr>
      </w:pPr>
    </w:p>
    <w:p w14:paraId="4B4B4953">
      <w:pPr>
        <w:tabs>
          <w:tab w:val="center" w:pos="6979"/>
        </w:tabs>
        <w:spacing w:line="500" w:lineRule="exact"/>
        <w:ind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w:t>
      </w:r>
      <w:r>
        <w:rPr>
          <w:rFonts w:hint="eastAsia" w:ascii="宋体" w:hAnsi="宋体" w:cs="宋体"/>
          <w:bCs/>
          <w:spacing w:val="40"/>
          <w:kern w:val="0"/>
          <w:sz w:val="32"/>
          <w:szCs w:val="32"/>
          <w:lang w:eastAsia="zh-CN"/>
        </w:rPr>
        <w:t>单位</w:t>
      </w:r>
      <w:r>
        <w:rPr>
          <w:rFonts w:hint="eastAsia" w:ascii="宋体" w:hAnsi="宋体" w:cs="宋体"/>
          <w:bCs/>
          <w:spacing w:val="40"/>
          <w:kern w:val="0"/>
          <w:sz w:val="32"/>
          <w:szCs w:val="32"/>
        </w:rPr>
        <w:t>决算报表</w:t>
      </w:r>
    </w:p>
    <w:p w14:paraId="7A0467E9">
      <w:pPr>
        <w:tabs>
          <w:tab w:val="center" w:pos="6979"/>
        </w:tabs>
        <w:spacing w:line="500" w:lineRule="exact"/>
        <w:ind w:firstLine="800" w:firstLineChars="2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3E25FDF1">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73E48835">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779D656A">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2B10584C">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5B0C92FD">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4A74028E">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CBC0A1C">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7182E33D">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05A93AD3">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13F611E5">
      <w:pPr>
        <w:tabs>
          <w:tab w:val="center" w:pos="6979"/>
        </w:tabs>
        <w:spacing w:line="500" w:lineRule="exact"/>
        <w:ind w:firstLine="800" w:firstLineChars="2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3BD9C263">
      <w:pPr>
        <w:tabs>
          <w:tab w:val="center" w:pos="6979"/>
        </w:tabs>
        <w:spacing w:line="500" w:lineRule="exact"/>
        <w:ind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w:t>
      </w:r>
      <w:r>
        <w:rPr>
          <w:rFonts w:hint="eastAsia" w:ascii="宋体" w:hAnsi="宋体"/>
          <w:spacing w:val="40"/>
          <w:sz w:val="32"/>
          <w:szCs w:val="32"/>
          <w:lang w:eastAsia="zh-CN"/>
        </w:rPr>
        <w:t>单位</w:t>
      </w:r>
      <w:r>
        <w:rPr>
          <w:rFonts w:hint="eastAsia" w:ascii="宋体" w:hAnsi="宋体"/>
          <w:spacing w:val="40"/>
          <w:sz w:val="32"/>
          <w:szCs w:val="32"/>
        </w:rPr>
        <w:t>决算说明</w:t>
      </w:r>
    </w:p>
    <w:p w14:paraId="0F2E22C9">
      <w:pPr>
        <w:tabs>
          <w:tab w:val="center" w:pos="6979"/>
        </w:tabs>
        <w:spacing w:line="500" w:lineRule="exact"/>
        <w:ind w:firstLine="800" w:firstLineChars="2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0EEA3ED6">
      <w:pPr>
        <w:tabs>
          <w:tab w:val="center" w:pos="6979"/>
        </w:tabs>
        <w:spacing w:line="500" w:lineRule="exact"/>
        <w:ind w:firstLine="800" w:firstLineChars="200"/>
        <w:jc w:val="left"/>
        <w:rPr>
          <w:rFonts w:ascii="宋体" w:hAnsi="宋体" w:cs="宋体"/>
          <w:spacing w:val="40"/>
          <w:kern w:val="0"/>
          <w:sz w:val="36"/>
          <w:szCs w:val="32"/>
        </w:rPr>
      </w:pPr>
      <w:r>
        <w:rPr>
          <w:rFonts w:hint="eastAsia" w:ascii="宋体" w:hAnsi="宋体" w:cs="宋体"/>
          <w:spacing w:val="40"/>
          <w:kern w:val="0"/>
          <w:sz w:val="32"/>
          <w:szCs w:val="32"/>
        </w:rPr>
        <w:t>第四部分 2025年度</w:t>
      </w:r>
      <w:r>
        <w:rPr>
          <w:rFonts w:hint="eastAsia" w:ascii="宋体" w:hAnsi="宋体" w:cs="宋体"/>
          <w:spacing w:val="40"/>
          <w:kern w:val="0"/>
          <w:sz w:val="32"/>
          <w:szCs w:val="32"/>
          <w:lang w:eastAsia="zh-CN"/>
        </w:rPr>
        <w:t>单位</w:t>
      </w:r>
      <w:r>
        <w:rPr>
          <w:rFonts w:hint="eastAsia" w:ascii="宋体" w:hAnsi="宋体" w:cs="宋体"/>
          <w:spacing w:val="40"/>
          <w:kern w:val="0"/>
          <w:sz w:val="32"/>
          <w:szCs w:val="32"/>
        </w:rPr>
        <w:t>绩效评价情况</w:t>
      </w:r>
    </w:p>
    <w:p w14:paraId="2394357A">
      <w:pPr>
        <w:tabs>
          <w:tab w:val="center" w:pos="6979"/>
        </w:tabs>
        <w:spacing w:before="156" w:beforeLines="50" w:after="156" w:afterLines="50"/>
        <w:jc w:val="center"/>
        <w:rPr>
          <w:rFonts w:ascii="宋体" w:hAnsi="宋体" w:cs="宋体"/>
          <w:b/>
          <w:bCs/>
          <w:spacing w:val="40"/>
          <w:kern w:val="0"/>
          <w:sz w:val="32"/>
          <w:szCs w:val="32"/>
        </w:rPr>
      </w:pPr>
    </w:p>
    <w:p w14:paraId="652A0599">
      <w:pPr>
        <w:tabs>
          <w:tab w:val="center" w:pos="6979"/>
        </w:tabs>
        <w:spacing w:before="156" w:beforeLines="50" w:after="156" w:afterLines="50"/>
        <w:jc w:val="center"/>
        <w:rPr>
          <w:rFonts w:ascii="宋体" w:hAnsi="宋体" w:cs="宋体"/>
          <w:b/>
          <w:bCs/>
          <w:spacing w:val="40"/>
          <w:kern w:val="0"/>
          <w:sz w:val="32"/>
          <w:szCs w:val="32"/>
        </w:rPr>
      </w:pPr>
    </w:p>
    <w:p w14:paraId="7C7EDE23">
      <w:pPr>
        <w:tabs>
          <w:tab w:val="center" w:pos="6979"/>
        </w:tabs>
        <w:spacing w:before="156" w:beforeLines="50" w:after="156" w:afterLines="50"/>
        <w:jc w:val="both"/>
        <w:rPr>
          <w:rFonts w:ascii="宋体" w:hAnsi="宋体" w:cs="宋体"/>
          <w:b/>
          <w:bCs/>
          <w:spacing w:val="40"/>
          <w:kern w:val="0"/>
          <w:sz w:val="32"/>
          <w:szCs w:val="32"/>
        </w:rPr>
      </w:pPr>
    </w:p>
    <w:p w14:paraId="379BF6E8">
      <w:pPr>
        <w:tabs>
          <w:tab w:val="center" w:pos="6979"/>
        </w:tabs>
        <w:spacing w:before="156" w:beforeLines="50" w:after="156" w:afterLines="50"/>
        <w:ind w:firstLine="1040" w:firstLineChars="20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w:t>
      </w:r>
      <w:r>
        <w:rPr>
          <w:rFonts w:hint="eastAsia" w:ascii="宋体" w:hAnsi="宋体" w:cs="宋体"/>
          <w:b/>
          <w:bCs/>
          <w:spacing w:val="40"/>
          <w:kern w:val="0"/>
          <w:sz w:val="44"/>
          <w:szCs w:val="44"/>
          <w:lang w:eastAsia="zh-CN"/>
        </w:rPr>
        <w:t>单位</w:t>
      </w:r>
      <w:r>
        <w:rPr>
          <w:rFonts w:hint="eastAsia" w:ascii="宋体" w:hAnsi="宋体" w:cs="宋体"/>
          <w:b/>
          <w:bCs/>
          <w:spacing w:val="40"/>
          <w:kern w:val="0"/>
          <w:sz w:val="44"/>
          <w:szCs w:val="44"/>
        </w:rPr>
        <w:t>决算报表</w:t>
      </w:r>
    </w:p>
    <w:p w14:paraId="0978D47C">
      <w:pPr>
        <w:pStyle w:val="2"/>
        <w:ind w:firstLine="560" w:firstLineChars="200"/>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2B2CFE07">
      <w:pPr>
        <w:tabs>
          <w:tab w:val="center" w:pos="6979"/>
        </w:tabs>
        <w:spacing w:before="156" w:beforeLines="50" w:after="156" w:afterLines="50"/>
        <w:ind w:firstLine="800" w:firstLineChars="20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w:t>
      </w:r>
      <w:r>
        <w:rPr>
          <w:rFonts w:hint="eastAsia" w:ascii="宋体" w:hAnsi="宋体"/>
          <w:b/>
          <w:spacing w:val="40"/>
          <w:sz w:val="32"/>
          <w:szCs w:val="32"/>
          <w:lang w:eastAsia="zh-CN"/>
        </w:rPr>
        <w:t>单位</w:t>
      </w:r>
      <w:r>
        <w:rPr>
          <w:rFonts w:hint="eastAsia" w:ascii="宋体" w:hAnsi="宋体"/>
          <w:b/>
          <w:spacing w:val="40"/>
          <w:sz w:val="32"/>
          <w:szCs w:val="32"/>
        </w:rPr>
        <w:t>决算说明</w:t>
      </w:r>
    </w:p>
    <w:p w14:paraId="56B73965">
      <w:pPr>
        <w:tabs>
          <w:tab w:val="center" w:pos="6979"/>
        </w:tabs>
        <w:spacing w:line="580" w:lineRule="exact"/>
        <w:ind w:firstLine="560" w:firstLineChars="200"/>
        <w:rPr>
          <w:rFonts w:ascii="黑体" w:eastAsia="黑体"/>
          <w:b/>
          <w:sz w:val="28"/>
          <w:szCs w:val="28"/>
        </w:rPr>
      </w:pPr>
      <w:r>
        <w:rPr>
          <w:rFonts w:hint="eastAsia" w:ascii="黑体" w:eastAsia="黑体"/>
          <w:b/>
          <w:sz w:val="28"/>
          <w:szCs w:val="28"/>
        </w:rPr>
        <w:t>一、</w:t>
      </w:r>
      <w:r>
        <w:rPr>
          <w:rFonts w:hint="eastAsia" w:ascii="黑体" w:eastAsia="黑体"/>
          <w:b/>
          <w:sz w:val="28"/>
          <w:szCs w:val="28"/>
          <w:lang w:eastAsia="zh-CN"/>
        </w:rPr>
        <w:t>单位</w:t>
      </w:r>
      <w:r>
        <w:rPr>
          <w:rFonts w:hint="eastAsia" w:ascii="黑体" w:eastAsia="黑体"/>
          <w:b/>
          <w:sz w:val="28"/>
          <w:szCs w:val="28"/>
        </w:rPr>
        <w:t>基本情况</w:t>
      </w:r>
    </w:p>
    <w:p w14:paraId="4B853699">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w:t>
      </w:r>
      <w:r>
        <w:rPr>
          <w:rFonts w:hint="eastAsia" w:ascii="仿宋_GB2312" w:eastAsia="仿宋_GB2312"/>
          <w:sz w:val="28"/>
          <w:szCs w:val="28"/>
          <w:lang w:eastAsia="zh-CN"/>
        </w:rPr>
        <w:t>单位</w:t>
      </w:r>
      <w:r>
        <w:rPr>
          <w:rFonts w:hint="eastAsia" w:ascii="仿宋_GB2312" w:eastAsia="仿宋_GB2312"/>
          <w:sz w:val="28"/>
          <w:szCs w:val="28"/>
        </w:rPr>
        <w:t>职责情况</w:t>
      </w:r>
    </w:p>
    <w:p w14:paraId="6D278091">
      <w:pPr>
        <w:keepNext w:val="0"/>
        <w:keepLines w:val="0"/>
        <w:pageBreakBefore w:val="0"/>
        <w:widowControl/>
        <w:kinsoku/>
        <w:wordWrap/>
        <w:overflowPunct/>
        <w:topLinePunct w:val="0"/>
        <w:autoSpaceDE/>
        <w:autoSpaceDN/>
        <w:bidi w:val="0"/>
        <w:adjustRightInd/>
        <w:snapToGrid/>
        <w:spacing w:line="640" w:lineRule="exact"/>
        <w:ind w:left="0" w:leftChars="0" w:right="0" w:rightChars="0" w:firstLine="560" w:firstLineChars="200"/>
        <w:jc w:val="both"/>
        <w:textAlignment w:val="auto"/>
        <w:outlineLvl w:val="9"/>
      </w:pPr>
      <w:r>
        <w:rPr>
          <w:rFonts w:hint="eastAsia" w:ascii="仿宋_GB2312" w:hAnsi="仿宋_GB2312" w:eastAsia="仿宋_GB2312" w:cs="仿宋_GB2312"/>
          <w:kern w:val="0"/>
          <w:sz w:val="28"/>
          <w:szCs w:val="28"/>
          <w:lang w:val="en-US" w:eastAsia="zh-CN"/>
        </w:rPr>
        <w:t>按照管理权限，负责辖区内土地储备资源的调查、统计和分析，承担土地开发整理和土地开发复垦方面的事务性工作。</w:t>
      </w:r>
    </w:p>
    <w:p w14:paraId="0A973324">
      <w:pPr>
        <w:numPr>
          <w:ilvl w:val="0"/>
          <w:numId w:val="1"/>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3A582971">
      <w:pPr>
        <w:keepNext w:val="0"/>
        <w:keepLines w:val="0"/>
        <w:pageBreakBefore w:val="0"/>
        <w:widowControl/>
        <w:kinsoku/>
        <w:wordWrap/>
        <w:overflowPunct/>
        <w:topLinePunct w:val="0"/>
        <w:autoSpaceDE/>
        <w:autoSpaceDN/>
        <w:bidi w:val="0"/>
        <w:adjustRightInd/>
        <w:snapToGrid/>
        <w:spacing w:line="64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仿宋_GB2312" w:eastAsia="仿宋_GB2312" w:cs="仿宋_GB2312"/>
          <w:kern w:val="0"/>
          <w:sz w:val="28"/>
          <w:szCs w:val="28"/>
        </w:rPr>
        <w:t>本</w:t>
      </w:r>
      <w:r>
        <w:rPr>
          <w:rFonts w:hint="eastAsia" w:ascii="仿宋_GB2312" w:hAnsi="仿宋_GB2312" w:eastAsia="仿宋_GB2312" w:cs="仿宋_GB2312"/>
          <w:kern w:val="0"/>
          <w:sz w:val="28"/>
          <w:szCs w:val="28"/>
          <w:lang w:eastAsia="zh-CN"/>
        </w:rPr>
        <w:t>单位</w:t>
      </w:r>
      <w:r>
        <w:rPr>
          <w:rFonts w:hint="eastAsia" w:ascii="仿宋_GB2312" w:hAnsi="仿宋_GB2312" w:eastAsia="仿宋_GB2312" w:cs="仿宋_GB2312"/>
          <w:kern w:val="0"/>
          <w:sz w:val="28"/>
          <w:szCs w:val="28"/>
        </w:rPr>
        <w:t>共设</w:t>
      </w:r>
      <w:r>
        <w:rPr>
          <w:rFonts w:hint="eastAsia" w:ascii="仿宋_GB2312" w:hAnsi="仿宋_GB2312" w:eastAsia="仿宋_GB2312" w:cs="仿宋_GB2312"/>
          <w:kern w:val="0"/>
          <w:sz w:val="28"/>
          <w:szCs w:val="28"/>
          <w:lang w:val="en-US" w:eastAsia="zh-CN"/>
        </w:rPr>
        <w:t>1</w:t>
      </w:r>
      <w:r>
        <w:rPr>
          <w:rFonts w:hint="eastAsia" w:ascii="仿宋_GB2312" w:hAnsi="仿宋_GB2312" w:eastAsia="仿宋_GB2312" w:cs="仿宋_GB2312"/>
          <w:kern w:val="0"/>
          <w:sz w:val="28"/>
          <w:szCs w:val="28"/>
        </w:rPr>
        <w:t>个内设机构，下设</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个事业单位。行政编制</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名，实际</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人；事业编制</w:t>
      </w:r>
      <w:r>
        <w:rPr>
          <w:rFonts w:hint="eastAsia" w:ascii="仿宋_GB2312" w:hAnsi="仿宋_GB2312" w:eastAsia="仿宋_GB2312" w:cs="仿宋_GB2312"/>
          <w:kern w:val="0"/>
          <w:sz w:val="28"/>
          <w:szCs w:val="28"/>
          <w:lang w:val="en-US" w:eastAsia="zh-CN"/>
        </w:rPr>
        <w:t>8</w:t>
      </w:r>
      <w:r>
        <w:rPr>
          <w:rFonts w:hint="eastAsia" w:ascii="仿宋_GB2312" w:hAnsi="仿宋_GB2312" w:eastAsia="仿宋_GB2312" w:cs="仿宋_GB2312"/>
          <w:kern w:val="0"/>
          <w:sz w:val="28"/>
          <w:szCs w:val="28"/>
        </w:rPr>
        <w:t>名，实际</w:t>
      </w:r>
      <w:r>
        <w:rPr>
          <w:rFonts w:hint="eastAsia" w:ascii="仿宋_GB2312" w:hAnsi="仿宋_GB2312" w:eastAsia="仿宋_GB2312" w:cs="仿宋_GB2312"/>
          <w:kern w:val="0"/>
          <w:sz w:val="28"/>
          <w:szCs w:val="28"/>
          <w:lang w:val="en-US" w:eastAsia="zh-CN"/>
        </w:rPr>
        <w:t>8</w:t>
      </w:r>
      <w:r>
        <w:rPr>
          <w:rFonts w:hint="eastAsia" w:ascii="仿宋_GB2312" w:hAnsi="仿宋_GB2312" w:eastAsia="仿宋_GB2312" w:cs="仿宋_GB2312"/>
          <w:kern w:val="0"/>
          <w:sz w:val="28"/>
          <w:szCs w:val="28"/>
        </w:rPr>
        <w:t>人；离退休人员</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人，其中：离休</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人，行政退休</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人，事业退休</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人；其他人员</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人，其中：社会化用工</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人。</w:t>
      </w:r>
    </w:p>
    <w:p w14:paraId="01386B5C">
      <w:pPr>
        <w:tabs>
          <w:tab w:val="center" w:pos="6979"/>
        </w:tabs>
        <w:spacing w:line="580" w:lineRule="exact"/>
        <w:ind w:firstLine="640" w:firstLineChars="200"/>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1A664CD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130</w:t>
      </w:r>
      <w:r>
        <w:rPr>
          <w:rFonts w:hint="default" w:ascii="仿宋_GB2312" w:eastAsia="仿宋_GB2312"/>
          <w:sz w:val="28"/>
          <w:szCs w:val="28"/>
          <w:lang w:val="en-US"/>
        </w:rPr>
        <w:t>,</w:t>
      </w:r>
      <w:r>
        <w:rPr>
          <w:rFonts w:ascii="仿宋_GB2312" w:eastAsia="仿宋_GB2312"/>
          <w:sz w:val="28"/>
          <w:szCs w:val="28"/>
        </w:rPr>
        <w:t>566</w:t>
      </w:r>
      <w:r>
        <w:rPr>
          <w:rFonts w:hint="default" w:ascii="仿宋_GB2312" w:eastAsia="仿宋_GB2312"/>
          <w:sz w:val="28"/>
          <w:szCs w:val="28"/>
          <w:lang w:val="en-US"/>
        </w:rPr>
        <w:t>,</w:t>
      </w:r>
      <w:r>
        <w:rPr>
          <w:rFonts w:ascii="仿宋_GB2312" w:eastAsia="仿宋_GB2312"/>
          <w:sz w:val="28"/>
          <w:szCs w:val="28"/>
        </w:rPr>
        <w:t>701.03</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减少134</w:t>
      </w:r>
      <w:r>
        <w:rPr>
          <w:rFonts w:hint="default" w:ascii="仿宋_GB2312" w:eastAsia="仿宋_GB2312"/>
          <w:sz w:val="28"/>
          <w:szCs w:val="28"/>
          <w:lang w:val="en-US"/>
        </w:rPr>
        <w:t>,</w:t>
      </w:r>
      <w:r>
        <w:rPr>
          <w:rFonts w:hint="eastAsia" w:ascii="仿宋_GB2312" w:eastAsia="仿宋_GB2312"/>
          <w:sz w:val="28"/>
          <w:szCs w:val="28"/>
        </w:rPr>
        <w:t>685</w:t>
      </w:r>
      <w:r>
        <w:rPr>
          <w:rFonts w:hint="default" w:ascii="仿宋_GB2312" w:eastAsia="仿宋_GB2312"/>
          <w:sz w:val="28"/>
          <w:szCs w:val="28"/>
          <w:lang w:val="en-US"/>
        </w:rPr>
        <w:t>,</w:t>
      </w:r>
      <w:r>
        <w:rPr>
          <w:rFonts w:hint="eastAsia" w:ascii="仿宋_GB2312" w:eastAsia="仿宋_GB2312"/>
          <w:sz w:val="28"/>
          <w:szCs w:val="28"/>
        </w:rPr>
        <w:t>743.88元，下降</w:t>
      </w:r>
      <w:r>
        <w:rPr>
          <w:rFonts w:hint="default" w:ascii="仿宋_GB2312" w:eastAsia="仿宋_GB2312"/>
          <w:sz w:val="28"/>
          <w:szCs w:val="28"/>
          <w:lang w:val="en-US"/>
        </w:rPr>
        <w:t>50.8</w:t>
      </w:r>
      <w:r>
        <w:rPr>
          <w:rFonts w:hint="eastAsia" w:ascii="仿宋_GB2312" w:eastAsia="仿宋_GB2312"/>
          <w:sz w:val="28"/>
          <w:szCs w:val="28"/>
        </w:rPr>
        <w:t>%。</w:t>
      </w:r>
    </w:p>
    <w:p w14:paraId="50D5548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41D3623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130</w:t>
      </w:r>
      <w:r>
        <w:rPr>
          <w:rFonts w:hint="default" w:ascii="仿宋_GB2312" w:eastAsia="仿宋_GB2312"/>
          <w:sz w:val="28"/>
          <w:szCs w:val="28"/>
          <w:lang w:val="en-US"/>
        </w:rPr>
        <w:t>,</w:t>
      </w:r>
      <w:r>
        <w:rPr>
          <w:rFonts w:ascii="仿宋_GB2312" w:eastAsia="仿宋_GB2312"/>
          <w:sz w:val="28"/>
          <w:szCs w:val="28"/>
        </w:rPr>
        <w:t>566</w:t>
      </w:r>
      <w:r>
        <w:rPr>
          <w:rFonts w:hint="default" w:ascii="仿宋_GB2312" w:eastAsia="仿宋_GB2312"/>
          <w:sz w:val="28"/>
          <w:szCs w:val="28"/>
          <w:lang w:val="en-US"/>
        </w:rPr>
        <w:t>,</w:t>
      </w:r>
      <w:r>
        <w:rPr>
          <w:rFonts w:ascii="仿宋_GB2312" w:eastAsia="仿宋_GB2312"/>
          <w:sz w:val="28"/>
          <w:szCs w:val="28"/>
        </w:rPr>
        <w:t>701.03</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减少134</w:t>
      </w:r>
      <w:r>
        <w:rPr>
          <w:rFonts w:hint="default" w:ascii="仿宋_GB2312" w:eastAsia="仿宋_GB2312"/>
          <w:sz w:val="28"/>
          <w:szCs w:val="28"/>
          <w:lang w:val="en-US"/>
        </w:rPr>
        <w:t>,</w:t>
      </w:r>
      <w:r>
        <w:rPr>
          <w:rFonts w:hint="eastAsia" w:ascii="仿宋_GB2312" w:eastAsia="仿宋_GB2312"/>
          <w:sz w:val="28"/>
          <w:szCs w:val="28"/>
        </w:rPr>
        <w:t>685</w:t>
      </w:r>
      <w:r>
        <w:rPr>
          <w:rFonts w:hint="default" w:ascii="仿宋_GB2312" w:eastAsia="仿宋_GB2312"/>
          <w:sz w:val="28"/>
          <w:szCs w:val="28"/>
          <w:lang w:val="en-US"/>
        </w:rPr>
        <w:t>,</w:t>
      </w:r>
      <w:r>
        <w:rPr>
          <w:rFonts w:hint="eastAsia" w:ascii="仿宋_GB2312" w:eastAsia="仿宋_GB2312"/>
          <w:sz w:val="28"/>
          <w:szCs w:val="28"/>
        </w:rPr>
        <w:t>743.88元，下降</w:t>
      </w:r>
      <w:r>
        <w:rPr>
          <w:rFonts w:hint="default" w:ascii="仿宋_GB2312" w:eastAsia="仿宋_GB2312"/>
          <w:sz w:val="28"/>
          <w:szCs w:val="28"/>
          <w:lang w:val="en-US"/>
        </w:rPr>
        <w:t>50.8</w:t>
      </w:r>
      <w:r>
        <w:rPr>
          <w:rFonts w:hint="eastAsia" w:ascii="仿宋_GB2312" w:eastAsia="仿宋_GB2312"/>
          <w:sz w:val="28"/>
          <w:szCs w:val="28"/>
        </w:rPr>
        <w:t>%。</w:t>
      </w:r>
    </w:p>
    <w:p w14:paraId="2ADF10FD">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130</w:t>
      </w:r>
      <w:r>
        <w:rPr>
          <w:rFonts w:hint="default" w:ascii="仿宋_GB2312" w:eastAsia="仿宋_GB2312"/>
          <w:sz w:val="28"/>
          <w:szCs w:val="28"/>
          <w:lang w:val="en-US"/>
        </w:rPr>
        <w:t>,</w:t>
      </w:r>
      <w:r>
        <w:rPr>
          <w:rFonts w:ascii="仿宋_GB2312" w:eastAsia="仿宋_GB2312"/>
          <w:sz w:val="28"/>
          <w:szCs w:val="28"/>
        </w:rPr>
        <w:t>566</w:t>
      </w:r>
      <w:r>
        <w:rPr>
          <w:rFonts w:hint="default" w:ascii="仿宋_GB2312" w:eastAsia="仿宋_GB2312"/>
          <w:sz w:val="28"/>
          <w:szCs w:val="28"/>
          <w:lang w:val="en-US"/>
        </w:rPr>
        <w:t>,</w:t>
      </w:r>
      <w:r>
        <w:rPr>
          <w:rFonts w:ascii="仿宋_GB2312" w:eastAsia="仿宋_GB2312"/>
          <w:sz w:val="28"/>
          <w:szCs w:val="28"/>
        </w:rPr>
        <w:t>701.03</w:t>
      </w:r>
      <w:r>
        <w:rPr>
          <w:rFonts w:hint="eastAsia" w:ascii="仿宋_GB2312" w:eastAsia="仿宋_GB2312"/>
          <w:sz w:val="28"/>
          <w:szCs w:val="28"/>
        </w:rPr>
        <w:t>元，占收入合计的100</w:t>
      </w:r>
      <w:r>
        <w:rPr>
          <w:rFonts w:hint="default" w:ascii="仿宋_GB2312" w:eastAsia="仿宋_GB2312"/>
          <w:sz w:val="28"/>
          <w:szCs w:val="28"/>
          <w:lang w:val="en-US"/>
        </w:rPr>
        <w:t>.</w:t>
      </w:r>
      <w:bookmarkStart w:id="4" w:name="_GoBack"/>
      <w:r>
        <w:rPr>
          <w:rFonts w:hint="default" w:ascii="仿宋_GB2312" w:eastAsia="仿宋_GB2312"/>
          <w:sz w:val="28"/>
          <w:szCs w:val="28"/>
          <w:lang w:val="en-US"/>
        </w:rPr>
        <w:t>0</w:t>
      </w:r>
      <w:bookmarkEnd w:id="4"/>
      <w:r>
        <w:rPr>
          <w:rFonts w:hint="eastAsia" w:ascii="仿宋_GB2312" w:eastAsia="仿宋_GB2312"/>
          <w:sz w:val="28"/>
          <w:szCs w:val="28"/>
        </w:rPr>
        <w:t>%。其中：一般公共预算财政拨款收入</w:t>
      </w:r>
      <w:r>
        <w:rPr>
          <w:rFonts w:ascii="仿宋_GB2312" w:eastAsia="仿宋_GB2312"/>
          <w:sz w:val="28"/>
          <w:szCs w:val="28"/>
        </w:rPr>
        <w:t>3</w:t>
      </w:r>
      <w:r>
        <w:rPr>
          <w:rFonts w:hint="default" w:ascii="仿宋_GB2312" w:eastAsia="仿宋_GB2312"/>
          <w:sz w:val="28"/>
          <w:szCs w:val="28"/>
          <w:lang w:val="en-US"/>
        </w:rPr>
        <w:t>,</w:t>
      </w:r>
      <w:r>
        <w:rPr>
          <w:rFonts w:ascii="仿宋_GB2312" w:eastAsia="仿宋_GB2312"/>
          <w:sz w:val="28"/>
          <w:szCs w:val="28"/>
        </w:rPr>
        <w:t>386</w:t>
      </w:r>
      <w:r>
        <w:rPr>
          <w:rFonts w:hint="default" w:ascii="仿宋_GB2312" w:eastAsia="仿宋_GB2312"/>
          <w:sz w:val="28"/>
          <w:szCs w:val="28"/>
          <w:lang w:val="en-US"/>
        </w:rPr>
        <w:t>,</w:t>
      </w:r>
      <w:r>
        <w:rPr>
          <w:rFonts w:ascii="仿宋_GB2312" w:eastAsia="仿宋_GB2312"/>
          <w:sz w:val="28"/>
          <w:szCs w:val="28"/>
        </w:rPr>
        <w:t>131.22</w:t>
      </w:r>
      <w:r>
        <w:rPr>
          <w:rFonts w:hint="eastAsia" w:ascii="仿宋_GB2312" w:eastAsia="仿宋_GB2312"/>
          <w:sz w:val="28"/>
          <w:szCs w:val="28"/>
        </w:rPr>
        <w:t>元，占收入合计的2.</w:t>
      </w:r>
      <w:r>
        <w:rPr>
          <w:rFonts w:hint="default" w:ascii="仿宋_GB2312" w:eastAsia="仿宋_GB2312"/>
          <w:sz w:val="28"/>
          <w:szCs w:val="28"/>
          <w:lang w:val="en-US"/>
        </w:rPr>
        <w:t>6</w:t>
      </w:r>
      <w:r>
        <w:rPr>
          <w:rFonts w:hint="eastAsia" w:ascii="仿宋_GB2312" w:eastAsia="仿宋_GB2312"/>
          <w:sz w:val="28"/>
          <w:szCs w:val="28"/>
        </w:rPr>
        <w:t>%；政府性基金预算财政拨款收入</w:t>
      </w:r>
      <w:r>
        <w:rPr>
          <w:rFonts w:ascii="仿宋_GB2312" w:eastAsia="仿宋_GB2312"/>
          <w:sz w:val="28"/>
          <w:szCs w:val="28"/>
        </w:rPr>
        <w:t>127</w:t>
      </w:r>
      <w:r>
        <w:rPr>
          <w:rFonts w:hint="default" w:ascii="仿宋_GB2312" w:eastAsia="仿宋_GB2312"/>
          <w:sz w:val="28"/>
          <w:szCs w:val="28"/>
          <w:lang w:val="en-US"/>
        </w:rPr>
        <w:t>,</w:t>
      </w:r>
      <w:r>
        <w:rPr>
          <w:rFonts w:ascii="仿宋_GB2312" w:eastAsia="仿宋_GB2312"/>
          <w:sz w:val="28"/>
          <w:szCs w:val="28"/>
        </w:rPr>
        <w:t>180</w:t>
      </w:r>
      <w:r>
        <w:rPr>
          <w:rFonts w:hint="default" w:ascii="仿宋_GB2312" w:eastAsia="仿宋_GB2312"/>
          <w:sz w:val="28"/>
          <w:szCs w:val="28"/>
          <w:lang w:val="en-US"/>
        </w:rPr>
        <w:t>,</w:t>
      </w:r>
      <w:r>
        <w:rPr>
          <w:rFonts w:ascii="仿宋_GB2312" w:eastAsia="仿宋_GB2312"/>
          <w:sz w:val="28"/>
          <w:szCs w:val="28"/>
        </w:rPr>
        <w:t>569.81</w:t>
      </w:r>
      <w:r>
        <w:rPr>
          <w:rFonts w:hint="eastAsia" w:ascii="仿宋_GB2312" w:eastAsia="仿宋_GB2312"/>
          <w:sz w:val="28"/>
          <w:szCs w:val="28"/>
        </w:rPr>
        <w:t>元，占收入合计的97.4%；国有资本经营预算财政拨款收入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6E3C9B4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5C5B957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58D85292">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136C0322">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2239DDE1">
      <w:pPr>
        <w:tabs>
          <w:tab w:val="center" w:pos="6979"/>
        </w:tabs>
        <w:spacing w:line="580" w:lineRule="exact"/>
        <w:ind w:firstLine="560" w:firstLineChars="200"/>
        <w:rPr>
          <w:rFonts w:ascii="仿宋_GB2312" w:eastAsia="仿宋_GB2312" w:cs="Droid Sans"/>
          <w:color w:val="000000"/>
          <w:sz w:val="32"/>
          <w:szCs w:val="32"/>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1219B5BB">
      <w:pPr>
        <w:pStyle w:val="2"/>
        <w:ind w:firstLine="640" w:firstLineChars="200"/>
        <w:jc w:val="center"/>
      </w:pPr>
      <w:r>
        <w:rPr>
          <w:rFonts w:hint="eastAsia" w:ascii="仿宋_GB2312" w:eastAsia="仿宋_GB2312"/>
          <w:color w:val="000000"/>
          <w:sz w:val="32"/>
        </w:rPr>
        <w:t>图1：收入决算</w:t>
      </w:r>
    </w:p>
    <w:p w14:paraId="18DECE58">
      <w:pPr>
        <w:pStyle w:val="3"/>
        <w:ind w:firstLine="420" w:firstLineChars="200"/>
        <w:jc w:val="center"/>
      </w:pPr>
      <w:r>
        <w:drawing>
          <wp:inline distT="0" distB="0" distL="0" distR="0">
            <wp:extent cx="4036695" cy="2328545"/>
            <wp:effectExtent l="4445" t="4445" r="16510" b="1016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541504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7B3E9A5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130</w:t>
      </w:r>
      <w:r>
        <w:rPr>
          <w:rFonts w:hint="default" w:ascii="仿宋_GB2312" w:eastAsia="仿宋_GB2312"/>
          <w:sz w:val="28"/>
          <w:szCs w:val="28"/>
          <w:lang w:val="en-US"/>
        </w:rPr>
        <w:t>,</w:t>
      </w:r>
      <w:r>
        <w:rPr>
          <w:rFonts w:ascii="仿宋_GB2312" w:eastAsia="仿宋_GB2312"/>
          <w:sz w:val="28"/>
          <w:szCs w:val="28"/>
        </w:rPr>
        <w:t>566</w:t>
      </w:r>
      <w:r>
        <w:rPr>
          <w:rFonts w:hint="default" w:ascii="仿宋_GB2312" w:eastAsia="仿宋_GB2312"/>
          <w:sz w:val="28"/>
          <w:szCs w:val="28"/>
          <w:lang w:val="en-US"/>
        </w:rPr>
        <w:t>,</w:t>
      </w:r>
      <w:r>
        <w:rPr>
          <w:rFonts w:ascii="仿宋_GB2312" w:eastAsia="仿宋_GB2312"/>
          <w:sz w:val="28"/>
          <w:szCs w:val="28"/>
        </w:rPr>
        <w:t>701.03</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减少134</w:t>
      </w:r>
      <w:r>
        <w:rPr>
          <w:rFonts w:hint="default" w:ascii="仿宋_GB2312" w:eastAsia="仿宋_GB2312"/>
          <w:sz w:val="28"/>
          <w:szCs w:val="28"/>
          <w:lang w:val="en-US"/>
        </w:rPr>
        <w:t>,</w:t>
      </w:r>
      <w:r>
        <w:rPr>
          <w:rFonts w:hint="eastAsia" w:ascii="仿宋_GB2312" w:eastAsia="仿宋_GB2312"/>
          <w:sz w:val="28"/>
          <w:szCs w:val="28"/>
        </w:rPr>
        <w:t>685</w:t>
      </w:r>
      <w:r>
        <w:rPr>
          <w:rFonts w:hint="default" w:ascii="仿宋_GB2312" w:eastAsia="仿宋_GB2312"/>
          <w:sz w:val="28"/>
          <w:szCs w:val="28"/>
          <w:lang w:val="en-US"/>
        </w:rPr>
        <w:t>,</w:t>
      </w:r>
      <w:r>
        <w:rPr>
          <w:rFonts w:hint="eastAsia" w:ascii="仿宋_GB2312" w:eastAsia="仿宋_GB2312"/>
          <w:sz w:val="28"/>
          <w:szCs w:val="28"/>
        </w:rPr>
        <w:t>743.88元，下降</w:t>
      </w:r>
      <w:r>
        <w:rPr>
          <w:rFonts w:hint="default" w:ascii="仿宋_GB2312" w:eastAsia="仿宋_GB2312"/>
          <w:sz w:val="28"/>
          <w:szCs w:val="28"/>
          <w:lang w:val="en-US"/>
        </w:rPr>
        <w:t>50.8</w:t>
      </w:r>
      <w:r>
        <w:rPr>
          <w:rFonts w:hint="eastAsia" w:ascii="仿宋_GB2312" w:eastAsia="仿宋_GB2312"/>
          <w:sz w:val="28"/>
          <w:szCs w:val="28"/>
        </w:rPr>
        <w:t>%，其中：基本支出</w:t>
      </w:r>
      <w:r>
        <w:rPr>
          <w:rFonts w:ascii="仿宋_GB2312" w:eastAsia="仿宋_GB2312"/>
          <w:sz w:val="28"/>
          <w:szCs w:val="28"/>
        </w:rPr>
        <w:t>2</w:t>
      </w:r>
      <w:r>
        <w:rPr>
          <w:rFonts w:hint="default" w:ascii="仿宋_GB2312" w:eastAsia="仿宋_GB2312"/>
          <w:sz w:val="28"/>
          <w:szCs w:val="28"/>
          <w:lang w:val="en-US"/>
        </w:rPr>
        <w:t>,</w:t>
      </w:r>
      <w:r>
        <w:rPr>
          <w:rFonts w:ascii="仿宋_GB2312" w:eastAsia="仿宋_GB2312"/>
          <w:sz w:val="28"/>
          <w:szCs w:val="28"/>
        </w:rPr>
        <w:t>519</w:t>
      </w:r>
      <w:r>
        <w:rPr>
          <w:rFonts w:hint="default" w:ascii="仿宋_GB2312" w:eastAsia="仿宋_GB2312"/>
          <w:sz w:val="28"/>
          <w:szCs w:val="28"/>
          <w:lang w:val="en-US"/>
        </w:rPr>
        <w:t>,</w:t>
      </w:r>
      <w:r>
        <w:rPr>
          <w:rFonts w:ascii="仿宋_GB2312" w:eastAsia="仿宋_GB2312"/>
          <w:sz w:val="28"/>
          <w:szCs w:val="28"/>
        </w:rPr>
        <w:t>131.22</w:t>
      </w:r>
      <w:r>
        <w:rPr>
          <w:rFonts w:hint="eastAsia" w:ascii="仿宋_GB2312" w:eastAsia="仿宋_GB2312"/>
          <w:sz w:val="28"/>
          <w:szCs w:val="28"/>
        </w:rPr>
        <w:t>元，占支出合计的</w:t>
      </w:r>
      <w:r>
        <w:rPr>
          <w:rFonts w:hint="default" w:ascii="仿宋_GB2312" w:eastAsia="仿宋_GB2312"/>
          <w:sz w:val="28"/>
          <w:szCs w:val="28"/>
          <w:lang w:val="en-US"/>
        </w:rPr>
        <w:t>2.0</w:t>
      </w:r>
      <w:r>
        <w:rPr>
          <w:rFonts w:hint="eastAsia" w:ascii="仿宋_GB2312" w:eastAsia="仿宋_GB2312"/>
          <w:sz w:val="28"/>
          <w:szCs w:val="28"/>
        </w:rPr>
        <w:t>%；项目支出</w:t>
      </w:r>
      <w:r>
        <w:rPr>
          <w:rFonts w:ascii="仿宋_GB2312" w:eastAsia="仿宋_GB2312"/>
          <w:sz w:val="28"/>
          <w:szCs w:val="28"/>
        </w:rPr>
        <w:t>128</w:t>
      </w:r>
      <w:r>
        <w:rPr>
          <w:rFonts w:hint="default" w:ascii="仿宋_GB2312" w:eastAsia="仿宋_GB2312"/>
          <w:sz w:val="28"/>
          <w:szCs w:val="28"/>
          <w:lang w:val="en-US"/>
        </w:rPr>
        <w:t>,</w:t>
      </w:r>
      <w:r>
        <w:rPr>
          <w:rFonts w:ascii="仿宋_GB2312" w:eastAsia="仿宋_GB2312"/>
          <w:sz w:val="28"/>
          <w:szCs w:val="28"/>
        </w:rPr>
        <w:t>047</w:t>
      </w:r>
      <w:r>
        <w:rPr>
          <w:rFonts w:hint="default" w:ascii="仿宋_GB2312" w:eastAsia="仿宋_GB2312"/>
          <w:sz w:val="28"/>
          <w:szCs w:val="28"/>
          <w:lang w:val="en-US"/>
        </w:rPr>
        <w:t>,</w:t>
      </w:r>
      <w:r>
        <w:rPr>
          <w:rFonts w:ascii="仿宋_GB2312" w:eastAsia="仿宋_GB2312"/>
          <w:sz w:val="28"/>
          <w:szCs w:val="28"/>
        </w:rPr>
        <w:t>569.81</w:t>
      </w:r>
      <w:r>
        <w:rPr>
          <w:rFonts w:hint="eastAsia" w:ascii="仿宋_GB2312" w:eastAsia="仿宋_GB2312"/>
          <w:sz w:val="28"/>
          <w:szCs w:val="28"/>
        </w:rPr>
        <w:t>元，占支出合计的98.</w:t>
      </w:r>
      <w:r>
        <w:rPr>
          <w:rFonts w:hint="default" w:ascii="仿宋_GB2312" w:eastAsia="仿宋_GB2312"/>
          <w:sz w:val="28"/>
          <w:szCs w:val="28"/>
          <w:lang w:val="en-US"/>
        </w:rPr>
        <w:t>0</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6C4CD530">
      <w:pPr>
        <w:pStyle w:val="2"/>
        <w:ind w:firstLine="640" w:firstLineChars="200"/>
        <w:rPr>
          <w:rFonts w:ascii="仿宋_GB2312" w:eastAsia="仿宋_GB2312"/>
          <w:color w:val="000000"/>
          <w:sz w:val="32"/>
        </w:rPr>
      </w:pPr>
      <w:r>
        <w:rPr>
          <w:rFonts w:hint="eastAsia" w:ascii="仿宋_GB2312" w:eastAsia="仿宋_GB2312"/>
          <w:color w:val="000000"/>
          <w:sz w:val="32"/>
        </w:rPr>
        <w:t>图2：支出决算</w:t>
      </w:r>
    </w:p>
    <w:p w14:paraId="79F964F4">
      <w:pPr>
        <w:ind w:firstLine="420" w:firstLineChars="200"/>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D50BFA">
      <w:pPr>
        <w:tabs>
          <w:tab w:val="center" w:pos="6979"/>
        </w:tabs>
        <w:spacing w:line="580" w:lineRule="exact"/>
        <w:ind w:firstLine="560" w:firstLineChars="200"/>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020EC03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130</w:t>
      </w:r>
      <w:r>
        <w:rPr>
          <w:rFonts w:hint="default" w:ascii="仿宋_GB2312" w:eastAsia="仿宋_GB2312"/>
          <w:sz w:val="28"/>
          <w:szCs w:val="28"/>
          <w:lang w:val="en-US"/>
        </w:rPr>
        <w:t>,</w:t>
      </w:r>
      <w:r>
        <w:rPr>
          <w:rFonts w:ascii="仿宋_GB2312" w:eastAsia="仿宋_GB2312"/>
          <w:sz w:val="28"/>
          <w:szCs w:val="28"/>
        </w:rPr>
        <w:t>566</w:t>
      </w:r>
      <w:r>
        <w:rPr>
          <w:rFonts w:hint="default" w:ascii="仿宋_GB2312" w:eastAsia="仿宋_GB2312"/>
          <w:sz w:val="28"/>
          <w:szCs w:val="28"/>
          <w:lang w:val="en-US"/>
        </w:rPr>
        <w:t>,</w:t>
      </w:r>
      <w:r>
        <w:rPr>
          <w:rFonts w:ascii="仿宋_GB2312" w:eastAsia="仿宋_GB2312"/>
          <w:sz w:val="28"/>
          <w:szCs w:val="28"/>
        </w:rPr>
        <w:t>701.03</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减少134</w:t>
      </w:r>
      <w:r>
        <w:rPr>
          <w:rFonts w:hint="default" w:ascii="仿宋_GB2312" w:eastAsia="仿宋_GB2312"/>
          <w:sz w:val="28"/>
          <w:szCs w:val="28"/>
          <w:lang w:val="en-US"/>
        </w:rPr>
        <w:t>,</w:t>
      </w:r>
      <w:r>
        <w:rPr>
          <w:rFonts w:hint="eastAsia" w:ascii="仿宋_GB2312" w:eastAsia="仿宋_GB2312"/>
          <w:sz w:val="28"/>
          <w:szCs w:val="28"/>
        </w:rPr>
        <w:t>685</w:t>
      </w:r>
      <w:r>
        <w:rPr>
          <w:rFonts w:hint="default" w:ascii="仿宋_GB2312" w:eastAsia="仿宋_GB2312"/>
          <w:sz w:val="28"/>
          <w:szCs w:val="28"/>
          <w:lang w:val="en-US"/>
        </w:rPr>
        <w:t>,</w:t>
      </w:r>
      <w:r>
        <w:rPr>
          <w:rFonts w:hint="eastAsia" w:ascii="仿宋_GB2312" w:eastAsia="仿宋_GB2312"/>
          <w:sz w:val="28"/>
          <w:szCs w:val="28"/>
        </w:rPr>
        <w:t>743.88元，下降</w:t>
      </w:r>
      <w:r>
        <w:rPr>
          <w:rFonts w:hint="default" w:ascii="仿宋_GB2312" w:eastAsia="仿宋_GB2312"/>
          <w:sz w:val="28"/>
          <w:szCs w:val="28"/>
          <w:lang w:val="en-US"/>
        </w:rPr>
        <w:t>50.8</w:t>
      </w:r>
      <w:r>
        <w:rPr>
          <w:rFonts w:hint="eastAsia" w:ascii="仿宋_GB2312" w:eastAsia="仿宋_GB2312"/>
          <w:sz w:val="28"/>
          <w:szCs w:val="28"/>
        </w:rPr>
        <w:t>%。主要原因：曹各庄、桥户营村土地一级开发项目</w:t>
      </w:r>
      <w:r>
        <w:rPr>
          <w:rFonts w:hint="eastAsia" w:ascii="仿宋_GB2312" w:eastAsia="仿宋_GB2312"/>
          <w:sz w:val="28"/>
          <w:szCs w:val="28"/>
          <w:lang w:eastAsia="zh-CN"/>
        </w:rPr>
        <w:t>、</w:t>
      </w:r>
      <w:r>
        <w:rPr>
          <w:rFonts w:hint="eastAsia" w:ascii="仿宋_GB2312" w:eastAsia="仿宋_GB2312"/>
          <w:sz w:val="28"/>
          <w:szCs w:val="28"/>
        </w:rPr>
        <w:t>门头沟区石龙高新技术产业用地土地一级开发项目款减少。</w:t>
      </w:r>
    </w:p>
    <w:p w14:paraId="50F53E49">
      <w:pPr>
        <w:tabs>
          <w:tab w:val="center" w:pos="6979"/>
        </w:tabs>
        <w:spacing w:line="580" w:lineRule="exact"/>
        <w:ind w:firstLine="560" w:firstLineChars="200"/>
        <w:rPr>
          <w:rFonts w:ascii="黑体" w:eastAsia="黑体"/>
          <w:b/>
          <w:sz w:val="28"/>
          <w:szCs w:val="28"/>
        </w:rPr>
      </w:pPr>
      <w:r>
        <w:rPr>
          <w:rFonts w:hint="eastAsia" w:ascii="黑体" w:eastAsia="黑体"/>
          <w:b/>
          <w:sz w:val="28"/>
          <w:szCs w:val="28"/>
        </w:rPr>
        <w:t>四、一般公共预算财政拨款支出决算情况说明</w:t>
      </w:r>
    </w:p>
    <w:p w14:paraId="35635C37">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2E685F86">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386</w:t>
      </w:r>
      <w:r>
        <w:rPr>
          <w:rFonts w:hint="eastAsia" w:ascii="仿宋_GB2312" w:eastAsia="仿宋_GB2312"/>
          <w:sz w:val="28"/>
          <w:szCs w:val="28"/>
          <w:lang w:val="en-US" w:eastAsia="zh-CN"/>
        </w:rPr>
        <w:t>,</w:t>
      </w:r>
      <w:r>
        <w:rPr>
          <w:rFonts w:ascii="仿宋_GB2312" w:eastAsia="仿宋_GB2312"/>
          <w:sz w:val="28"/>
          <w:szCs w:val="28"/>
        </w:rPr>
        <w:t>131.22</w:t>
      </w:r>
      <w:r>
        <w:rPr>
          <w:rFonts w:hint="eastAsia" w:ascii="仿宋_GB2312" w:eastAsia="仿宋_GB2312"/>
          <w:sz w:val="28"/>
          <w:szCs w:val="28"/>
        </w:rPr>
        <w:t>元，主要用于以下方面（按大类）：自然资源海洋气象等支出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386</w:t>
      </w:r>
      <w:r>
        <w:rPr>
          <w:rFonts w:hint="eastAsia" w:ascii="仿宋_GB2312" w:eastAsia="仿宋_GB2312"/>
          <w:sz w:val="28"/>
          <w:szCs w:val="28"/>
          <w:lang w:val="en-US" w:eastAsia="zh-CN"/>
        </w:rPr>
        <w:t>,</w:t>
      </w:r>
      <w:r>
        <w:rPr>
          <w:rFonts w:ascii="仿宋_GB2312" w:eastAsia="仿宋_GB2312"/>
          <w:sz w:val="28"/>
          <w:szCs w:val="28"/>
        </w:rPr>
        <w:t>131.22</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w:t>
      </w:r>
      <w:r>
        <w:rPr>
          <w:rFonts w:hint="eastAsia" w:ascii="仿宋_GB2312" w:eastAsia="仿宋_GB2312"/>
          <w:sz w:val="28"/>
          <w:szCs w:val="28"/>
        </w:rPr>
        <w:t>%。</w:t>
      </w:r>
    </w:p>
    <w:p w14:paraId="7550B724">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7B02EB11">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1、“自然资源海洋气象等支出”（类）2025年度年初预算</w:t>
      </w:r>
      <w:r>
        <w:rPr>
          <w:rFonts w:hint="eastAsia" w:ascii="仿宋_GB2312" w:eastAsia="仿宋_GB2312"/>
          <w:sz w:val="28"/>
          <w:szCs w:val="28"/>
          <w:lang w:val="en-US" w:eastAsia="zh-CN"/>
        </w:rPr>
        <w:t>3,496,996.48</w:t>
      </w:r>
      <w:r>
        <w:rPr>
          <w:rFonts w:hint="eastAsia" w:ascii="仿宋_GB2312" w:eastAsia="仿宋_GB2312"/>
          <w:sz w:val="28"/>
          <w:szCs w:val="28"/>
        </w:rPr>
        <w:t>元，2025年度决算</w:t>
      </w:r>
      <w:r>
        <w:rPr>
          <w:rFonts w:hint="eastAsia" w:ascii="仿宋_GB2312" w:eastAsia="仿宋_GB2312"/>
          <w:sz w:val="28"/>
          <w:szCs w:val="28"/>
          <w:lang w:val="en-US" w:eastAsia="zh-CN"/>
        </w:rPr>
        <w:t>3,386,131.22</w:t>
      </w:r>
      <w:r>
        <w:rPr>
          <w:rFonts w:hint="eastAsia" w:ascii="仿宋_GB2312" w:eastAsia="仿宋_GB2312"/>
          <w:sz w:val="28"/>
          <w:szCs w:val="28"/>
        </w:rPr>
        <w:t>元，完成年初预算的</w:t>
      </w:r>
      <w:r>
        <w:rPr>
          <w:rFonts w:hint="eastAsia" w:ascii="仿宋_GB2312" w:eastAsia="仿宋_GB2312"/>
          <w:sz w:val="28"/>
          <w:szCs w:val="28"/>
          <w:lang w:val="en-US" w:eastAsia="zh-CN"/>
        </w:rPr>
        <w:t>96.8</w:t>
      </w:r>
      <w:r>
        <w:rPr>
          <w:rFonts w:hint="eastAsia" w:ascii="仿宋_GB2312" w:eastAsia="仿宋_GB2312"/>
          <w:sz w:val="28"/>
          <w:szCs w:val="28"/>
        </w:rPr>
        <w:t>%。</w:t>
      </w:r>
    </w:p>
    <w:p w14:paraId="62188B39">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其中：</w:t>
      </w:r>
    </w:p>
    <w:p w14:paraId="30C87A4E">
      <w:pPr>
        <w:spacing w:line="580" w:lineRule="exact"/>
        <w:ind w:firstLine="560" w:firstLineChars="200"/>
        <w:rPr>
          <w:rFonts w:ascii="仿宋_GB2312" w:eastAsia="仿宋_GB2312"/>
          <w:sz w:val="28"/>
          <w:szCs w:val="28"/>
        </w:rPr>
      </w:pPr>
      <w:r>
        <w:rPr>
          <w:rFonts w:hint="eastAsia" w:ascii="仿宋_GB2312" w:eastAsia="仿宋_GB2312"/>
          <w:sz w:val="28"/>
          <w:szCs w:val="28"/>
        </w:rPr>
        <w:t>“自然资源事务”（款，下同）2025年度年初预算预算</w:t>
      </w:r>
      <w:r>
        <w:rPr>
          <w:rFonts w:hint="eastAsia" w:ascii="仿宋_GB2312" w:eastAsia="仿宋_GB2312"/>
          <w:sz w:val="28"/>
          <w:szCs w:val="28"/>
          <w:lang w:val="en-US" w:eastAsia="zh-CN"/>
        </w:rPr>
        <w:t>3,496,996.48</w:t>
      </w:r>
      <w:r>
        <w:rPr>
          <w:rFonts w:hint="eastAsia" w:ascii="仿宋_GB2312" w:eastAsia="仿宋_GB2312"/>
          <w:sz w:val="28"/>
          <w:szCs w:val="28"/>
        </w:rPr>
        <w:t>元，2025年度决算</w:t>
      </w:r>
      <w:r>
        <w:rPr>
          <w:rFonts w:hint="eastAsia" w:ascii="仿宋_GB2312" w:eastAsia="仿宋_GB2312"/>
          <w:sz w:val="28"/>
          <w:szCs w:val="28"/>
          <w:lang w:val="en-US" w:eastAsia="zh-CN"/>
        </w:rPr>
        <w:t>3,386,131.22</w:t>
      </w:r>
      <w:r>
        <w:rPr>
          <w:rFonts w:hint="eastAsia" w:ascii="仿宋_GB2312" w:eastAsia="仿宋_GB2312"/>
          <w:sz w:val="28"/>
          <w:szCs w:val="28"/>
        </w:rPr>
        <w:t>元，完成年初预算的</w:t>
      </w:r>
      <w:r>
        <w:rPr>
          <w:rFonts w:hint="eastAsia" w:ascii="仿宋_GB2312" w:eastAsia="仿宋_GB2312"/>
          <w:sz w:val="28"/>
          <w:szCs w:val="28"/>
          <w:lang w:val="en-US" w:eastAsia="zh-CN"/>
        </w:rPr>
        <w:t>96.8</w:t>
      </w:r>
      <w:r>
        <w:rPr>
          <w:rFonts w:hint="eastAsia" w:ascii="仿宋_GB2312" w:eastAsia="仿宋_GB2312"/>
          <w:sz w:val="28"/>
          <w:szCs w:val="28"/>
        </w:rPr>
        <w:t>%。主要原因：</w:t>
      </w:r>
      <w:r>
        <w:rPr>
          <w:rFonts w:hint="eastAsia" w:ascii="仿宋_GB2312" w:eastAsia="仿宋_GB2312"/>
          <w:sz w:val="28"/>
          <w:szCs w:val="28"/>
          <w:lang w:eastAsia="zh-CN"/>
        </w:rPr>
        <w:t>人员经费、公用经费支出减少</w:t>
      </w:r>
      <w:r>
        <w:rPr>
          <w:rFonts w:hint="eastAsia" w:ascii="仿宋_GB2312" w:eastAsia="仿宋_GB2312"/>
          <w:sz w:val="28"/>
          <w:szCs w:val="28"/>
        </w:rPr>
        <w:t>。</w:t>
      </w:r>
    </w:p>
    <w:p w14:paraId="100B7287">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7003EB33">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732EB360">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2025年度政府性基金预算财政拨款支出</w:t>
      </w:r>
      <w:r>
        <w:rPr>
          <w:rFonts w:ascii="仿宋_GB2312" w:eastAsia="仿宋_GB2312"/>
          <w:sz w:val="28"/>
          <w:szCs w:val="28"/>
        </w:rPr>
        <w:t>127</w:t>
      </w:r>
      <w:r>
        <w:rPr>
          <w:rFonts w:hint="eastAsia" w:ascii="仿宋_GB2312" w:eastAsia="仿宋_GB2312"/>
          <w:sz w:val="28"/>
          <w:szCs w:val="28"/>
          <w:lang w:val="en-US" w:eastAsia="zh-CN"/>
        </w:rPr>
        <w:t>,</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569.81</w:t>
      </w:r>
      <w:r>
        <w:rPr>
          <w:rFonts w:hint="eastAsia" w:ascii="仿宋_GB2312" w:eastAsia="仿宋_GB2312"/>
          <w:sz w:val="28"/>
          <w:szCs w:val="28"/>
        </w:rPr>
        <w:t>元，主要用于以下方面（按大类）：城乡社区支出</w:t>
      </w:r>
      <w:r>
        <w:rPr>
          <w:rFonts w:ascii="仿宋_GB2312" w:eastAsia="仿宋_GB2312"/>
          <w:sz w:val="28"/>
          <w:szCs w:val="28"/>
        </w:rPr>
        <w:t>127</w:t>
      </w:r>
      <w:r>
        <w:rPr>
          <w:rFonts w:hint="eastAsia" w:ascii="仿宋_GB2312" w:eastAsia="仿宋_GB2312"/>
          <w:sz w:val="28"/>
          <w:szCs w:val="28"/>
          <w:lang w:val="en-US" w:eastAsia="zh-CN"/>
        </w:rPr>
        <w:t>,</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569.81</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w:t>
      </w:r>
      <w:r>
        <w:rPr>
          <w:rFonts w:hint="eastAsia" w:ascii="仿宋_GB2312" w:eastAsia="仿宋_GB2312"/>
          <w:sz w:val="28"/>
          <w:szCs w:val="28"/>
        </w:rPr>
        <w:t>%</w:t>
      </w:r>
      <w:r>
        <w:rPr>
          <w:rFonts w:hint="eastAsia" w:ascii="仿宋_GB2312" w:eastAsia="仿宋_GB2312"/>
          <w:sz w:val="28"/>
          <w:szCs w:val="28"/>
          <w:lang w:eastAsia="zh-CN"/>
        </w:rPr>
        <w:t>。</w:t>
      </w:r>
    </w:p>
    <w:p w14:paraId="4A173975">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1692C6F8">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1、“城乡社区支出”（类，下同）2025年度年初预算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ascii="仿宋_GB2312" w:eastAsia="仿宋_GB2312"/>
          <w:sz w:val="28"/>
          <w:szCs w:val="28"/>
        </w:rPr>
        <w:t>127</w:t>
      </w:r>
      <w:r>
        <w:rPr>
          <w:rFonts w:hint="eastAsia" w:ascii="仿宋_GB2312" w:eastAsia="仿宋_GB2312"/>
          <w:sz w:val="28"/>
          <w:szCs w:val="28"/>
          <w:lang w:val="en-US" w:eastAsia="zh-CN"/>
        </w:rPr>
        <w:t>,</w:t>
      </w:r>
      <w:r>
        <w:rPr>
          <w:rFonts w:ascii="仿宋_GB2312" w:eastAsia="仿宋_GB2312"/>
          <w:sz w:val="28"/>
          <w:szCs w:val="28"/>
        </w:rPr>
        <w:t>180</w:t>
      </w:r>
      <w:r>
        <w:rPr>
          <w:rFonts w:hint="eastAsia" w:ascii="仿宋_GB2312" w:eastAsia="仿宋_GB2312"/>
          <w:sz w:val="28"/>
          <w:szCs w:val="28"/>
          <w:lang w:val="en-US" w:eastAsia="zh-CN"/>
        </w:rPr>
        <w:t>,</w:t>
      </w:r>
      <w:r>
        <w:rPr>
          <w:rFonts w:ascii="仿宋_GB2312" w:eastAsia="仿宋_GB2312"/>
          <w:sz w:val="28"/>
          <w:szCs w:val="28"/>
        </w:rPr>
        <w:t>569.81</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%。其中：</w:t>
      </w:r>
    </w:p>
    <w:p w14:paraId="2F4CDF57">
      <w:pPr>
        <w:spacing w:line="580" w:lineRule="exact"/>
        <w:ind w:firstLine="560" w:firstLineChars="200"/>
        <w:rPr>
          <w:rFonts w:hint="eastAsia" w:ascii="仿宋_GB2312" w:eastAsia="仿宋_GB2312"/>
          <w:sz w:val="28"/>
          <w:szCs w:val="28"/>
        </w:rPr>
      </w:pPr>
    </w:p>
    <w:p w14:paraId="6497EE4E">
      <w:pPr>
        <w:spacing w:line="580" w:lineRule="exact"/>
        <w:ind w:firstLine="560" w:firstLineChars="200"/>
        <w:rPr>
          <w:rFonts w:ascii="仿宋_GB2312" w:eastAsia="仿宋_GB2312"/>
          <w:sz w:val="28"/>
          <w:szCs w:val="28"/>
        </w:rPr>
      </w:pPr>
      <w:r>
        <w:rPr>
          <w:rFonts w:hint="eastAsia" w:ascii="仿宋_GB2312" w:eastAsia="仿宋_GB2312"/>
          <w:sz w:val="28"/>
          <w:szCs w:val="28"/>
        </w:rPr>
        <w:t>“国有土地使用权出让收入安排的支出”（款，下同）2025年度年初预算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24,364,895.15</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年初预算不包含政府性基金预算财政拨款</w:t>
      </w:r>
      <w:r>
        <w:rPr>
          <w:rFonts w:hint="eastAsia" w:ascii="仿宋_GB2312" w:eastAsia="仿宋_GB2312"/>
          <w:sz w:val="28"/>
          <w:szCs w:val="28"/>
        </w:rPr>
        <w:t>。</w:t>
      </w:r>
    </w:p>
    <w:p w14:paraId="0007230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“国有土地收益基金安排的支出”</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元，2025年度决算25,815,674.66</w:t>
      </w:r>
      <w:r>
        <w:rPr>
          <w:rFonts w:hint="eastAsia" w:ascii="仿宋_GB2312" w:eastAsia="仿宋_GB2312"/>
          <w:sz w:val="28"/>
          <w:szCs w:val="28"/>
          <w:lang w:eastAsia="zh-CN"/>
        </w:rPr>
        <w:t>元，</w:t>
      </w:r>
      <w:r>
        <w:rPr>
          <w:rFonts w:hint="eastAsia" w:ascii="仿宋_GB2312" w:eastAsia="仿宋_GB2312"/>
          <w:sz w:val="28"/>
          <w:szCs w:val="28"/>
        </w:rPr>
        <w:t>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年初预算不包含达政府性基金预算财政拨款</w:t>
      </w:r>
      <w:r>
        <w:rPr>
          <w:rFonts w:hint="eastAsia" w:ascii="仿宋_GB2312" w:eastAsia="仿宋_GB2312"/>
          <w:sz w:val="28"/>
          <w:szCs w:val="28"/>
        </w:rPr>
        <w:t>。</w:t>
      </w:r>
    </w:p>
    <w:p w14:paraId="28BE94A2">
      <w:pPr>
        <w:spacing w:line="580" w:lineRule="exact"/>
        <w:ind w:firstLine="560" w:firstLineChars="200"/>
        <w:rPr>
          <w:rFonts w:hint="eastAsia" w:ascii="黑体" w:eastAsia="黑体"/>
          <w:b/>
          <w:sz w:val="28"/>
          <w:szCs w:val="28"/>
        </w:rPr>
      </w:pPr>
      <w:r>
        <w:rPr>
          <w:rFonts w:hint="eastAsia" w:ascii="仿宋_GB2312" w:eastAsia="仿宋_GB2312"/>
          <w:sz w:val="28"/>
          <w:szCs w:val="28"/>
          <w:lang w:eastAsia="zh-CN"/>
        </w:rPr>
        <w:t>“国有土地使用权出让收入对应专项债务收入安排的支出”</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default" w:ascii="仿宋_GB2312" w:eastAsia="仿宋_GB2312"/>
          <w:sz w:val="28"/>
          <w:szCs w:val="28"/>
          <w:lang w:val="en-US" w:eastAsia="zh-CN"/>
        </w:rPr>
        <w:t>77,000,000.00</w:t>
      </w:r>
      <w:r>
        <w:rPr>
          <w:rFonts w:hint="eastAsia" w:ascii="仿宋_GB2312" w:eastAsia="仿宋_GB2312"/>
          <w:sz w:val="28"/>
          <w:szCs w:val="28"/>
          <w:lang w:eastAsia="zh-CN"/>
        </w:rPr>
        <w:t>元，</w:t>
      </w:r>
      <w:r>
        <w:rPr>
          <w:rFonts w:hint="eastAsia" w:ascii="仿宋_GB2312" w:eastAsia="仿宋_GB2312"/>
          <w:sz w:val="28"/>
          <w:szCs w:val="28"/>
        </w:rPr>
        <w:t>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年初预算不包含下达政府性基金预算财政拨款</w:t>
      </w:r>
      <w:r>
        <w:rPr>
          <w:rFonts w:hint="eastAsia" w:ascii="仿宋_GB2312" w:eastAsia="仿宋_GB2312"/>
          <w:sz w:val="28"/>
          <w:szCs w:val="28"/>
        </w:rPr>
        <w:t>。</w:t>
      </w:r>
    </w:p>
    <w:p w14:paraId="18DDA5B2">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5612E8BA">
      <w:pPr>
        <w:ind w:firstLine="560" w:firstLineChars="200"/>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14:paraId="11F3D76E">
      <w:pPr>
        <w:spacing w:line="580" w:lineRule="exact"/>
        <w:ind w:firstLine="560" w:firstLineChars="200"/>
        <w:rPr>
          <w:rFonts w:ascii="黑体" w:eastAsia="黑体"/>
          <w:sz w:val="28"/>
          <w:szCs w:val="28"/>
        </w:rPr>
      </w:pPr>
      <w:r>
        <w:rPr>
          <w:rFonts w:hint="eastAsia" w:ascii="黑体" w:eastAsia="黑体"/>
          <w:b/>
          <w:sz w:val="28"/>
          <w:szCs w:val="28"/>
        </w:rPr>
        <w:t>七、财政拨款基本支出决算情况说明</w:t>
      </w:r>
    </w:p>
    <w:p w14:paraId="05E60039">
      <w:pPr>
        <w:tabs>
          <w:tab w:val="center" w:pos="6979"/>
        </w:tabs>
        <w:spacing w:line="580" w:lineRule="exact"/>
        <w:ind w:firstLine="560" w:firstLineChars="200"/>
        <w:rPr>
          <w:rFonts w:hint="eastAsia" w:ascii="宋体" w:hAnsi="宋体" w:cs="宋体"/>
          <w:b/>
          <w:bCs/>
          <w:spacing w:val="40"/>
          <w:kern w:val="0"/>
          <w:sz w:val="32"/>
          <w:szCs w:val="32"/>
        </w:rPr>
      </w:pPr>
      <w:r>
        <w:rPr>
          <w:rFonts w:hint="eastAsia" w:ascii="仿宋_GB2312" w:eastAsia="仿宋_GB2312"/>
          <w:sz w:val="28"/>
          <w:szCs w:val="28"/>
        </w:rPr>
        <w:t>2025年度使用一般公共预算财政拨款安排基本支出</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519</w:t>
      </w:r>
      <w:r>
        <w:rPr>
          <w:rFonts w:hint="eastAsia" w:ascii="仿宋_GB2312" w:eastAsia="仿宋_GB2312"/>
          <w:sz w:val="28"/>
          <w:szCs w:val="28"/>
          <w:lang w:val="en-US" w:eastAsia="zh-CN"/>
        </w:rPr>
        <w:t>,</w:t>
      </w:r>
      <w:r>
        <w:rPr>
          <w:rFonts w:ascii="仿宋_GB2312" w:eastAsia="仿宋_GB2312"/>
          <w:sz w:val="28"/>
          <w:szCs w:val="28"/>
        </w:rPr>
        <w:t>131.22</w:t>
      </w:r>
      <w:r>
        <w:rPr>
          <w:rFonts w:hint="eastAsia" w:ascii="仿宋_GB2312" w:eastAsia="仿宋_GB2312"/>
          <w:sz w:val="28"/>
          <w:szCs w:val="28"/>
        </w:rPr>
        <w:t>元，使用政府性基金财政拨款安排基本支出128,047,569.81元，（1）工资福利支出包括基本工资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5C48EE3C">
      <w:pPr>
        <w:tabs>
          <w:tab w:val="center" w:pos="6979"/>
        </w:tabs>
        <w:ind w:firstLine="800" w:firstLineChars="200"/>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078475DD">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6839D6DD">
      <w:pPr>
        <w:spacing w:line="560" w:lineRule="exact"/>
        <w:ind w:firstLine="560" w:firstLineChars="2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866.54</w:t>
      </w:r>
      <w:r>
        <w:rPr>
          <w:rFonts w:hint="eastAsia" w:ascii="仿宋_GB2312" w:eastAsia="仿宋_GB2312"/>
          <w:sz w:val="28"/>
          <w:szCs w:val="28"/>
        </w:rPr>
        <w:t>元，比2025年度“三公”经费财政拨款年初预算</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290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423.46</w:t>
      </w:r>
      <w:r>
        <w:rPr>
          <w:rFonts w:hint="eastAsia" w:ascii="仿宋_GB2312" w:eastAsia="仿宋_GB2312"/>
          <w:sz w:val="28"/>
          <w:szCs w:val="28"/>
        </w:rPr>
        <w:t>元。其中：</w:t>
      </w:r>
    </w:p>
    <w:p w14:paraId="0F137B5F">
      <w:pPr>
        <w:spacing w:line="560" w:lineRule="exact"/>
        <w:ind w:firstLine="560" w:firstLineChars="2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eastAsia="zh-CN"/>
        </w:rPr>
        <w:t>本单位不涉及</w:t>
      </w:r>
      <w:r>
        <w:rPr>
          <w:rFonts w:hint="eastAsia" w:ascii="仿宋_GB2312" w:eastAsia="仿宋_GB2312"/>
          <w:sz w:val="28"/>
          <w:szCs w:val="28"/>
        </w:rPr>
        <w:t>；2025年度因公出国（境）费用主要用</w:t>
      </w:r>
      <w:r>
        <w:rPr>
          <w:rFonts w:hint="eastAsia" w:ascii="仿宋_GB2312" w:eastAsia="仿宋_GB2312"/>
          <w:sz w:val="28"/>
          <w:szCs w:val="28"/>
          <w:lang w:eastAsia="zh-CN"/>
        </w:rPr>
        <w:t>无</w:t>
      </w:r>
      <w:r>
        <w:rPr>
          <w:rFonts w:hint="eastAsia" w:ascii="仿宋_GB2312" w:eastAsia="仿宋_GB2312"/>
          <w:sz w:val="28"/>
          <w:szCs w:val="28"/>
        </w:rPr>
        <w:t>，2025年度组织因公出国（境）团组0个、0人次。</w:t>
      </w:r>
    </w:p>
    <w:p w14:paraId="4DDD74BB">
      <w:pPr>
        <w:spacing w:line="560" w:lineRule="exact"/>
        <w:ind w:firstLine="560" w:firstLineChars="2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290</w:t>
      </w:r>
      <w:r>
        <w:rPr>
          <w:rFonts w:hint="eastAsia" w:ascii="仿宋_GB2312" w:eastAsia="仿宋_GB2312"/>
          <w:sz w:val="28"/>
          <w:szCs w:val="28"/>
        </w:rPr>
        <w:t>元减少</w:t>
      </w:r>
      <w:r>
        <w:rPr>
          <w:rFonts w:ascii="仿宋_GB2312" w:eastAsia="仿宋_GB2312"/>
          <w:sz w:val="28"/>
          <w:szCs w:val="28"/>
        </w:rPr>
        <w:t>290</w:t>
      </w:r>
      <w:r>
        <w:rPr>
          <w:rFonts w:hint="eastAsia" w:ascii="仿宋_GB2312" w:eastAsia="仿宋_GB2312"/>
          <w:sz w:val="28"/>
          <w:szCs w:val="28"/>
        </w:rPr>
        <w:t>元。主要原因：</w:t>
      </w:r>
      <w:r>
        <w:rPr>
          <w:rFonts w:hint="eastAsia" w:ascii="仿宋_GB2312" w:eastAsia="仿宋_GB2312"/>
          <w:sz w:val="28"/>
          <w:szCs w:val="28"/>
          <w:lang w:eastAsia="zh-CN"/>
        </w:rPr>
        <w:t>本单位不涉及</w:t>
      </w:r>
      <w:r>
        <w:rPr>
          <w:rFonts w:hint="eastAsia" w:ascii="仿宋_GB2312" w:eastAsia="仿宋_GB2312"/>
          <w:sz w:val="28"/>
          <w:szCs w:val="28"/>
        </w:rPr>
        <w:t>。2025年度公务接待费主要用于</w:t>
      </w:r>
      <w:r>
        <w:rPr>
          <w:rFonts w:hint="eastAsia" w:ascii="仿宋_GB2312" w:eastAsia="仿宋_GB2312"/>
          <w:sz w:val="28"/>
          <w:szCs w:val="28"/>
          <w:lang w:eastAsia="zh-CN"/>
        </w:rPr>
        <w:t>无</w:t>
      </w:r>
      <w:r>
        <w:rPr>
          <w:rFonts w:hint="eastAsia" w:ascii="仿宋_GB2312" w:eastAsia="仿宋_GB2312"/>
          <w:sz w:val="28"/>
          <w:szCs w:val="28"/>
        </w:rPr>
        <w:t>。公务接待0批次，公务接待0人次。</w:t>
      </w:r>
    </w:p>
    <w:p w14:paraId="0E62181F">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866.54</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133.46</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未购置公务用车</w:t>
      </w:r>
      <w:r>
        <w:rPr>
          <w:rFonts w:hint="eastAsia" w:ascii="仿宋_GB2312" w:eastAsia="仿宋_GB2312"/>
          <w:sz w:val="28"/>
          <w:szCs w:val="28"/>
        </w:rPr>
        <w:t>，2025年度购置（更新）0辆。公务用车运行维护费2025年度决算数17</w:t>
      </w:r>
      <w:r>
        <w:rPr>
          <w:rFonts w:hint="eastAsia" w:ascii="仿宋_GB2312" w:eastAsia="仿宋_GB2312"/>
          <w:sz w:val="28"/>
          <w:szCs w:val="28"/>
          <w:lang w:val="en-US" w:eastAsia="zh-CN"/>
        </w:rPr>
        <w:t>,</w:t>
      </w:r>
      <w:r>
        <w:rPr>
          <w:rFonts w:hint="eastAsia" w:ascii="仿宋_GB2312" w:eastAsia="仿宋_GB2312"/>
          <w:sz w:val="28"/>
          <w:szCs w:val="28"/>
        </w:rPr>
        <w:t>866.54元，主要原因：</w:t>
      </w:r>
      <w:r>
        <w:rPr>
          <w:rFonts w:hint="eastAsia" w:ascii="仿宋_GB2312" w:eastAsia="仿宋_GB2312"/>
          <w:sz w:val="28"/>
          <w:szCs w:val="28"/>
          <w:lang w:eastAsia="zh-CN"/>
        </w:rPr>
        <w:t>车辆维修等支出</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14:paraId="6E3A954C">
      <w:pPr>
        <w:tabs>
          <w:tab w:val="center" w:pos="6979"/>
        </w:tabs>
        <w:ind w:firstLine="560" w:firstLineChars="200"/>
        <w:rPr>
          <w:rFonts w:ascii="黑体" w:eastAsia="黑体"/>
          <w:sz w:val="28"/>
          <w:szCs w:val="28"/>
        </w:rPr>
      </w:pPr>
      <w:r>
        <w:rPr>
          <w:rFonts w:hint="eastAsia" w:ascii="黑体" w:eastAsia="黑体"/>
          <w:sz w:val="28"/>
          <w:szCs w:val="28"/>
        </w:rPr>
        <w:t>二、机关运行经费支出情况</w:t>
      </w:r>
    </w:p>
    <w:p w14:paraId="598D7C33">
      <w:pPr>
        <w:ind w:firstLine="560" w:firstLineChars="200"/>
        <w:rPr>
          <w:rFonts w:hint="eastAsia" w:ascii="仿宋_GB2312" w:eastAsia="仿宋_GB2312"/>
          <w:sz w:val="28"/>
          <w:szCs w:val="28"/>
          <w:lang w:eastAsia="zh-CN"/>
        </w:rPr>
      </w:pPr>
      <w:r>
        <w:rPr>
          <w:rFonts w:hint="eastAsia" w:ascii="仿宋_GB2312" w:eastAsia="仿宋_GB2312"/>
          <w:sz w:val="28"/>
          <w:szCs w:val="28"/>
        </w:rPr>
        <w:t>本</w:t>
      </w:r>
      <w:r>
        <w:rPr>
          <w:rFonts w:hint="eastAsia" w:ascii="仿宋_GB2312" w:eastAsia="仿宋_GB2312"/>
          <w:sz w:val="28"/>
          <w:szCs w:val="28"/>
          <w:lang w:eastAsia="zh-CN"/>
        </w:rPr>
        <w:t>单位</w:t>
      </w:r>
      <w:r>
        <w:rPr>
          <w:rFonts w:hint="eastAsia" w:ascii="仿宋_GB2312" w:eastAsia="仿宋_GB2312"/>
          <w:sz w:val="28"/>
          <w:szCs w:val="28"/>
        </w:rPr>
        <w:t>2025年无机关运行经费</w:t>
      </w:r>
      <w:r>
        <w:rPr>
          <w:rFonts w:hint="eastAsia" w:ascii="仿宋_GB2312" w:eastAsia="仿宋_GB2312"/>
          <w:sz w:val="28"/>
          <w:szCs w:val="28"/>
          <w:lang w:eastAsia="zh-CN"/>
        </w:rPr>
        <w:t>。</w:t>
      </w:r>
    </w:p>
    <w:p w14:paraId="07D15DD6">
      <w:pPr>
        <w:ind w:left="540" w:firstLine="560" w:firstLineChars="200"/>
        <w:rPr>
          <w:rFonts w:ascii="黑体" w:eastAsia="黑体"/>
          <w:sz w:val="28"/>
          <w:szCs w:val="28"/>
        </w:rPr>
      </w:pPr>
      <w:r>
        <w:rPr>
          <w:rFonts w:hint="eastAsia" w:ascii="黑体" w:eastAsia="黑体"/>
          <w:sz w:val="28"/>
          <w:szCs w:val="28"/>
        </w:rPr>
        <w:t>三、政府采购支出情况</w:t>
      </w:r>
    </w:p>
    <w:p w14:paraId="5564C159">
      <w:pPr>
        <w:ind w:firstLine="560" w:firstLineChars="200"/>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466.54</w:t>
      </w:r>
      <w:r>
        <w:rPr>
          <w:rFonts w:hint="eastAsia" w:ascii="仿宋_GB2312" w:eastAsia="仿宋_GB2312"/>
          <w:sz w:val="28"/>
          <w:szCs w:val="28"/>
        </w:rPr>
        <w:t>元，其中：政府采购货物支出</w:t>
      </w:r>
      <w:r>
        <w:rPr>
          <w:rFonts w:ascii="仿宋_GB2312" w:eastAsia="仿宋_GB2312"/>
          <w:sz w:val="28"/>
          <w:szCs w:val="28"/>
        </w:rPr>
        <w:t>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466.54</w:t>
      </w:r>
      <w:r>
        <w:rPr>
          <w:rFonts w:hint="eastAsia" w:ascii="仿宋_GB2312" w:eastAsia="仿宋_GB2312"/>
          <w:sz w:val="28"/>
          <w:szCs w:val="28"/>
        </w:rPr>
        <w:t>元。授予中小企业合同金额</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466.54</w:t>
      </w:r>
      <w:r>
        <w:rPr>
          <w:rFonts w:hint="eastAsia" w:ascii="仿宋_GB2312" w:eastAsia="仿宋_GB2312"/>
          <w:sz w:val="28"/>
          <w:szCs w:val="28"/>
        </w:rPr>
        <w:t>元，占政府采购支出总额的100</w:t>
      </w:r>
      <w:r>
        <w:rPr>
          <w:rFonts w:hint="eastAsia" w:ascii="仿宋_GB2312" w:eastAsia="仿宋_GB2312"/>
          <w:sz w:val="28"/>
          <w:szCs w:val="28"/>
          <w:lang w:val="en-US" w:eastAsia="zh-CN"/>
        </w:rPr>
        <w:t>.0</w:t>
      </w:r>
      <w:r>
        <w:rPr>
          <w:rFonts w:hint="eastAsia" w:ascii="仿宋_GB2312" w:eastAsia="仿宋_GB2312"/>
          <w:sz w:val="28"/>
          <w:szCs w:val="28"/>
        </w:rPr>
        <w:t>%，其中：授予小微企业合同金额</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348</w:t>
      </w:r>
      <w:r>
        <w:rPr>
          <w:rFonts w:hint="eastAsia" w:ascii="仿宋_GB2312" w:eastAsia="仿宋_GB2312"/>
          <w:sz w:val="28"/>
          <w:szCs w:val="28"/>
          <w:lang w:val="en-US" w:eastAsia="zh-CN"/>
        </w:rPr>
        <w:t>.00</w:t>
      </w:r>
      <w:r>
        <w:rPr>
          <w:rFonts w:hint="eastAsia" w:ascii="仿宋_GB2312" w:eastAsia="仿宋_GB2312"/>
          <w:sz w:val="28"/>
          <w:szCs w:val="28"/>
        </w:rPr>
        <w:t>元，占政府采购支出总额的</w:t>
      </w:r>
      <w:r>
        <w:rPr>
          <w:rFonts w:ascii="仿宋_GB2312" w:eastAsia="仿宋_GB2312"/>
          <w:sz w:val="28"/>
          <w:szCs w:val="28"/>
        </w:rPr>
        <w:t>8.7</w:t>
      </w:r>
      <w:r>
        <w:rPr>
          <w:rFonts w:hint="eastAsia" w:ascii="仿宋_GB2312" w:eastAsia="仿宋_GB2312"/>
          <w:sz w:val="28"/>
          <w:szCs w:val="28"/>
        </w:rPr>
        <w:t>%。</w:t>
      </w:r>
    </w:p>
    <w:p w14:paraId="2CA2DD36">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2E106B84">
      <w:pPr>
        <w:ind w:firstLine="560" w:firstLineChars="200"/>
        <w:rPr>
          <w:rFonts w:ascii="仿宋_GB2312" w:eastAsia="仿宋_GB2312"/>
          <w:sz w:val="32"/>
          <w:szCs w:val="32"/>
        </w:rPr>
      </w:pPr>
      <w:r>
        <w:rPr>
          <w:rFonts w:hint="eastAsia" w:ascii="仿宋_GB2312" w:eastAsia="仿宋_GB2312"/>
          <w:sz w:val="28"/>
          <w:szCs w:val="28"/>
        </w:rPr>
        <w:t>截至12月31日，北京市门头沟区土地储备事务中心共有车辆1台；单位价值100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5415CE1F">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1CE3CBA5">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5F1130E">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57966468">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01FC0710">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3A10795F">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5B1DECFE">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6.</w:t>
      </w:r>
      <w:r>
        <w:rPr>
          <w:rFonts w:hint="eastAsia" w:ascii="仿宋_GB2312" w:eastAsia="仿宋_GB2312"/>
          <w:sz w:val="28"/>
          <w:szCs w:val="28"/>
        </w:rPr>
        <w:t>支出功能分类</w:t>
      </w:r>
      <w:r>
        <w:rPr>
          <w:rFonts w:hint="eastAsia" w:ascii="仿宋_GB2312" w:eastAsia="仿宋_GB2312"/>
          <w:sz w:val="28"/>
          <w:szCs w:val="28"/>
          <w:lang w:eastAsia="zh-CN"/>
        </w:rPr>
        <w:t>“城乡社区支出”：反映政府城乡社区事务支出。</w:t>
      </w:r>
    </w:p>
    <w:p w14:paraId="1FE60727">
      <w:pPr>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7.</w:t>
      </w:r>
      <w:r>
        <w:rPr>
          <w:rFonts w:hint="eastAsia" w:ascii="仿宋_GB2312" w:eastAsia="仿宋_GB2312"/>
          <w:sz w:val="28"/>
          <w:szCs w:val="28"/>
        </w:rPr>
        <w:t>支出功能分类</w:t>
      </w:r>
      <w:r>
        <w:rPr>
          <w:rFonts w:hint="eastAsia" w:ascii="仿宋_GB2312" w:eastAsia="仿宋_GB2312"/>
          <w:sz w:val="28"/>
          <w:szCs w:val="28"/>
          <w:lang w:eastAsia="zh-CN"/>
        </w:rPr>
        <w:t>“自然资源海洋气象等支出”：反映政府用于自然资源、海洋、测绘、气象等公益服务事业方面的支出。</w:t>
      </w:r>
    </w:p>
    <w:p w14:paraId="5398149A">
      <w:pPr>
        <w:ind w:firstLine="560" w:firstLineChars="200"/>
        <w:rPr>
          <w:rFonts w:hint="eastAsia" w:ascii="仿宋_GB2312" w:eastAsia="仿宋_GB2312"/>
          <w:sz w:val="28"/>
          <w:szCs w:val="28"/>
          <w:lang w:eastAsia="zh-CN"/>
        </w:rPr>
      </w:pPr>
    </w:p>
    <w:p w14:paraId="3AE5C13A">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w:t>
      </w:r>
      <w:r>
        <w:rPr>
          <w:rFonts w:hint="eastAsia" w:asciiTheme="minorEastAsia" w:hAnsiTheme="minorEastAsia" w:eastAsiaTheme="minorEastAsia"/>
          <w:b/>
          <w:sz w:val="36"/>
          <w:szCs w:val="36"/>
          <w:lang w:eastAsia="zh-CN"/>
        </w:rPr>
        <w:t>单位</w:t>
      </w:r>
      <w:r>
        <w:rPr>
          <w:rFonts w:hint="eastAsia" w:asciiTheme="minorEastAsia" w:hAnsiTheme="minorEastAsia" w:eastAsiaTheme="minorEastAsia"/>
          <w:b/>
          <w:sz w:val="36"/>
          <w:szCs w:val="36"/>
        </w:rPr>
        <w:t>绩效评价情况</w:t>
      </w:r>
    </w:p>
    <w:p w14:paraId="24163259">
      <w:pPr>
        <w:tabs>
          <w:tab w:val="center" w:pos="6979"/>
        </w:tabs>
        <w:spacing w:line="580" w:lineRule="exact"/>
        <w:ind w:firstLine="560" w:firstLineChars="200"/>
        <w:jc w:val="center"/>
        <w:rPr>
          <w:rFonts w:hint="eastAsia" w:ascii="华文中宋" w:hAnsi="华文中宋" w:eastAsia="华文中宋"/>
          <w:sz w:val="28"/>
          <w:szCs w:val="28"/>
        </w:rPr>
      </w:pPr>
    </w:p>
    <w:p w14:paraId="3110D229">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w:t>
      </w:r>
      <w:r>
        <w:rPr>
          <w:rFonts w:hint="eastAsia" w:ascii="黑体" w:hAnsi="黑体" w:eastAsia="黑体"/>
          <w:sz w:val="32"/>
          <w:szCs w:val="32"/>
          <w:lang w:eastAsia="zh-CN"/>
        </w:rPr>
        <w:t>单位</w:t>
      </w:r>
      <w:r>
        <w:rPr>
          <w:rFonts w:hint="eastAsia" w:ascii="黑体" w:hAnsi="黑体" w:eastAsia="黑体"/>
          <w:sz w:val="32"/>
          <w:szCs w:val="32"/>
        </w:rPr>
        <w:t>整体绩效评价报告</w:t>
      </w:r>
    </w:p>
    <w:p w14:paraId="76BB5CCA">
      <w:pPr>
        <w:spacing w:line="580" w:lineRule="exact"/>
        <w:ind w:firstLine="560" w:firstLineChars="200"/>
        <w:rPr>
          <w:rFonts w:hint="eastAsia" w:ascii="楷体_GB2312" w:hAnsi="Calibri" w:eastAsia="楷体_GB2312"/>
          <w:b/>
          <w:sz w:val="28"/>
          <w:szCs w:val="28"/>
        </w:rPr>
      </w:pPr>
      <w:r>
        <w:rPr>
          <w:rFonts w:hint="eastAsia" w:ascii="楷体_GB2312" w:eastAsia="楷体_GB2312"/>
          <w:b/>
          <w:sz w:val="28"/>
          <w:szCs w:val="28"/>
        </w:rPr>
        <w:t>（一）</w:t>
      </w:r>
      <w:r>
        <w:rPr>
          <w:rFonts w:hint="eastAsia" w:ascii="楷体_GB2312" w:eastAsia="楷体_GB2312"/>
          <w:b/>
          <w:sz w:val="28"/>
          <w:szCs w:val="28"/>
          <w:lang w:eastAsia="zh-CN"/>
        </w:rPr>
        <w:t>单位</w:t>
      </w:r>
      <w:r>
        <w:rPr>
          <w:rFonts w:hint="eastAsia" w:ascii="楷体_GB2312" w:eastAsia="楷体_GB2312"/>
          <w:b/>
          <w:sz w:val="28"/>
          <w:szCs w:val="28"/>
        </w:rPr>
        <w:t>概况</w:t>
      </w:r>
    </w:p>
    <w:p w14:paraId="6B8C3E2F">
      <w:pPr>
        <w:spacing w:line="580" w:lineRule="exact"/>
        <w:ind w:firstLine="560" w:firstLineChars="200"/>
        <w:rPr>
          <w:rFonts w:hint="eastAsia" w:ascii="仿宋_GB2312" w:eastAsia="仿宋_GB2312"/>
          <w:sz w:val="28"/>
          <w:szCs w:val="28"/>
        </w:rPr>
      </w:pPr>
      <w:bookmarkStart w:id="0" w:name="_Toc268005755"/>
      <w:r>
        <w:rPr>
          <w:rFonts w:hint="eastAsia" w:ascii="仿宋_GB2312" w:eastAsia="仿宋_GB2312"/>
          <w:sz w:val="28"/>
          <w:szCs w:val="28"/>
        </w:rPr>
        <w:t>1.</w:t>
      </w:r>
      <w:r>
        <w:rPr>
          <w:rFonts w:hint="eastAsia" w:ascii="仿宋_GB2312" w:eastAsia="仿宋_GB2312"/>
          <w:sz w:val="28"/>
          <w:szCs w:val="28"/>
          <w:lang w:eastAsia="zh-CN"/>
        </w:rPr>
        <w:t>单位</w:t>
      </w:r>
      <w:r>
        <w:rPr>
          <w:rFonts w:hint="eastAsia" w:ascii="仿宋_GB2312" w:eastAsia="仿宋_GB2312"/>
          <w:sz w:val="28"/>
          <w:szCs w:val="28"/>
        </w:rPr>
        <w:t>职责情况</w:t>
      </w:r>
    </w:p>
    <w:p w14:paraId="4120D8E6">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协助北京市门头沟区规划和自然资源综合事务中心履行相关职责，配合相关</w:t>
      </w:r>
      <w:r>
        <w:rPr>
          <w:rFonts w:hint="eastAsia" w:ascii="仿宋_GB2312" w:eastAsia="仿宋_GB2312"/>
          <w:sz w:val="28"/>
          <w:szCs w:val="28"/>
          <w:lang w:eastAsia="zh-CN"/>
        </w:rPr>
        <w:t>单位</w:t>
      </w:r>
      <w:r>
        <w:rPr>
          <w:rFonts w:hint="eastAsia" w:ascii="仿宋_GB2312" w:eastAsia="仿宋_GB2312"/>
          <w:sz w:val="28"/>
          <w:szCs w:val="28"/>
        </w:rPr>
        <w:t>完成本行政区域范围内的土地储备、土地一级开发整理和国有土地使用相关的辅助性、事务性工作。</w:t>
      </w:r>
    </w:p>
    <w:p w14:paraId="76EB4ADC">
      <w:pPr>
        <w:numPr>
          <w:ilvl w:val="0"/>
          <w:numId w:val="0"/>
        </w:numPr>
        <w:spacing w:line="580" w:lineRule="exact"/>
        <w:ind w:leftChars="300"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lang w:eastAsia="zh-CN"/>
        </w:rPr>
        <w:t>单位</w:t>
      </w:r>
      <w:r>
        <w:rPr>
          <w:rFonts w:hint="eastAsia" w:ascii="仿宋_GB2312" w:eastAsia="仿宋_GB2312"/>
          <w:sz w:val="28"/>
          <w:szCs w:val="28"/>
        </w:rPr>
        <w:t>机构设置情况</w:t>
      </w:r>
    </w:p>
    <w:p w14:paraId="747C6127">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北京市门头沟区土地储备事务中心于2016年11月21日经北京市门头沟区机构编制委员会办公室门编委字【2016】26号文批准设置，为全额拨款事业单位。本</w:t>
      </w:r>
      <w:r>
        <w:rPr>
          <w:rFonts w:hint="eastAsia" w:ascii="仿宋_GB2312" w:eastAsia="仿宋_GB2312"/>
          <w:sz w:val="28"/>
          <w:szCs w:val="28"/>
          <w:lang w:eastAsia="zh-CN"/>
        </w:rPr>
        <w:t>单位</w:t>
      </w:r>
      <w:r>
        <w:rPr>
          <w:rFonts w:hint="eastAsia" w:ascii="仿宋_GB2312" w:eastAsia="仿宋_GB2312"/>
          <w:sz w:val="28"/>
          <w:szCs w:val="28"/>
        </w:rPr>
        <w:t>共设1个内设机构，下设0个事业单位。</w:t>
      </w:r>
    </w:p>
    <w:p w14:paraId="1F2DE010">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3.2025年主要工作任务</w:t>
      </w:r>
    </w:p>
    <w:p w14:paraId="5C66196B">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推进土地一级开发项目施工进程，保障项目按时入市。</w:t>
      </w:r>
    </w:p>
    <w:bookmarkEnd w:id="0"/>
    <w:p w14:paraId="038BC6B1">
      <w:pPr>
        <w:spacing w:line="580" w:lineRule="exact"/>
        <w:ind w:firstLine="560" w:firstLineChars="200"/>
        <w:rPr>
          <w:rFonts w:hint="eastAsia" w:ascii="仿宋_GB2312" w:eastAsia="仿宋_GB2312"/>
          <w:sz w:val="28"/>
          <w:szCs w:val="28"/>
        </w:rPr>
      </w:pPr>
      <w:bookmarkStart w:id="1" w:name="_Toc268005759"/>
      <w:bookmarkStart w:id="2" w:name="_Toc263686375"/>
      <w:r>
        <w:rPr>
          <w:rFonts w:hint="eastAsia" w:ascii="仿宋_GB2312" w:eastAsia="仿宋_GB2312"/>
          <w:sz w:val="28"/>
          <w:szCs w:val="28"/>
        </w:rPr>
        <w:t>4.</w:t>
      </w:r>
      <w:bookmarkEnd w:id="1"/>
      <w:r>
        <w:rPr>
          <w:rFonts w:hint="eastAsia" w:ascii="仿宋_GB2312" w:eastAsia="仿宋_GB2312"/>
          <w:sz w:val="28"/>
          <w:szCs w:val="28"/>
          <w:lang w:eastAsia="zh-CN"/>
        </w:rPr>
        <w:t>单位</w:t>
      </w:r>
      <w:r>
        <w:rPr>
          <w:rFonts w:hint="eastAsia" w:ascii="仿宋_GB2312" w:eastAsia="仿宋_GB2312"/>
          <w:sz w:val="28"/>
          <w:szCs w:val="28"/>
        </w:rPr>
        <w:t>整体绩效目标设立情况</w:t>
      </w:r>
    </w:p>
    <w:tbl>
      <w:tblPr>
        <w:tblStyle w:val="10"/>
        <w:tblW w:w="5000" w:type="pct"/>
        <w:tblInd w:w="0" w:type="dxa"/>
        <w:tblLayout w:type="fixed"/>
        <w:tblCellMar>
          <w:top w:w="0" w:type="dxa"/>
          <w:left w:w="108" w:type="dxa"/>
          <w:bottom w:w="0" w:type="dxa"/>
          <w:right w:w="108" w:type="dxa"/>
        </w:tblCellMar>
      </w:tblPr>
      <w:tblGrid>
        <w:gridCol w:w="672"/>
        <w:gridCol w:w="9371"/>
        <w:gridCol w:w="1508"/>
        <w:gridCol w:w="1362"/>
        <w:gridCol w:w="988"/>
        <w:gridCol w:w="885"/>
      </w:tblGrid>
      <w:tr w14:paraId="19CD32CC">
        <w:tblPrEx>
          <w:tblCellMar>
            <w:top w:w="0" w:type="dxa"/>
            <w:left w:w="108" w:type="dxa"/>
            <w:bottom w:w="0" w:type="dxa"/>
            <w:right w:w="108" w:type="dxa"/>
          </w:tblCellMar>
        </w:tblPrEx>
        <w:trPr>
          <w:trHeight w:val="275" w:hRule="atLeast"/>
        </w:trPr>
        <w:tc>
          <w:tcPr>
            <w:tcW w:w="227" w:type="pct"/>
            <w:tcBorders>
              <w:top w:val="single" w:color="auto" w:sz="4" w:space="0"/>
              <w:left w:val="single" w:color="auto" w:sz="4" w:space="0"/>
              <w:bottom w:val="single" w:color="auto" w:sz="4" w:space="0"/>
              <w:right w:val="single" w:color="auto" w:sz="4" w:space="0"/>
            </w:tcBorders>
            <w:noWrap/>
            <w:vAlign w:val="bottom"/>
          </w:tcPr>
          <w:p w14:paraId="20676796">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3168" w:type="pct"/>
            <w:tcBorders>
              <w:top w:val="single" w:color="auto" w:sz="4" w:space="0"/>
              <w:left w:val="nil"/>
              <w:bottom w:val="single" w:color="auto" w:sz="4" w:space="0"/>
              <w:right w:val="single" w:color="auto" w:sz="4" w:space="0"/>
            </w:tcBorders>
            <w:noWrap/>
            <w:vAlign w:val="bottom"/>
          </w:tcPr>
          <w:p w14:paraId="65E850FA">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509" w:type="pct"/>
            <w:tcBorders>
              <w:top w:val="single" w:color="auto" w:sz="4" w:space="0"/>
              <w:left w:val="nil"/>
              <w:bottom w:val="single" w:color="auto" w:sz="4" w:space="0"/>
              <w:right w:val="single" w:color="auto" w:sz="4" w:space="0"/>
            </w:tcBorders>
            <w:noWrap/>
            <w:vAlign w:val="bottom"/>
          </w:tcPr>
          <w:p w14:paraId="122B4726">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460" w:type="pct"/>
            <w:tcBorders>
              <w:top w:val="single" w:color="auto" w:sz="4" w:space="0"/>
              <w:left w:val="nil"/>
              <w:bottom w:val="single" w:color="auto" w:sz="4" w:space="0"/>
              <w:right w:val="single" w:color="auto" w:sz="4" w:space="0"/>
            </w:tcBorders>
            <w:noWrap/>
            <w:vAlign w:val="bottom"/>
          </w:tcPr>
          <w:p w14:paraId="6B8AACF4">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334" w:type="pct"/>
            <w:tcBorders>
              <w:top w:val="single" w:color="auto" w:sz="4" w:space="0"/>
              <w:left w:val="nil"/>
              <w:bottom w:val="single" w:color="auto" w:sz="4" w:space="0"/>
              <w:right w:val="single" w:color="auto" w:sz="4" w:space="0"/>
            </w:tcBorders>
          </w:tcPr>
          <w:p w14:paraId="09DC516C">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9" w:type="pct"/>
            <w:tcBorders>
              <w:top w:val="single" w:color="auto" w:sz="4" w:space="0"/>
              <w:left w:val="nil"/>
              <w:bottom w:val="single" w:color="auto" w:sz="4" w:space="0"/>
              <w:right w:val="single" w:color="auto" w:sz="4" w:space="0"/>
            </w:tcBorders>
          </w:tcPr>
          <w:p w14:paraId="3C8641AF">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14:paraId="08C07615">
        <w:tblPrEx>
          <w:tblCellMar>
            <w:top w:w="0" w:type="dxa"/>
            <w:left w:w="108" w:type="dxa"/>
            <w:bottom w:w="0" w:type="dxa"/>
            <w:right w:w="108" w:type="dxa"/>
          </w:tblCellMar>
        </w:tblPrEx>
        <w:trPr>
          <w:trHeight w:val="275" w:hRule="atLeast"/>
        </w:trPr>
        <w:tc>
          <w:tcPr>
            <w:tcW w:w="227" w:type="pct"/>
            <w:tcBorders>
              <w:top w:val="nil"/>
              <w:left w:val="single" w:color="auto" w:sz="4" w:space="0"/>
              <w:bottom w:val="single" w:color="auto" w:sz="4" w:space="0"/>
              <w:right w:val="single" w:color="auto" w:sz="4" w:space="0"/>
            </w:tcBorders>
            <w:noWrap/>
            <w:vAlign w:val="bottom"/>
          </w:tcPr>
          <w:p w14:paraId="75D2AE2A">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3168" w:type="pct"/>
            <w:tcBorders>
              <w:top w:val="nil"/>
              <w:left w:val="nil"/>
              <w:bottom w:val="single" w:color="auto" w:sz="4" w:space="0"/>
              <w:right w:val="single" w:color="auto" w:sz="4" w:space="0"/>
            </w:tcBorders>
            <w:noWrap/>
            <w:vAlign w:val="top"/>
          </w:tcPr>
          <w:p w14:paraId="5E4A1EE7">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eastAsia="仿宋_GB2312"/>
                <w:sz w:val="28"/>
                <w:szCs w:val="28"/>
              </w:rPr>
            </w:pPr>
            <w:r>
              <w:rPr>
                <w:rFonts w:hint="eastAsia" w:ascii="仿宋_GB2312" w:hAnsi="仿宋" w:eastAsia="仿宋_GB2312" w:cs="Times New Roman"/>
                <w:sz w:val="28"/>
                <w:szCs w:val="28"/>
              </w:rPr>
              <w:t>聘用劳务派遣人员出勤天数</w:t>
            </w:r>
          </w:p>
        </w:tc>
        <w:tc>
          <w:tcPr>
            <w:tcW w:w="509" w:type="pct"/>
            <w:tcBorders>
              <w:top w:val="nil"/>
              <w:left w:val="nil"/>
              <w:bottom w:val="single" w:color="auto" w:sz="4" w:space="0"/>
              <w:right w:val="single" w:color="auto" w:sz="4" w:space="0"/>
            </w:tcBorders>
            <w:noWrap/>
            <w:vAlign w:val="top"/>
          </w:tcPr>
          <w:p w14:paraId="0CE9FFE0">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eastAsia="仿宋_GB2312"/>
                <w:sz w:val="28"/>
                <w:szCs w:val="28"/>
              </w:rPr>
            </w:pPr>
            <w:r>
              <w:rPr>
                <w:rFonts w:hint="eastAsia" w:ascii="仿宋_GB2312" w:hAnsi="仿宋" w:eastAsia="仿宋_GB2312" w:cs="Times New Roman"/>
                <w:sz w:val="28"/>
                <w:szCs w:val="28"/>
              </w:rPr>
              <w:t>≥</w:t>
            </w:r>
          </w:p>
        </w:tc>
        <w:tc>
          <w:tcPr>
            <w:tcW w:w="460" w:type="pct"/>
            <w:tcBorders>
              <w:top w:val="nil"/>
              <w:left w:val="nil"/>
              <w:bottom w:val="single" w:color="auto" w:sz="4" w:space="0"/>
              <w:right w:val="single" w:color="auto" w:sz="4" w:space="0"/>
            </w:tcBorders>
            <w:noWrap/>
            <w:vAlign w:val="top"/>
          </w:tcPr>
          <w:p w14:paraId="7042BD62">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val="en-US" w:eastAsia="zh-CN"/>
              </w:rPr>
              <w:t>220</w:t>
            </w:r>
          </w:p>
        </w:tc>
        <w:tc>
          <w:tcPr>
            <w:tcW w:w="334" w:type="pct"/>
            <w:tcBorders>
              <w:top w:val="nil"/>
              <w:left w:val="nil"/>
              <w:bottom w:val="single" w:color="auto" w:sz="4" w:space="0"/>
              <w:right w:val="single" w:color="auto" w:sz="4" w:space="0"/>
            </w:tcBorders>
            <w:vAlign w:val="top"/>
          </w:tcPr>
          <w:p w14:paraId="32AFF980">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eastAsia="仿宋_GB2312"/>
                <w:sz w:val="28"/>
                <w:szCs w:val="28"/>
              </w:rPr>
            </w:pPr>
            <w:r>
              <w:rPr>
                <w:rFonts w:hint="eastAsia" w:ascii="仿宋_GB2312" w:hAnsi="仿宋" w:eastAsia="仿宋_GB2312" w:cs="Times New Roman"/>
                <w:sz w:val="28"/>
                <w:szCs w:val="28"/>
                <w:lang w:eastAsia="zh-CN"/>
              </w:rPr>
              <w:t>天</w:t>
            </w:r>
          </w:p>
        </w:tc>
        <w:tc>
          <w:tcPr>
            <w:tcW w:w="299" w:type="pct"/>
            <w:tcBorders>
              <w:top w:val="nil"/>
              <w:left w:val="nil"/>
              <w:bottom w:val="single" w:color="auto" w:sz="4" w:space="0"/>
              <w:right w:val="single" w:color="auto" w:sz="4" w:space="0"/>
            </w:tcBorders>
            <w:vAlign w:val="top"/>
          </w:tcPr>
          <w:p w14:paraId="5546055F">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14:paraId="35EA8DD8">
        <w:tblPrEx>
          <w:tblCellMar>
            <w:top w:w="0" w:type="dxa"/>
            <w:left w:w="108" w:type="dxa"/>
            <w:bottom w:w="0" w:type="dxa"/>
            <w:right w:w="108" w:type="dxa"/>
          </w:tblCellMar>
        </w:tblPrEx>
        <w:trPr>
          <w:trHeight w:val="275" w:hRule="atLeast"/>
        </w:trPr>
        <w:tc>
          <w:tcPr>
            <w:tcW w:w="227" w:type="pct"/>
            <w:tcBorders>
              <w:top w:val="nil"/>
              <w:left w:val="single" w:color="auto" w:sz="4" w:space="0"/>
              <w:bottom w:val="single" w:color="auto" w:sz="4" w:space="0"/>
              <w:right w:val="single" w:color="auto" w:sz="4" w:space="0"/>
            </w:tcBorders>
            <w:noWrap/>
            <w:vAlign w:val="bottom"/>
          </w:tcPr>
          <w:p w14:paraId="4B36DE16">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3168" w:type="pct"/>
            <w:tcBorders>
              <w:top w:val="nil"/>
              <w:left w:val="nil"/>
              <w:bottom w:val="single" w:color="auto" w:sz="4" w:space="0"/>
              <w:right w:val="single" w:color="auto" w:sz="4" w:space="0"/>
            </w:tcBorders>
            <w:shd w:val="clear" w:color="auto" w:fill="auto"/>
            <w:noWrap/>
            <w:vAlign w:val="bottom"/>
          </w:tcPr>
          <w:p w14:paraId="4E786888">
            <w:pPr>
              <w:keepNext w:val="0"/>
              <w:keepLines w:val="0"/>
              <w:suppressLineNumbers w:val="0"/>
              <w:spacing w:before="0" w:beforeLines="0" w:beforeAutospacing="0" w:after="0" w:afterLines="0" w:afterAutospacing="0" w:line="520" w:lineRule="exact"/>
              <w:ind w:left="0" w:leftChars="0" w:right="0" w:rightChars="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对工程项目按照合同约定进行验收，验收合格或达到支付条件时，进行资金拨付</w:t>
            </w:r>
          </w:p>
        </w:tc>
        <w:tc>
          <w:tcPr>
            <w:tcW w:w="509" w:type="pct"/>
            <w:tcBorders>
              <w:top w:val="nil"/>
              <w:left w:val="nil"/>
              <w:bottom w:val="single" w:color="auto" w:sz="4" w:space="0"/>
              <w:right w:val="single" w:color="auto" w:sz="4" w:space="0"/>
            </w:tcBorders>
            <w:shd w:val="clear" w:color="auto" w:fill="auto"/>
            <w:noWrap/>
            <w:vAlign w:val="top"/>
          </w:tcPr>
          <w:p w14:paraId="411F322A">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定性</w:t>
            </w:r>
          </w:p>
        </w:tc>
        <w:tc>
          <w:tcPr>
            <w:tcW w:w="460" w:type="pct"/>
            <w:tcBorders>
              <w:top w:val="nil"/>
              <w:left w:val="nil"/>
              <w:bottom w:val="single" w:color="auto" w:sz="4" w:space="0"/>
              <w:right w:val="single" w:color="auto" w:sz="4" w:space="0"/>
            </w:tcBorders>
            <w:shd w:val="clear" w:color="auto" w:fill="auto"/>
            <w:noWrap/>
            <w:vAlign w:val="top"/>
          </w:tcPr>
          <w:p w14:paraId="44477260">
            <w:pPr>
              <w:keepNext w:val="0"/>
              <w:keepLines w:val="0"/>
              <w:suppressLineNumbers w:val="0"/>
              <w:spacing w:before="0" w:beforeLines="0" w:beforeAutospacing="0" w:after="0" w:afterLines="0" w:afterAutospacing="0" w:line="520" w:lineRule="exact"/>
              <w:ind w:right="0" w:rightChars="0"/>
              <w:jc w:val="both"/>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优</w:t>
            </w:r>
          </w:p>
        </w:tc>
        <w:tc>
          <w:tcPr>
            <w:tcW w:w="334" w:type="pct"/>
            <w:tcBorders>
              <w:top w:val="nil"/>
              <w:left w:val="nil"/>
              <w:bottom w:val="single" w:color="auto" w:sz="4" w:space="0"/>
              <w:right w:val="single" w:color="auto" w:sz="4" w:space="0"/>
            </w:tcBorders>
            <w:shd w:val="clear" w:color="auto" w:fill="auto"/>
            <w:vAlign w:val="top"/>
          </w:tcPr>
          <w:p w14:paraId="3AF41812">
            <w:pPr>
              <w:keepNext w:val="0"/>
              <w:keepLines w:val="0"/>
              <w:suppressLineNumbers w:val="0"/>
              <w:spacing w:before="0" w:beforeLines="0" w:beforeAutospacing="0" w:after="0" w:afterLines="0" w:afterAutospacing="0" w:line="520" w:lineRule="exact"/>
              <w:ind w:left="0" w:leftChars="0" w:right="0" w:rightChars="0" w:firstLine="634" w:firstLineChars="0"/>
              <w:jc w:val="center"/>
              <w:rPr>
                <w:rFonts w:hint="eastAsia" w:ascii="仿宋_GB2312" w:hAnsi="Times New Roman" w:eastAsia="仿宋_GB2312" w:cs="Times New Roman"/>
                <w:kern w:val="2"/>
                <w:sz w:val="28"/>
                <w:szCs w:val="28"/>
                <w:lang w:val="en-US" w:eastAsia="zh-CN" w:bidi="ar-SA"/>
              </w:rPr>
            </w:pPr>
          </w:p>
        </w:tc>
        <w:tc>
          <w:tcPr>
            <w:tcW w:w="299" w:type="pct"/>
            <w:tcBorders>
              <w:top w:val="nil"/>
              <w:left w:val="nil"/>
              <w:bottom w:val="single" w:color="auto" w:sz="4" w:space="0"/>
              <w:right w:val="single" w:color="auto" w:sz="4" w:space="0"/>
            </w:tcBorders>
            <w:shd w:val="clear" w:color="auto" w:fill="auto"/>
            <w:vAlign w:val="top"/>
          </w:tcPr>
          <w:p w14:paraId="3F9DBAC8">
            <w:pPr>
              <w:keepNext w:val="0"/>
              <w:keepLines w:val="0"/>
              <w:suppressLineNumbers w:val="0"/>
              <w:spacing w:before="0" w:beforeLines="0" w:beforeAutospacing="0" w:after="0" w:afterLines="0" w:afterAutospacing="0" w:line="520" w:lineRule="exact"/>
              <w:ind w:right="0" w:rightChars="0"/>
              <w:jc w:val="both"/>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r w14:paraId="0DF05EF7">
        <w:tblPrEx>
          <w:tblCellMar>
            <w:top w:w="0" w:type="dxa"/>
            <w:left w:w="108" w:type="dxa"/>
            <w:bottom w:w="0" w:type="dxa"/>
            <w:right w:w="108" w:type="dxa"/>
          </w:tblCellMar>
        </w:tblPrEx>
        <w:trPr>
          <w:trHeight w:val="275" w:hRule="atLeast"/>
        </w:trPr>
        <w:tc>
          <w:tcPr>
            <w:tcW w:w="227" w:type="pct"/>
            <w:tcBorders>
              <w:top w:val="nil"/>
              <w:left w:val="single" w:color="auto" w:sz="4" w:space="0"/>
              <w:bottom w:val="single" w:color="auto" w:sz="4" w:space="0"/>
              <w:right w:val="single" w:color="auto" w:sz="4" w:space="0"/>
            </w:tcBorders>
            <w:noWrap/>
            <w:vAlign w:val="bottom"/>
          </w:tcPr>
          <w:p w14:paraId="01762D16">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3168" w:type="pct"/>
            <w:tcBorders>
              <w:top w:val="nil"/>
              <w:left w:val="nil"/>
              <w:bottom w:val="single" w:color="auto" w:sz="4" w:space="0"/>
              <w:right w:val="single" w:color="auto" w:sz="4" w:space="0"/>
            </w:tcBorders>
            <w:noWrap/>
            <w:vAlign w:val="bottom"/>
          </w:tcPr>
          <w:p w14:paraId="0B05985F">
            <w:pPr>
              <w:keepNext w:val="0"/>
              <w:keepLines w:val="0"/>
              <w:suppressLineNumbers w:val="0"/>
              <w:spacing w:before="0" w:beforeLines="0" w:beforeAutospacing="0" w:after="0" w:afterLines="0" w:afterAutospacing="0" w:line="520" w:lineRule="exact"/>
              <w:ind w:left="0" w:leftChars="0" w:right="0" w:rightChars="0"/>
              <w:rPr>
                <w:rFonts w:hint="eastAsia" w:ascii="仿宋_GB2312" w:eastAsia="仿宋_GB2312"/>
                <w:sz w:val="28"/>
                <w:szCs w:val="28"/>
              </w:rPr>
            </w:pPr>
            <w:r>
              <w:rPr>
                <w:rFonts w:hint="eastAsia" w:ascii="仿宋_GB2312" w:hAnsi="仿宋" w:eastAsia="仿宋_GB2312" w:cs="Times New Roman"/>
                <w:sz w:val="28"/>
                <w:szCs w:val="28"/>
                <w:lang w:eastAsia="zh-CN"/>
              </w:rPr>
              <w:t>推进土地一级开发项目施工进程，保障项目按时入市</w:t>
            </w:r>
          </w:p>
        </w:tc>
        <w:tc>
          <w:tcPr>
            <w:tcW w:w="509" w:type="pct"/>
            <w:tcBorders>
              <w:top w:val="nil"/>
              <w:left w:val="nil"/>
              <w:bottom w:val="single" w:color="auto" w:sz="4" w:space="0"/>
              <w:right w:val="single" w:color="auto" w:sz="4" w:space="0"/>
            </w:tcBorders>
            <w:noWrap/>
            <w:vAlign w:val="top"/>
          </w:tcPr>
          <w:p w14:paraId="2A04D144">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eastAsia="仿宋_GB2312"/>
                <w:sz w:val="28"/>
                <w:szCs w:val="28"/>
              </w:rPr>
            </w:pPr>
            <w:r>
              <w:rPr>
                <w:rFonts w:hint="eastAsia" w:ascii="仿宋_GB2312" w:hAnsi="仿宋" w:eastAsia="仿宋_GB2312" w:cs="Times New Roman"/>
                <w:sz w:val="28"/>
                <w:szCs w:val="28"/>
                <w:lang w:eastAsia="zh-CN"/>
              </w:rPr>
              <w:t>定性</w:t>
            </w:r>
          </w:p>
        </w:tc>
        <w:tc>
          <w:tcPr>
            <w:tcW w:w="460" w:type="pct"/>
            <w:tcBorders>
              <w:top w:val="nil"/>
              <w:left w:val="nil"/>
              <w:bottom w:val="single" w:color="auto" w:sz="4" w:space="0"/>
              <w:right w:val="single" w:color="auto" w:sz="4" w:space="0"/>
            </w:tcBorders>
            <w:noWrap/>
            <w:vAlign w:val="top"/>
          </w:tcPr>
          <w:p w14:paraId="5241559B">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eastAsia="zh-CN"/>
              </w:rPr>
              <w:t>优</w:t>
            </w:r>
          </w:p>
        </w:tc>
        <w:tc>
          <w:tcPr>
            <w:tcW w:w="334" w:type="pct"/>
            <w:tcBorders>
              <w:top w:val="nil"/>
              <w:left w:val="nil"/>
              <w:bottom w:val="single" w:color="auto" w:sz="4" w:space="0"/>
              <w:right w:val="single" w:color="auto" w:sz="4" w:space="0"/>
            </w:tcBorders>
            <w:vAlign w:val="top"/>
          </w:tcPr>
          <w:p w14:paraId="6C4608A4">
            <w:pPr>
              <w:keepNext w:val="0"/>
              <w:keepLines w:val="0"/>
              <w:suppressLineNumbers w:val="0"/>
              <w:spacing w:before="0" w:beforeLines="0" w:beforeAutospacing="0" w:after="0" w:afterLines="0" w:afterAutospacing="0" w:line="520" w:lineRule="exact"/>
              <w:ind w:left="0" w:leftChars="0" w:right="0" w:rightChars="0" w:firstLine="634" w:firstLineChars="0"/>
              <w:jc w:val="center"/>
              <w:rPr>
                <w:rFonts w:hint="eastAsia" w:ascii="仿宋_GB2312" w:eastAsia="仿宋_GB2312"/>
                <w:sz w:val="28"/>
                <w:szCs w:val="28"/>
              </w:rPr>
            </w:pPr>
          </w:p>
        </w:tc>
        <w:tc>
          <w:tcPr>
            <w:tcW w:w="299" w:type="pct"/>
            <w:tcBorders>
              <w:top w:val="nil"/>
              <w:left w:val="nil"/>
              <w:bottom w:val="single" w:color="auto" w:sz="4" w:space="0"/>
              <w:right w:val="single" w:color="auto" w:sz="4" w:space="0"/>
            </w:tcBorders>
            <w:vAlign w:val="top"/>
          </w:tcPr>
          <w:p w14:paraId="502C55DB">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val="en-US" w:eastAsia="zh-CN"/>
              </w:rPr>
              <w:t>20</w:t>
            </w:r>
          </w:p>
        </w:tc>
      </w:tr>
      <w:tr w14:paraId="638D448A">
        <w:tblPrEx>
          <w:tblCellMar>
            <w:top w:w="0" w:type="dxa"/>
            <w:left w:w="108" w:type="dxa"/>
            <w:bottom w:w="0" w:type="dxa"/>
            <w:right w:w="108" w:type="dxa"/>
          </w:tblCellMar>
        </w:tblPrEx>
        <w:trPr>
          <w:trHeight w:val="275" w:hRule="atLeast"/>
        </w:trPr>
        <w:tc>
          <w:tcPr>
            <w:tcW w:w="227" w:type="pct"/>
            <w:tcBorders>
              <w:top w:val="nil"/>
              <w:left w:val="single" w:color="auto" w:sz="4" w:space="0"/>
              <w:bottom w:val="single" w:color="auto" w:sz="4" w:space="0"/>
              <w:right w:val="single" w:color="auto" w:sz="4" w:space="0"/>
            </w:tcBorders>
            <w:noWrap/>
            <w:vAlign w:val="bottom"/>
          </w:tcPr>
          <w:p w14:paraId="209B14F0">
            <w:pPr>
              <w:spacing w:line="520" w:lineRule="exact"/>
              <w:jc w:val="center"/>
              <w:rPr>
                <w:rFonts w:hint="eastAsia" w:ascii="仿宋_GB2312" w:eastAsia="仿宋_GB2312"/>
                <w:sz w:val="28"/>
                <w:szCs w:val="28"/>
              </w:rPr>
            </w:pPr>
            <w:r>
              <w:rPr>
                <w:rFonts w:hint="eastAsia" w:ascii="仿宋_GB2312" w:eastAsia="仿宋_GB2312"/>
                <w:sz w:val="28"/>
                <w:szCs w:val="28"/>
                <w:lang w:val="en-US" w:eastAsia="zh-CN"/>
              </w:rPr>
              <w:t>4</w:t>
            </w:r>
          </w:p>
        </w:tc>
        <w:tc>
          <w:tcPr>
            <w:tcW w:w="3168" w:type="pct"/>
            <w:tcBorders>
              <w:top w:val="nil"/>
              <w:left w:val="nil"/>
              <w:bottom w:val="single" w:color="auto" w:sz="4" w:space="0"/>
              <w:right w:val="single" w:color="auto" w:sz="4" w:space="0"/>
            </w:tcBorders>
            <w:noWrap/>
            <w:vAlign w:val="bottom"/>
          </w:tcPr>
          <w:p w14:paraId="34BC27F5">
            <w:pPr>
              <w:keepNext w:val="0"/>
              <w:keepLines w:val="0"/>
              <w:suppressLineNumbers w:val="0"/>
              <w:spacing w:before="0" w:beforeLines="0" w:beforeAutospacing="0" w:after="0" w:afterLines="0" w:afterAutospacing="0" w:line="520" w:lineRule="exact"/>
              <w:ind w:left="0" w:leftChars="0" w:right="0" w:rightChars="0"/>
              <w:rPr>
                <w:rFonts w:hint="eastAsia" w:ascii="仿宋_GB2312" w:eastAsia="仿宋_GB2312"/>
                <w:sz w:val="28"/>
                <w:szCs w:val="28"/>
              </w:rPr>
            </w:pPr>
            <w:r>
              <w:rPr>
                <w:rFonts w:hint="eastAsia" w:ascii="仿宋_GB2312" w:hAnsi="仿宋" w:eastAsia="仿宋_GB2312" w:cs="Times New Roman"/>
                <w:sz w:val="28"/>
                <w:szCs w:val="28"/>
                <w:lang w:eastAsia="zh-CN"/>
              </w:rPr>
              <w:t>预算控制数</w:t>
            </w:r>
          </w:p>
        </w:tc>
        <w:tc>
          <w:tcPr>
            <w:tcW w:w="509" w:type="pct"/>
            <w:tcBorders>
              <w:top w:val="nil"/>
              <w:left w:val="nil"/>
              <w:bottom w:val="single" w:color="auto" w:sz="4" w:space="0"/>
              <w:right w:val="single" w:color="auto" w:sz="4" w:space="0"/>
            </w:tcBorders>
            <w:noWrap/>
            <w:vAlign w:val="bottom"/>
          </w:tcPr>
          <w:p w14:paraId="26CD02ED">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eastAsia="仿宋_GB2312"/>
                <w:sz w:val="28"/>
                <w:szCs w:val="28"/>
              </w:rPr>
            </w:pPr>
            <w:r>
              <w:rPr>
                <w:rFonts w:hint="eastAsia" w:ascii="仿宋_GB2312" w:hAnsi="仿宋" w:eastAsia="仿宋_GB2312" w:cs="Times New Roman"/>
                <w:sz w:val="28"/>
                <w:szCs w:val="28"/>
              </w:rPr>
              <w:t>≤</w:t>
            </w:r>
          </w:p>
        </w:tc>
        <w:tc>
          <w:tcPr>
            <w:tcW w:w="460" w:type="pct"/>
            <w:tcBorders>
              <w:top w:val="nil"/>
              <w:left w:val="nil"/>
              <w:bottom w:val="single" w:color="auto" w:sz="4" w:space="0"/>
              <w:right w:val="single" w:color="auto" w:sz="4" w:space="0"/>
            </w:tcBorders>
            <w:noWrap/>
            <w:vAlign w:val="bottom"/>
          </w:tcPr>
          <w:p w14:paraId="5A3FCD48">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val="en-US" w:eastAsia="zh-CN"/>
              </w:rPr>
              <w:t>349.70</w:t>
            </w:r>
          </w:p>
        </w:tc>
        <w:tc>
          <w:tcPr>
            <w:tcW w:w="334" w:type="pct"/>
            <w:tcBorders>
              <w:top w:val="nil"/>
              <w:left w:val="nil"/>
              <w:bottom w:val="single" w:color="auto" w:sz="4" w:space="0"/>
              <w:right w:val="single" w:color="auto" w:sz="4" w:space="0"/>
            </w:tcBorders>
            <w:vAlign w:val="bottom"/>
          </w:tcPr>
          <w:p w14:paraId="25555FCF">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eastAsia="zh-CN"/>
              </w:rPr>
              <w:t>万元</w:t>
            </w:r>
          </w:p>
        </w:tc>
        <w:tc>
          <w:tcPr>
            <w:tcW w:w="299" w:type="pct"/>
            <w:tcBorders>
              <w:top w:val="nil"/>
              <w:left w:val="nil"/>
              <w:bottom w:val="single" w:color="auto" w:sz="4" w:space="0"/>
              <w:right w:val="single" w:color="auto" w:sz="4" w:space="0"/>
            </w:tcBorders>
            <w:vAlign w:val="top"/>
          </w:tcPr>
          <w:p w14:paraId="796517F3">
            <w:pPr>
              <w:keepNext w:val="0"/>
              <w:keepLines w:val="0"/>
              <w:suppressLineNumbers w:val="0"/>
              <w:spacing w:before="0" w:beforeLines="0" w:beforeAutospacing="0" w:after="0" w:afterLines="0" w:afterAutospacing="0" w:line="520" w:lineRule="exact"/>
              <w:ind w:right="0" w:rightChars="0"/>
              <w:jc w:val="both"/>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14:paraId="108718BC">
        <w:tblPrEx>
          <w:tblCellMar>
            <w:top w:w="0" w:type="dxa"/>
            <w:left w:w="108" w:type="dxa"/>
            <w:bottom w:w="0" w:type="dxa"/>
            <w:right w:w="108" w:type="dxa"/>
          </w:tblCellMar>
        </w:tblPrEx>
        <w:trPr>
          <w:trHeight w:val="275" w:hRule="atLeast"/>
        </w:trPr>
        <w:tc>
          <w:tcPr>
            <w:tcW w:w="227" w:type="pct"/>
            <w:tcBorders>
              <w:top w:val="single" w:color="auto" w:sz="4" w:space="0"/>
              <w:left w:val="single" w:color="auto" w:sz="4" w:space="0"/>
              <w:bottom w:val="single" w:color="auto" w:sz="4" w:space="0"/>
              <w:right w:val="single" w:color="auto" w:sz="4" w:space="0"/>
            </w:tcBorders>
            <w:noWrap/>
            <w:vAlign w:val="bottom"/>
          </w:tcPr>
          <w:p w14:paraId="6B172B27">
            <w:pPr>
              <w:spacing w:line="520" w:lineRule="exact"/>
              <w:jc w:val="center"/>
              <w:rPr>
                <w:rFonts w:hint="default" w:ascii="仿宋_GB2312" w:eastAsia="仿宋_GB2312"/>
                <w:sz w:val="28"/>
                <w:szCs w:val="28"/>
                <w:lang w:val="en-US" w:eastAsia="zh-CN"/>
              </w:rPr>
            </w:pPr>
            <w:bookmarkStart w:id="3" w:name="_Toc268005761"/>
            <w:r>
              <w:rPr>
                <w:rFonts w:hint="eastAsia" w:ascii="仿宋_GB2312" w:eastAsia="仿宋_GB2312"/>
                <w:sz w:val="28"/>
                <w:szCs w:val="28"/>
                <w:lang w:val="en-US" w:eastAsia="zh-CN"/>
              </w:rPr>
              <w:t>5</w:t>
            </w:r>
          </w:p>
        </w:tc>
        <w:tc>
          <w:tcPr>
            <w:tcW w:w="3168" w:type="pct"/>
            <w:tcBorders>
              <w:top w:val="single" w:color="auto" w:sz="4" w:space="0"/>
              <w:left w:val="single" w:color="auto" w:sz="4" w:space="0"/>
              <w:bottom w:val="single" w:color="auto" w:sz="4" w:space="0"/>
              <w:right w:val="single" w:color="auto" w:sz="4" w:space="0"/>
            </w:tcBorders>
            <w:noWrap/>
            <w:vAlign w:val="bottom"/>
          </w:tcPr>
          <w:p w14:paraId="4FD4ADDC">
            <w:pPr>
              <w:keepNext w:val="0"/>
              <w:keepLines w:val="0"/>
              <w:suppressLineNumbers w:val="0"/>
              <w:spacing w:before="0" w:beforeLines="0" w:beforeAutospacing="0" w:after="0" w:afterLines="0" w:afterAutospacing="0" w:line="520" w:lineRule="exact"/>
              <w:ind w:left="0" w:leftChars="0" w:right="0" w:rightChars="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拉动区域经济增长，加快土地入市</w:t>
            </w:r>
          </w:p>
        </w:tc>
        <w:tc>
          <w:tcPr>
            <w:tcW w:w="509" w:type="pct"/>
            <w:tcBorders>
              <w:top w:val="single" w:color="auto" w:sz="4" w:space="0"/>
              <w:left w:val="single" w:color="auto" w:sz="4" w:space="0"/>
              <w:bottom w:val="single" w:color="auto" w:sz="4" w:space="0"/>
              <w:right w:val="single" w:color="auto" w:sz="4" w:space="0"/>
            </w:tcBorders>
            <w:noWrap/>
            <w:vAlign w:val="top"/>
          </w:tcPr>
          <w:p w14:paraId="40891342">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定性</w:t>
            </w:r>
          </w:p>
        </w:tc>
        <w:tc>
          <w:tcPr>
            <w:tcW w:w="460" w:type="pct"/>
            <w:tcBorders>
              <w:top w:val="single" w:color="auto" w:sz="4" w:space="0"/>
              <w:left w:val="single" w:color="auto" w:sz="4" w:space="0"/>
              <w:bottom w:val="single" w:color="auto" w:sz="4" w:space="0"/>
              <w:right w:val="single" w:color="auto" w:sz="4" w:space="0"/>
            </w:tcBorders>
            <w:noWrap/>
            <w:vAlign w:val="top"/>
          </w:tcPr>
          <w:p w14:paraId="284F421A">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优</w:t>
            </w:r>
          </w:p>
        </w:tc>
        <w:tc>
          <w:tcPr>
            <w:tcW w:w="334" w:type="pct"/>
            <w:tcBorders>
              <w:top w:val="single" w:color="auto" w:sz="4" w:space="0"/>
              <w:left w:val="single" w:color="auto" w:sz="4" w:space="0"/>
              <w:bottom w:val="single" w:color="auto" w:sz="4" w:space="0"/>
              <w:right w:val="single" w:color="auto" w:sz="4" w:space="0"/>
            </w:tcBorders>
            <w:vAlign w:val="top"/>
          </w:tcPr>
          <w:p w14:paraId="67D0A9BB">
            <w:pPr>
              <w:keepNext w:val="0"/>
              <w:keepLines w:val="0"/>
              <w:suppressLineNumbers w:val="0"/>
              <w:spacing w:before="0" w:beforeLines="0" w:beforeAutospacing="0" w:after="0" w:afterLines="0" w:afterAutospacing="0" w:line="520" w:lineRule="exact"/>
              <w:ind w:left="0" w:leftChars="0" w:right="0" w:rightChars="0" w:firstLine="634" w:firstLineChars="0"/>
              <w:jc w:val="center"/>
              <w:rPr>
                <w:rFonts w:hint="eastAsia" w:ascii="仿宋_GB2312" w:hAnsi="仿宋" w:eastAsia="仿宋_GB2312" w:cs="Times New Roman"/>
                <w:sz w:val="28"/>
                <w:szCs w:val="28"/>
                <w:lang w:eastAsia="zh-CN"/>
              </w:rPr>
            </w:pPr>
          </w:p>
        </w:tc>
        <w:tc>
          <w:tcPr>
            <w:tcW w:w="299" w:type="pct"/>
            <w:tcBorders>
              <w:top w:val="single" w:color="auto" w:sz="4" w:space="0"/>
              <w:left w:val="single" w:color="auto" w:sz="4" w:space="0"/>
              <w:bottom w:val="single" w:color="auto" w:sz="4" w:space="0"/>
              <w:right w:val="single" w:color="auto" w:sz="4" w:space="0"/>
            </w:tcBorders>
            <w:vAlign w:val="top"/>
          </w:tcPr>
          <w:p w14:paraId="3DCE450B">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14:paraId="451E767A">
        <w:tblPrEx>
          <w:tblCellMar>
            <w:top w:w="0" w:type="dxa"/>
            <w:left w:w="108" w:type="dxa"/>
            <w:bottom w:w="0" w:type="dxa"/>
            <w:right w:w="108" w:type="dxa"/>
          </w:tblCellMar>
        </w:tblPrEx>
        <w:trPr>
          <w:trHeight w:val="275" w:hRule="atLeast"/>
        </w:trPr>
        <w:tc>
          <w:tcPr>
            <w:tcW w:w="227" w:type="pct"/>
            <w:tcBorders>
              <w:top w:val="single" w:color="auto" w:sz="4" w:space="0"/>
              <w:left w:val="single" w:color="auto" w:sz="4" w:space="0"/>
              <w:bottom w:val="single" w:color="auto" w:sz="4" w:space="0"/>
              <w:right w:val="single" w:color="auto" w:sz="4" w:space="0"/>
            </w:tcBorders>
            <w:noWrap/>
            <w:vAlign w:val="bottom"/>
          </w:tcPr>
          <w:p w14:paraId="4786F678">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6</w:t>
            </w:r>
          </w:p>
        </w:tc>
        <w:tc>
          <w:tcPr>
            <w:tcW w:w="3168" w:type="pct"/>
            <w:tcBorders>
              <w:top w:val="single" w:color="auto" w:sz="4" w:space="0"/>
              <w:left w:val="single" w:color="auto" w:sz="4" w:space="0"/>
              <w:bottom w:val="single" w:color="auto" w:sz="4" w:space="0"/>
              <w:right w:val="single" w:color="auto" w:sz="4" w:space="0"/>
            </w:tcBorders>
            <w:noWrap/>
            <w:vAlign w:val="bottom"/>
          </w:tcPr>
          <w:p w14:paraId="4EED6498">
            <w:pPr>
              <w:keepNext w:val="0"/>
              <w:keepLines w:val="0"/>
              <w:suppressLineNumbers w:val="0"/>
              <w:spacing w:before="0" w:beforeLines="0" w:beforeAutospacing="0" w:after="0" w:afterLines="0" w:afterAutospacing="0" w:line="520" w:lineRule="exact"/>
              <w:ind w:left="0" w:leftChars="0" w:right="0" w:rightChars="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改善周边市政道路情况、提高居民居住条件</w:t>
            </w:r>
          </w:p>
        </w:tc>
        <w:tc>
          <w:tcPr>
            <w:tcW w:w="509" w:type="pct"/>
            <w:tcBorders>
              <w:top w:val="single" w:color="auto" w:sz="4" w:space="0"/>
              <w:left w:val="single" w:color="auto" w:sz="4" w:space="0"/>
              <w:bottom w:val="single" w:color="auto" w:sz="4" w:space="0"/>
              <w:right w:val="single" w:color="auto" w:sz="4" w:space="0"/>
            </w:tcBorders>
            <w:noWrap/>
            <w:vAlign w:val="top"/>
          </w:tcPr>
          <w:p w14:paraId="786C1A69">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定性</w:t>
            </w:r>
          </w:p>
        </w:tc>
        <w:tc>
          <w:tcPr>
            <w:tcW w:w="460" w:type="pct"/>
            <w:tcBorders>
              <w:top w:val="single" w:color="auto" w:sz="4" w:space="0"/>
              <w:left w:val="single" w:color="auto" w:sz="4" w:space="0"/>
              <w:bottom w:val="single" w:color="auto" w:sz="4" w:space="0"/>
              <w:right w:val="single" w:color="auto" w:sz="4" w:space="0"/>
            </w:tcBorders>
            <w:noWrap/>
            <w:vAlign w:val="top"/>
          </w:tcPr>
          <w:p w14:paraId="0158634F">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优</w:t>
            </w:r>
          </w:p>
        </w:tc>
        <w:tc>
          <w:tcPr>
            <w:tcW w:w="334" w:type="pct"/>
            <w:tcBorders>
              <w:top w:val="single" w:color="auto" w:sz="4" w:space="0"/>
              <w:left w:val="single" w:color="auto" w:sz="4" w:space="0"/>
              <w:bottom w:val="single" w:color="auto" w:sz="4" w:space="0"/>
              <w:right w:val="single" w:color="auto" w:sz="4" w:space="0"/>
            </w:tcBorders>
            <w:vAlign w:val="top"/>
          </w:tcPr>
          <w:p w14:paraId="7BA2CD7B">
            <w:pPr>
              <w:keepNext w:val="0"/>
              <w:keepLines w:val="0"/>
              <w:suppressLineNumbers w:val="0"/>
              <w:spacing w:before="0" w:beforeLines="0" w:beforeAutospacing="0" w:after="0" w:afterLines="0" w:afterAutospacing="0" w:line="520" w:lineRule="exact"/>
              <w:ind w:left="0" w:leftChars="0" w:right="0" w:rightChars="0" w:firstLine="634" w:firstLineChars="0"/>
              <w:jc w:val="center"/>
              <w:rPr>
                <w:rFonts w:hint="eastAsia" w:ascii="仿宋_GB2312" w:hAnsi="仿宋" w:eastAsia="仿宋_GB2312" w:cs="Times New Roman"/>
                <w:sz w:val="28"/>
                <w:szCs w:val="28"/>
                <w:lang w:eastAsia="zh-CN"/>
              </w:rPr>
            </w:pPr>
          </w:p>
        </w:tc>
        <w:tc>
          <w:tcPr>
            <w:tcW w:w="299" w:type="pct"/>
            <w:tcBorders>
              <w:top w:val="single" w:color="auto" w:sz="4" w:space="0"/>
              <w:left w:val="single" w:color="auto" w:sz="4" w:space="0"/>
              <w:bottom w:val="single" w:color="auto" w:sz="4" w:space="0"/>
              <w:right w:val="single" w:color="auto" w:sz="4" w:space="0"/>
            </w:tcBorders>
            <w:vAlign w:val="top"/>
          </w:tcPr>
          <w:p w14:paraId="38A78BF9">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14:paraId="0B459AC7">
        <w:tblPrEx>
          <w:tblCellMar>
            <w:top w:w="0" w:type="dxa"/>
            <w:left w:w="108" w:type="dxa"/>
            <w:bottom w:w="0" w:type="dxa"/>
            <w:right w:w="108" w:type="dxa"/>
          </w:tblCellMar>
        </w:tblPrEx>
        <w:trPr>
          <w:trHeight w:val="275" w:hRule="atLeast"/>
        </w:trPr>
        <w:tc>
          <w:tcPr>
            <w:tcW w:w="227" w:type="pct"/>
            <w:tcBorders>
              <w:top w:val="single" w:color="auto" w:sz="4" w:space="0"/>
              <w:left w:val="single" w:color="auto" w:sz="4" w:space="0"/>
              <w:bottom w:val="single" w:color="auto" w:sz="4" w:space="0"/>
              <w:right w:val="single" w:color="auto" w:sz="4" w:space="0"/>
            </w:tcBorders>
            <w:noWrap/>
            <w:vAlign w:val="bottom"/>
          </w:tcPr>
          <w:p w14:paraId="443D08B5">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7</w:t>
            </w:r>
          </w:p>
        </w:tc>
        <w:tc>
          <w:tcPr>
            <w:tcW w:w="3168" w:type="pct"/>
            <w:tcBorders>
              <w:top w:val="single" w:color="auto" w:sz="4" w:space="0"/>
              <w:left w:val="single" w:color="auto" w:sz="4" w:space="0"/>
              <w:bottom w:val="single" w:color="auto" w:sz="4" w:space="0"/>
              <w:right w:val="single" w:color="auto" w:sz="4" w:space="0"/>
            </w:tcBorders>
            <w:noWrap/>
            <w:vAlign w:val="bottom"/>
          </w:tcPr>
          <w:p w14:paraId="79A915FB">
            <w:pPr>
              <w:keepNext w:val="0"/>
              <w:keepLines w:val="0"/>
              <w:suppressLineNumbers w:val="0"/>
              <w:spacing w:before="0" w:beforeLines="0" w:beforeAutospacing="0" w:after="0" w:afterLines="0" w:afterAutospacing="0" w:line="520" w:lineRule="exact"/>
              <w:ind w:left="0" w:leftChars="0" w:right="0" w:rightChars="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项目的建设符合镇域发展规划，改善了群众居住条件，集约了土地利用方式。</w:t>
            </w:r>
          </w:p>
        </w:tc>
        <w:tc>
          <w:tcPr>
            <w:tcW w:w="509" w:type="pct"/>
            <w:tcBorders>
              <w:top w:val="single" w:color="auto" w:sz="4" w:space="0"/>
              <w:left w:val="single" w:color="auto" w:sz="4" w:space="0"/>
              <w:bottom w:val="single" w:color="auto" w:sz="4" w:space="0"/>
              <w:right w:val="single" w:color="auto" w:sz="4" w:space="0"/>
            </w:tcBorders>
            <w:noWrap/>
            <w:vAlign w:val="top"/>
          </w:tcPr>
          <w:p w14:paraId="1DAC0C60">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lang w:val="en-US" w:eastAsia="zh-CN"/>
              </w:rPr>
              <w:t>定性</w:t>
            </w:r>
          </w:p>
        </w:tc>
        <w:tc>
          <w:tcPr>
            <w:tcW w:w="460" w:type="pct"/>
            <w:tcBorders>
              <w:top w:val="single" w:color="auto" w:sz="4" w:space="0"/>
              <w:left w:val="single" w:color="auto" w:sz="4" w:space="0"/>
              <w:bottom w:val="single" w:color="auto" w:sz="4" w:space="0"/>
              <w:right w:val="single" w:color="auto" w:sz="4" w:space="0"/>
            </w:tcBorders>
            <w:noWrap/>
            <w:vAlign w:val="top"/>
          </w:tcPr>
          <w:p w14:paraId="536123CC">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优</w:t>
            </w:r>
          </w:p>
        </w:tc>
        <w:tc>
          <w:tcPr>
            <w:tcW w:w="334" w:type="pct"/>
            <w:tcBorders>
              <w:top w:val="single" w:color="auto" w:sz="4" w:space="0"/>
              <w:left w:val="single" w:color="auto" w:sz="4" w:space="0"/>
              <w:bottom w:val="single" w:color="auto" w:sz="4" w:space="0"/>
              <w:right w:val="single" w:color="auto" w:sz="4" w:space="0"/>
            </w:tcBorders>
            <w:vAlign w:val="top"/>
          </w:tcPr>
          <w:p w14:paraId="0E9997DC">
            <w:pPr>
              <w:keepNext w:val="0"/>
              <w:keepLines w:val="0"/>
              <w:suppressLineNumbers w:val="0"/>
              <w:spacing w:before="0" w:beforeLines="0" w:beforeAutospacing="0" w:after="0" w:afterLines="0" w:afterAutospacing="0" w:line="520" w:lineRule="exact"/>
              <w:ind w:left="0" w:leftChars="0" w:right="0" w:rightChars="0" w:firstLine="634" w:firstLineChars="0"/>
              <w:jc w:val="center"/>
              <w:rPr>
                <w:rFonts w:hint="eastAsia" w:ascii="仿宋_GB2312" w:hAnsi="仿宋" w:eastAsia="仿宋_GB2312" w:cs="Times New Roman"/>
                <w:sz w:val="28"/>
                <w:szCs w:val="28"/>
                <w:lang w:eastAsia="zh-CN"/>
              </w:rPr>
            </w:pPr>
          </w:p>
        </w:tc>
        <w:tc>
          <w:tcPr>
            <w:tcW w:w="299" w:type="pct"/>
            <w:tcBorders>
              <w:top w:val="single" w:color="auto" w:sz="4" w:space="0"/>
              <w:left w:val="single" w:color="auto" w:sz="4" w:space="0"/>
              <w:bottom w:val="single" w:color="auto" w:sz="4" w:space="0"/>
              <w:right w:val="single" w:color="auto" w:sz="4" w:space="0"/>
            </w:tcBorders>
            <w:vAlign w:val="top"/>
          </w:tcPr>
          <w:p w14:paraId="3A903D5D">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r w14:paraId="3B410003">
        <w:tblPrEx>
          <w:tblCellMar>
            <w:top w:w="0" w:type="dxa"/>
            <w:left w:w="108" w:type="dxa"/>
            <w:bottom w:w="0" w:type="dxa"/>
            <w:right w:w="108" w:type="dxa"/>
          </w:tblCellMar>
        </w:tblPrEx>
        <w:trPr>
          <w:trHeight w:val="275" w:hRule="atLeast"/>
        </w:trPr>
        <w:tc>
          <w:tcPr>
            <w:tcW w:w="227" w:type="pct"/>
            <w:tcBorders>
              <w:top w:val="single" w:color="auto" w:sz="4" w:space="0"/>
              <w:left w:val="single" w:color="auto" w:sz="4" w:space="0"/>
              <w:bottom w:val="single" w:color="auto" w:sz="4" w:space="0"/>
              <w:right w:val="single" w:color="auto" w:sz="4" w:space="0"/>
            </w:tcBorders>
            <w:noWrap/>
            <w:vAlign w:val="bottom"/>
          </w:tcPr>
          <w:p w14:paraId="07E26098">
            <w:pPr>
              <w:spacing w:line="52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8</w:t>
            </w:r>
          </w:p>
        </w:tc>
        <w:tc>
          <w:tcPr>
            <w:tcW w:w="3168" w:type="pct"/>
            <w:tcBorders>
              <w:top w:val="single" w:color="auto" w:sz="4" w:space="0"/>
              <w:left w:val="single" w:color="auto" w:sz="4" w:space="0"/>
              <w:bottom w:val="single" w:color="auto" w:sz="4" w:space="0"/>
              <w:right w:val="single" w:color="auto" w:sz="4" w:space="0"/>
            </w:tcBorders>
            <w:noWrap/>
            <w:vAlign w:val="bottom"/>
          </w:tcPr>
          <w:p w14:paraId="1B888ED8">
            <w:pPr>
              <w:keepNext w:val="0"/>
              <w:keepLines w:val="0"/>
              <w:suppressLineNumbers w:val="0"/>
              <w:spacing w:before="0" w:beforeLines="0" w:beforeAutospacing="0" w:after="0" w:afterLines="0" w:afterAutospacing="0" w:line="520" w:lineRule="exact"/>
              <w:ind w:left="0" w:leftChars="0" w:right="0" w:rightChars="0"/>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实施单位对象满意度</w:t>
            </w:r>
          </w:p>
        </w:tc>
        <w:tc>
          <w:tcPr>
            <w:tcW w:w="509" w:type="pct"/>
            <w:tcBorders>
              <w:top w:val="single" w:color="auto" w:sz="4" w:space="0"/>
              <w:left w:val="single" w:color="auto" w:sz="4" w:space="0"/>
              <w:bottom w:val="single" w:color="auto" w:sz="4" w:space="0"/>
              <w:right w:val="single" w:color="auto" w:sz="4" w:space="0"/>
            </w:tcBorders>
            <w:noWrap/>
            <w:vAlign w:val="top"/>
          </w:tcPr>
          <w:p w14:paraId="4420DDDC">
            <w:pPr>
              <w:keepNext w:val="0"/>
              <w:keepLines w:val="0"/>
              <w:suppressLineNumbers w:val="0"/>
              <w:spacing w:before="0" w:beforeLines="0" w:beforeAutospacing="0" w:after="0" w:afterLines="0" w:afterAutospacing="0" w:line="520" w:lineRule="exact"/>
              <w:ind w:left="0" w:leftChars="0" w:right="0" w:rightChars="0"/>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w:t>
            </w:r>
          </w:p>
        </w:tc>
        <w:tc>
          <w:tcPr>
            <w:tcW w:w="460" w:type="pct"/>
            <w:tcBorders>
              <w:top w:val="single" w:color="auto" w:sz="4" w:space="0"/>
              <w:left w:val="single" w:color="auto" w:sz="4" w:space="0"/>
              <w:bottom w:val="single" w:color="auto" w:sz="4" w:space="0"/>
              <w:right w:val="single" w:color="auto" w:sz="4" w:space="0"/>
            </w:tcBorders>
            <w:noWrap/>
            <w:vAlign w:val="top"/>
          </w:tcPr>
          <w:p w14:paraId="4A6CAA5B">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95</w:t>
            </w:r>
          </w:p>
        </w:tc>
        <w:tc>
          <w:tcPr>
            <w:tcW w:w="334" w:type="pct"/>
            <w:tcBorders>
              <w:top w:val="single" w:color="auto" w:sz="4" w:space="0"/>
              <w:left w:val="single" w:color="auto" w:sz="4" w:space="0"/>
              <w:bottom w:val="single" w:color="auto" w:sz="4" w:space="0"/>
              <w:right w:val="single" w:color="auto" w:sz="4" w:space="0"/>
            </w:tcBorders>
            <w:vAlign w:val="top"/>
          </w:tcPr>
          <w:p w14:paraId="6EA4FDF4">
            <w:pPr>
              <w:keepNext w:val="0"/>
              <w:keepLines w:val="0"/>
              <w:suppressLineNumbers w:val="0"/>
              <w:spacing w:before="0" w:beforeLines="0" w:beforeAutospacing="0" w:after="0" w:afterLines="0" w:afterAutospacing="0" w:line="520" w:lineRule="exact"/>
              <w:ind w:right="0" w:rightChars="0"/>
              <w:jc w:val="left"/>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val="en-US" w:eastAsia="zh-CN"/>
              </w:rPr>
              <w:t>%</w:t>
            </w:r>
          </w:p>
        </w:tc>
        <w:tc>
          <w:tcPr>
            <w:tcW w:w="299" w:type="pct"/>
            <w:tcBorders>
              <w:top w:val="single" w:color="auto" w:sz="4" w:space="0"/>
              <w:left w:val="single" w:color="auto" w:sz="4" w:space="0"/>
              <w:bottom w:val="single" w:color="auto" w:sz="4" w:space="0"/>
              <w:right w:val="single" w:color="auto" w:sz="4" w:space="0"/>
            </w:tcBorders>
            <w:vAlign w:val="top"/>
          </w:tcPr>
          <w:p w14:paraId="0C2E9F70">
            <w:pPr>
              <w:keepNext w:val="0"/>
              <w:keepLines w:val="0"/>
              <w:suppressLineNumbers w:val="0"/>
              <w:spacing w:before="0" w:beforeLines="0" w:beforeAutospacing="0" w:after="0" w:afterLines="0" w:afterAutospacing="0" w:line="520" w:lineRule="exact"/>
              <w:ind w:right="0" w:rightChars="0"/>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10</w:t>
            </w:r>
          </w:p>
        </w:tc>
      </w:tr>
    </w:tbl>
    <w:p w14:paraId="2224B44A">
      <w:pPr>
        <w:spacing w:line="580" w:lineRule="exact"/>
        <w:ind w:firstLine="640" w:firstLineChars="200"/>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64A8C19D">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2025年全年预算数3,496,996.48元，其中，基本支出预算数2,976,774.54元，项目支出预算数520,221.94元。全年支出130,566,701.03元，其中，基本支出2,519,131.22元，项目支出128,047,569.81元。预算执行率为</w:t>
      </w:r>
      <w:r>
        <w:rPr>
          <w:rFonts w:hint="eastAsia" w:ascii="仿宋_GB2312" w:eastAsia="仿宋_GB2312"/>
          <w:sz w:val="28"/>
          <w:szCs w:val="28"/>
          <w:lang w:val="en-US" w:eastAsia="zh-CN"/>
        </w:rPr>
        <w:t>100.0</w:t>
      </w:r>
      <w:r>
        <w:rPr>
          <w:rFonts w:hint="eastAsia" w:ascii="仿宋_GB2312" w:eastAsia="仿宋_GB2312"/>
          <w:sz w:val="28"/>
          <w:szCs w:val="28"/>
        </w:rPr>
        <w:t>%。</w:t>
      </w:r>
    </w:p>
    <w:p w14:paraId="0308ED5F">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2025年年末结转结余资金总额为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w:t>
      </w:r>
      <w:r>
        <w:rPr>
          <w:rFonts w:hint="eastAsia" w:ascii="仿宋_GB2312" w:eastAsia="仿宋_GB2312"/>
          <w:sz w:val="28"/>
          <w:szCs w:val="28"/>
          <w:lang w:val="en-US" w:eastAsia="zh-CN"/>
        </w:rPr>
        <w:t>0</w:t>
      </w:r>
      <w:r>
        <w:rPr>
          <w:rFonts w:hint="eastAsia" w:ascii="仿宋_GB2312" w:eastAsia="仿宋_GB2312"/>
          <w:sz w:val="28"/>
          <w:szCs w:val="28"/>
        </w:rPr>
        <w:t>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%；2024年年末结转结余资金总额为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w:t>
      </w:r>
      <w:r>
        <w:rPr>
          <w:rFonts w:hint="eastAsia" w:ascii="仿宋_GB2312" w:eastAsia="仿宋_GB2312"/>
          <w:sz w:val="28"/>
          <w:szCs w:val="28"/>
          <w:lang w:val="en-US" w:eastAsia="zh-CN"/>
        </w:rPr>
        <w:t>0</w:t>
      </w:r>
      <w:r>
        <w:rPr>
          <w:rFonts w:hint="eastAsia" w:ascii="仿宋_GB2312" w:eastAsia="仿宋_GB2312"/>
          <w:sz w:val="28"/>
          <w:szCs w:val="28"/>
        </w:rPr>
        <w:t>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%；2025年度</w:t>
      </w:r>
      <w:r>
        <w:rPr>
          <w:rFonts w:hint="eastAsia" w:ascii="仿宋_GB2312" w:eastAsia="仿宋_GB2312"/>
          <w:sz w:val="28"/>
          <w:szCs w:val="28"/>
          <w:lang w:eastAsia="zh-CN"/>
        </w:rPr>
        <w:t>单位</w:t>
      </w:r>
      <w:r>
        <w:rPr>
          <w:rFonts w:hint="eastAsia" w:ascii="仿宋_GB2312" w:eastAsia="仿宋_GB2312"/>
          <w:sz w:val="28"/>
          <w:szCs w:val="28"/>
        </w:rPr>
        <w:t>结转结余率较上一年上升/下降了</w:t>
      </w:r>
      <w:r>
        <w:rPr>
          <w:rFonts w:hint="eastAsia" w:ascii="仿宋_GB2312" w:eastAsia="仿宋_GB2312"/>
          <w:sz w:val="28"/>
          <w:szCs w:val="28"/>
          <w:lang w:val="en-US" w:eastAsia="zh-CN"/>
        </w:rPr>
        <w:t>0</w:t>
      </w:r>
      <w:r>
        <w:rPr>
          <w:rFonts w:hint="eastAsia" w:ascii="仿宋_GB2312" w:eastAsia="仿宋_GB2312"/>
          <w:sz w:val="28"/>
          <w:szCs w:val="28"/>
        </w:rPr>
        <w:t>%。</w:t>
      </w:r>
    </w:p>
    <w:p w14:paraId="7247CF41">
      <w:pPr>
        <w:spacing w:line="580" w:lineRule="exact"/>
        <w:ind w:firstLine="560" w:firstLineChars="200"/>
        <w:rPr>
          <w:rFonts w:hint="eastAsia" w:ascii="楷体_GB2312" w:eastAsia="楷体_GB2312"/>
          <w:b/>
          <w:sz w:val="28"/>
          <w:szCs w:val="28"/>
        </w:rPr>
      </w:pPr>
      <w:r>
        <w:rPr>
          <w:rFonts w:hint="eastAsia" w:ascii="楷体_GB2312" w:eastAsia="楷体_GB2312"/>
          <w:b/>
          <w:sz w:val="28"/>
          <w:szCs w:val="28"/>
        </w:rPr>
        <w:t>（三）整体绩效目标实现情况</w:t>
      </w:r>
    </w:p>
    <w:p w14:paraId="45A89308">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1.产出完成情况分析</w:t>
      </w:r>
    </w:p>
    <w:p w14:paraId="08F10C5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（1）产出数量</w:t>
      </w:r>
    </w:p>
    <w:tbl>
      <w:tblPr>
        <w:tblStyle w:val="10"/>
        <w:tblW w:w="14555" w:type="dxa"/>
        <w:tblInd w:w="108" w:type="dxa"/>
        <w:tblLayout w:type="autofit"/>
        <w:tblCellMar>
          <w:top w:w="0" w:type="dxa"/>
          <w:left w:w="108" w:type="dxa"/>
          <w:bottom w:w="0" w:type="dxa"/>
          <w:right w:w="108" w:type="dxa"/>
        </w:tblCellMar>
      </w:tblPr>
      <w:tblGrid>
        <w:gridCol w:w="880"/>
        <w:gridCol w:w="3625"/>
        <w:gridCol w:w="1963"/>
        <w:gridCol w:w="1987"/>
        <w:gridCol w:w="6100"/>
      </w:tblGrid>
      <w:tr w14:paraId="2BD0A6C2">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57B42168">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3625" w:type="dxa"/>
            <w:tcBorders>
              <w:top w:val="single" w:color="auto" w:sz="4" w:space="0"/>
              <w:left w:val="nil"/>
              <w:bottom w:val="single" w:color="auto" w:sz="4" w:space="0"/>
              <w:right w:val="single" w:color="auto" w:sz="4" w:space="0"/>
            </w:tcBorders>
            <w:vAlign w:val="center"/>
          </w:tcPr>
          <w:p w14:paraId="42C1400A">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963" w:type="dxa"/>
            <w:tcBorders>
              <w:top w:val="single" w:color="auto" w:sz="4" w:space="0"/>
              <w:left w:val="nil"/>
              <w:bottom w:val="single" w:color="auto" w:sz="4" w:space="0"/>
              <w:right w:val="single" w:color="auto" w:sz="4" w:space="0"/>
            </w:tcBorders>
            <w:vAlign w:val="center"/>
          </w:tcPr>
          <w:p w14:paraId="6E6466BA">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987" w:type="dxa"/>
            <w:tcBorders>
              <w:top w:val="single" w:color="auto" w:sz="4" w:space="0"/>
              <w:left w:val="nil"/>
              <w:bottom w:val="single" w:color="auto" w:sz="4" w:space="0"/>
              <w:right w:val="single" w:color="auto" w:sz="4" w:space="0"/>
            </w:tcBorders>
            <w:vAlign w:val="center"/>
          </w:tcPr>
          <w:p w14:paraId="363FF71D">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6100" w:type="dxa"/>
            <w:tcBorders>
              <w:top w:val="single" w:color="auto" w:sz="4" w:space="0"/>
              <w:left w:val="nil"/>
              <w:bottom w:val="single" w:color="auto" w:sz="4" w:space="0"/>
              <w:right w:val="single" w:color="auto" w:sz="4" w:space="0"/>
            </w:tcBorders>
            <w:vAlign w:val="center"/>
          </w:tcPr>
          <w:p w14:paraId="6F610DA2">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5B2C1B0A">
        <w:tblPrEx>
          <w:tblCellMar>
            <w:top w:w="0" w:type="dxa"/>
            <w:left w:w="108" w:type="dxa"/>
            <w:bottom w:w="0" w:type="dxa"/>
            <w:right w:w="108" w:type="dxa"/>
          </w:tblCellMar>
        </w:tblPrEx>
        <w:trPr>
          <w:trHeight w:val="655" w:hRule="atLeast"/>
        </w:trPr>
        <w:tc>
          <w:tcPr>
            <w:tcW w:w="880" w:type="dxa"/>
            <w:tcBorders>
              <w:top w:val="nil"/>
              <w:left w:val="single" w:color="auto" w:sz="4" w:space="0"/>
              <w:bottom w:val="single" w:color="auto" w:sz="4" w:space="0"/>
              <w:right w:val="single" w:color="auto" w:sz="4" w:space="0"/>
            </w:tcBorders>
            <w:vAlign w:val="center"/>
          </w:tcPr>
          <w:p w14:paraId="4CF5B34D">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3625" w:type="dxa"/>
            <w:tcBorders>
              <w:top w:val="nil"/>
              <w:left w:val="nil"/>
              <w:bottom w:val="single" w:color="auto" w:sz="4" w:space="0"/>
              <w:right w:val="single" w:color="auto" w:sz="4" w:space="0"/>
            </w:tcBorders>
            <w:vAlign w:val="center"/>
          </w:tcPr>
          <w:p w14:paraId="42B8C68E">
            <w:pPr>
              <w:widowControl/>
              <w:spacing w:line="520" w:lineRule="exact"/>
              <w:jc w:val="center"/>
              <w:rPr>
                <w:rFonts w:hint="eastAsia" w:ascii="仿宋_GB2312" w:eastAsia="仿宋_GB2312"/>
                <w:sz w:val="28"/>
                <w:szCs w:val="28"/>
              </w:rPr>
            </w:pPr>
            <w:r>
              <w:rPr>
                <w:rFonts w:hint="eastAsia" w:ascii="仿宋_GB2312" w:hAnsi="仿宋" w:eastAsia="仿宋_GB2312" w:cs="Times New Roman"/>
                <w:sz w:val="28"/>
                <w:szCs w:val="28"/>
                <w:lang w:eastAsia="zh-CN"/>
              </w:rPr>
              <w:t>聘用劳务派遣人员出勤天数　</w:t>
            </w:r>
            <w:r>
              <w:rPr>
                <w:rFonts w:hint="eastAsia" w:ascii="仿宋_GB2312" w:hAnsi="宋体" w:eastAsia="仿宋_GB2312" w:cs="宋体"/>
                <w:color w:val="000000"/>
                <w:kern w:val="0"/>
                <w:sz w:val="28"/>
                <w:szCs w:val="28"/>
              </w:rPr>
              <w:t>　</w:t>
            </w:r>
          </w:p>
        </w:tc>
        <w:tc>
          <w:tcPr>
            <w:tcW w:w="1963" w:type="dxa"/>
            <w:tcBorders>
              <w:top w:val="nil"/>
              <w:left w:val="nil"/>
              <w:bottom w:val="single" w:color="auto" w:sz="4" w:space="0"/>
              <w:right w:val="single" w:color="auto" w:sz="4" w:space="0"/>
            </w:tcBorders>
            <w:vAlign w:val="center"/>
          </w:tcPr>
          <w:p w14:paraId="2E9E721C">
            <w:pPr>
              <w:keepNext w:val="0"/>
              <w:keepLines w:val="0"/>
              <w:suppressLineNumbers w:val="0"/>
              <w:spacing w:before="0" w:beforeLines="0" w:beforeAutospacing="0" w:after="0" w:afterLines="0" w:afterAutospacing="0" w:line="520" w:lineRule="exact"/>
              <w:ind w:left="0" w:leftChars="0" w:right="0" w:rightChars="0" w:firstLine="634" w:firstLineChars="0"/>
              <w:rPr>
                <w:rFonts w:hint="eastAsia" w:ascii="仿宋_GB2312" w:eastAsia="仿宋_GB2312"/>
                <w:sz w:val="28"/>
                <w:szCs w:val="28"/>
              </w:rPr>
            </w:pP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220天</w:t>
            </w:r>
            <w:r>
              <w:rPr>
                <w:rFonts w:hint="eastAsia" w:ascii="仿宋_GB2312" w:hAnsi="仿宋" w:eastAsia="仿宋_GB2312" w:cs="Times New Roman"/>
                <w:sz w:val="28"/>
                <w:szCs w:val="28"/>
                <w:lang w:eastAsia="zh-CN"/>
              </w:rPr>
              <w:t>　</w:t>
            </w:r>
          </w:p>
        </w:tc>
        <w:tc>
          <w:tcPr>
            <w:tcW w:w="1987" w:type="dxa"/>
            <w:tcBorders>
              <w:top w:val="nil"/>
              <w:left w:val="nil"/>
              <w:bottom w:val="single" w:color="auto" w:sz="4" w:space="0"/>
              <w:right w:val="single" w:color="auto" w:sz="4" w:space="0"/>
            </w:tcBorders>
            <w:vAlign w:val="center"/>
          </w:tcPr>
          <w:p w14:paraId="1E88A7C9">
            <w:pPr>
              <w:keepNext w:val="0"/>
              <w:keepLines w:val="0"/>
              <w:suppressLineNumbers w:val="0"/>
              <w:spacing w:before="0" w:beforeLines="0" w:beforeAutospacing="0" w:after="0" w:afterLines="0" w:afterAutospacing="0" w:line="520" w:lineRule="exact"/>
              <w:ind w:left="0" w:leftChars="0" w:right="0" w:rightChars="0" w:firstLine="634" w:firstLineChars="0"/>
              <w:rPr>
                <w:rFonts w:hint="eastAsia" w:ascii="仿宋_GB2312" w:eastAsia="仿宋_GB2312"/>
                <w:sz w:val="28"/>
                <w:szCs w:val="28"/>
              </w:rPr>
            </w:pP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lang w:val="en-US" w:eastAsia="zh-CN"/>
              </w:rPr>
              <w:t>220天</w:t>
            </w:r>
            <w:r>
              <w:rPr>
                <w:rFonts w:hint="eastAsia" w:ascii="仿宋_GB2312" w:hAnsi="仿宋" w:eastAsia="仿宋_GB2312" w:cs="Times New Roman"/>
                <w:sz w:val="28"/>
                <w:szCs w:val="28"/>
                <w:lang w:eastAsia="zh-CN"/>
              </w:rPr>
              <w:t>　　</w:t>
            </w:r>
          </w:p>
        </w:tc>
        <w:tc>
          <w:tcPr>
            <w:tcW w:w="6100" w:type="dxa"/>
            <w:tcBorders>
              <w:top w:val="nil"/>
              <w:left w:val="nil"/>
              <w:bottom w:val="single" w:color="auto" w:sz="4" w:space="0"/>
              <w:right w:val="single" w:color="auto" w:sz="4" w:space="0"/>
            </w:tcBorders>
            <w:vAlign w:val="center"/>
          </w:tcPr>
          <w:p w14:paraId="16A504D0">
            <w:pPr>
              <w:keepNext w:val="0"/>
              <w:keepLines w:val="0"/>
              <w:suppressLineNumbers w:val="0"/>
              <w:spacing w:before="0" w:beforeLines="0" w:beforeAutospacing="0" w:after="0" w:afterLines="0" w:afterAutospacing="0" w:line="520" w:lineRule="exact"/>
              <w:ind w:left="0" w:leftChars="0" w:right="0" w:rightChars="0" w:firstLine="634" w:firstLineChars="0"/>
              <w:rPr>
                <w:rFonts w:hint="eastAsia" w:ascii="仿宋_GB2312" w:eastAsia="仿宋_GB2312"/>
                <w:sz w:val="28"/>
                <w:szCs w:val="28"/>
              </w:rPr>
            </w:pPr>
            <w:r>
              <w:rPr>
                <w:rFonts w:hint="eastAsia" w:ascii="仿宋_GB2312" w:hAnsi="仿宋" w:eastAsia="仿宋_GB2312" w:cs="Times New Roman"/>
                <w:sz w:val="28"/>
                <w:szCs w:val="28"/>
                <w:lang w:eastAsia="zh-CN"/>
              </w:rPr>
              <w:t>无　</w:t>
            </w:r>
          </w:p>
        </w:tc>
      </w:tr>
    </w:tbl>
    <w:p w14:paraId="66D6C9D5">
      <w:pPr>
        <w:numPr>
          <w:ilvl w:val="0"/>
          <w:numId w:val="2"/>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产出质量</w:t>
      </w:r>
    </w:p>
    <w:tbl>
      <w:tblPr>
        <w:tblStyle w:val="10"/>
        <w:tblW w:w="14543" w:type="dxa"/>
        <w:tblInd w:w="108" w:type="dxa"/>
        <w:tblLayout w:type="fixed"/>
        <w:tblCellMar>
          <w:top w:w="0" w:type="dxa"/>
          <w:left w:w="108" w:type="dxa"/>
          <w:bottom w:w="0" w:type="dxa"/>
          <w:right w:w="108" w:type="dxa"/>
        </w:tblCellMar>
      </w:tblPr>
      <w:tblGrid>
        <w:gridCol w:w="800"/>
        <w:gridCol w:w="3705"/>
        <w:gridCol w:w="1950"/>
        <w:gridCol w:w="2000"/>
        <w:gridCol w:w="6088"/>
      </w:tblGrid>
      <w:tr w14:paraId="31CE41DC">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64AB494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3705" w:type="dxa"/>
            <w:tcBorders>
              <w:top w:val="single" w:color="auto" w:sz="4" w:space="0"/>
              <w:left w:val="nil"/>
              <w:bottom w:val="single" w:color="auto" w:sz="4" w:space="0"/>
              <w:right w:val="single" w:color="auto" w:sz="4" w:space="0"/>
            </w:tcBorders>
            <w:vAlign w:val="center"/>
          </w:tcPr>
          <w:p w14:paraId="27361FCB">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950" w:type="dxa"/>
            <w:tcBorders>
              <w:top w:val="single" w:color="auto" w:sz="4" w:space="0"/>
              <w:left w:val="nil"/>
              <w:bottom w:val="single" w:color="auto" w:sz="4" w:space="0"/>
              <w:right w:val="single" w:color="auto" w:sz="4" w:space="0"/>
            </w:tcBorders>
            <w:vAlign w:val="center"/>
          </w:tcPr>
          <w:p w14:paraId="47D2DBEE">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000" w:type="dxa"/>
            <w:tcBorders>
              <w:top w:val="single" w:color="auto" w:sz="4" w:space="0"/>
              <w:left w:val="nil"/>
              <w:bottom w:val="single" w:color="auto" w:sz="4" w:space="0"/>
              <w:right w:val="single" w:color="auto" w:sz="4" w:space="0"/>
            </w:tcBorders>
            <w:vAlign w:val="center"/>
          </w:tcPr>
          <w:p w14:paraId="4A21B586">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88" w:type="dxa"/>
            <w:tcBorders>
              <w:top w:val="single" w:color="auto" w:sz="4" w:space="0"/>
              <w:left w:val="nil"/>
              <w:bottom w:val="single" w:color="auto" w:sz="4" w:space="0"/>
              <w:right w:val="single" w:color="auto" w:sz="4" w:space="0"/>
            </w:tcBorders>
            <w:vAlign w:val="center"/>
          </w:tcPr>
          <w:p w14:paraId="0C8D0529">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0E90E5F1">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3C5074FC">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3705" w:type="dxa"/>
            <w:tcBorders>
              <w:top w:val="nil"/>
              <w:left w:val="nil"/>
              <w:bottom w:val="single" w:color="auto" w:sz="4" w:space="0"/>
              <w:right w:val="single" w:color="auto" w:sz="4" w:space="0"/>
            </w:tcBorders>
            <w:vAlign w:val="center"/>
          </w:tcPr>
          <w:p w14:paraId="56E25A0B">
            <w:pPr>
              <w:keepNext w:val="0"/>
              <w:keepLines w:val="0"/>
              <w:suppressLineNumbers w:val="0"/>
              <w:spacing w:before="0" w:beforeLines="0" w:beforeAutospacing="0" w:after="0" w:afterLines="0" w:afterAutospacing="0" w:line="520" w:lineRule="exact"/>
              <w:ind w:left="0" w:leftChars="0" w:right="0" w:rightChars="0"/>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eastAsia="zh-CN"/>
              </w:rPr>
              <w:t>对工程项目按照合同约定进行验收，验收合格或达到支付条件时，进行资金拨付</w:t>
            </w:r>
          </w:p>
        </w:tc>
        <w:tc>
          <w:tcPr>
            <w:tcW w:w="1950" w:type="dxa"/>
            <w:tcBorders>
              <w:top w:val="nil"/>
              <w:left w:val="nil"/>
              <w:bottom w:val="single" w:color="auto" w:sz="4" w:space="0"/>
              <w:right w:val="single" w:color="auto" w:sz="4" w:space="0"/>
            </w:tcBorders>
            <w:vAlign w:val="center"/>
          </w:tcPr>
          <w:p w14:paraId="185CC00A">
            <w:pPr>
              <w:keepNext w:val="0"/>
              <w:keepLines w:val="0"/>
              <w:suppressLineNumbers w:val="0"/>
              <w:spacing w:before="0" w:beforeLines="0" w:beforeAutospacing="0" w:after="0" w:afterLines="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eastAsia="zh-CN"/>
              </w:rPr>
              <w:t>优</w:t>
            </w:r>
          </w:p>
        </w:tc>
        <w:tc>
          <w:tcPr>
            <w:tcW w:w="2000" w:type="dxa"/>
            <w:tcBorders>
              <w:top w:val="nil"/>
              <w:left w:val="nil"/>
              <w:bottom w:val="single" w:color="auto" w:sz="4" w:space="0"/>
              <w:right w:val="single" w:color="auto" w:sz="4" w:space="0"/>
            </w:tcBorders>
            <w:vAlign w:val="center"/>
          </w:tcPr>
          <w:p w14:paraId="4905B09D">
            <w:pPr>
              <w:keepNext w:val="0"/>
              <w:keepLines w:val="0"/>
              <w:suppressLineNumbers w:val="0"/>
              <w:spacing w:before="0" w:beforeLines="0" w:beforeAutospacing="0" w:after="0" w:afterLines="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eastAsia="zh-CN"/>
              </w:rPr>
              <w:t>优</w:t>
            </w:r>
          </w:p>
        </w:tc>
        <w:tc>
          <w:tcPr>
            <w:tcW w:w="6088" w:type="dxa"/>
            <w:tcBorders>
              <w:top w:val="nil"/>
              <w:left w:val="nil"/>
              <w:bottom w:val="single" w:color="auto" w:sz="4" w:space="0"/>
              <w:right w:val="single" w:color="auto" w:sz="4" w:space="0"/>
            </w:tcBorders>
            <w:vAlign w:val="center"/>
          </w:tcPr>
          <w:p w14:paraId="436AD566">
            <w:pPr>
              <w:keepNext w:val="0"/>
              <w:keepLines w:val="0"/>
              <w:suppressLineNumbers w:val="0"/>
              <w:spacing w:before="0" w:beforeLines="0" w:beforeAutospacing="0" w:after="0" w:afterLines="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 w:eastAsia="仿宋_GB2312" w:cs="Times New Roman"/>
                <w:sz w:val="28"/>
                <w:szCs w:val="28"/>
                <w:lang w:eastAsia="zh-CN"/>
              </w:rPr>
              <w:t>无</w:t>
            </w:r>
          </w:p>
        </w:tc>
      </w:tr>
    </w:tbl>
    <w:p w14:paraId="7F2B3F0B">
      <w:pPr>
        <w:numPr>
          <w:ilvl w:val="0"/>
          <w:numId w:val="0"/>
        </w:numPr>
        <w:spacing w:line="580" w:lineRule="exact"/>
        <w:rPr>
          <w:rFonts w:hint="eastAsia" w:ascii="仿宋_GB2312" w:eastAsia="仿宋_GB2312"/>
          <w:sz w:val="32"/>
          <w:szCs w:val="32"/>
          <w:lang w:eastAsia="zh-CN"/>
        </w:rPr>
      </w:pPr>
    </w:p>
    <w:p w14:paraId="031C1947">
      <w:pPr>
        <w:numPr>
          <w:ilvl w:val="0"/>
          <w:numId w:val="2"/>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产出进度</w:t>
      </w:r>
    </w:p>
    <w:tbl>
      <w:tblPr>
        <w:tblStyle w:val="10"/>
        <w:tblW w:w="14555" w:type="dxa"/>
        <w:tblInd w:w="108" w:type="dxa"/>
        <w:tblLayout w:type="fixed"/>
        <w:tblCellMar>
          <w:top w:w="0" w:type="dxa"/>
          <w:left w:w="108" w:type="dxa"/>
          <w:bottom w:w="0" w:type="dxa"/>
          <w:right w:w="108" w:type="dxa"/>
        </w:tblCellMar>
      </w:tblPr>
      <w:tblGrid>
        <w:gridCol w:w="800"/>
        <w:gridCol w:w="3718"/>
        <w:gridCol w:w="1937"/>
        <w:gridCol w:w="2000"/>
        <w:gridCol w:w="6100"/>
      </w:tblGrid>
      <w:tr w14:paraId="417B256D">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1A0F88BB">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3718" w:type="dxa"/>
            <w:tcBorders>
              <w:top w:val="single" w:color="auto" w:sz="4" w:space="0"/>
              <w:left w:val="nil"/>
              <w:bottom w:val="single" w:color="auto" w:sz="4" w:space="0"/>
              <w:right w:val="single" w:color="auto" w:sz="4" w:space="0"/>
            </w:tcBorders>
            <w:vAlign w:val="center"/>
          </w:tcPr>
          <w:p w14:paraId="68002C9A">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937" w:type="dxa"/>
            <w:tcBorders>
              <w:top w:val="single" w:color="auto" w:sz="4" w:space="0"/>
              <w:left w:val="nil"/>
              <w:bottom w:val="single" w:color="auto" w:sz="4" w:space="0"/>
              <w:right w:val="single" w:color="auto" w:sz="4" w:space="0"/>
            </w:tcBorders>
            <w:vAlign w:val="center"/>
          </w:tcPr>
          <w:p w14:paraId="0C3E869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000" w:type="dxa"/>
            <w:tcBorders>
              <w:top w:val="single" w:color="auto" w:sz="4" w:space="0"/>
              <w:left w:val="nil"/>
              <w:bottom w:val="single" w:color="auto" w:sz="4" w:space="0"/>
              <w:right w:val="single" w:color="auto" w:sz="4" w:space="0"/>
            </w:tcBorders>
            <w:vAlign w:val="center"/>
          </w:tcPr>
          <w:p w14:paraId="4B292A63">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100" w:type="dxa"/>
            <w:tcBorders>
              <w:top w:val="single" w:color="auto" w:sz="4" w:space="0"/>
              <w:left w:val="nil"/>
              <w:bottom w:val="single" w:color="auto" w:sz="4" w:space="0"/>
              <w:right w:val="single" w:color="auto" w:sz="4" w:space="0"/>
            </w:tcBorders>
            <w:vAlign w:val="center"/>
          </w:tcPr>
          <w:p w14:paraId="1429B19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5601ECA4">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1FAF907">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3718" w:type="dxa"/>
            <w:tcBorders>
              <w:top w:val="nil"/>
              <w:left w:val="nil"/>
              <w:bottom w:val="single" w:color="auto" w:sz="4" w:space="0"/>
              <w:right w:val="single" w:color="auto" w:sz="4" w:space="0"/>
            </w:tcBorders>
            <w:vAlign w:val="center"/>
          </w:tcPr>
          <w:p w14:paraId="56931254">
            <w:pPr>
              <w:keepNext w:val="0"/>
              <w:keepLines w:val="0"/>
              <w:widowControl/>
              <w:suppressLineNumbers w:val="0"/>
              <w:spacing w:before="0" w:beforeAutospacing="0" w:after="0" w:afterAutospacing="0" w:line="520" w:lineRule="exact"/>
              <w:ind w:left="0" w:leftChars="0" w:right="0" w:rightChars="0"/>
              <w:jc w:val="left"/>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eastAsia="zh-CN"/>
              </w:rPr>
              <w:t>推进土地一级开发项目施工进程</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保障项目按时入市</w:t>
            </w:r>
            <w:r>
              <w:rPr>
                <w:rFonts w:hint="eastAsia" w:ascii="仿宋_GB2312" w:hAnsi="仿宋_GB2312" w:eastAsia="仿宋_GB2312" w:cs="仿宋_GB2312"/>
                <w:color w:val="000000"/>
                <w:kern w:val="0"/>
                <w:sz w:val="28"/>
                <w:szCs w:val="28"/>
              </w:rPr>
              <w:t>　</w:t>
            </w:r>
          </w:p>
        </w:tc>
        <w:tc>
          <w:tcPr>
            <w:tcW w:w="1937" w:type="dxa"/>
            <w:tcBorders>
              <w:top w:val="nil"/>
              <w:left w:val="nil"/>
              <w:bottom w:val="single" w:color="auto" w:sz="4" w:space="0"/>
              <w:right w:val="single" w:color="auto" w:sz="4" w:space="0"/>
            </w:tcBorders>
            <w:vAlign w:val="center"/>
          </w:tcPr>
          <w:p w14:paraId="45D935D5">
            <w:pPr>
              <w:keepNext w:val="0"/>
              <w:keepLines w:val="0"/>
              <w:widowControl/>
              <w:suppressLineNumbers w:val="0"/>
              <w:spacing w:before="0" w:beforeAutospacing="0" w:after="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color w:val="000000"/>
                <w:kern w:val="0"/>
                <w:sz w:val="28"/>
                <w:szCs w:val="28"/>
              </w:rPr>
              <w:t>　</w:t>
            </w:r>
          </w:p>
        </w:tc>
        <w:tc>
          <w:tcPr>
            <w:tcW w:w="2000" w:type="dxa"/>
            <w:tcBorders>
              <w:top w:val="nil"/>
              <w:left w:val="nil"/>
              <w:bottom w:val="single" w:color="auto" w:sz="4" w:space="0"/>
              <w:right w:val="single" w:color="auto" w:sz="4" w:space="0"/>
            </w:tcBorders>
            <w:vAlign w:val="center"/>
          </w:tcPr>
          <w:p w14:paraId="27FEC4B8">
            <w:pPr>
              <w:keepNext w:val="0"/>
              <w:keepLines w:val="0"/>
              <w:widowControl/>
              <w:suppressLineNumbers w:val="0"/>
              <w:spacing w:before="0" w:beforeAutospacing="0" w:after="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color w:val="000000"/>
                <w:kern w:val="0"/>
                <w:sz w:val="28"/>
                <w:szCs w:val="28"/>
              </w:rPr>
              <w:t>　　</w:t>
            </w:r>
          </w:p>
        </w:tc>
        <w:tc>
          <w:tcPr>
            <w:tcW w:w="6100" w:type="dxa"/>
            <w:tcBorders>
              <w:top w:val="nil"/>
              <w:left w:val="nil"/>
              <w:bottom w:val="single" w:color="auto" w:sz="4" w:space="0"/>
              <w:right w:val="single" w:color="auto" w:sz="4" w:space="0"/>
            </w:tcBorders>
            <w:vAlign w:val="center"/>
          </w:tcPr>
          <w:p w14:paraId="55DA67AC">
            <w:pPr>
              <w:keepNext w:val="0"/>
              <w:keepLines w:val="0"/>
              <w:widowControl/>
              <w:suppressLineNumbers w:val="0"/>
              <w:spacing w:before="0" w:beforeAutospacing="0" w:after="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200FA0C6">
      <w:pPr>
        <w:numPr>
          <w:ilvl w:val="0"/>
          <w:numId w:val="0"/>
        </w:numPr>
        <w:spacing w:line="580" w:lineRule="exact"/>
        <w:ind w:left="640" w:leftChars="0"/>
        <w:rPr>
          <w:rFonts w:hint="eastAsia" w:ascii="仿宋_GB2312" w:eastAsia="仿宋_GB2312"/>
          <w:sz w:val="32"/>
          <w:szCs w:val="32"/>
        </w:rPr>
      </w:pPr>
    </w:p>
    <w:p w14:paraId="112390B4">
      <w:pPr>
        <w:spacing w:line="580" w:lineRule="exact"/>
        <w:ind w:firstLine="640"/>
        <w:rPr>
          <w:rFonts w:hint="eastAsia" w:ascii="仿宋_GB2312" w:eastAsia="仿宋_GB2312"/>
          <w:sz w:val="32"/>
          <w:szCs w:val="32"/>
        </w:rPr>
      </w:pPr>
    </w:p>
    <w:p w14:paraId="7FF000C5">
      <w:pPr>
        <w:spacing w:line="580" w:lineRule="exact"/>
        <w:ind w:firstLine="640"/>
        <w:rPr>
          <w:rFonts w:hint="eastAsia" w:ascii="仿宋_GB2312" w:eastAsia="仿宋_GB2312"/>
          <w:sz w:val="32"/>
          <w:szCs w:val="32"/>
        </w:rPr>
      </w:pPr>
    </w:p>
    <w:p w14:paraId="6CEE9C91">
      <w:pPr>
        <w:spacing w:line="580" w:lineRule="exact"/>
        <w:rPr>
          <w:rFonts w:hint="eastAsia" w:ascii="仿宋_GB2312" w:eastAsia="仿宋_GB2312"/>
          <w:sz w:val="32"/>
          <w:szCs w:val="32"/>
        </w:rPr>
      </w:pPr>
    </w:p>
    <w:p w14:paraId="7322D2F7">
      <w:pPr>
        <w:numPr>
          <w:ilvl w:val="0"/>
          <w:numId w:val="2"/>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产出成本</w:t>
      </w:r>
    </w:p>
    <w:tbl>
      <w:tblPr>
        <w:tblStyle w:val="10"/>
        <w:tblW w:w="14568" w:type="dxa"/>
        <w:tblInd w:w="108" w:type="dxa"/>
        <w:tblLayout w:type="fixed"/>
        <w:tblCellMar>
          <w:top w:w="0" w:type="dxa"/>
          <w:left w:w="108" w:type="dxa"/>
          <w:bottom w:w="0" w:type="dxa"/>
          <w:right w:w="108" w:type="dxa"/>
        </w:tblCellMar>
      </w:tblPr>
      <w:tblGrid>
        <w:gridCol w:w="800"/>
        <w:gridCol w:w="2100"/>
        <w:gridCol w:w="2100"/>
        <w:gridCol w:w="2100"/>
        <w:gridCol w:w="7468"/>
      </w:tblGrid>
      <w:tr w14:paraId="6F64DB39">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38FCD00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14:paraId="3B7D9C70">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14:paraId="4375BA15">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14:paraId="0922635D">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7468" w:type="dxa"/>
            <w:tcBorders>
              <w:top w:val="single" w:color="auto" w:sz="4" w:space="0"/>
              <w:left w:val="nil"/>
              <w:bottom w:val="single" w:color="auto" w:sz="4" w:space="0"/>
              <w:right w:val="single" w:color="auto" w:sz="4" w:space="0"/>
            </w:tcBorders>
            <w:vAlign w:val="center"/>
          </w:tcPr>
          <w:p w14:paraId="7F9D6C08">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48E84FBF">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76949982">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14:paraId="20276C9B">
            <w:pPr>
              <w:keepNext w:val="0"/>
              <w:keepLines w:val="0"/>
              <w:widowControl/>
              <w:suppressLineNumbers w:val="0"/>
              <w:spacing w:before="0" w:beforeLines="0" w:beforeAutospacing="0" w:after="0" w:afterLines="0" w:afterAutospacing="0" w:line="360" w:lineRule="exact"/>
              <w:ind w:left="0" w:leftChars="0" w:right="0" w:rightChars="0" w:firstLine="0" w:firstLineChars="0"/>
              <w:jc w:val="center"/>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eastAsia="zh-CN"/>
              </w:rPr>
              <w:t>预算控制数</w:t>
            </w:r>
          </w:p>
        </w:tc>
        <w:tc>
          <w:tcPr>
            <w:tcW w:w="2100" w:type="dxa"/>
            <w:tcBorders>
              <w:top w:val="nil"/>
              <w:left w:val="nil"/>
              <w:bottom w:val="single" w:color="auto" w:sz="4" w:space="0"/>
              <w:right w:val="single" w:color="auto" w:sz="4" w:space="0"/>
            </w:tcBorders>
            <w:vAlign w:val="center"/>
          </w:tcPr>
          <w:p w14:paraId="343D3EEA">
            <w:pPr>
              <w:keepNext w:val="0"/>
              <w:keepLines w:val="0"/>
              <w:widowControl/>
              <w:suppressLineNumbers w:val="0"/>
              <w:spacing w:before="0" w:beforeAutospacing="0" w:after="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_GB2312" w:eastAsia="仿宋_GB2312" w:cs="仿宋_GB2312"/>
                <w:sz w:val="28"/>
                <w:szCs w:val="28"/>
              </w:rPr>
              <w:t>≤</w:t>
            </w:r>
            <w:r>
              <w:rPr>
                <w:rFonts w:hint="eastAsia" w:ascii="仿宋_GB2312" w:hAnsi="仿宋" w:eastAsia="仿宋_GB2312" w:cs="Times New Roman"/>
                <w:sz w:val="28"/>
                <w:szCs w:val="28"/>
                <w:lang w:val="en-US" w:eastAsia="zh-CN"/>
              </w:rPr>
              <w:t>349.70</w:t>
            </w:r>
            <w:r>
              <w:rPr>
                <w:rFonts w:hint="eastAsia" w:ascii="仿宋_GB2312" w:hAnsi="仿宋_GB2312" w:eastAsia="仿宋_GB2312" w:cs="仿宋_GB2312"/>
                <w:sz w:val="28"/>
                <w:szCs w:val="28"/>
                <w:lang w:val="en-US" w:eastAsia="zh-CN"/>
              </w:rPr>
              <w:t>万元</w:t>
            </w:r>
            <w:r>
              <w:rPr>
                <w:rFonts w:hint="eastAsia" w:ascii="仿宋_GB2312" w:hAnsi="仿宋_GB2312" w:eastAsia="仿宋_GB2312" w:cs="仿宋_GB2312"/>
                <w:color w:val="000000"/>
                <w:kern w:val="0"/>
                <w:sz w:val="28"/>
                <w:szCs w:val="28"/>
              </w:rPr>
              <w:t>　</w:t>
            </w:r>
          </w:p>
        </w:tc>
        <w:tc>
          <w:tcPr>
            <w:tcW w:w="2100" w:type="dxa"/>
            <w:tcBorders>
              <w:top w:val="nil"/>
              <w:left w:val="nil"/>
              <w:bottom w:val="single" w:color="auto" w:sz="4" w:space="0"/>
              <w:right w:val="single" w:color="auto" w:sz="4" w:space="0"/>
            </w:tcBorders>
            <w:vAlign w:val="center"/>
          </w:tcPr>
          <w:p w14:paraId="175AE955">
            <w:pPr>
              <w:keepNext w:val="0"/>
              <w:keepLines w:val="0"/>
              <w:widowControl/>
              <w:suppressLineNumbers w:val="0"/>
              <w:spacing w:before="0" w:beforeAutospacing="0" w:after="0" w:afterAutospacing="0" w:line="520" w:lineRule="exact"/>
              <w:ind w:left="0" w:leftChars="0" w:right="0" w:rightChars="0"/>
              <w:jc w:val="center"/>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val="en-US" w:eastAsia="zh-CN"/>
              </w:rPr>
              <w:t>13634.47</w:t>
            </w:r>
            <w:r>
              <w:rPr>
                <w:rFonts w:hint="eastAsia" w:ascii="仿宋_GB2312" w:hAnsi="仿宋_GB2312" w:eastAsia="仿宋_GB2312" w:cs="仿宋_GB2312"/>
                <w:sz w:val="28"/>
                <w:szCs w:val="28"/>
              </w:rPr>
              <w:t>万元</w:t>
            </w:r>
            <w:r>
              <w:rPr>
                <w:rFonts w:hint="eastAsia" w:ascii="仿宋_GB2312" w:hAnsi="仿宋_GB2312" w:eastAsia="仿宋_GB2312" w:cs="仿宋_GB2312"/>
                <w:color w:val="000000"/>
                <w:kern w:val="0"/>
                <w:sz w:val="28"/>
                <w:szCs w:val="28"/>
              </w:rPr>
              <w:t>　　</w:t>
            </w:r>
          </w:p>
        </w:tc>
        <w:tc>
          <w:tcPr>
            <w:tcW w:w="7468" w:type="dxa"/>
            <w:tcBorders>
              <w:top w:val="nil"/>
              <w:left w:val="nil"/>
              <w:bottom w:val="single" w:color="auto" w:sz="4" w:space="0"/>
              <w:right w:val="single" w:color="auto" w:sz="4" w:space="0"/>
            </w:tcBorders>
            <w:vAlign w:val="center"/>
          </w:tcPr>
          <w:p w14:paraId="6E581F09">
            <w:pPr>
              <w:keepNext w:val="0"/>
              <w:keepLines w:val="0"/>
              <w:widowControl/>
              <w:suppressLineNumbers w:val="0"/>
              <w:spacing w:before="0" w:beforeAutospacing="0" w:after="0" w:afterAutospacing="0" w:line="520" w:lineRule="exact"/>
              <w:ind w:left="0" w:leftChars="0" w:right="0" w:rightChars="0"/>
              <w:jc w:val="left"/>
              <w:rPr>
                <w:rFonts w:ascii="仿宋_GB2312" w:hAnsi="宋体" w:eastAsia="仿宋_GB2312" w:cs="宋体"/>
                <w:color w:val="000000"/>
                <w:kern w:val="0"/>
                <w:sz w:val="28"/>
                <w:szCs w:val="28"/>
              </w:rPr>
            </w:pPr>
            <w:r>
              <w:rPr>
                <w:rFonts w:hint="eastAsia" w:ascii="仿宋_GB2312" w:hAnsi="仿宋_GB2312" w:eastAsia="仿宋_GB2312" w:cs="仿宋_GB2312"/>
                <w:sz w:val="28"/>
                <w:szCs w:val="28"/>
                <w:lang w:eastAsia="zh-CN"/>
              </w:rPr>
              <w:t>土地一级开发费用减少，下一步在预算编报及支付环节加强预算管理及绩效监督工作，合理利用资金，确保资金高效使用。</w:t>
            </w:r>
          </w:p>
        </w:tc>
      </w:tr>
    </w:tbl>
    <w:p w14:paraId="25761BAB">
      <w:pPr>
        <w:numPr>
          <w:ilvl w:val="0"/>
          <w:numId w:val="0"/>
        </w:numPr>
        <w:spacing w:line="580" w:lineRule="exact"/>
        <w:ind w:left="640" w:leftChars="0"/>
        <w:rPr>
          <w:rFonts w:hint="eastAsia" w:ascii="仿宋_GB2312" w:eastAsia="仿宋_GB2312"/>
          <w:sz w:val="32"/>
          <w:szCs w:val="32"/>
        </w:rPr>
      </w:pPr>
    </w:p>
    <w:p w14:paraId="77B8D49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2.效果实现情况分析</w:t>
      </w:r>
    </w:p>
    <w:p w14:paraId="219B05E4">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（1）经济效益</w:t>
      </w:r>
    </w:p>
    <w:tbl>
      <w:tblPr>
        <w:tblStyle w:val="10"/>
        <w:tblW w:w="14580" w:type="dxa"/>
        <w:tblInd w:w="108" w:type="dxa"/>
        <w:tblLayout w:type="fixed"/>
        <w:tblCellMar>
          <w:top w:w="0" w:type="dxa"/>
          <w:left w:w="108" w:type="dxa"/>
          <w:bottom w:w="0" w:type="dxa"/>
          <w:right w:w="108" w:type="dxa"/>
        </w:tblCellMar>
      </w:tblPr>
      <w:tblGrid>
        <w:gridCol w:w="800"/>
        <w:gridCol w:w="4443"/>
        <w:gridCol w:w="1250"/>
        <w:gridCol w:w="2025"/>
        <w:gridCol w:w="6062"/>
      </w:tblGrid>
      <w:tr w14:paraId="7C734A22">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56ACCCE1">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443" w:type="dxa"/>
            <w:tcBorders>
              <w:top w:val="single" w:color="auto" w:sz="4" w:space="0"/>
              <w:left w:val="nil"/>
              <w:bottom w:val="single" w:color="auto" w:sz="4" w:space="0"/>
              <w:right w:val="single" w:color="auto" w:sz="4" w:space="0"/>
            </w:tcBorders>
            <w:vAlign w:val="center"/>
          </w:tcPr>
          <w:p w14:paraId="16767E5B">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250" w:type="dxa"/>
            <w:tcBorders>
              <w:top w:val="single" w:color="auto" w:sz="4" w:space="0"/>
              <w:left w:val="nil"/>
              <w:bottom w:val="single" w:color="auto" w:sz="4" w:space="0"/>
              <w:right w:val="single" w:color="auto" w:sz="4" w:space="0"/>
            </w:tcBorders>
            <w:vAlign w:val="center"/>
          </w:tcPr>
          <w:p w14:paraId="4416ED6B">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025" w:type="dxa"/>
            <w:tcBorders>
              <w:top w:val="single" w:color="auto" w:sz="4" w:space="0"/>
              <w:left w:val="nil"/>
              <w:bottom w:val="single" w:color="auto" w:sz="4" w:space="0"/>
              <w:right w:val="single" w:color="auto" w:sz="4" w:space="0"/>
            </w:tcBorders>
            <w:vAlign w:val="center"/>
          </w:tcPr>
          <w:p w14:paraId="2D6181F6">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62" w:type="dxa"/>
            <w:tcBorders>
              <w:top w:val="single" w:color="auto" w:sz="4" w:space="0"/>
              <w:left w:val="nil"/>
              <w:bottom w:val="single" w:color="auto" w:sz="4" w:space="0"/>
              <w:right w:val="single" w:color="auto" w:sz="4" w:space="0"/>
            </w:tcBorders>
            <w:vAlign w:val="center"/>
          </w:tcPr>
          <w:p w14:paraId="579F213D">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4B6F0B1B">
        <w:tblPrEx>
          <w:tblCellMar>
            <w:top w:w="0" w:type="dxa"/>
            <w:left w:w="108" w:type="dxa"/>
            <w:bottom w:w="0" w:type="dxa"/>
            <w:right w:w="108" w:type="dxa"/>
          </w:tblCellMar>
        </w:tblPrEx>
        <w:trPr>
          <w:trHeight w:val="730" w:hRule="atLeast"/>
        </w:trPr>
        <w:tc>
          <w:tcPr>
            <w:tcW w:w="800" w:type="dxa"/>
            <w:tcBorders>
              <w:top w:val="nil"/>
              <w:left w:val="single" w:color="auto" w:sz="4" w:space="0"/>
              <w:bottom w:val="single" w:color="auto" w:sz="4" w:space="0"/>
              <w:right w:val="single" w:color="auto" w:sz="4" w:space="0"/>
            </w:tcBorders>
            <w:vAlign w:val="center"/>
          </w:tcPr>
          <w:p w14:paraId="60B36625">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4443" w:type="dxa"/>
            <w:tcBorders>
              <w:top w:val="nil"/>
              <w:left w:val="nil"/>
              <w:bottom w:val="single" w:color="auto" w:sz="4" w:space="0"/>
              <w:right w:val="single" w:color="auto" w:sz="4" w:space="0"/>
            </w:tcBorders>
            <w:vAlign w:val="center"/>
          </w:tcPr>
          <w:p w14:paraId="65006361">
            <w:pPr>
              <w:keepNext w:val="0"/>
              <w:keepLines w:val="0"/>
              <w:widowControl/>
              <w:suppressLineNumbers w:val="0"/>
              <w:spacing w:before="0" w:beforeAutospacing="0" w:after="0" w:afterAutospacing="0" w:line="520" w:lineRule="exact"/>
              <w:ind w:left="0" w:right="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kern w:val="2"/>
                <w:sz w:val="28"/>
                <w:szCs w:val="28"/>
                <w:lang w:val="en-US" w:eastAsia="zh-CN" w:bidi="ar"/>
              </w:rPr>
              <w:t>拉动区域经济增长，加快土地入市</w:t>
            </w:r>
            <w:r>
              <w:rPr>
                <w:rFonts w:hint="eastAsia" w:ascii="仿宋_GB2312" w:hAnsi="仿宋_GB2312" w:eastAsia="仿宋_GB2312" w:cs="仿宋_GB2312"/>
                <w:color w:val="000000"/>
                <w:kern w:val="0"/>
                <w:sz w:val="28"/>
                <w:szCs w:val="28"/>
              </w:rPr>
              <w:t>　</w:t>
            </w:r>
          </w:p>
        </w:tc>
        <w:tc>
          <w:tcPr>
            <w:tcW w:w="1250" w:type="dxa"/>
            <w:tcBorders>
              <w:top w:val="nil"/>
              <w:left w:val="nil"/>
              <w:bottom w:val="single" w:color="auto" w:sz="4" w:space="0"/>
              <w:right w:val="single" w:color="auto" w:sz="4" w:space="0"/>
            </w:tcBorders>
            <w:vAlign w:val="center"/>
          </w:tcPr>
          <w:p w14:paraId="1796E1CA">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优</w:t>
            </w:r>
            <w:r>
              <w:rPr>
                <w:rFonts w:hint="eastAsia" w:ascii="仿宋_GB2312" w:hAnsi="仿宋_GB2312" w:eastAsia="仿宋_GB2312" w:cs="仿宋_GB2312"/>
                <w:color w:val="000000"/>
                <w:kern w:val="0"/>
                <w:sz w:val="28"/>
                <w:szCs w:val="28"/>
              </w:rPr>
              <w:t>　</w:t>
            </w:r>
          </w:p>
        </w:tc>
        <w:tc>
          <w:tcPr>
            <w:tcW w:w="2025" w:type="dxa"/>
            <w:tcBorders>
              <w:top w:val="nil"/>
              <w:left w:val="nil"/>
              <w:bottom w:val="single" w:color="auto" w:sz="4" w:space="0"/>
              <w:right w:val="single" w:color="auto" w:sz="4" w:space="0"/>
            </w:tcBorders>
            <w:vAlign w:val="center"/>
          </w:tcPr>
          <w:p w14:paraId="640C40D5">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color w:val="000000"/>
                <w:kern w:val="0"/>
                <w:sz w:val="28"/>
                <w:szCs w:val="28"/>
              </w:rPr>
              <w:t>　　</w:t>
            </w:r>
          </w:p>
        </w:tc>
        <w:tc>
          <w:tcPr>
            <w:tcW w:w="6062" w:type="dxa"/>
            <w:tcBorders>
              <w:top w:val="nil"/>
              <w:left w:val="nil"/>
              <w:bottom w:val="single" w:color="auto" w:sz="4" w:space="0"/>
              <w:right w:val="single" w:color="auto" w:sz="4" w:space="0"/>
            </w:tcBorders>
            <w:vAlign w:val="center"/>
          </w:tcPr>
          <w:p w14:paraId="24F4888F">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5854A60A">
      <w:pPr>
        <w:spacing w:line="580" w:lineRule="exact"/>
        <w:ind w:firstLine="640"/>
        <w:rPr>
          <w:rFonts w:hint="eastAsia" w:ascii="仿宋_GB2312" w:eastAsia="仿宋_GB2312"/>
          <w:sz w:val="32"/>
          <w:szCs w:val="32"/>
        </w:rPr>
      </w:pPr>
    </w:p>
    <w:p w14:paraId="256EDF8C">
      <w:pPr>
        <w:numPr>
          <w:ilvl w:val="0"/>
          <w:numId w:val="3"/>
        </w:num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社会效益</w:t>
      </w:r>
    </w:p>
    <w:tbl>
      <w:tblPr>
        <w:tblStyle w:val="10"/>
        <w:tblW w:w="14580" w:type="dxa"/>
        <w:tblInd w:w="108" w:type="dxa"/>
        <w:tblLayout w:type="fixed"/>
        <w:tblCellMar>
          <w:top w:w="0" w:type="dxa"/>
          <w:left w:w="108" w:type="dxa"/>
          <w:bottom w:w="0" w:type="dxa"/>
          <w:right w:w="108" w:type="dxa"/>
        </w:tblCellMar>
      </w:tblPr>
      <w:tblGrid>
        <w:gridCol w:w="800"/>
        <w:gridCol w:w="4443"/>
        <w:gridCol w:w="1237"/>
        <w:gridCol w:w="2050"/>
        <w:gridCol w:w="6050"/>
      </w:tblGrid>
      <w:tr w14:paraId="2240DC77">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6325595C">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443" w:type="dxa"/>
            <w:tcBorders>
              <w:top w:val="single" w:color="auto" w:sz="4" w:space="0"/>
              <w:left w:val="nil"/>
              <w:bottom w:val="single" w:color="auto" w:sz="4" w:space="0"/>
              <w:right w:val="single" w:color="auto" w:sz="4" w:space="0"/>
            </w:tcBorders>
            <w:vAlign w:val="center"/>
          </w:tcPr>
          <w:p w14:paraId="31CC28A6">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237" w:type="dxa"/>
            <w:tcBorders>
              <w:top w:val="single" w:color="auto" w:sz="4" w:space="0"/>
              <w:left w:val="nil"/>
              <w:bottom w:val="single" w:color="auto" w:sz="4" w:space="0"/>
              <w:right w:val="single" w:color="auto" w:sz="4" w:space="0"/>
            </w:tcBorders>
            <w:vAlign w:val="center"/>
          </w:tcPr>
          <w:p w14:paraId="6CCF928F">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050" w:type="dxa"/>
            <w:tcBorders>
              <w:top w:val="single" w:color="auto" w:sz="4" w:space="0"/>
              <w:left w:val="nil"/>
              <w:bottom w:val="single" w:color="auto" w:sz="4" w:space="0"/>
              <w:right w:val="single" w:color="auto" w:sz="4" w:space="0"/>
            </w:tcBorders>
            <w:vAlign w:val="center"/>
          </w:tcPr>
          <w:p w14:paraId="2F9E2685">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50" w:type="dxa"/>
            <w:tcBorders>
              <w:top w:val="single" w:color="auto" w:sz="4" w:space="0"/>
              <w:left w:val="nil"/>
              <w:bottom w:val="single" w:color="auto" w:sz="4" w:space="0"/>
              <w:right w:val="single" w:color="auto" w:sz="4" w:space="0"/>
            </w:tcBorders>
            <w:vAlign w:val="center"/>
          </w:tcPr>
          <w:p w14:paraId="7F7DC419">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4FF8B7B7">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8943844">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4443" w:type="dxa"/>
            <w:tcBorders>
              <w:top w:val="nil"/>
              <w:left w:val="nil"/>
              <w:bottom w:val="single" w:color="auto" w:sz="4" w:space="0"/>
              <w:right w:val="single" w:color="auto" w:sz="4" w:space="0"/>
            </w:tcBorders>
            <w:vAlign w:val="center"/>
          </w:tcPr>
          <w:p w14:paraId="39EAE10F">
            <w:pPr>
              <w:keepNext w:val="0"/>
              <w:keepLines w:val="0"/>
              <w:widowControl/>
              <w:suppressLineNumbers w:val="0"/>
              <w:spacing w:before="0" w:beforeAutospacing="0" w:after="0" w:afterAutospacing="0" w:line="520" w:lineRule="exact"/>
              <w:ind w:left="0" w:right="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kern w:val="2"/>
                <w:sz w:val="28"/>
                <w:szCs w:val="28"/>
                <w:lang w:val="en-US" w:eastAsia="zh-CN" w:bidi="ar"/>
              </w:rPr>
              <w:t>改善周边市政道路情况、提高居民居住条件</w:t>
            </w:r>
          </w:p>
        </w:tc>
        <w:tc>
          <w:tcPr>
            <w:tcW w:w="1237" w:type="dxa"/>
            <w:tcBorders>
              <w:top w:val="nil"/>
              <w:left w:val="nil"/>
              <w:bottom w:val="single" w:color="auto" w:sz="4" w:space="0"/>
              <w:right w:val="single" w:color="auto" w:sz="4" w:space="0"/>
            </w:tcBorders>
            <w:vAlign w:val="center"/>
          </w:tcPr>
          <w:p w14:paraId="6C2CB0D1">
            <w:pPr>
              <w:keepNext w:val="0"/>
              <w:keepLines w:val="0"/>
              <w:widowControl/>
              <w:suppressLineNumbers w:val="0"/>
              <w:spacing w:before="0" w:beforeAutospacing="0" w:after="0" w:afterAutospacing="0" w:line="520" w:lineRule="exact"/>
              <w:ind w:left="0" w:leftChars="0" w:right="0" w:rightChars="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优</w:t>
            </w:r>
            <w:r>
              <w:rPr>
                <w:rFonts w:hint="eastAsia" w:ascii="仿宋_GB2312" w:hAnsi="仿宋_GB2312" w:eastAsia="仿宋_GB2312" w:cs="仿宋_GB2312"/>
                <w:color w:val="000000"/>
                <w:kern w:val="0"/>
                <w:sz w:val="28"/>
                <w:szCs w:val="28"/>
              </w:rPr>
              <w:t>　</w:t>
            </w:r>
          </w:p>
        </w:tc>
        <w:tc>
          <w:tcPr>
            <w:tcW w:w="2050" w:type="dxa"/>
            <w:tcBorders>
              <w:top w:val="nil"/>
              <w:left w:val="nil"/>
              <w:bottom w:val="single" w:color="auto" w:sz="4" w:space="0"/>
              <w:right w:val="single" w:color="auto" w:sz="4" w:space="0"/>
            </w:tcBorders>
            <w:vAlign w:val="center"/>
          </w:tcPr>
          <w:p w14:paraId="31E5C2BD">
            <w:pPr>
              <w:keepNext w:val="0"/>
              <w:keepLines w:val="0"/>
              <w:widowControl/>
              <w:suppressLineNumbers w:val="0"/>
              <w:spacing w:before="0" w:beforeAutospacing="0" w:after="0" w:afterAutospacing="0" w:line="520" w:lineRule="exact"/>
              <w:ind w:left="0" w:leftChars="0" w:right="0" w:rightChars="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color w:val="000000"/>
                <w:kern w:val="0"/>
                <w:sz w:val="28"/>
                <w:szCs w:val="28"/>
              </w:rPr>
              <w:t>　　</w:t>
            </w:r>
          </w:p>
        </w:tc>
        <w:tc>
          <w:tcPr>
            <w:tcW w:w="6050" w:type="dxa"/>
            <w:tcBorders>
              <w:top w:val="nil"/>
              <w:left w:val="nil"/>
              <w:bottom w:val="single" w:color="auto" w:sz="4" w:space="0"/>
              <w:right w:val="single" w:color="auto" w:sz="4" w:space="0"/>
            </w:tcBorders>
            <w:vAlign w:val="center"/>
          </w:tcPr>
          <w:p w14:paraId="3DEB1DEE">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22D8566E">
      <w:pPr>
        <w:numPr>
          <w:ilvl w:val="0"/>
          <w:numId w:val="0"/>
        </w:numPr>
        <w:spacing w:line="580" w:lineRule="exact"/>
        <w:rPr>
          <w:rFonts w:hint="eastAsia" w:ascii="仿宋_GB2312" w:eastAsia="仿宋_GB2312"/>
          <w:sz w:val="32"/>
          <w:szCs w:val="32"/>
        </w:rPr>
      </w:pPr>
    </w:p>
    <w:p w14:paraId="5B9EE209">
      <w:pPr>
        <w:numPr>
          <w:ilvl w:val="0"/>
          <w:numId w:val="3"/>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环境效益</w:t>
      </w:r>
    </w:p>
    <w:tbl>
      <w:tblPr>
        <w:tblStyle w:val="10"/>
        <w:tblW w:w="14580" w:type="dxa"/>
        <w:tblInd w:w="108" w:type="dxa"/>
        <w:tblLayout w:type="fixed"/>
        <w:tblCellMar>
          <w:top w:w="0" w:type="dxa"/>
          <w:left w:w="108" w:type="dxa"/>
          <w:bottom w:w="0" w:type="dxa"/>
          <w:right w:w="108" w:type="dxa"/>
        </w:tblCellMar>
      </w:tblPr>
      <w:tblGrid>
        <w:gridCol w:w="800"/>
        <w:gridCol w:w="4830"/>
        <w:gridCol w:w="1650"/>
        <w:gridCol w:w="1275"/>
        <w:gridCol w:w="6025"/>
      </w:tblGrid>
      <w:tr w14:paraId="43F6082C">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48F071C7">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830" w:type="dxa"/>
            <w:tcBorders>
              <w:top w:val="single" w:color="auto" w:sz="4" w:space="0"/>
              <w:left w:val="nil"/>
              <w:bottom w:val="single" w:color="auto" w:sz="4" w:space="0"/>
              <w:right w:val="single" w:color="auto" w:sz="4" w:space="0"/>
            </w:tcBorders>
            <w:vAlign w:val="center"/>
          </w:tcPr>
          <w:p w14:paraId="1163E411">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650" w:type="dxa"/>
            <w:tcBorders>
              <w:top w:val="single" w:color="auto" w:sz="4" w:space="0"/>
              <w:left w:val="nil"/>
              <w:bottom w:val="single" w:color="auto" w:sz="4" w:space="0"/>
              <w:right w:val="single" w:color="auto" w:sz="4" w:space="0"/>
            </w:tcBorders>
            <w:vAlign w:val="center"/>
          </w:tcPr>
          <w:p w14:paraId="4E394450">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275" w:type="dxa"/>
            <w:tcBorders>
              <w:top w:val="single" w:color="auto" w:sz="4" w:space="0"/>
              <w:left w:val="nil"/>
              <w:bottom w:val="single" w:color="auto" w:sz="4" w:space="0"/>
              <w:right w:val="single" w:color="auto" w:sz="4" w:space="0"/>
            </w:tcBorders>
            <w:vAlign w:val="center"/>
          </w:tcPr>
          <w:p w14:paraId="684B0CB5">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25" w:type="dxa"/>
            <w:tcBorders>
              <w:top w:val="single" w:color="auto" w:sz="4" w:space="0"/>
              <w:left w:val="nil"/>
              <w:bottom w:val="single" w:color="auto" w:sz="4" w:space="0"/>
              <w:right w:val="single" w:color="auto" w:sz="4" w:space="0"/>
            </w:tcBorders>
            <w:vAlign w:val="center"/>
          </w:tcPr>
          <w:p w14:paraId="6B705335">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67C3DC56">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61D03189">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4830" w:type="dxa"/>
            <w:tcBorders>
              <w:top w:val="nil"/>
              <w:left w:val="nil"/>
              <w:bottom w:val="single" w:color="auto" w:sz="4" w:space="0"/>
              <w:right w:val="single" w:color="auto" w:sz="4" w:space="0"/>
            </w:tcBorders>
            <w:vAlign w:val="center"/>
          </w:tcPr>
          <w:p w14:paraId="2CAAA755">
            <w:pPr>
              <w:keepNext w:val="0"/>
              <w:keepLines w:val="0"/>
              <w:widowControl/>
              <w:suppressLineNumbers w:val="0"/>
              <w:spacing w:before="0" w:beforeAutospacing="0" w:after="0" w:afterAutospacing="0" w:line="520" w:lineRule="exact"/>
              <w:ind w:left="0" w:right="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kern w:val="2"/>
                <w:sz w:val="28"/>
                <w:szCs w:val="28"/>
                <w:lang w:val="en-US" w:eastAsia="zh-CN" w:bidi="ar"/>
              </w:rPr>
              <w:t>项目的建设符合镇域发展规划，改善了群众居住条件，集约了土地利用方式。</w:t>
            </w:r>
          </w:p>
        </w:tc>
        <w:tc>
          <w:tcPr>
            <w:tcW w:w="1650" w:type="dxa"/>
            <w:tcBorders>
              <w:top w:val="nil"/>
              <w:left w:val="nil"/>
              <w:bottom w:val="single" w:color="auto" w:sz="4" w:space="0"/>
              <w:right w:val="single" w:color="auto" w:sz="4" w:space="0"/>
            </w:tcBorders>
            <w:vAlign w:val="center"/>
          </w:tcPr>
          <w:p w14:paraId="36FFF318">
            <w:pPr>
              <w:keepNext w:val="0"/>
              <w:keepLines w:val="0"/>
              <w:widowControl/>
              <w:suppressLineNumbers w:val="0"/>
              <w:spacing w:before="0" w:beforeAutospacing="0" w:after="0" w:afterAutospacing="0" w:line="520" w:lineRule="exact"/>
              <w:ind w:left="0" w:leftChars="0" w:right="0" w:rightChars="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优</w:t>
            </w:r>
            <w:r>
              <w:rPr>
                <w:rFonts w:hint="eastAsia" w:ascii="仿宋_GB2312" w:hAnsi="仿宋_GB2312" w:eastAsia="仿宋_GB2312" w:cs="仿宋_GB2312"/>
                <w:color w:val="000000"/>
                <w:kern w:val="0"/>
                <w:sz w:val="28"/>
                <w:szCs w:val="28"/>
              </w:rPr>
              <w:t>　</w:t>
            </w:r>
          </w:p>
        </w:tc>
        <w:tc>
          <w:tcPr>
            <w:tcW w:w="1275" w:type="dxa"/>
            <w:tcBorders>
              <w:top w:val="nil"/>
              <w:left w:val="nil"/>
              <w:bottom w:val="single" w:color="auto" w:sz="4" w:space="0"/>
              <w:right w:val="single" w:color="auto" w:sz="4" w:space="0"/>
            </w:tcBorders>
            <w:vAlign w:val="center"/>
          </w:tcPr>
          <w:p w14:paraId="1AEE223A">
            <w:pPr>
              <w:keepNext w:val="0"/>
              <w:keepLines w:val="0"/>
              <w:widowControl/>
              <w:suppressLineNumbers w:val="0"/>
              <w:spacing w:before="0" w:beforeAutospacing="0" w:after="0" w:afterAutospacing="0" w:line="520" w:lineRule="exact"/>
              <w:ind w:left="0" w:leftChars="0" w:right="0" w:rightChars="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优</w:t>
            </w:r>
            <w:r>
              <w:rPr>
                <w:rFonts w:hint="eastAsia" w:ascii="仿宋_GB2312" w:hAnsi="仿宋_GB2312" w:eastAsia="仿宋_GB2312" w:cs="仿宋_GB2312"/>
                <w:color w:val="000000"/>
                <w:kern w:val="0"/>
                <w:sz w:val="28"/>
                <w:szCs w:val="28"/>
              </w:rPr>
              <w:t>　　</w:t>
            </w:r>
          </w:p>
        </w:tc>
        <w:tc>
          <w:tcPr>
            <w:tcW w:w="6025" w:type="dxa"/>
            <w:tcBorders>
              <w:top w:val="nil"/>
              <w:left w:val="nil"/>
              <w:bottom w:val="single" w:color="auto" w:sz="4" w:space="0"/>
              <w:right w:val="single" w:color="auto" w:sz="4" w:space="0"/>
            </w:tcBorders>
            <w:vAlign w:val="center"/>
          </w:tcPr>
          <w:p w14:paraId="34323276">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5F4E0296">
      <w:pPr>
        <w:numPr>
          <w:ilvl w:val="0"/>
          <w:numId w:val="0"/>
        </w:numPr>
        <w:spacing w:line="580" w:lineRule="exact"/>
        <w:ind w:left="640" w:leftChars="0"/>
        <w:rPr>
          <w:rFonts w:hint="eastAsia" w:ascii="仿宋_GB2312" w:eastAsia="仿宋_GB2312"/>
          <w:sz w:val="32"/>
          <w:szCs w:val="32"/>
        </w:rPr>
      </w:pPr>
    </w:p>
    <w:p w14:paraId="6901D6FC">
      <w:pPr>
        <w:numPr>
          <w:ilvl w:val="0"/>
          <w:numId w:val="3"/>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可持续影响</w:t>
      </w:r>
    </w:p>
    <w:tbl>
      <w:tblPr>
        <w:tblStyle w:val="10"/>
        <w:tblW w:w="14555" w:type="dxa"/>
        <w:tblInd w:w="108" w:type="dxa"/>
        <w:tblLayout w:type="fixed"/>
        <w:tblCellMar>
          <w:top w:w="0" w:type="dxa"/>
          <w:left w:w="108" w:type="dxa"/>
          <w:bottom w:w="0" w:type="dxa"/>
          <w:right w:w="108" w:type="dxa"/>
        </w:tblCellMar>
      </w:tblPr>
      <w:tblGrid>
        <w:gridCol w:w="800"/>
        <w:gridCol w:w="4818"/>
        <w:gridCol w:w="1662"/>
        <w:gridCol w:w="1275"/>
        <w:gridCol w:w="6000"/>
      </w:tblGrid>
      <w:tr w14:paraId="743F37EC">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D777429">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818" w:type="dxa"/>
            <w:tcBorders>
              <w:top w:val="single" w:color="auto" w:sz="4" w:space="0"/>
              <w:left w:val="nil"/>
              <w:bottom w:val="single" w:color="auto" w:sz="4" w:space="0"/>
              <w:right w:val="single" w:color="auto" w:sz="4" w:space="0"/>
            </w:tcBorders>
            <w:vAlign w:val="center"/>
          </w:tcPr>
          <w:p w14:paraId="6EBE8F48">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662" w:type="dxa"/>
            <w:tcBorders>
              <w:top w:val="single" w:color="auto" w:sz="4" w:space="0"/>
              <w:left w:val="nil"/>
              <w:bottom w:val="single" w:color="auto" w:sz="4" w:space="0"/>
              <w:right w:val="single" w:color="auto" w:sz="4" w:space="0"/>
            </w:tcBorders>
            <w:vAlign w:val="center"/>
          </w:tcPr>
          <w:p w14:paraId="59921674">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275" w:type="dxa"/>
            <w:tcBorders>
              <w:top w:val="single" w:color="auto" w:sz="4" w:space="0"/>
              <w:left w:val="nil"/>
              <w:bottom w:val="single" w:color="auto" w:sz="4" w:space="0"/>
              <w:right w:val="single" w:color="auto" w:sz="4" w:space="0"/>
            </w:tcBorders>
            <w:vAlign w:val="center"/>
          </w:tcPr>
          <w:p w14:paraId="0D102041">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00" w:type="dxa"/>
            <w:tcBorders>
              <w:top w:val="single" w:color="auto" w:sz="4" w:space="0"/>
              <w:left w:val="nil"/>
              <w:bottom w:val="single" w:color="auto" w:sz="4" w:space="0"/>
              <w:right w:val="single" w:color="auto" w:sz="4" w:space="0"/>
            </w:tcBorders>
            <w:vAlign w:val="center"/>
          </w:tcPr>
          <w:p w14:paraId="00D9F9D0">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105E11AD">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464E9638">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4818" w:type="dxa"/>
            <w:tcBorders>
              <w:top w:val="nil"/>
              <w:left w:val="nil"/>
              <w:bottom w:val="single" w:color="auto" w:sz="4" w:space="0"/>
              <w:right w:val="single" w:color="auto" w:sz="4" w:space="0"/>
            </w:tcBorders>
            <w:vAlign w:val="center"/>
          </w:tcPr>
          <w:p w14:paraId="14DA5021">
            <w:pPr>
              <w:keepNext w:val="0"/>
              <w:keepLines w:val="0"/>
              <w:widowControl/>
              <w:suppressLineNumbers w:val="0"/>
              <w:spacing w:before="0" w:beforeAutospacing="0" w:after="0" w:afterAutospacing="0" w:line="520" w:lineRule="exact"/>
              <w:ind w:left="0" w:right="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kern w:val="2"/>
                <w:sz w:val="28"/>
                <w:szCs w:val="28"/>
                <w:lang w:val="en-US" w:eastAsia="zh-CN" w:bidi="ar"/>
              </w:rPr>
              <w:t>提高农民生活水平、促进区域经济社会发展。</w:t>
            </w:r>
          </w:p>
        </w:tc>
        <w:tc>
          <w:tcPr>
            <w:tcW w:w="1662" w:type="dxa"/>
            <w:tcBorders>
              <w:top w:val="nil"/>
              <w:left w:val="nil"/>
              <w:bottom w:val="single" w:color="auto" w:sz="4" w:space="0"/>
              <w:right w:val="single" w:color="auto" w:sz="4" w:space="0"/>
            </w:tcBorders>
            <w:vAlign w:val="center"/>
          </w:tcPr>
          <w:p w14:paraId="4277D34B">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sz w:val="28"/>
                <w:szCs w:val="28"/>
                <w:lang w:eastAsia="zh-CN"/>
              </w:rPr>
              <w:t>好</w:t>
            </w:r>
          </w:p>
        </w:tc>
        <w:tc>
          <w:tcPr>
            <w:tcW w:w="1275" w:type="dxa"/>
            <w:tcBorders>
              <w:top w:val="nil"/>
              <w:left w:val="nil"/>
              <w:bottom w:val="single" w:color="auto" w:sz="4" w:space="0"/>
              <w:right w:val="single" w:color="auto" w:sz="4" w:space="0"/>
            </w:tcBorders>
            <w:vAlign w:val="center"/>
          </w:tcPr>
          <w:p w14:paraId="69006713">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sz w:val="28"/>
                <w:szCs w:val="28"/>
                <w:lang w:eastAsia="zh-CN"/>
              </w:rPr>
              <w:t>好</w:t>
            </w:r>
          </w:p>
        </w:tc>
        <w:tc>
          <w:tcPr>
            <w:tcW w:w="6000" w:type="dxa"/>
            <w:tcBorders>
              <w:top w:val="nil"/>
              <w:left w:val="nil"/>
              <w:bottom w:val="single" w:color="auto" w:sz="4" w:space="0"/>
              <w:right w:val="single" w:color="auto" w:sz="4" w:space="0"/>
            </w:tcBorders>
            <w:vAlign w:val="center"/>
          </w:tcPr>
          <w:p w14:paraId="6E852DFA">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15853C6A">
      <w:pPr>
        <w:numPr>
          <w:ilvl w:val="0"/>
          <w:numId w:val="0"/>
        </w:numPr>
        <w:spacing w:line="580" w:lineRule="exact"/>
        <w:rPr>
          <w:rFonts w:hint="eastAsia" w:ascii="仿宋_GB2312" w:eastAsia="仿宋_GB2312"/>
          <w:sz w:val="28"/>
          <w:szCs w:val="28"/>
        </w:rPr>
      </w:pPr>
    </w:p>
    <w:p w14:paraId="500BDBD4">
      <w:pPr>
        <w:numPr>
          <w:ilvl w:val="0"/>
          <w:numId w:val="3"/>
        </w:numPr>
        <w:spacing w:line="580" w:lineRule="exact"/>
        <w:ind w:left="0" w:leftChars="0" w:firstLine="560" w:firstLineChars="200"/>
        <w:rPr>
          <w:rFonts w:hint="eastAsia" w:ascii="仿宋_GB2312" w:eastAsia="仿宋_GB2312"/>
          <w:sz w:val="28"/>
          <w:szCs w:val="28"/>
        </w:rPr>
      </w:pPr>
      <w:r>
        <w:rPr>
          <w:rFonts w:hint="eastAsia" w:ascii="仿宋_GB2312" w:eastAsia="仿宋_GB2312"/>
          <w:sz w:val="28"/>
          <w:szCs w:val="28"/>
        </w:rPr>
        <w:t>服务对象满意度</w:t>
      </w:r>
    </w:p>
    <w:tbl>
      <w:tblPr>
        <w:tblStyle w:val="10"/>
        <w:tblW w:w="14555" w:type="dxa"/>
        <w:tblInd w:w="108" w:type="dxa"/>
        <w:tblLayout w:type="fixed"/>
        <w:tblCellMar>
          <w:top w:w="0" w:type="dxa"/>
          <w:left w:w="108" w:type="dxa"/>
          <w:bottom w:w="0" w:type="dxa"/>
          <w:right w:w="108" w:type="dxa"/>
        </w:tblCellMar>
      </w:tblPr>
      <w:tblGrid>
        <w:gridCol w:w="800"/>
        <w:gridCol w:w="4805"/>
        <w:gridCol w:w="1688"/>
        <w:gridCol w:w="1262"/>
        <w:gridCol w:w="6000"/>
      </w:tblGrid>
      <w:tr w14:paraId="5E0533D3">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14:paraId="24A32C9D">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4805" w:type="dxa"/>
            <w:tcBorders>
              <w:top w:val="single" w:color="auto" w:sz="4" w:space="0"/>
              <w:left w:val="nil"/>
              <w:bottom w:val="single" w:color="auto" w:sz="4" w:space="0"/>
              <w:right w:val="single" w:color="auto" w:sz="4" w:space="0"/>
            </w:tcBorders>
            <w:vAlign w:val="center"/>
          </w:tcPr>
          <w:p w14:paraId="071912CA">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1688" w:type="dxa"/>
            <w:tcBorders>
              <w:top w:val="single" w:color="auto" w:sz="4" w:space="0"/>
              <w:left w:val="nil"/>
              <w:bottom w:val="single" w:color="auto" w:sz="4" w:space="0"/>
              <w:right w:val="single" w:color="auto" w:sz="4" w:space="0"/>
            </w:tcBorders>
            <w:vAlign w:val="center"/>
          </w:tcPr>
          <w:p w14:paraId="23433B84">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1262" w:type="dxa"/>
            <w:tcBorders>
              <w:top w:val="single" w:color="auto" w:sz="4" w:space="0"/>
              <w:left w:val="nil"/>
              <w:bottom w:val="single" w:color="auto" w:sz="4" w:space="0"/>
              <w:right w:val="single" w:color="auto" w:sz="4" w:space="0"/>
            </w:tcBorders>
            <w:vAlign w:val="center"/>
          </w:tcPr>
          <w:p w14:paraId="6A5C06B4">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6000" w:type="dxa"/>
            <w:tcBorders>
              <w:top w:val="single" w:color="auto" w:sz="4" w:space="0"/>
              <w:left w:val="nil"/>
              <w:bottom w:val="single" w:color="auto" w:sz="4" w:space="0"/>
              <w:right w:val="single" w:color="auto" w:sz="4" w:space="0"/>
            </w:tcBorders>
            <w:vAlign w:val="center"/>
          </w:tcPr>
          <w:p w14:paraId="6210102D">
            <w:pPr>
              <w:keepNext w:val="0"/>
              <w:keepLines w:val="0"/>
              <w:widowControl/>
              <w:suppressLineNumbers w:val="0"/>
              <w:spacing w:before="0" w:beforeAutospacing="0" w:after="0" w:afterAutospacing="0" w:line="520" w:lineRule="exact"/>
              <w:ind w:left="0" w:right="0"/>
              <w:jc w:val="center"/>
              <w:rPr>
                <w:rFonts w:hint="default"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14:paraId="500F736C">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14:paraId="0022D751">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4805" w:type="dxa"/>
            <w:tcBorders>
              <w:top w:val="nil"/>
              <w:left w:val="nil"/>
              <w:bottom w:val="single" w:color="auto" w:sz="4" w:space="0"/>
              <w:right w:val="single" w:color="auto" w:sz="4" w:space="0"/>
            </w:tcBorders>
            <w:vAlign w:val="center"/>
          </w:tcPr>
          <w:p w14:paraId="1362D41D">
            <w:pPr>
              <w:keepNext w:val="0"/>
              <w:keepLines w:val="0"/>
              <w:widowControl/>
              <w:suppressLineNumbers w:val="0"/>
              <w:spacing w:before="0" w:beforeAutospacing="0" w:after="0" w:afterAutospacing="0" w:line="520" w:lineRule="exact"/>
              <w:ind w:left="0" w:right="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kern w:val="2"/>
                <w:sz w:val="28"/>
                <w:szCs w:val="28"/>
                <w:lang w:val="en-US" w:eastAsia="zh-CN" w:bidi="ar"/>
              </w:rPr>
              <w:t>实施单位对象满意度</w:t>
            </w:r>
            <w:r>
              <w:rPr>
                <w:rFonts w:hint="eastAsia" w:ascii="仿宋_GB2312" w:hAnsi="仿宋_GB2312" w:eastAsia="仿宋_GB2312" w:cs="仿宋_GB2312"/>
                <w:color w:val="000000"/>
                <w:kern w:val="0"/>
                <w:sz w:val="28"/>
                <w:szCs w:val="28"/>
              </w:rPr>
              <w:t>　</w:t>
            </w:r>
          </w:p>
        </w:tc>
        <w:tc>
          <w:tcPr>
            <w:tcW w:w="1688" w:type="dxa"/>
            <w:tcBorders>
              <w:top w:val="nil"/>
              <w:left w:val="nil"/>
              <w:bottom w:val="single" w:color="auto" w:sz="4" w:space="0"/>
              <w:right w:val="single" w:color="auto" w:sz="4" w:space="0"/>
            </w:tcBorders>
            <w:vAlign w:val="center"/>
          </w:tcPr>
          <w:p w14:paraId="382542CE">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95%</w:t>
            </w:r>
            <w:r>
              <w:rPr>
                <w:rFonts w:hint="eastAsia" w:ascii="仿宋_GB2312" w:hAnsi="仿宋_GB2312" w:eastAsia="仿宋_GB2312" w:cs="仿宋_GB2312"/>
                <w:color w:val="000000"/>
                <w:kern w:val="0"/>
                <w:sz w:val="28"/>
                <w:szCs w:val="28"/>
              </w:rPr>
              <w:t>　</w:t>
            </w:r>
          </w:p>
        </w:tc>
        <w:tc>
          <w:tcPr>
            <w:tcW w:w="1262" w:type="dxa"/>
            <w:tcBorders>
              <w:top w:val="nil"/>
              <w:left w:val="nil"/>
              <w:bottom w:val="single" w:color="auto" w:sz="4" w:space="0"/>
              <w:right w:val="single" w:color="auto" w:sz="4" w:space="0"/>
            </w:tcBorders>
            <w:vAlign w:val="center"/>
          </w:tcPr>
          <w:p w14:paraId="7C242924">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95%</w:t>
            </w:r>
            <w:r>
              <w:rPr>
                <w:rFonts w:hint="eastAsia" w:ascii="仿宋_GB2312" w:hAnsi="仿宋_GB2312" w:eastAsia="仿宋_GB2312" w:cs="仿宋_GB2312"/>
                <w:color w:val="000000"/>
                <w:kern w:val="0"/>
                <w:sz w:val="28"/>
                <w:szCs w:val="28"/>
              </w:rPr>
              <w:t>　　</w:t>
            </w:r>
          </w:p>
        </w:tc>
        <w:tc>
          <w:tcPr>
            <w:tcW w:w="6000" w:type="dxa"/>
            <w:tcBorders>
              <w:top w:val="nil"/>
              <w:left w:val="nil"/>
              <w:bottom w:val="single" w:color="auto" w:sz="4" w:space="0"/>
              <w:right w:val="single" w:color="auto" w:sz="4" w:space="0"/>
            </w:tcBorders>
            <w:vAlign w:val="center"/>
          </w:tcPr>
          <w:p w14:paraId="0CE52C5D">
            <w:pPr>
              <w:keepNext w:val="0"/>
              <w:keepLines w:val="0"/>
              <w:widowControl/>
              <w:suppressLineNumbers w:val="0"/>
              <w:spacing w:before="0" w:beforeAutospacing="0" w:after="0" w:afterAutospacing="0" w:line="520" w:lineRule="exact"/>
              <w:ind w:left="0" w:right="0"/>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无</w:t>
            </w:r>
            <w:r>
              <w:rPr>
                <w:rFonts w:hint="eastAsia" w:ascii="仿宋_GB2312" w:hAnsi="仿宋_GB2312" w:eastAsia="仿宋_GB2312" w:cs="仿宋_GB2312"/>
                <w:color w:val="000000"/>
                <w:kern w:val="0"/>
                <w:sz w:val="28"/>
                <w:szCs w:val="28"/>
              </w:rPr>
              <w:t>　</w:t>
            </w:r>
          </w:p>
        </w:tc>
      </w:tr>
    </w:tbl>
    <w:p w14:paraId="732EF31C">
      <w:pPr>
        <w:numPr>
          <w:ilvl w:val="0"/>
          <w:numId w:val="0"/>
        </w:numPr>
        <w:spacing w:line="580" w:lineRule="exact"/>
        <w:rPr>
          <w:rFonts w:hint="eastAsia" w:ascii="仿宋_GB2312" w:eastAsia="仿宋_GB2312"/>
          <w:sz w:val="32"/>
          <w:szCs w:val="32"/>
        </w:rPr>
      </w:pPr>
    </w:p>
    <w:p w14:paraId="5B0B7642">
      <w:pPr>
        <w:spacing w:line="580" w:lineRule="exact"/>
        <w:ind w:firstLine="640"/>
        <w:rPr>
          <w:rFonts w:hint="eastAsia" w:ascii="楷体_GB2312" w:eastAsia="楷体_GB2312"/>
          <w:b/>
          <w:sz w:val="32"/>
          <w:szCs w:val="32"/>
        </w:rPr>
      </w:pPr>
    </w:p>
    <w:p w14:paraId="1270D261">
      <w:pPr>
        <w:spacing w:line="580" w:lineRule="exact"/>
        <w:ind w:firstLine="640"/>
        <w:rPr>
          <w:rFonts w:hint="eastAsia" w:ascii="楷体_GB2312" w:eastAsia="楷体_GB2312"/>
          <w:b/>
          <w:sz w:val="32"/>
          <w:szCs w:val="32"/>
        </w:rPr>
      </w:pPr>
    </w:p>
    <w:p w14:paraId="7307C9E8">
      <w:pPr>
        <w:spacing w:line="580" w:lineRule="exact"/>
        <w:ind w:firstLine="640" w:firstLineChars="200"/>
        <w:rPr>
          <w:rFonts w:hint="eastAsia" w:ascii="楷体_GB2312" w:eastAsia="楷体_GB2312"/>
          <w:b/>
          <w:sz w:val="32"/>
          <w:szCs w:val="32"/>
        </w:rPr>
      </w:pPr>
      <w:r>
        <w:rPr>
          <w:rFonts w:hint="eastAsia" w:ascii="楷体_GB2312" w:eastAsia="楷体_GB2312"/>
          <w:b/>
          <w:sz w:val="32"/>
          <w:szCs w:val="32"/>
        </w:rPr>
        <w:t>（四）预算管理情况分析</w:t>
      </w:r>
    </w:p>
    <w:p w14:paraId="21F60645">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1.财务管理</w:t>
      </w:r>
    </w:p>
    <w:p w14:paraId="42388DAD">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为规范土地储备管理行为，加强土地储备资金的监督管理，确保土地储备资金专款专用，提高土地储备资金的使用效益，严格按照《门头沟区土地储备项目专项资金管理办法》中涉及的财务、收支管理、财务监督检查等规定执行。</w:t>
      </w:r>
    </w:p>
    <w:p w14:paraId="0E049567">
      <w:pPr>
        <w:numPr>
          <w:ilvl w:val="0"/>
          <w:numId w:val="0"/>
        </w:numPr>
        <w:spacing w:line="580" w:lineRule="exact"/>
        <w:ind w:left="640" w:leftChars="0"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资产管理</w:t>
      </w:r>
    </w:p>
    <w:p w14:paraId="40158581">
      <w:pPr>
        <w:numPr>
          <w:ilvl w:val="0"/>
          <w:numId w:val="0"/>
        </w:numPr>
        <w:spacing w:line="520" w:lineRule="exact"/>
        <w:ind w:firstLine="560" w:firstLineChars="200"/>
        <w:rPr>
          <w:rFonts w:hint="eastAsia" w:ascii="仿宋_GB2312" w:eastAsia="仿宋_GB2312"/>
          <w:sz w:val="32"/>
          <w:szCs w:val="32"/>
          <w:lang w:eastAsia="zh-CN"/>
        </w:rPr>
      </w:pPr>
      <w:r>
        <w:rPr>
          <w:rFonts w:hint="eastAsia" w:ascii="仿宋_GB2312" w:eastAsia="仿宋_GB2312"/>
          <w:sz w:val="28"/>
          <w:szCs w:val="28"/>
        </w:rPr>
        <w:t>截止2025年12月31日，本单位账面资产总额为</w:t>
      </w:r>
      <w:r>
        <w:rPr>
          <w:rFonts w:hint="eastAsia" w:ascii="仿宋_GB2312" w:eastAsia="仿宋_GB2312"/>
          <w:sz w:val="28"/>
          <w:szCs w:val="28"/>
          <w:lang w:val="en-US" w:eastAsia="zh-CN"/>
        </w:rPr>
        <w:t>877.34</w:t>
      </w:r>
      <w:r>
        <w:rPr>
          <w:rFonts w:hint="eastAsia" w:ascii="仿宋_GB2312" w:eastAsia="仿宋_GB2312"/>
          <w:sz w:val="28"/>
          <w:szCs w:val="28"/>
        </w:rPr>
        <w:t>元，负债总额为</w:t>
      </w:r>
      <w:r>
        <w:rPr>
          <w:rFonts w:hint="eastAsia" w:ascii="仿宋_GB2312" w:eastAsia="仿宋_GB2312"/>
          <w:sz w:val="28"/>
          <w:szCs w:val="28"/>
          <w:lang w:val="en-US" w:eastAsia="zh-CN"/>
        </w:rPr>
        <w:t>14,521.27</w:t>
      </w:r>
      <w:r>
        <w:rPr>
          <w:rFonts w:hint="eastAsia" w:ascii="仿宋_GB2312" w:eastAsia="仿宋_GB2312"/>
          <w:sz w:val="28"/>
          <w:szCs w:val="28"/>
        </w:rPr>
        <w:t>元，国有资产总额</w:t>
      </w:r>
      <w:r>
        <w:rPr>
          <w:rFonts w:hint="eastAsia" w:ascii="仿宋_GB2312" w:eastAsia="仿宋_GB2312"/>
          <w:sz w:val="28"/>
          <w:szCs w:val="28"/>
          <w:lang w:val="en-US" w:eastAsia="zh-CN"/>
        </w:rPr>
        <w:t>-13,643.93</w:t>
      </w:r>
      <w:r>
        <w:rPr>
          <w:rFonts w:hint="eastAsia" w:ascii="仿宋_GB2312" w:eastAsia="仿宋_GB2312"/>
          <w:sz w:val="28"/>
          <w:szCs w:val="28"/>
        </w:rPr>
        <w:t>元。固定资产总额(净值)</w:t>
      </w:r>
      <w:r>
        <w:rPr>
          <w:rFonts w:hint="eastAsia" w:ascii="仿宋_GB2312" w:eastAsia="仿宋_GB2312"/>
          <w:sz w:val="28"/>
          <w:szCs w:val="28"/>
          <w:lang w:val="en-US" w:eastAsia="zh-CN"/>
        </w:rPr>
        <w:t>775.00</w:t>
      </w:r>
      <w:r>
        <w:rPr>
          <w:rFonts w:hint="eastAsia" w:ascii="仿宋_GB2312" w:eastAsia="仿宋_GB2312"/>
          <w:sz w:val="28"/>
          <w:szCs w:val="28"/>
        </w:rPr>
        <w:t>元、其中：土地房屋及构筑物</w:t>
      </w:r>
      <w:r>
        <w:rPr>
          <w:rFonts w:hint="eastAsia" w:ascii="仿宋_GB2312" w:eastAsia="仿宋_GB2312"/>
          <w:sz w:val="28"/>
          <w:szCs w:val="28"/>
          <w:lang w:val="en-US" w:eastAsia="zh-CN"/>
        </w:rPr>
        <w:t>0</w:t>
      </w:r>
      <w:r>
        <w:rPr>
          <w:rFonts w:hint="eastAsia" w:ascii="仿宋_GB2312" w:eastAsia="仿宋_GB2312"/>
          <w:sz w:val="28"/>
          <w:szCs w:val="28"/>
        </w:rPr>
        <w:t>元、设备0元、文物和陈列品0元、图书档案0元、家具用具装具及动植物</w:t>
      </w:r>
      <w:r>
        <w:rPr>
          <w:rFonts w:hint="eastAsia" w:ascii="仿宋_GB2312" w:eastAsia="仿宋_GB2312"/>
          <w:sz w:val="28"/>
          <w:szCs w:val="28"/>
          <w:lang w:val="en-US" w:eastAsia="zh-CN"/>
        </w:rPr>
        <w:t>775.00</w:t>
      </w:r>
      <w:r>
        <w:rPr>
          <w:rFonts w:hint="eastAsia" w:ascii="仿宋_GB2312" w:eastAsia="仿宋_GB2312"/>
          <w:sz w:val="28"/>
          <w:szCs w:val="28"/>
        </w:rPr>
        <w:t>元。本单位固定资产均为自用，没有出租出借、对外投资的情况。本单位严格履行国有资产管理制度和日常管理职责，做到固定资产明细账定期与固定资产卡片进行核对，定期或不定期的组织固定资产清查盘点，保证帐、卡、物相符。</w:t>
      </w:r>
    </w:p>
    <w:p w14:paraId="7533CA1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3.绩效管理</w:t>
      </w:r>
    </w:p>
    <w:p w14:paraId="257CE639">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（1）预算绩效管理制度情况</w:t>
      </w:r>
    </w:p>
    <w:p w14:paraId="55A703E5">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为了加强土地储备资金预算绩效管理，提高土地储备资金管理效率，严格按照《门头沟区土地储备项目专项资金管理办法》规定执行。土地储备项目资金实行预算管理，按照资金规模、筹资渠道等内容编制年度土地储备项目预算，项目预算下达后做好预算执行工作。已确定项目预算的项目，确因工作内容发生较大变化需要调整时，按照预算调整规定程序报批。</w:t>
      </w:r>
    </w:p>
    <w:p w14:paraId="2F455AA1">
      <w:pPr>
        <w:spacing w:line="580" w:lineRule="exact"/>
        <w:ind w:firstLine="640"/>
        <w:rPr>
          <w:rFonts w:hint="eastAsia" w:ascii="仿宋_GB2312" w:eastAsia="仿宋_GB2312"/>
          <w:sz w:val="32"/>
          <w:szCs w:val="32"/>
        </w:rPr>
      </w:pPr>
    </w:p>
    <w:p w14:paraId="0CD61F4D">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（2）绩效目标管理情况</w:t>
      </w:r>
    </w:p>
    <w:p w14:paraId="65A9AF0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2025年</w:t>
      </w:r>
      <w:r>
        <w:rPr>
          <w:rFonts w:hint="eastAsia" w:ascii="仿宋_GB2312" w:eastAsia="仿宋_GB2312"/>
          <w:sz w:val="28"/>
          <w:szCs w:val="28"/>
          <w:lang w:eastAsia="zh-CN"/>
        </w:rPr>
        <w:t>单位</w:t>
      </w:r>
      <w:r>
        <w:rPr>
          <w:rFonts w:hint="eastAsia" w:ascii="仿宋_GB2312" w:eastAsia="仿宋_GB2312"/>
          <w:sz w:val="28"/>
          <w:szCs w:val="28"/>
        </w:rPr>
        <w:t>预算项目</w:t>
      </w:r>
      <w:r>
        <w:rPr>
          <w:rFonts w:hint="eastAsia" w:ascii="仿宋_GB2312" w:eastAsia="仿宋_GB2312"/>
          <w:sz w:val="28"/>
          <w:szCs w:val="28"/>
          <w:lang w:val="en-US" w:eastAsia="zh-CN"/>
        </w:rPr>
        <w:t>8</w:t>
      </w:r>
      <w:r>
        <w:rPr>
          <w:rFonts w:hint="eastAsia" w:ascii="仿宋_GB2312" w:eastAsia="仿宋_GB2312"/>
          <w:sz w:val="28"/>
          <w:szCs w:val="28"/>
        </w:rPr>
        <w:t>个，</w:t>
      </w:r>
      <w:r>
        <w:rPr>
          <w:rFonts w:hint="eastAsia" w:ascii="仿宋_GB2312" w:eastAsia="仿宋_GB2312"/>
          <w:sz w:val="28"/>
          <w:szCs w:val="28"/>
          <w:lang w:eastAsia="zh-CN"/>
        </w:rPr>
        <w:t>单位</w:t>
      </w:r>
      <w:r>
        <w:rPr>
          <w:rFonts w:hint="eastAsia" w:ascii="仿宋_GB2312" w:eastAsia="仿宋_GB2312"/>
          <w:sz w:val="28"/>
          <w:szCs w:val="28"/>
        </w:rPr>
        <w:t>预算公开绩效目标的预算项目</w:t>
      </w:r>
      <w:r>
        <w:rPr>
          <w:rFonts w:hint="eastAsia" w:ascii="仿宋_GB2312" w:eastAsia="仿宋_GB2312"/>
          <w:sz w:val="28"/>
          <w:szCs w:val="28"/>
          <w:lang w:val="en-US" w:eastAsia="zh-CN"/>
        </w:rPr>
        <w:t>8</w:t>
      </w:r>
      <w:r>
        <w:rPr>
          <w:rFonts w:hint="eastAsia" w:ascii="仿宋_GB2312" w:eastAsia="仿宋_GB2312"/>
          <w:sz w:val="28"/>
          <w:szCs w:val="28"/>
        </w:rPr>
        <w:t>个，占本</w:t>
      </w:r>
      <w:r>
        <w:rPr>
          <w:rFonts w:hint="eastAsia" w:ascii="仿宋_GB2312" w:eastAsia="仿宋_GB2312"/>
          <w:sz w:val="28"/>
          <w:szCs w:val="28"/>
          <w:lang w:eastAsia="zh-CN"/>
        </w:rPr>
        <w:t>单位</w:t>
      </w:r>
      <w:r>
        <w:rPr>
          <w:rFonts w:hint="eastAsia" w:ascii="仿宋_GB2312" w:eastAsia="仿宋_GB2312"/>
          <w:sz w:val="28"/>
          <w:szCs w:val="28"/>
        </w:rPr>
        <w:t>全部预算项目的</w:t>
      </w:r>
      <w:r>
        <w:rPr>
          <w:rFonts w:hint="eastAsia" w:ascii="仿宋_GB2312" w:eastAsia="仿宋_GB2312"/>
          <w:sz w:val="28"/>
          <w:szCs w:val="28"/>
          <w:lang w:val="en-US" w:eastAsia="zh-CN"/>
        </w:rPr>
        <w:t>100.0</w:t>
      </w:r>
      <w:r>
        <w:rPr>
          <w:rFonts w:hint="eastAsia" w:ascii="仿宋_GB2312" w:eastAsia="仿宋_GB2312"/>
          <w:sz w:val="28"/>
          <w:szCs w:val="28"/>
        </w:rPr>
        <w:t>%。</w:t>
      </w:r>
    </w:p>
    <w:p w14:paraId="19EC6576">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（3）绩效自评情况</w:t>
      </w:r>
    </w:p>
    <w:p w14:paraId="3CB53D6C">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2025年对本</w:t>
      </w:r>
      <w:r>
        <w:rPr>
          <w:rFonts w:hint="eastAsia" w:ascii="仿宋_GB2312" w:eastAsia="仿宋_GB2312"/>
          <w:sz w:val="28"/>
          <w:szCs w:val="28"/>
          <w:lang w:eastAsia="zh-CN"/>
        </w:rPr>
        <w:t>单位</w:t>
      </w:r>
      <w:r>
        <w:rPr>
          <w:rFonts w:hint="eastAsia" w:ascii="仿宋_GB2312" w:eastAsia="仿宋_GB2312"/>
          <w:sz w:val="28"/>
          <w:szCs w:val="28"/>
        </w:rPr>
        <w:t>及所属单位2024年项目支出实施了绩效自评，评价项目</w:t>
      </w:r>
      <w:r>
        <w:rPr>
          <w:rFonts w:hint="eastAsia" w:ascii="仿宋_GB2312" w:eastAsia="仿宋_GB2312"/>
          <w:sz w:val="28"/>
          <w:szCs w:val="28"/>
          <w:lang w:val="en-US" w:eastAsia="zh-CN"/>
        </w:rPr>
        <w:t>8</w:t>
      </w:r>
      <w:r>
        <w:rPr>
          <w:rFonts w:hint="eastAsia" w:ascii="仿宋_GB2312" w:eastAsia="仿宋_GB2312"/>
          <w:sz w:val="28"/>
          <w:szCs w:val="28"/>
        </w:rPr>
        <w:t>个，涉及金额</w:t>
      </w:r>
      <w:r>
        <w:rPr>
          <w:rFonts w:hint="eastAsia" w:ascii="仿宋_GB2312" w:eastAsia="仿宋_GB2312"/>
          <w:sz w:val="28"/>
          <w:szCs w:val="28"/>
          <w:lang w:val="en-US" w:eastAsia="zh-CN"/>
        </w:rPr>
        <w:t>133,825,600.00</w:t>
      </w:r>
      <w:r>
        <w:rPr>
          <w:rFonts w:hint="eastAsia" w:ascii="仿宋_GB2312" w:eastAsia="仿宋_GB2312"/>
          <w:sz w:val="28"/>
          <w:szCs w:val="28"/>
        </w:rPr>
        <w:t>元。</w:t>
      </w:r>
    </w:p>
    <w:p w14:paraId="076D25C6">
      <w:pPr>
        <w:spacing w:line="580" w:lineRule="exact"/>
        <w:ind w:firstLine="640" w:firstLineChars="200"/>
        <w:rPr>
          <w:rFonts w:hint="eastAsia" w:ascii="楷体_GB2312" w:eastAsia="楷体_GB2312"/>
          <w:b/>
          <w:sz w:val="32"/>
          <w:szCs w:val="32"/>
        </w:rPr>
      </w:pPr>
      <w:r>
        <w:rPr>
          <w:rFonts w:hint="eastAsia" w:ascii="楷体_GB2312" w:eastAsia="楷体_GB2312"/>
          <w:b/>
          <w:sz w:val="32"/>
          <w:szCs w:val="32"/>
        </w:rPr>
        <w:t>（五）总体评价结论</w:t>
      </w:r>
    </w:p>
    <w:p w14:paraId="3891401B">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1.评价得分情况</w:t>
      </w:r>
    </w:p>
    <w:p w14:paraId="79230A4E">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97</w:t>
      </w:r>
      <w:r>
        <w:rPr>
          <w:rFonts w:hint="eastAsia" w:ascii="仿宋_GB2312" w:eastAsia="仿宋_GB2312"/>
          <w:sz w:val="28"/>
          <w:szCs w:val="28"/>
        </w:rPr>
        <w:t>分</w:t>
      </w:r>
    </w:p>
    <w:p w14:paraId="6290781F">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14:paraId="004E03FD">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2.存在的问题及原因分析</w:t>
      </w:r>
    </w:p>
    <w:p w14:paraId="613AD23D">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项目工程施工过程中，实施程度尚未达到可支付的条件，所以当年项目款支付有所减少。</w:t>
      </w:r>
    </w:p>
    <w:p w14:paraId="4641295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3.改进措施</w:t>
      </w:r>
    </w:p>
    <w:bookmarkEnd w:id="2"/>
    <w:p w14:paraId="577EDBE3">
      <w:pPr>
        <w:spacing w:line="520" w:lineRule="exact"/>
        <w:ind w:firstLine="560" w:firstLineChars="200"/>
        <w:rPr>
          <w:rFonts w:hint="eastAsia" w:ascii="仿宋_GB2312" w:eastAsia="仿宋_GB2312"/>
          <w:sz w:val="32"/>
          <w:szCs w:val="32"/>
        </w:rPr>
      </w:pPr>
      <w:r>
        <w:rPr>
          <w:rFonts w:hint="eastAsia" w:ascii="仿宋_GB2312" w:eastAsia="仿宋_GB2312"/>
          <w:sz w:val="28"/>
          <w:szCs w:val="28"/>
        </w:rPr>
        <w:t>项目工程施工过程中，实施程度尚未达到可支付的条件，所以当年项目款支付有所减少。</w:t>
      </w:r>
    </w:p>
    <w:p w14:paraId="4A74E2B7">
      <w:pPr>
        <w:spacing w:line="580" w:lineRule="exact"/>
        <w:ind w:firstLine="640"/>
        <w:rPr>
          <w:rFonts w:hint="eastAsia" w:ascii="黑体" w:hAnsi="黑体" w:eastAsia="黑体"/>
          <w:sz w:val="32"/>
          <w:szCs w:val="32"/>
        </w:rPr>
      </w:pPr>
    </w:p>
    <w:p w14:paraId="618F56C8">
      <w:pPr>
        <w:spacing w:line="580" w:lineRule="exact"/>
        <w:ind w:firstLine="640"/>
        <w:rPr>
          <w:rFonts w:hint="eastAsia" w:ascii="黑体" w:hAnsi="黑体" w:eastAsia="黑体"/>
          <w:sz w:val="32"/>
          <w:szCs w:val="32"/>
        </w:rPr>
      </w:pPr>
    </w:p>
    <w:p w14:paraId="67D724E5">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br w:type="textWrapping"/>
      </w:r>
      <w:r>
        <w:rPr>
          <w:rFonts w:hint="eastAsia" w:ascii="黑体" w:hAnsi="黑体" w:eastAsia="黑体"/>
          <w:sz w:val="32"/>
          <w:szCs w:val="32"/>
        </w:rPr>
        <w:t>二、项目支出绩效自评情况</w:t>
      </w:r>
    </w:p>
    <w:p w14:paraId="24663603">
      <w:pPr>
        <w:numPr>
          <w:ilvl w:val="0"/>
          <w:numId w:val="0"/>
        </w:numPr>
        <w:spacing w:line="580" w:lineRule="exact"/>
        <w:ind w:firstLine="640" w:firstLineChars="200"/>
        <w:rPr>
          <w:rFonts w:hint="eastAsia" w:ascii="仿宋_GB2312" w:eastAsia="仿宋_GB2312"/>
          <w:sz w:val="28"/>
          <w:szCs w:val="28"/>
        </w:rPr>
      </w:pPr>
      <w:r>
        <w:rPr>
          <w:rFonts w:hint="eastAsia" w:ascii="楷体_GB2312" w:hAnsi="仿宋" w:eastAsia="楷体_GB2312"/>
          <w:b/>
          <w:sz w:val="32"/>
          <w:szCs w:val="32"/>
        </w:rPr>
        <w:t>（</w:t>
      </w:r>
      <w:r>
        <w:rPr>
          <w:rFonts w:hint="eastAsia" w:ascii="楷体_GB2312" w:hAnsi="仿宋" w:eastAsia="楷体_GB2312"/>
          <w:b/>
          <w:sz w:val="32"/>
          <w:szCs w:val="32"/>
          <w:lang w:eastAsia="zh-CN"/>
        </w:rPr>
        <w:t>一</w:t>
      </w:r>
      <w:r>
        <w:rPr>
          <w:rFonts w:hint="eastAsia" w:ascii="楷体_GB2312" w:hAnsi="仿宋" w:eastAsia="楷体_GB2312"/>
          <w:b/>
          <w:sz w:val="32"/>
          <w:szCs w:val="32"/>
        </w:rPr>
        <w:t>）项目支出绩效自评表</w:t>
      </w:r>
    </w:p>
    <w:p w14:paraId="4F2EB9A3">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附件：1.项目支出绩效自评表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C5F2C">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71217D7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44D7">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038D99D3">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D51B9">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77B71964">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7E24ED"/>
    <w:multiLevelType w:val="singleLevel"/>
    <w:tmpl w:val="DA7E24ED"/>
    <w:lvl w:ilvl="0" w:tentative="0">
      <w:start w:val="2"/>
      <w:numFmt w:val="decimal"/>
      <w:suff w:val="nothing"/>
      <w:lvlText w:val="（%1）"/>
      <w:lvlJc w:val="left"/>
    </w:lvl>
  </w:abstractNum>
  <w:abstractNum w:abstractNumId="1">
    <w:nsid w:val="EAB7BF5B"/>
    <w:multiLevelType w:val="singleLevel"/>
    <w:tmpl w:val="EAB7BF5B"/>
    <w:lvl w:ilvl="0" w:tentative="0">
      <w:start w:val="2"/>
      <w:numFmt w:val="decimal"/>
      <w:suff w:val="nothing"/>
      <w:lvlText w:val="（%1）"/>
      <w:lvlJc w:val="left"/>
    </w:lvl>
  </w:abstractNum>
  <w:abstractNum w:abstractNumId="2">
    <w:nsid w:val="F7DAB614"/>
    <w:multiLevelType w:val="singleLevel"/>
    <w:tmpl w:val="F7DAB614"/>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B1EF454"/>
    <w:rsid w:val="1C203C3A"/>
    <w:rsid w:val="1DEF20B0"/>
    <w:rsid w:val="1FFEB77C"/>
    <w:rsid w:val="214243FA"/>
    <w:rsid w:val="21AD613C"/>
    <w:rsid w:val="22467189"/>
    <w:rsid w:val="257A14F5"/>
    <w:rsid w:val="27196C26"/>
    <w:rsid w:val="29EF086F"/>
    <w:rsid w:val="2A014A0F"/>
    <w:rsid w:val="2EFFE297"/>
    <w:rsid w:val="2FABCF4F"/>
    <w:rsid w:val="2FE5318A"/>
    <w:rsid w:val="301437CA"/>
    <w:rsid w:val="32791381"/>
    <w:rsid w:val="349D1F0A"/>
    <w:rsid w:val="34DD0473"/>
    <w:rsid w:val="3B7E8220"/>
    <w:rsid w:val="3C181CA7"/>
    <w:rsid w:val="3C684897"/>
    <w:rsid w:val="3DFF9FC5"/>
    <w:rsid w:val="3FD0E071"/>
    <w:rsid w:val="417F4C35"/>
    <w:rsid w:val="41C6204F"/>
    <w:rsid w:val="433E495C"/>
    <w:rsid w:val="45DEEE21"/>
    <w:rsid w:val="47761A01"/>
    <w:rsid w:val="489F2FD7"/>
    <w:rsid w:val="4AC27CB3"/>
    <w:rsid w:val="4BF72BEF"/>
    <w:rsid w:val="4CBD72E3"/>
    <w:rsid w:val="4E84B742"/>
    <w:rsid w:val="4EFB29BA"/>
    <w:rsid w:val="4FA90297"/>
    <w:rsid w:val="4FC41A43"/>
    <w:rsid w:val="51DB3C59"/>
    <w:rsid w:val="53FF3529"/>
    <w:rsid w:val="550C0952"/>
    <w:rsid w:val="55762E42"/>
    <w:rsid w:val="57A7B272"/>
    <w:rsid w:val="58470068"/>
    <w:rsid w:val="58747CAC"/>
    <w:rsid w:val="5A1720F9"/>
    <w:rsid w:val="5A7BA0C4"/>
    <w:rsid w:val="5B9C37C2"/>
    <w:rsid w:val="5BA7C654"/>
    <w:rsid w:val="5E978FD1"/>
    <w:rsid w:val="5F3F0EDE"/>
    <w:rsid w:val="5FDF0FCE"/>
    <w:rsid w:val="5FDFF7DF"/>
    <w:rsid w:val="60A54109"/>
    <w:rsid w:val="61D01CDF"/>
    <w:rsid w:val="64C0607C"/>
    <w:rsid w:val="65756C86"/>
    <w:rsid w:val="674D385B"/>
    <w:rsid w:val="676F09E1"/>
    <w:rsid w:val="67BFC17A"/>
    <w:rsid w:val="6B773199"/>
    <w:rsid w:val="6F9F6977"/>
    <w:rsid w:val="6FFDA43E"/>
    <w:rsid w:val="71793A80"/>
    <w:rsid w:val="7357290B"/>
    <w:rsid w:val="779AF483"/>
    <w:rsid w:val="796A9383"/>
    <w:rsid w:val="798524E4"/>
    <w:rsid w:val="79F57427"/>
    <w:rsid w:val="7A7F1C49"/>
    <w:rsid w:val="7B5B7AE6"/>
    <w:rsid w:val="7B7B6628"/>
    <w:rsid w:val="7BA7071E"/>
    <w:rsid w:val="7BDF6DA8"/>
    <w:rsid w:val="7BDF7589"/>
    <w:rsid w:val="7C7EDC1A"/>
    <w:rsid w:val="7CCED98D"/>
    <w:rsid w:val="7D08410F"/>
    <w:rsid w:val="7D2759BE"/>
    <w:rsid w:val="7DB96DED"/>
    <w:rsid w:val="7DD3AD81"/>
    <w:rsid w:val="7E6E2F2E"/>
    <w:rsid w:val="7E7E45DA"/>
    <w:rsid w:val="7F7FE70F"/>
    <w:rsid w:val="7FEC2162"/>
    <w:rsid w:val="7FF5EC7B"/>
    <w:rsid w:val="7FFE2936"/>
    <w:rsid w:val="7FFF772F"/>
    <w:rsid w:val="95F35EF6"/>
    <w:rsid w:val="9BFFD860"/>
    <w:rsid w:val="AC5F73DE"/>
    <w:rsid w:val="AFC7657B"/>
    <w:rsid w:val="AFF60D58"/>
    <w:rsid w:val="B3ECC409"/>
    <w:rsid w:val="B5DDD2C8"/>
    <w:rsid w:val="B9DFABD9"/>
    <w:rsid w:val="BBFF027A"/>
    <w:rsid w:val="BC0D83FC"/>
    <w:rsid w:val="BF3BDEFB"/>
    <w:rsid w:val="C75F6086"/>
    <w:rsid w:val="C7F7ED2D"/>
    <w:rsid w:val="CA6777C3"/>
    <w:rsid w:val="CBFFC643"/>
    <w:rsid w:val="CDFD54C7"/>
    <w:rsid w:val="CFAF854E"/>
    <w:rsid w:val="D4C6F117"/>
    <w:rsid w:val="D8D7928E"/>
    <w:rsid w:val="D8FE3136"/>
    <w:rsid w:val="DABD462D"/>
    <w:rsid w:val="DBC716BE"/>
    <w:rsid w:val="DBFDD7DE"/>
    <w:rsid w:val="DDDE60B7"/>
    <w:rsid w:val="DE9F6A22"/>
    <w:rsid w:val="DF4FCE6A"/>
    <w:rsid w:val="DFDF6DD5"/>
    <w:rsid w:val="E4FED278"/>
    <w:rsid w:val="E8DFC6A7"/>
    <w:rsid w:val="EDAA365C"/>
    <w:rsid w:val="EDADFC12"/>
    <w:rsid w:val="EFF5BD1C"/>
    <w:rsid w:val="F2FD229B"/>
    <w:rsid w:val="F7F709E9"/>
    <w:rsid w:val="F7FF3690"/>
    <w:rsid w:val="F97E86C0"/>
    <w:rsid w:val="F9BD3900"/>
    <w:rsid w:val="F9DF6D96"/>
    <w:rsid w:val="FAFBC7A3"/>
    <w:rsid w:val="FBE9E17E"/>
    <w:rsid w:val="FC8B9876"/>
    <w:rsid w:val="FCFFFB5F"/>
    <w:rsid w:val="FEDFF218"/>
    <w:rsid w:val="FEDFFFFF"/>
    <w:rsid w:val="FF7F331C"/>
    <w:rsid w:val="FFFF6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100%</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delete val="1"/>
            </c:dLbl>
            <c:dLbl>
              <c:idx val="2"/>
              <c:delete val="1"/>
            </c:dLbl>
            <c:dLbl>
              <c:idx val="3"/>
              <c:delete val="1"/>
            </c:dLbl>
            <c:dLbl>
              <c:idx val="4"/>
              <c:delete val="1"/>
            </c:dLbl>
            <c:dLbl>
              <c:idx val="5"/>
              <c:delete val="1"/>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13056.67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cdb968d-2c6b-4d17-9157-3ef28a9bc827}"/>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rPr lang="en-US" altLang="zh-CN"/>
                      <a:t>2</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98%</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251.91</c:v>
                </c:pt>
                <c:pt idx="1">
                  <c:v>12804.76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cc27d6f-57d1-4777-abce-5c277ba889c0}"/>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3958</Words>
  <Characters>6108</Characters>
  <Lines>47</Lines>
  <Paragraphs>13</Paragraphs>
  <TotalTime>2</TotalTime>
  <ScaleCrop>false</ScaleCrop>
  <LinksUpToDate>false</LinksUpToDate>
  <CharactersWithSpaces>6191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2017-07-13T15:16:00Z</dcterms:created>
  <dc:creator>常程</dc:creator>
  <cp:lastModifiedBy>user</cp:lastModifiedBy>
  <cp:lastPrinted>2026-08-20T19:52:00Z</cp:lastPrinted>
  <dcterms:modified xsi:type="dcterms:W3CDTF">2026-08-21T09:57:48Z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65EAF69879BC7C472C5D856A17E09903_43</vt:lpwstr>
  </property>
  <property fmtid="{D5CDD505-2E9C-101B-9397-08002B2CF9AE}" pid="4" name="KSOTemplateDocerSaveRecord">
    <vt:lpwstr>eyJoZGlkIjoiYjNlN2I2OGQxOGI1NmIxMWI3ZTg2MzgyOGIwNzE1YjAiLCJ1c2VySWQiOiI2NzgwOTI3MjgifQ==</vt:lpwstr>
  </property>
</Properties>
</file>