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CESI黑体-GB2312" w:hAnsi="CESI黑体-GB2312" w:eastAsia="CESI黑体-GB2312" w:cs="CESI黑体-GB2312"/>
          <w:sz w:val="32"/>
          <w:szCs w:val="24"/>
        </w:rPr>
      </w:pPr>
      <w:r>
        <w:rPr>
          <w:rFonts w:hint="eastAsia" w:ascii="CESI黑体-GB2312" w:hAnsi="CESI黑体-GB2312" w:eastAsia="CESI黑体-GB2312" w:cs="CESI黑体-GB2312"/>
          <w:sz w:val="32"/>
          <w:szCs w:val="24"/>
        </w:rPr>
        <w:t>附件</w:t>
      </w:r>
      <w:r>
        <w:rPr>
          <w:rFonts w:ascii="CESI黑体-GB2312" w:hAnsi="CESI黑体-GB2312" w:eastAsia="CESI黑体-GB2312" w:cs="CESI黑体-GB2312"/>
          <w:sz w:val="32"/>
          <w:szCs w:val="24"/>
        </w:rPr>
        <w:t>2</w:t>
      </w:r>
      <w:r>
        <w:rPr>
          <w:rFonts w:hint="eastAsia" w:ascii="CESI黑体-GB2312" w:hAnsi="CESI黑体-GB2312" w:eastAsia="CESI黑体-GB2312" w:cs="CESI黑体-GB2312"/>
          <w:sz w:val="32"/>
          <w:szCs w:val="24"/>
        </w:rPr>
        <w:t>：</w:t>
      </w: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Cs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pacing w:val="-11"/>
          <w:sz w:val="44"/>
          <w:szCs w:val="44"/>
          <w:lang w:eastAsia="zh-CN"/>
        </w:rPr>
        <w:t>区委编办</w:t>
      </w:r>
      <w:r>
        <w:rPr>
          <w:rFonts w:hint="eastAsia" w:ascii="方正小标宋简体" w:hAnsi="方正小标宋简体" w:eastAsia="方正小标宋简体" w:cs="方正小标宋简体"/>
          <w:bCs/>
          <w:spacing w:val="-11"/>
          <w:sz w:val="44"/>
          <w:szCs w:val="44"/>
        </w:rPr>
        <w:t>2025预算年度重点支出项目</w:t>
      </w: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Cs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pacing w:val="-11"/>
          <w:sz w:val="44"/>
          <w:szCs w:val="44"/>
        </w:rPr>
        <w:t>绩效</w:t>
      </w:r>
      <w:r>
        <w:rPr>
          <w:rFonts w:ascii="方正小标宋简体" w:hAnsi="方正小标宋简体" w:eastAsia="方正小标宋简体" w:cs="方正小标宋简体"/>
          <w:bCs/>
          <w:spacing w:val="-11"/>
          <w:sz w:val="44"/>
          <w:szCs w:val="44"/>
        </w:rPr>
        <w:t>自评报告</w:t>
      </w:r>
    </w:p>
    <w:p>
      <w:pPr>
        <w:spacing w:line="560" w:lineRule="exact"/>
        <w:ind w:firstLine="640" w:firstLineChars="200"/>
        <w:outlineLvl w:val="0"/>
        <w:rPr>
          <w:rFonts w:ascii="CESI黑体-GB2312" w:hAnsi="CESI黑体-GB2312" w:eastAsia="CESI黑体-GB2312" w:cs="CESI黑体-GB2312"/>
          <w:sz w:val="32"/>
          <w:szCs w:val="32"/>
        </w:rPr>
      </w:pPr>
      <w:r>
        <w:rPr>
          <w:rFonts w:hint="eastAsia" w:ascii="CESI黑体-GB2312" w:hAnsi="CESI黑体-GB2312" w:eastAsia="CESI黑体-GB2312" w:cs="CESI黑体-GB2312"/>
          <w:sz w:val="32"/>
          <w:szCs w:val="32"/>
        </w:rPr>
        <w:t>一、基本情况</w:t>
      </w:r>
    </w:p>
    <w:p>
      <w:pPr>
        <w:spacing w:line="560" w:lineRule="exact"/>
        <w:ind w:firstLine="640" w:firstLineChars="200"/>
        <w:outlineLvl w:val="0"/>
        <w:rPr>
          <w:rFonts w:ascii="楷体_GB2312" w:hAnsi="楷体" w:eastAsia="楷体_GB2312" w:cs="仿宋_GB2312"/>
          <w:sz w:val="32"/>
          <w:szCs w:val="32"/>
        </w:rPr>
      </w:pPr>
      <w:r>
        <w:rPr>
          <w:rFonts w:hint="eastAsia" w:ascii="楷体_GB2312" w:hAnsi="楷体" w:eastAsia="楷体_GB2312" w:cs="仿宋_GB2312"/>
          <w:sz w:val="32"/>
          <w:szCs w:val="32"/>
        </w:rPr>
        <w:t>（一）项目概况</w:t>
      </w:r>
    </w:p>
    <w:p>
      <w:pPr>
        <w:spacing w:line="520" w:lineRule="exact"/>
        <w:ind w:firstLine="640" w:firstLineChars="200"/>
        <w:outlineLvl w:val="0"/>
        <w:rPr>
          <w:rFonts w:hint="default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根据相关工作部署，核定我单位2025年度替换指标为：计算机终端1台台式机，</w:t>
      </w:r>
      <w:r>
        <w:rPr>
          <w:rFonts w:hint="eastAsia" w:ascii="仿宋_GB2312" w:eastAsia="仿宋_GB2312"/>
          <w:color w:val="000000"/>
          <w:sz w:val="32"/>
          <w:szCs w:val="32"/>
        </w:rPr>
        <w:t>202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color w:val="000000"/>
          <w:sz w:val="32"/>
          <w:szCs w:val="32"/>
        </w:rPr>
        <w:t>年拟安排金额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4,948.00</w:t>
      </w:r>
      <w:r>
        <w:rPr>
          <w:rFonts w:hint="eastAsia" w:ascii="仿宋_GB2312" w:eastAsia="仿宋_GB2312"/>
          <w:color w:val="000000"/>
          <w:sz w:val="32"/>
          <w:szCs w:val="32"/>
        </w:rPr>
        <w:t>元，</w:t>
      </w:r>
      <w:r>
        <w:rPr>
          <w:rFonts w:ascii="仿宋_GB2312" w:eastAsia="仿宋_GB2312"/>
          <w:color w:val="000000"/>
          <w:sz w:val="32"/>
          <w:szCs w:val="32"/>
        </w:rPr>
        <w:t>其中：</w:t>
      </w:r>
      <w:r>
        <w:rPr>
          <w:rFonts w:hint="eastAsia" w:ascii="仿宋_GB2312" w:eastAsia="仿宋_GB2312"/>
          <w:color w:val="000000"/>
          <w:sz w:val="32"/>
          <w:szCs w:val="32"/>
        </w:rPr>
        <w:t>使用</w:t>
      </w:r>
      <w:r>
        <w:rPr>
          <w:rFonts w:ascii="仿宋_GB2312" w:eastAsia="仿宋_GB2312"/>
          <w:color w:val="000000"/>
          <w:sz w:val="32"/>
          <w:szCs w:val="32"/>
        </w:rPr>
        <w:t>财政拨款</w:t>
      </w:r>
      <w:r>
        <w:rPr>
          <w:rFonts w:hint="eastAsia" w:ascii="仿宋_GB2312" w:eastAsia="仿宋_GB2312"/>
          <w:color w:val="000000"/>
          <w:sz w:val="32"/>
          <w:szCs w:val="32"/>
        </w:rPr>
        <w:t>预算</w:t>
      </w:r>
      <w:r>
        <w:rPr>
          <w:rFonts w:ascii="仿宋_GB2312" w:eastAsia="仿宋_GB2312"/>
          <w:color w:val="000000"/>
          <w:sz w:val="32"/>
          <w:szCs w:val="32"/>
        </w:rPr>
        <w:t>收入</w:t>
      </w:r>
      <w:r>
        <w:rPr>
          <w:rFonts w:hint="eastAsia" w:ascii="仿宋_GB2312" w:eastAsia="仿宋_GB2312"/>
          <w:color w:val="000000"/>
          <w:sz w:val="32"/>
          <w:szCs w:val="32"/>
        </w:rPr>
        <w:t>安排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4,948.00</w:t>
      </w:r>
      <w:r>
        <w:rPr>
          <w:rFonts w:hint="eastAsia" w:ascii="仿宋_GB2312" w:eastAsia="仿宋_GB2312"/>
          <w:color w:val="000000"/>
          <w:sz w:val="32"/>
          <w:szCs w:val="32"/>
        </w:rPr>
        <w:t>元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。</w:t>
      </w:r>
    </w:p>
    <w:p>
      <w:pPr>
        <w:spacing w:line="560" w:lineRule="exact"/>
        <w:ind w:firstLine="640" w:firstLineChars="200"/>
        <w:outlineLvl w:val="0"/>
        <w:rPr>
          <w:rFonts w:ascii="楷体_GB2312" w:hAnsi="楷体" w:eastAsia="楷体_GB2312" w:cs="仿宋_GB2312"/>
          <w:sz w:val="32"/>
          <w:szCs w:val="32"/>
        </w:rPr>
      </w:pPr>
      <w:r>
        <w:rPr>
          <w:rFonts w:hint="eastAsia" w:ascii="楷体_GB2312" w:hAnsi="楷体" w:eastAsia="楷体_GB2312" w:cs="仿宋_GB2312"/>
          <w:sz w:val="32"/>
          <w:szCs w:val="32"/>
        </w:rPr>
        <w:t>（二）项目资金投入及使用情况</w:t>
      </w:r>
    </w:p>
    <w:p>
      <w:pPr>
        <w:spacing w:line="5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分析</w:t>
      </w:r>
      <w:r>
        <w:rPr>
          <w:rFonts w:ascii="仿宋_GB2312" w:eastAsia="仿宋_GB2312"/>
          <w:color w:val="000000"/>
          <w:sz w:val="32"/>
          <w:szCs w:val="32"/>
        </w:rPr>
        <w:t>项目资金投入和使用情况</w:t>
      </w:r>
      <w:r>
        <w:rPr>
          <w:rFonts w:hint="eastAsia" w:ascii="仿宋_GB2312" w:eastAsia="仿宋_GB2312"/>
          <w:color w:val="000000"/>
          <w:sz w:val="32"/>
          <w:szCs w:val="32"/>
        </w:rPr>
        <w:t>。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计算机终端1台台式机。</w:t>
      </w:r>
    </w:p>
    <w:p>
      <w:pPr>
        <w:spacing w:line="500" w:lineRule="exact"/>
        <w:ind w:firstLine="640" w:firstLineChars="20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计算机终端设备申报资金为：4,948.00元整，实际支出资金：4,437.00元。</w:t>
      </w:r>
    </w:p>
    <w:p>
      <w:pPr>
        <w:spacing w:line="560" w:lineRule="exact"/>
        <w:ind w:firstLine="640" w:firstLineChars="200"/>
        <w:outlineLvl w:val="0"/>
        <w:rPr>
          <w:rFonts w:ascii="楷体_GB2312" w:hAnsi="楷体" w:eastAsia="楷体_GB2312" w:cs="仿宋_GB2312"/>
          <w:sz w:val="32"/>
          <w:szCs w:val="32"/>
        </w:rPr>
      </w:pPr>
      <w:r>
        <w:rPr>
          <w:rFonts w:hint="eastAsia" w:ascii="楷体_GB2312" w:hAnsi="楷体" w:eastAsia="楷体_GB2312" w:cs="仿宋_GB2312"/>
          <w:sz w:val="32"/>
          <w:szCs w:val="32"/>
        </w:rPr>
        <w:t>（三）项目资金管理情况分析</w:t>
      </w:r>
    </w:p>
    <w:p>
      <w:pPr>
        <w:spacing w:line="5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根据相关工作部署，核定我单位2025年度替换指标为：计算机终端1台台式机。资金按时到位并支付已经完成设备购置。</w:t>
      </w:r>
    </w:p>
    <w:p>
      <w:pPr>
        <w:spacing w:line="560" w:lineRule="exact"/>
        <w:ind w:firstLine="640" w:firstLineChars="200"/>
        <w:outlineLvl w:val="0"/>
        <w:rPr>
          <w:rFonts w:ascii="CESI黑体-GB2312" w:hAnsi="CESI黑体-GB2312" w:eastAsia="CESI黑体-GB2312" w:cs="CESI黑体-GB2312"/>
          <w:sz w:val="32"/>
          <w:szCs w:val="32"/>
        </w:rPr>
      </w:pPr>
      <w:r>
        <w:rPr>
          <w:rFonts w:hint="eastAsia" w:ascii="CESI黑体-GB2312" w:hAnsi="CESI黑体-GB2312" w:eastAsia="CESI黑体-GB2312" w:cs="CESI黑体-GB2312"/>
          <w:sz w:val="32"/>
          <w:szCs w:val="32"/>
        </w:rPr>
        <w:t>二、绩效自评结论</w:t>
      </w:r>
    </w:p>
    <w:p>
      <w:pPr>
        <w:spacing w:line="520" w:lineRule="exact"/>
        <w:ind w:firstLine="640" w:firstLineChars="200"/>
        <w:rPr>
          <w:rFonts w:ascii="仿宋_GB2312" w:hAnsi="黑体" w:eastAsia="仿宋_GB2312" w:cs="黑体"/>
          <w:bCs/>
          <w:sz w:val="32"/>
          <w:szCs w:val="32"/>
        </w:rPr>
      </w:pPr>
      <w:r>
        <w:rPr>
          <w:rFonts w:hint="eastAsia" w:ascii="仿宋_GB2312" w:hAnsi="黑体" w:eastAsia="仿宋_GB2312" w:cs="黑体"/>
          <w:bCs/>
          <w:sz w:val="32"/>
          <w:szCs w:val="32"/>
        </w:rPr>
        <w:t>绩效自评总分：</w:t>
      </w:r>
      <w:r>
        <w:rPr>
          <w:rFonts w:hint="default" w:ascii="仿宋_GB2312" w:hAnsi="黑体" w:eastAsia="仿宋_GB2312" w:cs="黑体"/>
          <w:bCs/>
          <w:sz w:val="32"/>
          <w:szCs w:val="32"/>
        </w:rPr>
        <w:t>100</w:t>
      </w:r>
      <w:r>
        <w:rPr>
          <w:rFonts w:hint="eastAsia" w:ascii="仿宋_GB2312" w:hAnsi="黑体" w:eastAsia="仿宋_GB2312" w:cs="黑体"/>
          <w:bCs/>
          <w:sz w:val="32"/>
          <w:szCs w:val="32"/>
        </w:rPr>
        <w:t>分</w:t>
      </w:r>
    </w:p>
    <w:p>
      <w:pPr>
        <w:spacing w:line="520" w:lineRule="exact"/>
        <w:ind w:firstLine="640" w:firstLineChars="200"/>
        <w:rPr>
          <w:rFonts w:ascii="仿宋_GB2312" w:hAnsi="黑体" w:eastAsia="仿宋_GB2312" w:cs="黑体"/>
          <w:bCs/>
          <w:sz w:val="32"/>
          <w:szCs w:val="32"/>
        </w:rPr>
      </w:pPr>
      <w:r>
        <w:rPr>
          <w:rFonts w:hint="eastAsia" w:ascii="仿宋_GB2312" w:hAnsi="黑体" w:eastAsia="仿宋_GB2312" w:cs="黑体"/>
          <w:bCs/>
          <w:sz w:val="32"/>
          <w:szCs w:val="32"/>
        </w:rPr>
        <w:t>绩效自评等级：（四类</w:t>
      </w:r>
      <w:r>
        <w:rPr>
          <w:rFonts w:ascii="仿宋_GB2312" w:hAnsi="黑体" w:eastAsia="仿宋_GB2312" w:cs="黑体"/>
          <w:bCs/>
          <w:sz w:val="32"/>
          <w:szCs w:val="32"/>
        </w:rPr>
        <w:t>评价等级：</w:t>
      </w:r>
      <w:r>
        <w:rPr>
          <w:rFonts w:hint="eastAsia" w:ascii="仿宋_GB2312" w:hAnsi="黑体" w:eastAsia="仿宋_GB2312" w:cs="黑体"/>
          <w:bCs/>
          <w:sz w:val="32"/>
          <w:szCs w:val="32"/>
        </w:rPr>
        <w:t>90（含）-100分为优秀、80（含）-90分为良好、60（含）-80分为一般、60分以下为较差</w:t>
      </w:r>
      <w:r>
        <w:rPr>
          <w:rFonts w:ascii="仿宋_GB2312" w:hAnsi="黑体" w:eastAsia="仿宋_GB2312" w:cs="黑体"/>
          <w:bCs/>
          <w:sz w:val="32"/>
          <w:szCs w:val="32"/>
        </w:rPr>
        <w:t>。</w:t>
      </w:r>
      <w:r>
        <w:rPr>
          <w:rFonts w:hint="eastAsia" w:ascii="仿宋_GB2312" w:hAnsi="黑体" w:eastAsia="仿宋_GB2312" w:cs="黑体"/>
          <w:bCs/>
          <w:sz w:val="32"/>
          <w:szCs w:val="32"/>
        </w:rPr>
        <w:t>）</w:t>
      </w:r>
    </w:p>
    <w:p>
      <w:pPr>
        <w:spacing w:line="560" w:lineRule="exact"/>
        <w:ind w:firstLine="640" w:firstLineChars="200"/>
        <w:outlineLvl w:val="0"/>
        <w:rPr>
          <w:rFonts w:ascii="CESI黑体-GB2312" w:hAnsi="CESI黑体-GB2312" w:eastAsia="CESI黑体-GB2312" w:cs="CESI黑体-GB2312"/>
          <w:sz w:val="32"/>
          <w:szCs w:val="32"/>
        </w:rPr>
      </w:pPr>
      <w:r>
        <w:rPr>
          <w:rFonts w:hint="eastAsia" w:ascii="CESI黑体-GB2312" w:hAnsi="CESI黑体-GB2312" w:eastAsia="CESI黑体-GB2312" w:cs="CESI黑体-GB2312"/>
          <w:sz w:val="32"/>
          <w:szCs w:val="32"/>
        </w:rPr>
        <w:t>三、绩效目标完成情况分析</w:t>
      </w:r>
    </w:p>
    <w:p>
      <w:pPr>
        <w:spacing w:line="560" w:lineRule="exact"/>
        <w:ind w:firstLine="640" w:firstLineChars="200"/>
        <w:outlineLvl w:val="0"/>
        <w:rPr>
          <w:rFonts w:ascii="楷体_GB2312" w:hAnsi="楷体" w:eastAsia="楷体_GB2312" w:cs="仿宋_GB2312"/>
          <w:sz w:val="32"/>
          <w:szCs w:val="32"/>
        </w:rPr>
      </w:pPr>
      <w:r>
        <w:rPr>
          <w:rFonts w:hint="eastAsia" w:ascii="楷体_GB2312" w:hAnsi="楷体" w:eastAsia="楷体_GB2312" w:cs="仿宋_GB2312"/>
          <w:sz w:val="32"/>
          <w:szCs w:val="32"/>
        </w:rPr>
        <w:t>（一）项目绩效目标、绩效指标设定情况</w:t>
      </w:r>
    </w:p>
    <w:p>
      <w:pPr>
        <w:spacing w:line="520" w:lineRule="exact"/>
        <w:ind w:firstLine="640" w:firstLineChars="200"/>
        <w:outlineLvl w:val="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简述总体绩效目标按时完成设备采购工作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，设备数量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1台，期限为2025年11月底前完成，质量符合国家标准</w:t>
      </w:r>
      <w:r>
        <w:rPr>
          <w:rFonts w:hint="eastAsia" w:ascii="仿宋_GB2312" w:eastAsia="仿宋_GB2312"/>
          <w:color w:val="000000"/>
          <w:sz w:val="32"/>
          <w:szCs w:val="32"/>
        </w:rPr>
        <w:t>。</w:t>
      </w:r>
    </w:p>
    <w:p>
      <w:pPr>
        <w:spacing w:line="560" w:lineRule="exact"/>
        <w:ind w:firstLine="640" w:firstLineChars="200"/>
        <w:outlineLvl w:val="0"/>
        <w:rPr>
          <w:rFonts w:ascii="楷体_GB2312" w:hAnsi="楷体" w:eastAsia="楷体_GB2312" w:cs="仿宋_GB2312"/>
          <w:sz w:val="32"/>
          <w:szCs w:val="32"/>
        </w:rPr>
      </w:pPr>
      <w:r>
        <w:rPr>
          <w:rFonts w:hint="eastAsia" w:ascii="楷体_GB2312" w:hAnsi="楷体" w:eastAsia="楷体_GB2312" w:cs="仿宋_GB2312"/>
          <w:sz w:val="32"/>
          <w:szCs w:val="32"/>
        </w:rPr>
        <w:t>（二）总体绩效目标完成情况分析</w:t>
      </w:r>
    </w:p>
    <w:p>
      <w:pPr>
        <w:spacing w:line="560" w:lineRule="exact"/>
        <w:ind w:firstLine="640" w:firstLineChars="200"/>
        <w:outlineLvl w:val="0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2025年11月底已经</w:t>
      </w:r>
      <w:r>
        <w:rPr>
          <w:rFonts w:hint="eastAsia" w:ascii="仿宋_GB2312" w:eastAsia="仿宋_GB2312"/>
          <w:color w:val="000000"/>
          <w:sz w:val="32"/>
          <w:szCs w:val="32"/>
        </w:rPr>
        <w:t>按时完成设备采购工作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。</w:t>
      </w:r>
    </w:p>
    <w:p>
      <w:pPr>
        <w:spacing w:line="560" w:lineRule="exact"/>
        <w:ind w:firstLine="640" w:firstLineChars="200"/>
        <w:outlineLvl w:val="0"/>
        <w:rPr>
          <w:rFonts w:ascii="楷体_GB2312" w:hAnsi="楷体" w:eastAsia="楷体_GB2312" w:cs="仿宋_GB2312"/>
          <w:sz w:val="32"/>
          <w:szCs w:val="32"/>
        </w:rPr>
      </w:pPr>
      <w:r>
        <w:rPr>
          <w:rFonts w:hint="eastAsia" w:ascii="楷体_GB2312" w:hAnsi="楷体" w:eastAsia="楷体_GB2312" w:cs="仿宋_GB2312"/>
          <w:sz w:val="32"/>
          <w:szCs w:val="32"/>
        </w:rPr>
        <w:t>（三）项目绩效指标完成情况分析</w:t>
      </w:r>
    </w:p>
    <w:p>
      <w:pPr>
        <w:spacing w:line="520" w:lineRule="exact"/>
        <w:ind w:firstLine="640" w:firstLineChars="200"/>
        <w:rPr>
          <w:rFonts w:ascii="仿宋_GB2312" w:hAnsi="黑体" w:eastAsia="仿宋_GB2312" w:cs="黑体"/>
          <w:bCs/>
          <w:sz w:val="32"/>
          <w:szCs w:val="32"/>
        </w:rPr>
      </w:pPr>
      <w:r>
        <w:rPr>
          <w:rFonts w:hint="eastAsia" w:ascii="仿宋_GB2312" w:hAnsi="黑体" w:eastAsia="仿宋_GB2312" w:cs="黑体"/>
          <w:bCs/>
          <w:sz w:val="32"/>
          <w:szCs w:val="32"/>
        </w:rPr>
        <w:t>1.产出指标完成情况分析。</w:t>
      </w:r>
    </w:p>
    <w:p>
      <w:pPr>
        <w:spacing w:line="520" w:lineRule="exact"/>
        <w:ind w:firstLine="640" w:firstLineChars="200"/>
        <w:rPr>
          <w:rFonts w:hint="default" w:ascii="仿宋_GB2312" w:hAnsi="黑体" w:eastAsia="仿宋_GB2312" w:cs="黑体"/>
          <w:bCs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黑体"/>
          <w:bCs/>
          <w:sz w:val="32"/>
          <w:szCs w:val="32"/>
        </w:rPr>
        <w:t>（1）数量指标。</w:t>
      </w:r>
      <w:r>
        <w:rPr>
          <w:rFonts w:hint="eastAsia" w:ascii="仿宋_GB2312" w:hAnsi="黑体" w:eastAsia="仿宋_GB2312" w:cs="黑体"/>
          <w:bCs/>
          <w:sz w:val="32"/>
          <w:szCs w:val="32"/>
          <w:lang w:eastAsia="zh-CN"/>
        </w:rPr>
        <w:t>购置</w:t>
      </w:r>
      <w:r>
        <w:rPr>
          <w:rFonts w:hint="eastAsia" w:ascii="仿宋_GB2312" w:hAnsi="黑体" w:eastAsia="仿宋_GB2312" w:cs="黑体"/>
          <w:bCs/>
          <w:sz w:val="32"/>
          <w:szCs w:val="32"/>
          <w:lang w:val="en-US" w:eastAsia="zh-CN"/>
        </w:rPr>
        <w:t>1台，全部完成</w:t>
      </w:r>
    </w:p>
    <w:p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（2）质量指标。</w:t>
      </w:r>
      <w:r>
        <w:rPr>
          <w:rFonts w:hint="eastAsia" w:ascii="仿宋_GB2312" w:eastAsia="仿宋_GB2312"/>
          <w:sz w:val="32"/>
          <w:szCs w:val="32"/>
          <w:lang w:eastAsia="zh-CN"/>
        </w:rPr>
        <w:t>按照国家标准，全部完成</w:t>
      </w:r>
    </w:p>
    <w:p>
      <w:pPr>
        <w:spacing w:line="520" w:lineRule="exact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（3）时效指标。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2025年按时完成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成本指标。</w:t>
      </w:r>
    </w:p>
    <w:p>
      <w:pPr>
        <w:spacing w:line="520" w:lineRule="exact"/>
        <w:ind w:firstLine="640" w:firstLineChars="200"/>
        <w:rPr>
          <w:rFonts w:hint="default" w:ascii="仿宋_GB2312" w:eastAsia="仿宋_GB2312"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Cs/>
          <w:sz w:val="32"/>
          <w:szCs w:val="32"/>
        </w:rPr>
        <w:t>（1）经济成本指标。</w:t>
      </w:r>
      <w:r>
        <w:rPr>
          <w:rFonts w:hint="eastAsia" w:ascii="仿宋_GB2312" w:eastAsia="仿宋_GB2312"/>
          <w:bCs/>
          <w:sz w:val="32"/>
          <w:szCs w:val="32"/>
          <w:lang w:val="en-US" w:eastAsia="zh-CN"/>
        </w:rPr>
        <w:t>0.45万元</w:t>
      </w:r>
    </w:p>
    <w:p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（2）社会成本指标。</w:t>
      </w:r>
      <w:r>
        <w:rPr>
          <w:rFonts w:hint="eastAsia" w:ascii="仿宋_GB2312" w:eastAsia="仿宋_GB2312"/>
          <w:sz w:val="32"/>
          <w:szCs w:val="32"/>
          <w:lang w:eastAsia="zh-CN"/>
        </w:rPr>
        <w:t>为群众提供便捷服务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.效益指标完成情况分析。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（1）经济效益。</w:t>
      </w:r>
      <w:r>
        <w:rPr>
          <w:rFonts w:hint="eastAsia" w:ascii="仿宋_GB2312" w:eastAsia="仿宋_GB2312"/>
          <w:bCs/>
          <w:sz w:val="32"/>
          <w:szCs w:val="32"/>
          <w:lang w:val="en-US" w:eastAsia="zh-CN"/>
        </w:rPr>
        <w:t>0.45万元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（2）社会效益。</w:t>
      </w:r>
      <w:r>
        <w:rPr>
          <w:rFonts w:hint="eastAsia" w:ascii="仿宋_GB2312" w:eastAsia="仿宋_GB2312"/>
          <w:sz w:val="32"/>
          <w:szCs w:val="32"/>
          <w:lang w:eastAsia="zh-CN"/>
        </w:rPr>
        <w:t>得到提高，为群众提供便捷服务</w:t>
      </w:r>
    </w:p>
    <w:p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4.满意度指标完成情况分析。职工满意度</w:t>
      </w:r>
      <w:r>
        <w:rPr>
          <w:rFonts w:hint="eastAsia" w:ascii="仿宋_GB2312" w:eastAsia="仿宋_GB2312"/>
          <w:sz w:val="32"/>
          <w:szCs w:val="32"/>
          <w:lang w:eastAsia="zh-CN"/>
        </w:rPr>
        <w:t>百分百</w:t>
      </w:r>
      <w:bookmarkStart w:id="0" w:name="_GoBack"/>
      <w:bookmarkEnd w:id="0"/>
    </w:p>
    <w:p>
      <w:pPr>
        <w:spacing w:line="560" w:lineRule="exact"/>
        <w:ind w:firstLine="640" w:firstLineChars="200"/>
        <w:outlineLvl w:val="0"/>
        <w:rPr>
          <w:rFonts w:ascii="CESI黑体-GB2312" w:hAnsi="CESI黑体-GB2312" w:eastAsia="CESI黑体-GB2312" w:cs="CESI黑体-GB2312"/>
          <w:sz w:val="32"/>
          <w:szCs w:val="32"/>
        </w:rPr>
      </w:pPr>
      <w:r>
        <w:rPr>
          <w:rFonts w:hint="eastAsia" w:ascii="CESI黑体-GB2312" w:hAnsi="CESI黑体-GB2312" w:eastAsia="CESI黑体-GB2312" w:cs="CESI黑体-GB2312"/>
          <w:sz w:val="32"/>
          <w:szCs w:val="32"/>
        </w:rPr>
        <w:t>四、发现的主要问题和改进措施</w:t>
      </w:r>
    </w:p>
    <w:p>
      <w:pPr>
        <w:spacing w:line="560" w:lineRule="exact"/>
        <w:ind w:firstLine="640" w:firstLineChars="200"/>
        <w:outlineLvl w:val="0"/>
        <w:rPr>
          <w:rFonts w:hint="eastAsia" w:ascii="CESI黑体-GB2312" w:hAnsi="CESI黑体-GB2312" w:eastAsia="CESI黑体-GB2312" w:cs="CESI黑体-GB2312"/>
          <w:sz w:val="32"/>
          <w:szCs w:val="32"/>
          <w:lang w:eastAsia="zh-CN"/>
        </w:rPr>
      </w:pPr>
      <w:r>
        <w:rPr>
          <w:rFonts w:hint="eastAsia" w:ascii="CESI黑体-GB2312" w:hAnsi="CESI黑体-GB2312" w:eastAsia="CESI黑体-GB2312" w:cs="CESI黑体-GB2312"/>
          <w:sz w:val="32"/>
          <w:szCs w:val="32"/>
          <w:lang w:eastAsia="zh-CN"/>
        </w:rPr>
        <w:t>无</w:t>
      </w:r>
    </w:p>
    <w:p>
      <w:pPr>
        <w:spacing w:line="560" w:lineRule="exact"/>
        <w:ind w:firstLine="640" w:firstLineChars="200"/>
        <w:outlineLvl w:val="0"/>
        <w:rPr>
          <w:rFonts w:ascii="CESI黑体-GB2312" w:hAnsi="CESI黑体-GB2312" w:eastAsia="CESI黑体-GB2312" w:cs="CESI黑体-GB2312"/>
          <w:sz w:val="32"/>
          <w:szCs w:val="32"/>
        </w:rPr>
      </w:pPr>
      <w:r>
        <w:rPr>
          <w:rFonts w:hint="eastAsia" w:ascii="CESI黑体-GB2312" w:hAnsi="CESI黑体-GB2312" w:eastAsia="CESI黑体-GB2312" w:cs="CESI黑体-GB2312"/>
          <w:sz w:val="32"/>
          <w:szCs w:val="32"/>
        </w:rPr>
        <w:t>五、有关</w:t>
      </w:r>
      <w:r>
        <w:rPr>
          <w:rFonts w:ascii="CESI黑体-GB2312" w:hAnsi="CESI黑体-GB2312" w:eastAsia="CESI黑体-GB2312" w:cs="CESI黑体-GB2312"/>
          <w:sz w:val="32"/>
          <w:szCs w:val="32"/>
        </w:rPr>
        <w:t>建议及</w:t>
      </w:r>
      <w:r>
        <w:rPr>
          <w:rFonts w:hint="eastAsia" w:ascii="CESI黑体-GB2312" w:hAnsi="CESI黑体-GB2312" w:eastAsia="CESI黑体-GB2312" w:cs="CESI黑体-GB2312"/>
          <w:sz w:val="32"/>
          <w:szCs w:val="32"/>
        </w:rPr>
        <w:t>其他需要说明的情况</w:t>
      </w:r>
    </w:p>
    <w:p>
      <w:pPr>
        <w:spacing w:line="560" w:lineRule="exact"/>
        <w:ind w:firstLine="640" w:firstLineChars="200"/>
        <w:outlineLvl w:val="0"/>
        <w:rPr>
          <w:rFonts w:hint="eastAsia" w:ascii="CESI黑体-GB2312" w:hAnsi="CESI黑体-GB2312" w:eastAsia="CESI黑体-GB2312" w:cs="CESI黑体-GB2312"/>
          <w:sz w:val="32"/>
          <w:szCs w:val="32"/>
          <w:lang w:eastAsia="zh-CN"/>
        </w:rPr>
      </w:pPr>
      <w:r>
        <w:rPr>
          <w:rFonts w:hint="eastAsia" w:ascii="CESI黑体-GB2312" w:hAnsi="CESI黑体-GB2312" w:eastAsia="CESI黑体-GB2312" w:cs="CESI黑体-GB2312"/>
          <w:sz w:val="32"/>
          <w:szCs w:val="32"/>
          <w:lang w:eastAsia="zh-CN"/>
        </w:rPr>
        <w:t>无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spacing w:line="520" w:lineRule="exact"/>
        <w:ind w:left="6660" w:leftChars="200" w:hanging="6240" w:hangingChars="195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    </w:t>
      </w: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ESI黑体-GB2312">
    <w:altName w:val="黑体"/>
    <w:panose1 w:val="00000000000000000000"/>
    <w:charset w:val="86"/>
    <w:family w:val="auto"/>
    <w:pitch w:val="default"/>
    <w:sig w:usb0="00000000" w:usb1="00000000" w:usb2="00000012" w:usb3="00000000" w:csb0="0004000F" w:csb1="00000000"/>
  </w:font>
  <w:font w:name="方正小标宋简体">
    <w:altName w:val="微软雅黑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B17"/>
    <w:rsid w:val="00013E3D"/>
    <w:rsid w:val="0002025A"/>
    <w:rsid w:val="00022E11"/>
    <w:rsid w:val="000269DC"/>
    <w:rsid w:val="00047DC0"/>
    <w:rsid w:val="00096808"/>
    <w:rsid w:val="000A1062"/>
    <w:rsid w:val="000A23F6"/>
    <w:rsid w:val="000C3ADA"/>
    <w:rsid w:val="00101019"/>
    <w:rsid w:val="001451E0"/>
    <w:rsid w:val="001E0ECA"/>
    <w:rsid w:val="001F4635"/>
    <w:rsid w:val="00203391"/>
    <w:rsid w:val="00205468"/>
    <w:rsid w:val="00210B4C"/>
    <w:rsid w:val="002140C0"/>
    <w:rsid w:val="00215248"/>
    <w:rsid w:val="002269C5"/>
    <w:rsid w:val="002E58C9"/>
    <w:rsid w:val="0031524F"/>
    <w:rsid w:val="00330537"/>
    <w:rsid w:val="00367048"/>
    <w:rsid w:val="003727E8"/>
    <w:rsid w:val="00377BDC"/>
    <w:rsid w:val="00392D09"/>
    <w:rsid w:val="003A2E58"/>
    <w:rsid w:val="003B3B58"/>
    <w:rsid w:val="003C42FF"/>
    <w:rsid w:val="004015F7"/>
    <w:rsid w:val="004503E3"/>
    <w:rsid w:val="004561D4"/>
    <w:rsid w:val="004B7FE1"/>
    <w:rsid w:val="004F49B9"/>
    <w:rsid w:val="004F7834"/>
    <w:rsid w:val="00504BA3"/>
    <w:rsid w:val="00543B65"/>
    <w:rsid w:val="0054688F"/>
    <w:rsid w:val="00554136"/>
    <w:rsid w:val="005610FD"/>
    <w:rsid w:val="00565DE2"/>
    <w:rsid w:val="005D4ED9"/>
    <w:rsid w:val="005E6415"/>
    <w:rsid w:val="00611E84"/>
    <w:rsid w:val="006305D3"/>
    <w:rsid w:val="00634BA6"/>
    <w:rsid w:val="0064412D"/>
    <w:rsid w:val="00676705"/>
    <w:rsid w:val="006D4D7E"/>
    <w:rsid w:val="006D6351"/>
    <w:rsid w:val="006E113E"/>
    <w:rsid w:val="006E4B81"/>
    <w:rsid w:val="006F376B"/>
    <w:rsid w:val="007242C1"/>
    <w:rsid w:val="00795987"/>
    <w:rsid w:val="007C3E7C"/>
    <w:rsid w:val="007D661E"/>
    <w:rsid w:val="007F46A7"/>
    <w:rsid w:val="00821DDE"/>
    <w:rsid w:val="00835A6F"/>
    <w:rsid w:val="00845359"/>
    <w:rsid w:val="00851994"/>
    <w:rsid w:val="008651F7"/>
    <w:rsid w:val="008728BA"/>
    <w:rsid w:val="00880D15"/>
    <w:rsid w:val="009127C3"/>
    <w:rsid w:val="00917FE5"/>
    <w:rsid w:val="00923051"/>
    <w:rsid w:val="009976F0"/>
    <w:rsid w:val="009B27A6"/>
    <w:rsid w:val="009D700F"/>
    <w:rsid w:val="00A02654"/>
    <w:rsid w:val="00A127E4"/>
    <w:rsid w:val="00A4171D"/>
    <w:rsid w:val="00A5212E"/>
    <w:rsid w:val="00A52489"/>
    <w:rsid w:val="00A61FC1"/>
    <w:rsid w:val="00A962BF"/>
    <w:rsid w:val="00AD7689"/>
    <w:rsid w:val="00AE0078"/>
    <w:rsid w:val="00AE698C"/>
    <w:rsid w:val="00B2165C"/>
    <w:rsid w:val="00B6357B"/>
    <w:rsid w:val="00B83292"/>
    <w:rsid w:val="00B83A7C"/>
    <w:rsid w:val="00BF6BCD"/>
    <w:rsid w:val="00C01D2B"/>
    <w:rsid w:val="00C531AA"/>
    <w:rsid w:val="00C75ABE"/>
    <w:rsid w:val="00C8361D"/>
    <w:rsid w:val="00CA72AB"/>
    <w:rsid w:val="00CC168C"/>
    <w:rsid w:val="00CD1D34"/>
    <w:rsid w:val="00D21CD8"/>
    <w:rsid w:val="00D22818"/>
    <w:rsid w:val="00D36848"/>
    <w:rsid w:val="00D374F7"/>
    <w:rsid w:val="00D50DEF"/>
    <w:rsid w:val="00D60B17"/>
    <w:rsid w:val="00D66A17"/>
    <w:rsid w:val="00D8000B"/>
    <w:rsid w:val="00D85CD5"/>
    <w:rsid w:val="00D860F4"/>
    <w:rsid w:val="00D91ABE"/>
    <w:rsid w:val="00DC020E"/>
    <w:rsid w:val="00DC5B3A"/>
    <w:rsid w:val="00E11A96"/>
    <w:rsid w:val="00E37F80"/>
    <w:rsid w:val="00E67831"/>
    <w:rsid w:val="00EC6591"/>
    <w:rsid w:val="00EF109F"/>
    <w:rsid w:val="00F207A8"/>
    <w:rsid w:val="00F23525"/>
    <w:rsid w:val="00F24761"/>
    <w:rsid w:val="00F37EB3"/>
    <w:rsid w:val="00F533DD"/>
    <w:rsid w:val="00F922BE"/>
    <w:rsid w:val="00FB0C8F"/>
    <w:rsid w:val="00FF5545"/>
    <w:rsid w:val="0E061548"/>
    <w:rsid w:val="1695644C"/>
    <w:rsid w:val="178939B5"/>
    <w:rsid w:val="17AB1339"/>
    <w:rsid w:val="1858027E"/>
    <w:rsid w:val="1EE8024F"/>
    <w:rsid w:val="21210B14"/>
    <w:rsid w:val="29915199"/>
    <w:rsid w:val="34FA1E45"/>
    <w:rsid w:val="3B130BA9"/>
    <w:rsid w:val="4DB0533F"/>
    <w:rsid w:val="51DC2926"/>
    <w:rsid w:val="5A0A3D3F"/>
    <w:rsid w:val="5F983744"/>
    <w:rsid w:val="631D6B7A"/>
    <w:rsid w:val="66996E60"/>
    <w:rsid w:val="73B00880"/>
    <w:rsid w:val="770245AD"/>
    <w:rsid w:val="7C7E6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4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784</Words>
  <Characters>850</Characters>
  <Lines>6</Lines>
  <Paragraphs>1</Paragraphs>
  <ScaleCrop>false</ScaleCrop>
  <LinksUpToDate>false</LinksUpToDate>
  <CharactersWithSpaces>885</CharactersWithSpaces>
  <Application>WPS Office_10.8.0.6370_F1E327BC-269C-435d-A152-05C5408002CA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2026-04-24T06:59:00Z</dcterms:created>
  <dc:creator>井文胜</dc:creator>
  <cp:lastModifiedBy>xxx</cp:lastModifiedBy>
  <dcterms:modified xsi:type="dcterms:W3CDTF">2026-04-30T02:33:24Z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eyJoZGlkIjoiMjEzMzdiMmM2MDE4ZWViMjM0MjJmZmEzMmRjMzQ0MjYiLCJ1c2VySWQiOiI0NDUxMjIzMzEifQ==</vt:lpwstr>
  </property>
  <property fmtid="{D5CDD505-2E9C-101B-9397-08002B2CF9AE}" pid="3" name="KSOProductBuildVer">
    <vt:lpwstr>2052-10.8.0.6370</vt:lpwstr>
  </property>
  <property fmtid="{D5CDD505-2E9C-101B-9397-08002B2CF9AE}" pid="4" name="ICV">
    <vt:lpwstr>E625B2CC80324FA9AF824A5F0F14AB1A_12</vt:lpwstr>
  </property>
</Properties>
</file>