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F84" w:rsidRDefault="005F0F84">
      <w:pPr>
        <w:jc w:val="center"/>
        <w:rPr>
          <w:rFonts w:ascii="仿宋_GB2312" w:eastAsia="仿宋_GB2312"/>
          <w:b/>
          <w:sz w:val="32"/>
          <w:szCs w:val="32"/>
        </w:rPr>
      </w:pPr>
    </w:p>
    <w:p w:rsidR="005F0F84" w:rsidRDefault="005F0F84">
      <w:pPr>
        <w:jc w:val="center"/>
        <w:rPr>
          <w:rFonts w:ascii="黑体" w:eastAsia="黑体"/>
          <w:sz w:val="72"/>
          <w:szCs w:val="72"/>
        </w:rPr>
      </w:pPr>
    </w:p>
    <w:p w:rsidR="005F0F84" w:rsidRDefault="005F0F84">
      <w:pPr>
        <w:jc w:val="center"/>
        <w:rPr>
          <w:rFonts w:ascii="黑体" w:eastAsia="黑体"/>
          <w:sz w:val="72"/>
          <w:szCs w:val="72"/>
        </w:rPr>
      </w:pPr>
    </w:p>
    <w:p w:rsidR="005F0F84" w:rsidRDefault="005F0F84">
      <w:pPr>
        <w:jc w:val="center"/>
        <w:rPr>
          <w:rFonts w:ascii="黑体" w:eastAsia="黑体"/>
          <w:sz w:val="72"/>
          <w:szCs w:val="72"/>
        </w:rPr>
      </w:pPr>
    </w:p>
    <w:p w:rsidR="005F0F84" w:rsidRDefault="005F0F84">
      <w:pPr>
        <w:jc w:val="center"/>
        <w:rPr>
          <w:rFonts w:ascii="黑体" w:eastAsia="黑体"/>
          <w:sz w:val="72"/>
          <w:szCs w:val="72"/>
        </w:rPr>
      </w:pPr>
    </w:p>
    <w:p w:rsidR="005F0F84" w:rsidRDefault="00817C63">
      <w:pPr>
        <w:jc w:val="center"/>
        <w:rPr>
          <w:rFonts w:ascii="黑体" w:eastAsia="黑体"/>
          <w:sz w:val="72"/>
          <w:szCs w:val="72"/>
        </w:rPr>
      </w:pPr>
      <w:r>
        <w:rPr>
          <w:rFonts w:ascii="黑体" w:eastAsia="黑体" w:hint="eastAsia"/>
          <w:sz w:val="72"/>
          <w:szCs w:val="72"/>
        </w:rPr>
        <w:t>2025年度部门决算（公开</w:t>
      </w:r>
      <w:r>
        <w:rPr>
          <w:rFonts w:ascii="黑体" w:eastAsia="黑体"/>
          <w:sz w:val="72"/>
          <w:szCs w:val="72"/>
        </w:rPr>
        <w:t>）</w:t>
      </w:r>
    </w:p>
    <w:p w:rsidR="005F0F84" w:rsidRDefault="005F0F84">
      <w:pPr>
        <w:jc w:val="center"/>
        <w:rPr>
          <w:rFonts w:ascii="黑体" w:eastAsia="黑体"/>
          <w:sz w:val="52"/>
          <w:szCs w:val="52"/>
        </w:rPr>
      </w:pPr>
    </w:p>
    <w:p w:rsidR="005F0F84" w:rsidRDefault="005F0F84">
      <w:pPr>
        <w:jc w:val="center"/>
        <w:rPr>
          <w:rFonts w:ascii="黑体" w:eastAsia="黑体"/>
          <w:sz w:val="52"/>
          <w:szCs w:val="52"/>
        </w:rPr>
      </w:pPr>
    </w:p>
    <w:p w:rsidR="005F0F84" w:rsidRDefault="005F0F84">
      <w:pPr>
        <w:jc w:val="center"/>
        <w:rPr>
          <w:rFonts w:ascii="黑体" w:eastAsia="黑体"/>
          <w:sz w:val="52"/>
          <w:szCs w:val="52"/>
        </w:rPr>
      </w:pPr>
    </w:p>
    <w:p w:rsidR="005F0F84" w:rsidRDefault="005F0F84">
      <w:pPr>
        <w:jc w:val="center"/>
        <w:rPr>
          <w:rFonts w:ascii="黑体" w:eastAsia="黑体"/>
          <w:sz w:val="52"/>
          <w:szCs w:val="52"/>
        </w:rPr>
      </w:pPr>
    </w:p>
    <w:p w:rsidR="005F0F84" w:rsidRDefault="005F0F84">
      <w:pPr>
        <w:jc w:val="center"/>
        <w:rPr>
          <w:rFonts w:ascii="黑体" w:eastAsia="黑体"/>
          <w:sz w:val="32"/>
          <w:szCs w:val="32"/>
        </w:rPr>
      </w:pPr>
    </w:p>
    <w:p w:rsidR="005F0F84" w:rsidRDefault="00817C63">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lastRenderedPageBreak/>
        <w:t>目    录</w:t>
      </w:r>
    </w:p>
    <w:p w:rsidR="005F0F84" w:rsidRDefault="005F0F84">
      <w:pPr>
        <w:spacing w:line="500" w:lineRule="exact"/>
        <w:ind w:firstLine="645"/>
        <w:jc w:val="center"/>
        <w:rPr>
          <w:rFonts w:ascii="宋体" w:hAnsi="宋体" w:cs="宋体"/>
          <w:b/>
          <w:bCs/>
          <w:kern w:val="0"/>
          <w:sz w:val="36"/>
          <w:szCs w:val="36"/>
        </w:rPr>
      </w:pPr>
    </w:p>
    <w:p w:rsidR="005F0F84" w:rsidRDefault="00817C63">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 2025年度部门决算报表</w:t>
      </w:r>
    </w:p>
    <w:p w:rsidR="005F0F84" w:rsidRDefault="00817C63">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5F0F84" w:rsidRDefault="00817C63">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5F0F84" w:rsidRDefault="00817C63">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 xml:space="preserve">第二部分 </w:t>
      </w:r>
      <w:r>
        <w:rPr>
          <w:rFonts w:ascii="宋体" w:hAnsi="宋体" w:hint="eastAsia"/>
          <w:spacing w:val="40"/>
          <w:sz w:val="32"/>
          <w:szCs w:val="32"/>
        </w:rPr>
        <w:t>2025年度部门决算说明</w:t>
      </w:r>
    </w:p>
    <w:p w:rsidR="005F0F84" w:rsidRDefault="00817C63">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 xml:space="preserve">第三部分 </w:t>
      </w:r>
      <w:r>
        <w:rPr>
          <w:rFonts w:ascii="宋体" w:hAnsi="宋体" w:hint="eastAsia"/>
          <w:spacing w:val="40"/>
          <w:sz w:val="32"/>
          <w:szCs w:val="32"/>
        </w:rPr>
        <w:t>2025年度</w:t>
      </w:r>
      <w:r>
        <w:rPr>
          <w:rFonts w:ascii="宋体" w:hAnsi="宋体" w:cs="宋体" w:hint="eastAsia"/>
          <w:spacing w:val="40"/>
          <w:kern w:val="0"/>
          <w:sz w:val="32"/>
          <w:szCs w:val="32"/>
        </w:rPr>
        <w:t>其他重要事项的情况说明</w:t>
      </w:r>
    </w:p>
    <w:p w:rsidR="005F0F84" w:rsidRDefault="00817C63">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 2025年度部门绩效评价情况</w:t>
      </w:r>
    </w:p>
    <w:p w:rsidR="005F0F84" w:rsidRDefault="005F0F84">
      <w:pPr>
        <w:tabs>
          <w:tab w:val="center" w:pos="6979"/>
        </w:tabs>
        <w:spacing w:beforeLines="50" w:before="156" w:afterLines="50" w:after="156"/>
        <w:jc w:val="center"/>
        <w:rPr>
          <w:rFonts w:ascii="宋体" w:hAnsi="宋体" w:cs="宋体"/>
          <w:b/>
          <w:bCs/>
          <w:spacing w:val="40"/>
          <w:kern w:val="0"/>
          <w:sz w:val="32"/>
          <w:szCs w:val="32"/>
        </w:rPr>
      </w:pPr>
    </w:p>
    <w:p w:rsidR="005F0F84" w:rsidRDefault="005F0F84">
      <w:pPr>
        <w:tabs>
          <w:tab w:val="center" w:pos="6979"/>
        </w:tabs>
        <w:spacing w:beforeLines="50" w:before="156" w:afterLines="50" w:after="156"/>
        <w:jc w:val="center"/>
        <w:rPr>
          <w:rFonts w:ascii="宋体" w:hAnsi="宋体" w:cs="宋体"/>
          <w:b/>
          <w:bCs/>
          <w:spacing w:val="40"/>
          <w:kern w:val="0"/>
          <w:sz w:val="32"/>
          <w:szCs w:val="32"/>
        </w:rPr>
      </w:pPr>
    </w:p>
    <w:p w:rsidR="005F0F84" w:rsidRDefault="005F0F84">
      <w:pPr>
        <w:tabs>
          <w:tab w:val="center" w:pos="6979"/>
        </w:tabs>
        <w:spacing w:beforeLines="50" w:before="156" w:afterLines="50" w:after="156"/>
        <w:jc w:val="center"/>
        <w:rPr>
          <w:rFonts w:ascii="宋体" w:hAnsi="宋体" w:cs="宋体"/>
          <w:b/>
          <w:bCs/>
          <w:spacing w:val="40"/>
          <w:kern w:val="0"/>
          <w:sz w:val="32"/>
          <w:szCs w:val="32"/>
        </w:rPr>
      </w:pPr>
    </w:p>
    <w:p w:rsidR="005F0F84" w:rsidRDefault="005F0F84">
      <w:pPr>
        <w:tabs>
          <w:tab w:val="center" w:pos="6979"/>
        </w:tabs>
        <w:spacing w:beforeLines="50" w:before="156" w:afterLines="50" w:after="156"/>
        <w:jc w:val="center"/>
        <w:rPr>
          <w:rFonts w:ascii="宋体" w:hAnsi="宋体" w:cs="宋体"/>
          <w:b/>
          <w:bCs/>
          <w:spacing w:val="40"/>
          <w:kern w:val="0"/>
          <w:sz w:val="32"/>
          <w:szCs w:val="32"/>
        </w:rPr>
      </w:pPr>
    </w:p>
    <w:p w:rsidR="005F0F84" w:rsidRDefault="005F0F84">
      <w:pPr>
        <w:tabs>
          <w:tab w:val="center" w:pos="6979"/>
        </w:tabs>
        <w:spacing w:beforeLines="50" w:before="156" w:afterLines="50" w:after="156"/>
        <w:jc w:val="center"/>
        <w:rPr>
          <w:rFonts w:ascii="宋体" w:hAnsi="宋体" w:cs="宋体"/>
          <w:b/>
          <w:bCs/>
          <w:spacing w:val="40"/>
          <w:kern w:val="0"/>
          <w:sz w:val="32"/>
          <w:szCs w:val="32"/>
        </w:rPr>
      </w:pPr>
    </w:p>
    <w:p w:rsidR="005F0F84" w:rsidRDefault="00817C63">
      <w:pPr>
        <w:tabs>
          <w:tab w:val="center" w:pos="6979"/>
        </w:tabs>
        <w:spacing w:beforeLines="50" w:before="156" w:afterLines="50" w:after="156"/>
        <w:jc w:val="center"/>
        <w:rPr>
          <w:rFonts w:ascii="宋体" w:hAnsi="宋体" w:cs="宋体"/>
          <w:b/>
          <w:bCs/>
          <w:spacing w:val="40"/>
          <w:kern w:val="0"/>
          <w:sz w:val="32"/>
          <w:szCs w:val="32"/>
        </w:rPr>
      </w:pPr>
      <w:r>
        <w:rPr>
          <w:rFonts w:ascii="宋体" w:hAnsi="宋体" w:cs="宋体" w:hint="eastAsia"/>
          <w:b/>
          <w:bCs/>
          <w:spacing w:val="40"/>
          <w:kern w:val="0"/>
          <w:sz w:val="44"/>
          <w:szCs w:val="44"/>
        </w:rPr>
        <w:t>第一部分 2025年度部门决算报表</w:t>
      </w:r>
    </w:p>
    <w:p w:rsidR="005F0F84" w:rsidRDefault="00817C63">
      <w:pPr>
        <w:pStyle w:val="2"/>
        <w:rPr>
          <w:b w:val="0"/>
          <w:bCs w:val="0"/>
        </w:rPr>
        <w:sectPr w:rsidR="005F0F84">
          <w:footerReference w:type="default" r:id="rId7"/>
          <w:pgSz w:w="16838" w:h="11906" w:orient="landscape"/>
          <w:pgMar w:top="1134" w:right="1134" w:bottom="1134" w:left="1134" w:header="851" w:footer="992" w:gutter="0"/>
          <w:cols w:space="720"/>
          <w:docGrid w:type="linesAndChars" w:linePitch="312"/>
        </w:sectPr>
      </w:pPr>
      <w:r>
        <w:rPr>
          <w:rFonts w:ascii="仿宋_GB2312" w:eastAsia="仿宋_GB2312" w:hint="eastAsia"/>
          <w:sz w:val="28"/>
          <w:szCs w:val="28"/>
        </w:rPr>
        <w:t xml:space="preserve">   </w:t>
      </w:r>
      <w:r>
        <w:rPr>
          <w:rFonts w:ascii="仿宋_GB2312" w:eastAsia="仿宋_GB2312" w:hint="eastAsia"/>
          <w:b w:val="0"/>
          <w:bCs w:val="0"/>
          <w:sz w:val="28"/>
          <w:szCs w:val="28"/>
        </w:rPr>
        <w:t>报表详见附件。</w:t>
      </w:r>
    </w:p>
    <w:p w:rsidR="005F0F84" w:rsidRDefault="00817C63">
      <w:pPr>
        <w:tabs>
          <w:tab w:val="center" w:pos="6979"/>
        </w:tabs>
        <w:spacing w:beforeLines="50" w:before="156" w:afterLines="50" w:after="156"/>
        <w:jc w:val="center"/>
        <w:rPr>
          <w:rFonts w:ascii="宋体" w:hAnsi="宋体"/>
          <w:b/>
          <w:sz w:val="32"/>
          <w:szCs w:val="32"/>
        </w:rPr>
      </w:pPr>
      <w:r>
        <w:rPr>
          <w:rFonts w:ascii="宋体" w:hAnsi="宋体" w:cs="宋体" w:hint="eastAsia"/>
          <w:b/>
          <w:bCs/>
          <w:spacing w:val="40"/>
          <w:kern w:val="0"/>
          <w:sz w:val="32"/>
          <w:szCs w:val="32"/>
        </w:rPr>
        <w:lastRenderedPageBreak/>
        <w:t xml:space="preserve">第二部分 </w:t>
      </w:r>
      <w:r>
        <w:rPr>
          <w:rFonts w:ascii="宋体" w:hAnsi="宋体" w:hint="eastAsia"/>
          <w:b/>
          <w:spacing w:val="40"/>
          <w:sz w:val="32"/>
          <w:szCs w:val="32"/>
        </w:rPr>
        <w:t>2025年度部门决算说明</w:t>
      </w:r>
    </w:p>
    <w:p w:rsidR="005F0F84" w:rsidRDefault="00817C63" w:rsidP="00635485">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一、部门/单位基本情况</w:t>
      </w:r>
      <w:r>
        <w:rPr>
          <w:rFonts w:ascii="仿宋_GB2312" w:eastAsia="仿宋_GB2312" w:hint="eastAsia"/>
          <w:sz w:val="28"/>
          <w:szCs w:val="28"/>
        </w:rPr>
        <w:t>（比照</w:t>
      </w:r>
      <w:r>
        <w:rPr>
          <w:rFonts w:ascii="仿宋_GB2312" w:eastAsia="仿宋_GB2312"/>
          <w:sz w:val="28"/>
          <w:szCs w:val="28"/>
        </w:rPr>
        <w:t>预算公开</w:t>
      </w:r>
      <w:r>
        <w:rPr>
          <w:rFonts w:ascii="仿宋_GB2312" w:eastAsia="仿宋_GB2312" w:hint="eastAsia"/>
          <w:sz w:val="28"/>
          <w:szCs w:val="28"/>
        </w:rPr>
        <w:t>的内容</w:t>
      </w:r>
      <w:r>
        <w:rPr>
          <w:rFonts w:ascii="仿宋_GB2312" w:eastAsia="仿宋_GB2312"/>
          <w:sz w:val="28"/>
          <w:szCs w:val="28"/>
        </w:rPr>
        <w:t>格式）</w:t>
      </w:r>
    </w:p>
    <w:p w:rsidR="005F0F84" w:rsidRDefault="00817C63">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4B6A65" w:rsidRDefault="004B6A65" w:rsidP="004B6A65">
      <w:pPr>
        <w:tabs>
          <w:tab w:val="center" w:pos="6979"/>
        </w:tabs>
        <w:spacing w:line="580" w:lineRule="exact"/>
        <w:ind w:firstLineChars="250" w:firstLine="700"/>
        <w:rPr>
          <w:rFonts w:ascii="仿宋_GB2312" w:eastAsia="仿宋_GB2312"/>
          <w:sz w:val="28"/>
          <w:szCs w:val="28"/>
        </w:rPr>
      </w:pPr>
      <w:r w:rsidRPr="004B6A65">
        <w:rPr>
          <w:rFonts w:ascii="仿宋_GB2312" w:eastAsia="仿宋_GB2312" w:hint="eastAsia"/>
          <w:sz w:val="28"/>
          <w:szCs w:val="28"/>
        </w:rPr>
        <w:t>门头沟区科学技术协会是中国共产党北京市门头沟区委员会领导下的人民团体，是党和政府联系科学技术工作者的桥梁和纽带。主要职责包括：弘扬科学精神，普及科学知识，传播科学思想和科学方法，捍卫科学尊严，推广先进技术，开展青少年科学技术教育活动，提高全区人民的科学文化素质；开展学术交流，活跃学术思想，促进学科发展；反映科学技术工作者的合法权益，开展适合科学技术工作者的各种活动；表彰奖励优秀科学技术工作者，举荐人才；开展科学论证、咨询服务、科技协作，促进科学技术成果转化，接受委托承担评估、成果鉴定等任务；开展民间国际科学技术交流活动，发展同国外的科学技术团体和科学技术工作者的友好往来；开展继续教育和培训工作；兴办科技活动场所和符合科协宗旨的社会公益性事业；承担区委、区政府交办的其他事项。</w:t>
      </w:r>
    </w:p>
    <w:p w:rsidR="005F0F84" w:rsidRDefault="00817C63" w:rsidP="004B6A65">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（二）机构</w:t>
      </w:r>
      <w:r>
        <w:rPr>
          <w:rFonts w:ascii="仿宋_GB2312" w:eastAsia="仿宋_GB2312"/>
          <w:sz w:val="28"/>
          <w:szCs w:val="28"/>
        </w:rPr>
        <w:t>设置</w:t>
      </w:r>
      <w:r>
        <w:rPr>
          <w:rFonts w:ascii="仿宋_GB2312" w:eastAsia="仿宋_GB2312" w:hint="eastAsia"/>
          <w:sz w:val="28"/>
          <w:szCs w:val="28"/>
        </w:rPr>
        <w:t>情况</w:t>
      </w:r>
    </w:p>
    <w:p w:rsidR="004B6A65" w:rsidRDefault="004B6A65">
      <w:pPr>
        <w:tabs>
          <w:tab w:val="center" w:pos="6979"/>
        </w:tabs>
        <w:spacing w:line="580" w:lineRule="exact"/>
        <w:rPr>
          <w:rFonts w:ascii="仿宋_GB2312" w:eastAsia="仿宋_GB2312"/>
          <w:sz w:val="28"/>
          <w:szCs w:val="28"/>
        </w:rPr>
      </w:pPr>
      <w:r w:rsidRPr="004B6A65">
        <w:rPr>
          <w:rFonts w:ascii="仿宋_GB2312" w:eastAsia="仿宋_GB2312" w:hint="eastAsia"/>
          <w:sz w:val="28"/>
          <w:szCs w:val="28"/>
        </w:rPr>
        <w:t>门头沟科协下设2个职能部门：办公室、科普部。下属2个事业单位：门头沟区科普服务中心、门头沟科技协作中心。</w:t>
      </w:r>
    </w:p>
    <w:p w:rsidR="005F0F84" w:rsidRDefault="00817C63">
      <w:pPr>
        <w:tabs>
          <w:tab w:val="center" w:pos="6979"/>
        </w:tabs>
        <w:spacing w:line="580" w:lineRule="exact"/>
        <w:rPr>
          <w:rFonts w:ascii="黑体" w:eastAsia="黑体"/>
          <w:b/>
          <w:sz w:val="28"/>
          <w:szCs w:val="28"/>
        </w:rPr>
      </w:pPr>
      <w:r>
        <w:rPr>
          <w:rFonts w:ascii="仿宋_GB2312" w:eastAsia="仿宋_GB2312" w:hint="eastAsia"/>
          <w:b/>
          <w:sz w:val="32"/>
          <w:szCs w:val="32"/>
        </w:rPr>
        <w:t xml:space="preserve">   </w:t>
      </w:r>
      <w:r>
        <w:rPr>
          <w:rFonts w:ascii="黑体" w:eastAsia="黑体" w:hint="eastAsia"/>
          <w:b/>
          <w:sz w:val="28"/>
          <w:szCs w:val="28"/>
        </w:rPr>
        <w:t>二、收入支出决算总体情况说明</w:t>
      </w:r>
    </w:p>
    <w:p w:rsidR="005F0F84" w:rsidRDefault="004B6A65">
      <w:pPr>
        <w:tabs>
          <w:tab w:val="center" w:pos="6979"/>
        </w:tabs>
        <w:spacing w:line="580" w:lineRule="exact"/>
        <w:ind w:firstLine="570"/>
        <w:rPr>
          <w:rFonts w:ascii="仿宋_GB2312" w:eastAsia="仿宋_GB2312"/>
          <w:sz w:val="28"/>
          <w:szCs w:val="28"/>
        </w:rPr>
      </w:pPr>
      <w:r w:rsidRPr="004B6A65">
        <w:rPr>
          <w:rFonts w:ascii="仿宋_GB2312" w:eastAsia="仿宋_GB2312" w:hint="eastAsia"/>
          <w:sz w:val="28"/>
          <w:szCs w:val="28"/>
        </w:rPr>
        <w:t>2025年度收、支总计10,145,936.47元，比上年增加80,795.25元，增长0.8%</w:t>
      </w:r>
      <w:r w:rsidR="00817C63">
        <w:rPr>
          <w:rFonts w:ascii="仿宋_GB2312" w:eastAsia="仿宋_GB2312" w:hint="eastAsia"/>
          <w:sz w:val="28"/>
          <w:szCs w:val="28"/>
        </w:rPr>
        <w:t>。</w:t>
      </w:r>
    </w:p>
    <w:p w:rsidR="005F0F84" w:rsidRDefault="00817C63">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5F0F84" w:rsidRDefault="004B6A65">
      <w:pPr>
        <w:tabs>
          <w:tab w:val="center" w:pos="6979"/>
        </w:tabs>
        <w:spacing w:line="580" w:lineRule="exact"/>
        <w:ind w:firstLine="570"/>
        <w:rPr>
          <w:rFonts w:ascii="仿宋_GB2312" w:eastAsia="仿宋_GB2312"/>
          <w:sz w:val="28"/>
          <w:szCs w:val="28"/>
        </w:rPr>
      </w:pPr>
      <w:r w:rsidRPr="004B6A65">
        <w:rPr>
          <w:rFonts w:ascii="仿宋_GB2312" w:eastAsia="仿宋_GB2312" w:hint="eastAsia"/>
          <w:sz w:val="28"/>
          <w:szCs w:val="28"/>
        </w:rPr>
        <w:t>2025年度本年收入合计10,145,936.47元，比上年增加80,795.25元，增长0.8%</w:t>
      </w:r>
      <w:r w:rsidR="00817C63">
        <w:rPr>
          <w:rFonts w:ascii="仿宋_GB2312" w:eastAsia="仿宋_GB2312" w:hint="eastAsia"/>
          <w:sz w:val="28"/>
          <w:szCs w:val="28"/>
        </w:rPr>
        <w:t>。</w:t>
      </w:r>
    </w:p>
    <w:p w:rsidR="004B6A65" w:rsidRPr="004B6A65" w:rsidRDefault="004B6A65" w:rsidP="004B6A65">
      <w:pPr>
        <w:spacing w:line="560" w:lineRule="exact"/>
        <w:ind w:firstLine="640"/>
        <w:rPr>
          <w:rFonts w:ascii="仿宋_GB2312" w:eastAsia="仿宋_GB2312"/>
          <w:sz w:val="28"/>
          <w:szCs w:val="28"/>
        </w:rPr>
      </w:pPr>
      <w:r w:rsidRPr="004B6A65">
        <w:rPr>
          <w:rFonts w:ascii="仿宋_GB2312" w:eastAsia="仿宋_GB2312" w:hint="eastAsia"/>
          <w:sz w:val="28"/>
          <w:szCs w:val="28"/>
        </w:rPr>
        <w:lastRenderedPageBreak/>
        <w:t>1.财政拨款收入10,145,936.47元，占收入合计的100%。其中：一般公共预算财政拨款收入10,145,936.47元，占收入合计的100%；政府性基金预算财政拨款收入0元，占收入合计的0%；国有资本经营预算财政拨款收入0元，占收入合计的0%；</w:t>
      </w:r>
    </w:p>
    <w:p w:rsidR="004B6A65" w:rsidRPr="004B6A65" w:rsidRDefault="004B6A65" w:rsidP="004B6A65">
      <w:pPr>
        <w:spacing w:line="560" w:lineRule="exact"/>
        <w:ind w:firstLine="640"/>
        <w:rPr>
          <w:rFonts w:ascii="仿宋_GB2312" w:eastAsia="仿宋_GB2312"/>
          <w:sz w:val="28"/>
          <w:szCs w:val="28"/>
        </w:rPr>
      </w:pPr>
      <w:r w:rsidRPr="004B6A65">
        <w:rPr>
          <w:rFonts w:ascii="仿宋_GB2312" w:eastAsia="仿宋_GB2312" w:hint="eastAsia"/>
          <w:sz w:val="28"/>
          <w:szCs w:val="28"/>
        </w:rPr>
        <w:t>2.上级补助收入0元，占收入合计的0%；</w:t>
      </w:r>
    </w:p>
    <w:p w:rsidR="004B6A65" w:rsidRPr="004B6A65" w:rsidRDefault="004B6A65" w:rsidP="004B6A65">
      <w:pPr>
        <w:spacing w:line="560" w:lineRule="exact"/>
        <w:ind w:firstLine="640"/>
        <w:rPr>
          <w:rFonts w:ascii="仿宋_GB2312" w:eastAsia="仿宋_GB2312"/>
          <w:sz w:val="28"/>
          <w:szCs w:val="28"/>
        </w:rPr>
      </w:pPr>
      <w:r w:rsidRPr="004B6A65">
        <w:rPr>
          <w:rFonts w:ascii="仿宋_GB2312" w:eastAsia="仿宋_GB2312" w:hint="eastAsia"/>
          <w:sz w:val="28"/>
          <w:szCs w:val="28"/>
        </w:rPr>
        <w:t>3.事业收入0元，占收入合计的0%；</w:t>
      </w:r>
    </w:p>
    <w:p w:rsidR="004B6A65" w:rsidRPr="004B6A65" w:rsidRDefault="004B6A65" w:rsidP="004B6A65">
      <w:pPr>
        <w:spacing w:line="560" w:lineRule="exact"/>
        <w:ind w:firstLine="640"/>
        <w:rPr>
          <w:rFonts w:ascii="仿宋_GB2312" w:eastAsia="仿宋_GB2312"/>
          <w:sz w:val="28"/>
          <w:szCs w:val="28"/>
        </w:rPr>
      </w:pPr>
      <w:r w:rsidRPr="004B6A65">
        <w:rPr>
          <w:rFonts w:ascii="仿宋_GB2312" w:eastAsia="仿宋_GB2312" w:hint="eastAsia"/>
          <w:sz w:val="28"/>
          <w:szCs w:val="28"/>
        </w:rPr>
        <w:t>4.经营收入0元，占收入合计的0%；</w:t>
      </w:r>
    </w:p>
    <w:p w:rsidR="004B6A65" w:rsidRPr="004B6A65" w:rsidRDefault="004B6A65" w:rsidP="004B6A65">
      <w:pPr>
        <w:spacing w:line="560" w:lineRule="exact"/>
        <w:ind w:firstLine="640"/>
        <w:rPr>
          <w:rFonts w:ascii="仿宋_GB2312" w:eastAsia="仿宋_GB2312"/>
          <w:sz w:val="28"/>
          <w:szCs w:val="28"/>
        </w:rPr>
      </w:pPr>
      <w:r w:rsidRPr="004B6A65">
        <w:rPr>
          <w:rFonts w:ascii="仿宋_GB2312" w:eastAsia="仿宋_GB2312" w:hint="eastAsia"/>
          <w:sz w:val="28"/>
          <w:szCs w:val="28"/>
        </w:rPr>
        <w:t>5.附属单位上缴收入0元，占收入合计的0%；</w:t>
      </w:r>
    </w:p>
    <w:p w:rsidR="004B6A65" w:rsidRDefault="004B6A65" w:rsidP="004B6A65">
      <w:pPr>
        <w:spacing w:line="560" w:lineRule="exact"/>
        <w:ind w:firstLine="640"/>
        <w:rPr>
          <w:rFonts w:ascii="仿宋_GB2312" w:eastAsia="仿宋_GB2312"/>
          <w:sz w:val="28"/>
          <w:szCs w:val="28"/>
        </w:rPr>
      </w:pPr>
      <w:r w:rsidRPr="004B6A65">
        <w:rPr>
          <w:rFonts w:ascii="仿宋_GB2312" w:eastAsia="仿宋_GB2312" w:hint="eastAsia"/>
          <w:sz w:val="28"/>
          <w:szCs w:val="28"/>
        </w:rPr>
        <w:t>6.其他收入0元，占收入合计的0%</w:t>
      </w:r>
    </w:p>
    <w:p w:rsidR="005F0F84" w:rsidRDefault="00817C63">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4B6A65" w:rsidRDefault="004B6A65">
      <w:pPr>
        <w:spacing w:line="560" w:lineRule="exact"/>
        <w:ind w:firstLine="640"/>
        <w:rPr>
          <w:rFonts w:ascii="仿宋_GB2312" w:eastAsia="仿宋_GB2312"/>
          <w:sz w:val="28"/>
          <w:szCs w:val="28"/>
        </w:rPr>
      </w:pPr>
      <w:r w:rsidRPr="004B6A65">
        <w:rPr>
          <w:rFonts w:ascii="仿宋_GB2312" w:eastAsia="仿宋_GB2312" w:hint="eastAsia"/>
          <w:sz w:val="28"/>
          <w:szCs w:val="28"/>
        </w:rPr>
        <w:t>2025年度本年支出合计10,145,936.47元，比上年增加80,795.25元，增长0.8%，其中：基本支出8,864,003.65元，占支出合计的87.37%；项目支出1,281,932.82元，占支出合计的12.63%；上缴上级支出0元，占支出合计的0%；经营支出0元，占支出合计的0%；对附属单位补助支出0元，占支出合计的0%。</w:t>
      </w:r>
    </w:p>
    <w:p w:rsidR="005F0F84" w:rsidRDefault="005F0F84">
      <w:pPr>
        <w:spacing w:line="560" w:lineRule="exact"/>
        <w:ind w:firstLine="640"/>
        <w:rPr>
          <w:rFonts w:ascii="仿宋_GB2312" w:eastAsia="仿宋_GB2312" w:cs="Droid Sans"/>
          <w:color w:val="000000"/>
          <w:sz w:val="32"/>
          <w:szCs w:val="32"/>
        </w:rPr>
      </w:pPr>
    </w:p>
    <w:p w:rsidR="00A4418C" w:rsidRDefault="00A4418C" w:rsidP="00A4418C">
      <w:pPr>
        <w:pStyle w:val="2"/>
      </w:pPr>
    </w:p>
    <w:p w:rsidR="00A4418C" w:rsidRDefault="00A4418C" w:rsidP="00A4418C"/>
    <w:p w:rsidR="00A4418C" w:rsidRDefault="00A4418C" w:rsidP="00A4418C"/>
    <w:p w:rsidR="00A4418C" w:rsidRDefault="00A4418C" w:rsidP="00A4418C">
      <w:pPr>
        <w:pStyle w:val="2"/>
        <w:jc w:val="center"/>
      </w:pPr>
      <w:r>
        <w:rPr>
          <w:noProof/>
        </w:rPr>
        <w:lastRenderedPageBreak/>
        <w:drawing>
          <wp:inline distT="0" distB="0" distL="0" distR="0" wp14:anchorId="470C9A61" wp14:editId="498B5214">
            <wp:extent cx="4572000" cy="2743200"/>
            <wp:effectExtent l="0" t="0" r="19050" b="1905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4418C" w:rsidRDefault="00A4418C" w:rsidP="00A4418C"/>
    <w:p w:rsidR="005F0F84" w:rsidRDefault="00817C63" w:rsidP="00635485">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5F0F84" w:rsidRDefault="004B6A65">
      <w:pPr>
        <w:tabs>
          <w:tab w:val="center" w:pos="6979"/>
        </w:tabs>
        <w:spacing w:line="580" w:lineRule="exact"/>
        <w:ind w:firstLine="570"/>
        <w:rPr>
          <w:rFonts w:ascii="仿宋_GB2312" w:eastAsia="仿宋_GB2312"/>
          <w:sz w:val="28"/>
          <w:szCs w:val="28"/>
        </w:rPr>
      </w:pPr>
      <w:r w:rsidRPr="004B6A65">
        <w:rPr>
          <w:rFonts w:ascii="仿宋_GB2312" w:eastAsia="仿宋_GB2312" w:hint="eastAsia"/>
          <w:sz w:val="28"/>
          <w:szCs w:val="28"/>
        </w:rPr>
        <w:t>2025年度财政拨款收、支总计10,145,936.47元，比上年增加80,795.25元，增长0.8%。主要原因：人员及公用经费调整</w:t>
      </w:r>
      <w:r w:rsidR="00817C63">
        <w:rPr>
          <w:rFonts w:ascii="仿宋_GB2312" w:eastAsia="仿宋_GB2312" w:hint="eastAsia"/>
          <w:sz w:val="28"/>
          <w:szCs w:val="28"/>
        </w:rPr>
        <w:t>。</w:t>
      </w:r>
    </w:p>
    <w:p w:rsidR="005F0F84" w:rsidRDefault="00817C63" w:rsidP="00635485">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四、一般公共预算财政拨款支出决算情况说明</w:t>
      </w:r>
    </w:p>
    <w:p w:rsidR="005F0F84" w:rsidRDefault="00817C63">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4B6A65" w:rsidRPr="004B6A65" w:rsidRDefault="004B6A65" w:rsidP="004B6A65">
      <w:pPr>
        <w:tabs>
          <w:tab w:val="center" w:pos="6979"/>
        </w:tabs>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2025年度一般公共预算财政拨款支出10,145,936.47元，主要用于以下方面（按大类）：</w:t>
      </w:r>
    </w:p>
    <w:p w:rsidR="004B6A65" w:rsidRPr="004B6A65" w:rsidRDefault="004B6A65" w:rsidP="004B6A65">
      <w:pPr>
        <w:tabs>
          <w:tab w:val="center" w:pos="6979"/>
        </w:tabs>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教育支出433,900.00元，占本年财政拨款支出4.3%；</w:t>
      </w:r>
    </w:p>
    <w:p w:rsidR="004B6A65" w:rsidRPr="004B6A65" w:rsidRDefault="004B6A65" w:rsidP="004B6A65">
      <w:pPr>
        <w:tabs>
          <w:tab w:val="center" w:pos="6979"/>
        </w:tabs>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lastRenderedPageBreak/>
        <w:t>科学技术支出9,509,500.00元，占本年财政拨款支出93.7%；</w:t>
      </w:r>
    </w:p>
    <w:p w:rsidR="004B6A65" w:rsidRPr="004B6A65" w:rsidRDefault="004B6A65" w:rsidP="004B6A65">
      <w:pPr>
        <w:tabs>
          <w:tab w:val="center" w:pos="6979"/>
        </w:tabs>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社会保障和就业支出192,800.00元，占本年财政拨款支出1.9%；</w:t>
      </w:r>
    </w:p>
    <w:p w:rsidR="005F0F84" w:rsidRDefault="004B6A65" w:rsidP="004B6A65">
      <w:pPr>
        <w:tabs>
          <w:tab w:val="center" w:pos="6979"/>
        </w:tabs>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资源勘探工业信息等支出9,700.00元，占本年财政拨款支出0.1%</w:t>
      </w:r>
      <w:r w:rsidR="00817C63">
        <w:rPr>
          <w:rFonts w:ascii="仿宋_GB2312" w:eastAsia="仿宋_GB2312" w:hint="eastAsia"/>
          <w:sz w:val="28"/>
          <w:szCs w:val="28"/>
        </w:rPr>
        <w:t>。</w:t>
      </w:r>
    </w:p>
    <w:p w:rsidR="005F0F84" w:rsidRDefault="00817C63">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（二）一般公共预算财政拨款支出决算具体情况</w:t>
      </w:r>
    </w:p>
    <w:p w:rsidR="004B6A65" w:rsidRPr="004B6A65"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1、"教育支出"（类）2025年度年初预算0元，2025年度决算433,900.00元，因年初无预算，系年中追加。其中：</w:t>
      </w:r>
    </w:p>
    <w:p w:rsidR="004B6A65" w:rsidRPr="004B6A65"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"普通教育"（款）2025年度年初预算0元，2025年度决算433,900.00元，因年初无预算，系年中追加。主要原因：增加青少年科技活动支出。</w:t>
      </w:r>
    </w:p>
    <w:p w:rsidR="004B6A65" w:rsidRPr="004B6A65"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2、"科学技术支出"（类）2025年度年初预算9,037,480.17元，2025年度决算9,509,500.00元，完成年初预算的105.2%。其中：</w:t>
      </w:r>
    </w:p>
    <w:p w:rsidR="004B6A65" w:rsidRPr="004B6A65"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"科学技术管理事务"（款）2025年度年初预算3,295,330.92元，2025年度决算3,409,500.00元，完成年初预算的103.5%。主要原因：行政运行经费调整。</w:t>
      </w:r>
    </w:p>
    <w:p w:rsidR="004B6A65" w:rsidRPr="004B6A65"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"科学技术普及"（款）2025年度年初预算5,742,149.25元，2025年度决算6,100,000.00元，完成年初预算的106.2%。主要原因：科普活动经费增加。</w:t>
      </w:r>
    </w:p>
    <w:p w:rsidR="004B6A65" w:rsidRPr="004B6A65"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3、"社会保障和就业支出"（类）2025年度年初预算161,198.00元，2025年度决算192,800.00元，完成年初预算的119.6%。其中：</w:t>
      </w:r>
    </w:p>
    <w:p w:rsidR="004B6A65" w:rsidRPr="004B6A65"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"行政事业单位养老支出"（款）2025年度年初预算161,198.00元，2025年度决算192,800.00元，完成年初预算</w:t>
      </w:r>
      <w:r w:rsidRPr="004B6A65">
        <w:rPr>
          <w:rFonts w:ascii="仿宋_GB2312" w:eastAsia="仿宋_GB2312" w:hint="eastAsia"/>
          <w:sz w:val="28"/>
          <w:szCs w:val="28"/>
        </w:rPr>
        <w:lastRenderedPageBreak/>
        <w:t>的119.6%。主要原因：退休人员经费增加。</w:t>
      </w:r>
    </w:p>
    <w:p w:rsidR="004B6A65" w:rsidRPr="004B6A65"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4、"资源勘探工业信息等支出"（类）2025年度年初预算0元，2025年度决算9,700.00元，因年初无预算，系年中追加。其中：</w:t>
      </w:r>
    </w:p>
    <w:p w:rsidR="005F0F84"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"制造业"（款）2025年度年初预算0元，2025年度决算9,700.00元，因年初无预算，系年中追加。主要原因：年中追加能力提升设备采购项目。</w:t>
      </w:r>
    </w:p>
    <w:p w:rsidR="005F0F84" w:rsidRDefault="00817C63" w:rsidP="00635485">
      <w:pPr>
        <w:spacing w:line="580" w:lineRule="exact"/>
        <w:ind w:firstLineChars="200" w:firstLine="562"/>
        <w:rPr>
          <w:rFonts w:ascii="仿宋_GB2312" w:eastAsia="仿宋_GB2312"/>
          <w:sz w:val="28"/>
          <w:szCs w:val="28"/>
        </w:rPr>
      </w:pPr>
      <w:r>
        <w:rPr>
          <w:rFonts w:ascii="黑体" w:eastAsia="黑体" w:hint="eastAsia"/>
          <w:b/>
          <w:sz w:val="28"/>
          <w:szCs w:val="28"/>
        </w:rPr>
        <w:t>五、政府性基金预算财政拨款支出决算情况说明</w:t>
      </w:r>
    </w:p>
    <w:p w:rsidR="005F0F84" w:rsidRDefault="00817C63">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（一）政府性基金预算财政拨款支出决算总体情况</w:t>
      </w:r>
    </w:p>
    <w:p w:rsidR="005F0F84" w:rsidRDefault="004B6A65" w:rsidP="004B6A65">
      <w:pPr>
        <w:tabs>
          <w:tab w:val="center" w:pos="6979"/>
        </w:tabs>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2025年度政府性基金预算财政拨款支出0元。</w:t>
      </w:r>
      <w:r w:rsidR="00817C63">
        <w:rPr>
          <w:rFonts w:ascii="仿宋_GB2312" w:eastAsia="仿宋_GB2312" w:hint="eastAsia"/>
          <w:sz w:val="28"/>
          <w:szCs w:val="28"/>
        </w:rPr>
        <w:t>.。</w:t>
      </w:r>
    </w:p>
    <w:p w:rsidR="005F0F84" w:rsidRDefault="00817C63">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（二）政府性基金预算财政拨款支出决算具体情况</w:t>
      </w:r>
    </w:p>
    <w:p w:rsidR="005F0F84" w:rsidRDefault="004B6A65" w:rsidP="004B6A65">
      <w:pPr>
        <w:spacing w:line="580" w:lineRule="exact"/>
        <w:ind w:firstLineChars="200" w:firstLine="560"/>
        <w:rPr>
          <w:rFonts w:ascii="仿宋_GB2312" w:eastAsia="仿宋_GB2312"/>
          <w:sz w:val="28"/>
          <w:szCs w:val="28"/>
        </w:rPr>
      </w:pPr>
      <w:r w:rsidRPr="004B6A65">
        <w:rPr>
          <w:rFonts w:ascii="仿宋_GB2312" w:eastAsia="仿宋_GB2312" w:hint="eastAsia"/>
          <w:sz w:val="28"/>
          <w:szCs w:val="28"/>
        </w:rPr>
        <w:t>本年度无此项支出</w:t>
      </w:r>
      <w:r w:rsidR="00817C63">
        <w:rPr>
          <w:rFonts w:ascii="仿宋_GB2312" w:eastAsia="仿宋_GB2312" w:hint="eastAsia"/>
          <w:sz w:val="28"/>
          <w:szCs w:val="28"/>
        </w:rPr>
        <w:t>。</w:t>
      </w:r>
    </w:p>
    <w:p w:rsidR="005F0F84" w:rsidRDefault="00817C63" w:rsidP="00635485">
      <w:pPr>
        <w:spacing w:line="580" w:lineRule="exact"/>
        <w:ind w:firstLineChars="200" w:firstLine="562"/>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5F0F84" w:rsidRDefault="00817C63" w:rsidP="00635485">
      <w:pPr>
        <w:ind w:firstLineChars="192" w:firstLine="538"/>
        <w:rPr>
          <w:rFonts w:ascii="仿宋_GB2312" w:eastAsia="仿宋_GB2312"/>
          <w:sz w:val="28"/>
          <w:szCs w:val="28"/>
        </w:rPr>
      </w:pPr>
      <w:r>
        <w:rPr>
          <w:rFonts w:ascii="仿宋_GB2312" w:eastAsia="仿宋_GB2312" w:hint="eastAsia"/>
          <w:sz w:val="28"/>
          <w:szCs w:val="28"/>
        </w:rPr>
        <w:t>2025年度国有资本经营预算财政</w:t>
      </w:r>
      <w:r>
        <w:rPr>
          <w:rFonts w:ascii="仿宋_GB2312" w:eastAsia="仿宋_GB2312"/>
          <w:sz w:val="28"/>
          <w:szCs w:val="28"/>
        </w:rPr>
        <w:t>拨款</w:t>
      </w:r>
      <w:r>
        <w:rPr>
          <w:rFonts w:ascii="仿宋_GB2312" w:eastAsia="仿宋_GB2312" w:hint="eastAsia"/>
          <w:sz w:val="28"/>
          <w:szCs w:val="28"/>
        </w:rPr>
        <w:t>收入总</w:t>
      </w:r>
      <w:r>
        <w:rPr>
          <w:rFonts w:ascii="仿宋_GB2312" w:eastAsia="仿宋_GB2312"/>
          <w:sz w:val="28"/>
          <w:szCs w:val="28"/>
        </w:rPr>
        <w:t>计0</w:t>
      </w:r>
      <w:r>
        <w:rPr>
          <w:rFonts w:ascii="仿宋_GB2312" w:eastAsia="仿宋_GB2312" w:hint="eastAsia"/>
          <w:sz w:val="28"/>
          <w:szCs w:val="28"/>
        </w:rPr>
        <w:t>元，国有资本经营预算财政</w:t>
      </w:r>
      <w:r>
        <w:rPr>
          <w:rFonts w:ascii="仿宋_GB2312" w:eastAsia="仿宋_GB2312"/>
          <w:sz w:val="28"/>
          <w:szCs w:val="28"/>
        </w:rPr>
        <w:t>拨款</w:t>
      </w:r>
      <w:r>
        <w:rPr>
          <w:rFonts w:ascii="仿宋_GB2312" w:eastAsia="仿宋_GB2312" w:hint="eastAsia"/>
          <w:sz w:val="28"/>
          <w:szCs w:val="28"/>
        </w:rPr>
        <w:t>支出总</w:t>
      </w:r>
      <w:r>
        <w:rPr>
          <w:rFonts w:ascii="仿宋_GB2312" w:eastAsia="仿宋_GB2312"/>
          <w:sz w:val="28"/>
          <w:szCs w:val="28"/>
        </w:rPr>
        <w:t>计0</w:t>
      </w:r>
      <w:r>
        <w:rPr>
          <w:rFonts w:ascii="仿宋_GB2312" w:eastAsia="仿宋_GB2312" w:hint="eastAsia"/>
          <w:sz w:val="28"/>
          <w:szCs w:val="28"/>
        </w:rPr>
        <w:t>元。</w:t>
      </w:r>
    </w:p>
    <w:p w:rsidR="005F0F84" w:rsidRDefault="00817C63" w:rsidP="00635485">
      <w:pPr>
        <w:spacing w:line="580" w:lineRule="exact"/>
        <w:ind w:firstLineChars="196" w:firstLine="551"/>
        <w:rPr>
          <w:rFonts w:ascii="黑体" w:eastAsia="黑体"/>
          <w:sz w:val="28"/>
          <w:szCs w:val="28"/>
        </w:rPr>
      </w:pPr>
      <w:r>
        <w:rPr>
          <w:rFonts w:ascii="黑体" w:eastAsia="黑体" w:hint="eastAsia"/>
          <w:b/>
          <w:sz w:val="28"/>
          <w:szCs w:val="28"/>
        </w:rPr>
        <w:t>七、财政拨款基本支出决算情况说明</w:t>
      </w:r>
    </w:p>
    <w:p w:rsidR="005F0F84" w:rsidRDefault="00817C63" w:rsidP="00635485">
      <w:pPr>
        <w:tabs>
          <w:tab w:val="center" w:pos="6979"/>
        </w:tabs>
        <w:spacing w:line="580" w:lineRule="exact"/>
        <w:ind w:firstLineChars="196" w:firstLine="549"/>
        <w:rPr>
          <w:rFonts w:ascii="黑体" w:eastAsia="黑体"/>
          <w:b/>
          <w:sz w:val="28"/>
          <w:szCs w:val="28"/>
        </w:rPr>
      </w:pPr>
      <w:r>
        <w:rPr>
          <w:rFonts w:ascii="仿宋_GB2312" w:eastAsia="仿宋_GB2312" w:hint="eastAsia"/>
          <w:sz w:val="28"/>
          <w:szCs w:val="28"/>
        </w:rPr>
        <w:t>2025年度使用一般公共预算财政拨款安排基本支出</w:t>
      </w:r>
      <w:r w:rsidR="004B6A65" w:rsidRPr="004B6A65">
        <w:rPr>
          <w:rFonts w:ascii="仿宋_GB2312" w:eastAsia="仿宋_GB2312"/>
          <w:sz w:val="28"/>
          <w:szCs w:val="28"/>
        </w:rPr>
        <w:t>8,864,003.65</w:t>
      </w:r>
      <w:r>
        <w:rPr>
          <w:rFonts w:ascii="仿宋_GB2312" w:eastAsia="仿宋_GB2312" w:hint="eastAsia"/>
          <w:sz w:val="28"/>
          <w:szCs w:val="28"/>
        </w:rPr>
        <w:t>元，使用政府性基金财政拨款安排基本支出</w:t>
      </w:r>
      <w:r>
        <w:rPr>
          <w:rFonts w:ascii="仿宋_GB2312" w:eastAsia="仿宋_GB2312"/>
          <w:sz w:val="28"/>
          <w:szCs w:val="28"/>
        </w:rPr>
        <w:t>0</w:t>
      </w:r>
      <w:r>
        <w:rPr>
          <w:rFonts w:ascii="仿宋_GB2312" w:eastAsia="仿宋_GB2312" w:hint="eastAsia"/>
          <w:sz w:val="28"/>
          <w:szCs w:val="28"/>
        </w:rPr>
        <w:t>元，（1）工资福利支出包括基本工资</w:t>
      </w:r>
      <w:r>
        <w:rPr>
          <w:rFonts w:ascii="仿宋_GB2312" w:eastAsia="仿宋_GB2312"/>
          <w:sz w:val="28"/>
          <w:szCs w:val="28"/>
        </w:rPr>
        <w:t>、津贴补贴、奖金、伙食补助费、绩效工资、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；（2）商品和服务支出包括</w:t>
      </w:r>
      <w:r>
        <w:rPr>
          <w:rFonts w:ascii="仿宋_GB2312" w:eastAsia="仿宋_GB2312"/>
          <w:sz w:val="28"/>
          <w:szCs w:val="28"/>
        </w:rPr>
        <w:t>办公费、印刷费、手续费、水费、电费、邮电费、取暖费、物业管理费、差旅费、因公出</w:t>
      </w:r>
      <w:r>
        <w:rPr>
          <w:rFonts w:ascii="仿宋_GB2312" w:eastAsia="仿宋_GB2312"/>
          <w:sz w:val="28"/>
          <w:szCs w:val="28"/>
        </w:rPr>
        <w:lastRenderedPageBreak/>
        <w:t>国（境）费、维修（护）费、租赁费、会议费、培训费、公务接待费、专用材料费、劳务费、委托业务费、工会经费、福利费、公务用车运行维护费、其他交通费</w:t>
      </w:r>
      <w:r>
        <w:rPr>
          <w:rFonts w:ascii="仿宋_GB2312" w:eastAsia="仿宋_GB2312" w:hint="eastAsia"/>
          <w:sz w:val="28"/>
          <w:szCs w:val="28"/>
        </w:rPr>
        <w:t>用</w:t>
      </w:r>
      <w:r>
        <w:rPr>
          <w:rFonts w:ascii="仿宋_GB2312" w:eastAsia="仿宋_GB2312"/>
          <w:sz w:val="28"/>
          <w:szCs w:val="28"/>
        </w:rPr>
        <w:t>、其他商品和服务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；（3）对个人和家庭补助支出包括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。（4）其他资本性支出包括</w:t>
      </w:r>
      <w:r>
        <w:rPr>
          <w:rFonts w:ascii="仿宋_GB2312" w:eastAsia="仿宋_GB2312"/>
          <w:sz w:val="28"/>
          <w:szCs w:val="28"/>
        </w:rPr>
        <w:t>办公设备购置、专用设备购置</w:t>
      </w:r>
      <w:r>
        <w:rPr>
          <w:rFonts w:ascii="仿宋_GB2312" w:eastAsia="仿宋_GB2312" w:hint="eastAsia"/>
          <w:sz w:val="28"/>
          <w:szCs w:val="28"/>
        </w:rPr>
        <w:t>等</w:t>
      </w:r>
      <w:r>
        <w:rPr>
          <w:rFonts w:ascii="仿宋_GB2312" w:eastAsia="仿宋_GB2312"/>
          <w:sz w:val="28"/>
          <w:szCs w:val="28"/>
        </w:rPr>
        <w:t>。</w:t>
      </w:r>
    </w:p>
    <w:p w:rsidR="005F0F84" w:rsidRDefault="00817C63">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rsidR="005F0F84" w:rsidRDefault="00817C63">
      <w:pPr>
        <w:tabs>
          <w:tab w:val="center" w:pos="6979"/>
        </w:tabs>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2025年度</w:t>
      </w:r>
      <w:r>
        <w:rPr>
          <w:rFonts w:ascii="宋体" w:hAnsi="宋体" w:cs="宋体" w:hint="eastAsia"/>
          <w:b/>
          <w:spacing w:val="40"/>
          <w:kern w:val="0"/>
          <w:sz w:val="32"/>
          <w:szCs w:val="32"/>
        </w:rPr>
        <w:t>其他重要事项的情况说明</w:t>
      </w:r>
    </w:p>
    <w:p w:rsidR="005F0F84" w:rsidRDefault="00817C63">
      <w:pPr>
        <w:spacing w:line="560" w:lineRule="exact"/>
        <w:ind w:firstLineChars="200" w:firstLine="560"/>
        <w:rPr>
          <w:rFonts w:ascii="黑体" w:eastAsia="黑体"/>
          <w:sz w:val="28"/>
          <w:szCs w:val="28"/>
        </w:rPr>
      </w:pPr>
      <w:r>
        <w:rPr>
          <w:rFonts w:ascii="黑体" w:eastAsia="黑体" w:hint="eastAsia"/>
          <w:sz w:val="28"/>
          <w:szCs w:val="28"/>
        </w:rPr>
        <w:t>一、“三公”经费财政拨款决算情况</w:t>
      </w:r>
    </w:p>
    <w:p w:rsidR="004B6A65" w:rsidRPr="004B6A65" w:rsidRDefault="004B6A65" w:rsidP="004B6A65">
      <w:pPr>
        <w:spacing w:line="560" w:lineRule="exact"/>
        <w:ind w:firstLineChars="200" w:firstLine="560"/>
        <w:rPr>
          <w:rFonts w:ascii="仿宋_GB2312" w:eastAsia="仿宋_GB2312"/>
          <w:sz w:val="28"/>
          <w:szCs w:val="28"/>
        </w:rPr>
      </w:pPr>
      <w:r w:rsidRPr="004B6A65">
        <w:rPr>
          <w:rFonts w:ascii="仿宋_GB2312" w:eastAsia="仿宋_GB2312" w:hint="eastAsia"/>
          <w:sz w:val="28"/>
          <w:szCs w:val="28"/>
        </w:rPr>
        <w:t>2025年度"三公"经费财政拨款决算数4,995.75元，比2025年度"三公"经费财政拨款年初预算22,710元减少17,714.25元。其中：</w:t>
      </w:r>
    </w:p>
    <w:p w:rsidR="004B6A65" w:rsidRPr="004B6A65" w:rsidRDefault="004B6A65" w:rsidP="004B6A65">
      <w:pPr>
        <w:spacing w:line="560" w:lineRule="exact"/>
        <w:ind w:firstLineChars="200" w:firstLine="560"/>
        <w:rPr>
          <w:rFonts w:ascii="仿宋_GB2312" w:eastAsia="仿宋_GB2312"/>
          <w:sz w:val="28"/>
          <w:szCs w:val="28"/>
        </w:rPr>
      </w:pPr>
      <w:r w:rsidRPr="004B6A65">
        <w:rPr>
          <w:rFonts w:ascii="仿宋_GB2312" w:eastAsia="仿宋_GB2312" w:hint="eastAsia"/>
          <w:sz w:val="28"/>
          <w:szCs w:val="28"/>
        </w:rPr>
        <w:t>1.因公出国（境）费用。2025年度决算数0元，比2025年度年初预算数0元增加0元。2025年度组织因公出国（境）团组0个、0人次。</w:t>
      </w:r>
    </w:p>
    <w:p w:rsidR="004B6A65" w:rsidRPr="004B6A65" w:rsidRDefault="004B6A65" w:rsidP="004B6A65">
      <w:pPr>
        <w:spacing w:line="560" w:lineRule="exact"/>
        <w:ind w:firstLineChars="200" w:firstLine="560"/>
        <w:rPr>
          <w:rFonts w:ascii="仿宋_GB2312" w:eastAsia="仿宋_GB2312"/>
          <w:sz w:val="28"/>
          <w:szCs w:val="28"/>
        </w:rPr>
      </w:pPr>
      <w:r w:rsidRPr="004B6A65">
        <w:rPr>
          <w:rFonts w:ascii="仿宋_GB2312" w:eastAsia="仿宋_GB2312" w:hint="eastAsia"/>
          <w:sz w:val="28"/>
          <w:szCs w:val="28"/>
        </w:rPr>
        <w:t>2.公务接待费。2025年度决算数0元，比2025年度年初预算数4,710元减少4,710元。2025年度公务接待0批次，公务接待0人次。</w:t>
      </w:r>
    </w:p>
    <w:p w:rsidR="005F0F84" w:rsidRDefault="004B6A65" w:rsidP="004B6A65">
      <w:pPr>
        <w:spacing w:line="560" w:lineRule="exact"/>
        <w:ind w:firstLineChars="200" w:firstLine="560"/>
        <w:rPr>
          <w:rFonts w:ascii="仿宋_GB2312" w:eastAsia="仿宋_GB2312"/>
          <w:sz w:val="28"/>
          <w:szCs w:val="28"/>
        </w:rPr>
      </w:pPr>
      <w:r w:rsidRPr="004B6A65">
        <w:rPr>
          <w:rFonts w:ascii="仿宋_GB2312" w:eastAsia="仿宋_GB2312" w:hint="eastAsia"/>
          <w:sz w:val="28"/>
          <w:szCs w:val="28"/>
        </w:rPr>
        <w:t>3.公务用车购置及运行维护费。2025年度决算数4,995.75元，比2025年度年初预算数18,000元减少13,004.25元。其中，公务用车购置费2025年度决算数0元；公务用车运行维护费2025年度决算数4,995.75元，比年初预算减少13,004.25元，主要原因：减少不必要的公车经费支出。2025年度公务用车保有量1辆</w:t>
      </w:r>
      <w:r w:rsidR="00817C63">
        <w:rPr>
          <w:rFonts w:ascii="仿宋_GB2312" w:eastAsia="仿宋_GB2312" w:hint="eastAsia"/>
          <w:sz w:val="28"/>
          <w:szCs w:val="28"/>
        </w:rPr>
        <w:t>。</w:t>
      </w:r>
    </w:p>
    <w:p w:rsidR="005F0F84" w:rsidRDefault="00817C63">
      <w:pPr>
        <w:tabs>
          <w:tab w:val="center" w:pos="6979"/>
        </w:tabs>
        <w:ind w:firstLineChars="198" w:firstLine="554"/>
        <w:rPr>
          <w:rFonts w:ascii="黑体" w:eastAsia="黑体"/>
          <w:sz w:val="28"/>
          <w:szCs w:val="28"/>
        </w:rPr>
      </w:pPr>
      <w:r>
        <w:rPr>
          <w:rFonts w:ascii="黑体" w:eastAsia="黑体" w:hint="eastAsia"/>
          <w:sz w:val="28"/>
          <w:szCs w:val="28"/>
        </w:rPr>
        <w:lastRenderedPageBreak/>
        <w:t>二、机关运行经费支出情况</w:t>
      </w:r>
    </w:p>
    <w:p w:rsidR="005F0F84" w:rsidRDefault="004B6A65" w:rsidP="004B6A65">
      <w:pPr>
        <w:ind w:firstLineChars="192" w:firstLine="538"/>
        <w:rPr>
          <w:rFonts w:ascii="仿宋_GB2312" w:eastAsia="仿宋_GB2312"/>
          <w:sz w:val="28"/>
          <w:szCs w:val="28"/>
        </w:rPr>
      </w:pPr>
      <w:r w:rsidRPr="004B6A65">
        <w:rPr>
          <w:rFonts w:ascii="仿宋_GB2312" w:eastAsia="仿宋_GB2312" w:hint="eastAsia"/>
          <w:sz w:val="28"/>
          <w:szCs w:val="28"/>
        </w:rPr>
        <w:t>2025年度机关运行经费支出合计912,194.80元，比上年减少16,165.87元，下降1.7%，主要原因：落实厉行节约要求，压减日常公用经费支出</w:t>
      </w:r>
      <w:r w:rsidR="00817C63">
        <w:rPr>
          <w:rFonts w:ascii="仿宋_GB2312" w:eastAsia="仿宋_GB2312" w:hint="eastAsia"/>
          <w:sz w:val="28"/>
          <w:szCs w:val="28"/>
        </w:rPr>
        <w:t>。</w:t>
      </w:r>
    </w:p>
    <w:p w:rsidR="005F0F84" w:rsidRDefault="00817C63">
      <w:pPr>
        <w:ind w:left="540"/>
        <w:rPr>
          <w:rFonts w:ascii="黑体" w:eastAsia="黑体"/>
          <w:sz w:val="28"/>
          <w:szCs w:val="28"/>
        </w:rPr>
      </w:pPr>
      <w:r>
        <w:rPr>
          <w:rFonts w:ascii="黑体" w:eastAsia="黑体" w:hint="eastAsia"/>
          <w:sz w:val="28"/>
          <w:szCs w:val="28"/>
        </w:rPr>
        <w:t>三、政府采购支出情况</w:t>
      </w:r>
    </w:p>
    <w:p w:rsidR="005F0F84" w:rsidRDefault="004B6A65" w:rsidP="004B6A65">
      <w:pPr>
        <w:ind w:firstLineChars="192" w:firstLine="538"/>
        <w:rPr>
          <w:rFonts w:ascii="仿宋_GB2312" w:eastAsia="仿宋_GB2312"/>
          <w:sz w:val="28"/>
          <w:szCs w:val="28"/>
        </w:rPr>
      </w:pPr>
      <w:r w:rsidRPr="004B6A65">
        <w:rPr>
          <w:rFonts w:ascii="仿宋_GB2312" w:eastAsia="仿宋_GB2312" w:hint="eastAsia"/>
          <w:sz w:val="28"/>
          <w:szCs w:val="28"/>
        </w:rPr>
        <w:t>2025年度政府采购支出总额117,797.35元，其中：政府采购货物支出25,503元，政府采购工程支出0元，政府采购服务支出92,294.35元。授予中小企业合同金额117,797.35元，占政府采购支出总额的100%，其中：授予小</w:t>
      </w:r>
      <w:proofErr w:type="gramStart"/>
      <w:r w:rsidRPr="004B6A65">
        <w:rPr>
          <w:rFonts w:ascii="仿宋_GB2312" w:eastAsia="仿宋_GB2312" w:hint="eastAsia"/>
          <w:sz w:val="28"/>
          <w:szCs w:val="28"/>
        </w:rPr>
        <w:t>微企业</w:t>
      </w:r>
      <w:proofErr w:type="gramEnd"/>
      <w:r w:rsidRPr="004B6A65">
        <w:rPr>
          <w:rFonts w:ascii="仿宋_GB2312" w:eastAsia="仿宋_GB2312" w:hint="eastAsia"/>
          <w:sz w:val="28"/>
          <w:szCs w:val="28"/>
        </w:rPr>
        <w:t>合同金额117,797.35元，占政府采购支出总额的100%</w:t>
      </w:r>
      <w:r w:rsidR="00817C63">
        <w:rPr>
          <w:rFonts w:ascii="仿宋_GB2312" w:eastAsia="仿宋_GB2312" w:hint="eastAsia"/>
          <w:sz w:val="28"/>
          <w:szCs w:val="28"/>
        </w:rPr>
        <w:t>。</w:t>
      </w:r>
    </w:p>
    <w:p w:rsidR="005F0F84" w:rsidRDefault="00817C63">
      <w:pPr>
        <w:ind w:firstLineChars="200" w:firstLine="560"/>
        <w:rPr>
          <w:rFonts w:ascii="黑体" w:eastAsia="黑体"/>
          <w:sz w:val="28"/>
          <w:szCs w:val="28"/>
          <w:highlight w:val="yellow"/>
        </w:rPr>
      </w:pPr>
      <w:r>
        <w:rPr>
          <w:rFonts w:ascii="黑体" w:eastAsia="黑体" w:hint="eastAsia"/>
          <w:sz w:val="28"/>
          <w:szCs w:val="28"/>
        </w:rPr>
        <w:t>四、国有资产占用情况</w:t>
      </w:r>
    </w:p>
    <w:p w:rsidR="005F0F84" w:rsidRDefault="004B6A65" w:rsidP="004B6A65">
      <w:pPr>
        <w:ind w:firstLineChars="200" w:firstLine="560"/>
        <w:rPr>
          <w:rFonts w:ascii="仿宋_GB2312" w:eastAsia="仿宋_GB2312"/>
          <w:sz w:val="32"/>
          <w:szCs w:val="32"/>
        </w:rPr>
      </w:pPr>
      <w:r w:rsidRPr="004B6A65">
        <w:rPr>
          <w:rFonts w:ascii="仿宋_GB2312" w:eastAsia="仿宋_GB2312" w:hint="eastAsia"/>
          <w:sz w:val="28"/>
          <w:szCs w:val="28"/>
        </w:rPr>
        <w:t>截至12月31日，北京市门头沟区科学技术协会共有车辆1台；单位价值100元（含）以上的设备0台（套）</w:t>
      </w:r>
      <w:r w:rsidR="00817C63">
        <w:rPr>
          <w:rFonts w:ascii="仿宋_GB2312" w:eastAsia="仿宋_GB2312" w:hint="eastAsia"/>
          <w:sz w:val="28"/>
          <w:szCs w:val="28"/>
        </w:rPr>
        <w:t>。</w:t>
      </w:r>
    </w:p>
    <w:p w:rsidR="005F0F84" w:rsidRDefault="00817C63">
      <w:pPr>
        <w:ind w:firstLineChars="200" w:firstLine="560"/>
        <w:jc w:val="left"/>
        <w:rPr>
          <w:rFonts w:ascii="仿宋_GB2312" w:eastAsia="仿宋_GB2312"/>
          <w:color w:val="000000"/>
          <w:sz w:val="32"/>
          <w:szCs w:val="32"/>
        </w:rPr>
      </w:pPr>
      <w:r>
        <w:rPr>
          <w:rFonts w:ascii="黑体" w:eastAsia="黑体" w:hint="eastAsia"/>
          <w:sz w:val="28"/>
          <w:szCs w:val="28"/>
        </w:rPr>
        <w:t>五、</w:t>
      </w:r>
      <w:r>
        <w:rPr>
          <w:rFonts w:ascii="黑体" w:eastAsia="黑体"/>
          <w:sz w:val="28"/>
          <w:szCs w:val="28"/>
        </w:rPr>
        <w:t>专业名词解释</w:t>
      </w:r>
    </w:p>
    <w:p w:rsidR="005F0F84" w:rsidRDefault="00817C63">
      <w:pPr>
        <w:ind w:firstLineChars="200" w:firstLine="560"/>
        <w:rPr>
          <w:rFonts w:ascii="仿宋_GB2312" w:eastAsia="仿宋_GB2312"/>
          <w:sz w:val="28"/>
          <w:szCs w:val="28"/>
        </w:rPr>
      </w:pPr>
      <w:r>
        <w:rPr>
          <w:rFonts w:ascii="仿宋_GB2312" w:eastAsia="仿宋_GB2312" w:hint="eastAsia"/>
          <w:sz w:val="28"/>
          <w:szCs w:val="28"/>
        </w:rPr>
        <w:t>1.基本支出：指为保障机构正常运转、完成日常工作任务而发生的人员支出和公用支出。</w:t>
      </w:r>
    </w:p>
    <w:p w:rsidR="005F0F84" w:rsidRDefault="00817C63">
      <w:pPr>
        <w:ind w:firstLineChars="200" w:firstLine="560"/>
        <w:rPr>
          <w:rFonts w:ascii="仿宋_GB2312" w:eastAsia="仿宋_GB2312"/>
          <w:sz w:val="28"/>
          <w:szCs w:val="28"/>
        </w:rPr>
      </w:pPr>
      <w:r>
        <w:rPr>
          <w:rFonts w:ascii="仿宋_GB2312" w:eastAsia="仿宋_GB2312" w:hint="eastAsia"/>
          <w:sz w:val="28"/>
          <w:szCs w:val="28"/>
        </w:rPr>
        <w:t>2.项目支出：指在基本支出之外为完成特定行政任务或事业发展目标所发生的支出。</w:t>
      </w:r>
    </w:p>
    <w:p w:rsidR="005F0F84" w:rsidRDefault="00817C63">
      <w:pPr>
        <w:ind w:firstLineChars="200" w:firstLine="560"/>
        <w:rPr>
          <w:rFonts w:ascii="仿宋_GB2312" w:eastAsia="仿宋_GB2312"/>
          <w:sz w:val="28"/>
          <w:szCs w:val="28"/>
        </w:rPr>
      </w:pPr>
      <w:r>
        <w:rPr>
          <w:rFonts w:ascii="仿宋_GB2312" w:eastAsia="仿宋_GB2312" w:hint="eastAsia"/>
          <w:sz w:val="28"/>
          <w:szCs w:val="28"/>
        </w:rPr>
        <w:t>3.“三公”经费：是指单位通过财政拨款资金安排的因公出国（境）费、公务用车购置及运行费和公务接待费。</w:t>
      </w:r>
    </w:p>
    <w:p w:rsidR="005F0F84" w:rsidRDefault="00817C63">
      <w:pPr>
        <w:ind w:firstLineChars="200" w:firstLine="560"/>
      </w:pPr>
      <w:r>
        <w:rPr>
          <w:rFonts w:ascii="仿宋_GB2312" w:eastAsia="仿宋_GB2312" w:hint="eastAsia"/>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rsidR="005F0F84" w:rsidRDefault="00817C63">
      <w:pPr>
        <w:ind w:firstLineChars="200" w:firstLine="560"/>
        <w:rPr>
          <w:rFonts w:ascii="仿宋_GB2312" w:eastAsia="仿宋_GB2312"/>
          <w:sz w:val="28"/>
          <w:szCs w:val="28"/>
        </w:rPr>
      </w:pPr>
      <w:r>
        <w:rPr>
          <w:rFonts w:ascii="仿宋_GB2312" w:eastAsia="仿宋_GB2312" w:hint="eastAsia"/>
          <w:sz w:val="28"/>
          <w:szCs w:val="28"/>
        </w:rPr>
        <w:lastRenderedPageBreak/>
        <w:t>5.政府采购：指各级国家机关、事业单位和团体组织，使用财政性资金采购依法制定的集中目录以内的或者采购限额标准以上的货物、工程和服务的行为，是规范财政支出管理和强化预算约束的有效措施。</w:t>
      </w:r>
    </w:p>
    <w:p w:rsidR="005F0F84" w:rsidRDefault="00817C63" w:rsidP="00E3269D">
      <w:pPr>
        <w:ind w:firstLineChars="200" w:firstLine="560"/>
        <w:rPr>
          <w:rFonts w:ascii="仿宋_GB2312" w:eastAsia="仿宋_GB2312"/>
          <w:sz w:val="28"/>
          <w:szCs w:val="28"/>
        </w:rPr>
      </w:pPr>
      <w:r>
        <w:rPr>
          <w:rFonts w:ascii="仿宋_GB2312" w:eastAsia="仿宋_GB2312" w:hint="eastAsia"/>
          <w:sz w:val="28"/>
          <w:szCs w:val="28"/>
        </w:rPr>
        <w:t>6.</w:t>
      </w:r>
      <w:r w:rsidR="004B6A65" w:rsidRPr="00684698">
        <w:rPr>
          <w:rFonts w:ascii="仿宋_GB2312" w:eastAsia="仿宋_GB2312" w:hint="eastAsia"/>
          <w:sz w:val="28"/>
          <w:szCs w:val="28"/>
        </w:rPr>
        <w:t>全民科普素养提升计划：科学素质是公民素质的重要组成部分。公民具备基本科学素质一般指了解必要的科学技术知识，掌握基本的科学方法，树立科学思想，崇尚科学精神，并具有一定的应用它们处理实际问题、参与公共事务的能力。提高公民科学素质，对于增强公民获取和运用科技知识的能力、改善生活质量、实现全面发展，对于提高国家自主创新能力、建设创新型国家、实现经济社会全面协调可持续发展、构建社会主义和谐社会，都具有十分重要的意义</w:t>
      </w:r>
    </w:p>
    <w:p w:rsidR="005F0F84" w:rsidRDefault="005F0F84">
      <w:pPr>
        <w:rPr>
          <w:rFonts w:ascii="黑体" w:eastAsia="黑体"/>
          <w:sz w:val="32"/>
          <w:szCs w:val="32"/>
        </w:rPr>
      </w:pPr>
    </w:p>
    <w:p w:rsidR="005F0F84" w:rsidRDefault="005F0F84">
      <w:pPr>
        <w:tabs>
          <w:tab w:val="center" w:pos="6979"/>
        </w:tabs>
        <w:spacing w:line="380" w:lineRule="exact"/>
        <w:jc w:val="center"/>
        <w:rPr>
          <w:rFonts w:ascii="宋体" w:hAnsi="宋体" w:cs="宋体"/>
          <w:b/>
          <w:bCs/>
          <w:kern w:val="0"/>
          <w:sz w:val="28"/>
          <w:szCs w:val="28"/>
        </w:rPr>
      </w:pPr>
    </w:p>
    <w:p w:rsidR="005F0F84" w:rsidRDefault="005F0F84">
      <w:pPr>
        <w:tabs>
          <w:tab w:val="center" w:pos="6979"/>
        </w:tabs>
        <w:spacing w:line="380" w:lineRule="exact"/>
        <w:jc w:val="center"/>
        <w:rPr>
          <w:rFonts w:ascii="宋体" w:hAnsi="宋体" w:cs="宋体"/>
          <w:b/>
          <w:bCs/>
          <w:kern w:val="0"/>
          <w:sz w:val="28"/>
          <w:szCs w:val="28"/>
        </w:rPr>
      </w:pPr>
    </w:p>
    <w:p w:rsidR="005F0F84" w:rsidRDefault="005F0F84">
      <w:pPr>
        <w:rPr>
          <w:rFonts w:ascii="黑体" w:eastAsia="黑体"/>
          <w:sz w:val="32"/>
          <w:szCs w:val="32"/>
        </w:rPr>
      </w:pPr>
    </w:p>
    <w:p w:rsidR="005F0F84" w:rsidRDefault="005F0F84">
      <w:pPr>
        <w:ind w:firstLineChars="200" w:firstLine="640"/>
        <w:jc w:val="center"/>
        <w:rPr>
          <w:rFonts w:ascii="黑体" w:eastAsia="黑体"/>
          <w:sz w:val="32"/>
          <w:szCs w:val="32"/>
        </w:rPr>
      </w:pPr>
    </w:p>
    <w:p w:rsidR="005F0F84" w:rsidRDefault="00817C63" w:rsidP="00635485">
      <w:pPr>
        <w:tabs>
          <w:tab w:val="center" w:pos="6979"/>
        </w:tabs>
        <w:spacing w:line="580" w:lineRule="exact"/>
        <w:ind w:firstLineChars="200" w:firstLine="723"/>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t>第四部分2025年度部门绩效评价情况</w:t>
      </w:r>
    </w:p>
    <w:p w:rsidR="005F0F84" w:rsidRDefault="005F0F84">
      <w:pPr>
        <w:tabs>
          <w:tab w:val="center" w:pos="6979"/>
        </w:tabs>
        <w:spacing w:line="580" w:lineRule="exact"/>
        <w:ind w:firstLineChars="200" w:firstLine="560"/>
        <w:jc w:val="center"/>
        <w:rPr>
          <w:rFonts w:ascii="华文中宋" w:eastAsia="华文中宋" w:hAnsi="华文中宋"/>
          <w:sz w:val="28"/>
          <w:szCs w:val="28"/>
        </w:rPr>
      </w:pPr>
    </w:p>
    <w:p w:rsidR="005F0F84" w:rsidRDefault="00817C63">
      <w:pPr>
        <w:spacing w:line="580" w:lineRule="exact"/>
        <w:ind w:firstLineChars="200" w:firstLine="640"/>
        <w:rPr>
          <w:rFonts w:ascii="黑体" w:eastAsia="黑体" w:hAnsi="黑体"/>
          <w:sz w:val="32"/>
          <w:szCs w:val="32"/>
        </w:rPr>
      </w:pPr>
      <w:r>
        <w:rPr>
          <w:rFonts w:ascii="黑体" w:eastAsia="黑体" w:hint="eastAsia"/>
          <w:sz w:val="32"/>
          <w:szCs w:val="32"/>
        </w:rPr>
        <w:t xml:space="preserve"> </w:t>
      </w:r>
      <w:r>
        <w:rPr>
          <w:rFonts w:ascii="黑体" w:eastAsia="黑体" w:hAnsi="黑体" w:hint="eastAsia"/>
          <w:sz w:val="32"/>
          <w:szCs w:val="32"/>
        </w:rPr>
        <w:t>一、部门整体绩效评价报告</w:t>
      </w:r>
    </w:p>
    <w:p w:rsidR="005F0F84" w:rsidRDefault="00817C63">
      <w:pPr>
        <w:spacing w:line="580" w:lineRule="exact"/>
        <w:ind w:firstLine="640"/>
        <w:rPr>
          <w:rFonts w:ascii="楷体_GB2312" w:eastAsia="楷体_GB2312" w:hAnsi="Calibri"/>
          <w:b/>
          <w:sz w:val="32"/>
          <w:szCs w:val="32"/>
        </w:rPr>
      </w:pPr>
      <w:r>
        <w:rPr>
          <w:rFonts w:ascii="楷体_GB2312" w:eastAsia="楷体_GB2312" w:hint="eastAsia"/>
          <w:b/>
          <w:sz w:val="32"/>
          <w:szCs w:val="32"/>
        </w:rPr>
        <w:t>（一）部门概况</w:t>
      </w:r>
    </w:p>
    <w:p w:rsidR="005F0F84" w:rsidRDefault="00817C63">
      <w:pPr>
        <w:spacing w:line="580" w:lineRule="exact"/>
        <w:ind w:firstLine="640"/>
        <w:rPr>
          <w:rFonts w:ascii="仿宋_GB2312" w:eastAsia="仿宋_GB2312"/>
          <w:sz w:val="32"/>
          <w:szCs w:val="32"/>
        </w:rPr>
      </w:pPr>
      <w:bookmarkStart w:id="0" w:name="_Toc268005755"/>
      <w:r>
        <w:rPr>
          <w:rFonts w:ascii="仿宋_GB2312" w:eastAsia="仿宋_GB2312" w:hint="eastAsia"/>
          <w:sz w:val="32"/>
          <w:szCs w:val="32"/>
        </w:rPr>
        <w:t>1.部门职责情况</w:t>
      </w:r>
    </w:p>
    <w:p w:rsidR="0018695A" w:rsidRDefault="0018695A">
      <w:pPr>
        <w:spacing w:line="580" w:lineRule="exact"/>
        <w:ind w:firstLine="640"/>
        <w:rPr>
          <w:rFonts w:ascii="仿宋_GB2312" w:eastAsia="仿宋_GB2312"/>
          <w:sz w:val="32"/>
          <w:szCs w:val="32"/>
        </w:rPr>
      </w:pPr>
      <w:r>
        <w:rPr>
          <w:rFonts w:ascii="仿宋_GB2312" w:eastAsia="仿宋_GB2312" w:hint="eastAsia"/>
          <w:sz w:val="32"/>
          <w:szCs w:val="32"/>
        </w:rPr>
        <w:lastRenderedPageBreak/>
        <w:t>（</w:t>
      </w:r>
      <w:r w:rsidRPr="0018695A">
        <w:rPr>
          <w:rFonts w:ascii="仿宋_GB2312" w:eastAsia="仿宋_GB2312" w:hint="eastAsia"/>
          <w:sz w:val="32"/>
          <w:szCs w:val="32"/>
        </w:rPr>
        <w:t>见第二部分"一、部门基本情况"）</w:t>
      </w:r>
    </w:p>
    <w:p w:rsidR="005F0F84" w:rsidRDefault="00817C63">
      <w:pPr>
        <w:spacing w:line="580" w:lineRule="exact"/>
        <w:ind w:firstLine="640"/>
        <w:rPr>
          <w:rFonts w:ascii="仿宋_GB2312" w:eastAsia="仿宋_GB2312"/>
          <w:sz w:val="32"/>
          <w:szCs w:val="32"/>
        </w:rPr>
      </w:pPr>
      <w:r>
        <w:rPr>
          <w:rFonts w:ascii="仿宋_GB2312" w:eastAsia="仿宋_GB2312" w:hint="eastAsia"/>
          <w:sz w:val="32"/>
          <w:szCs w:val="32"/>
        </w:rPr>
        <w:t>2.部门机构设置情况</w:t>
      </w:r>
    </w:p>
    <w:p w:rsidR="0018695A" w:rsidRDefault="0018695A" w:rsidP="0018695A">
      <w:pPr>
        <w:spacing w:line="580" w:lineRule="exact"/>
        <w:ind w:firstLine="641"/>
        <w:rPr>
          <w:rFonts w:ascii="仿宋_GB2312" w:eastAsia="仿宋_GB2312"/>
          <w:sz w:val="32"/>
          <w:szCs w:val="32"/>
        </w:rPr>
      </w:pPr>
      <w:r w:rsidRPr="0018695A">
        <w:rPr>
          <w:rFonts w:ascii="仿宋_GB2312" w:eastAsia="仿宋_GB2312" w:hint="eastAsia"/>
          <w:sz w:val="32"/>
          <w:szCs w:val="32"/>
        </w:rPr>
        <w:t>（见第二部分"一、部门基本情况"）</w:t>
      </w:r>
      <w:r>
        <w:rPr>
          <w:rFonts w:ascii="仿宋_GB2312" w:eastAsia="仿宋_GB2312" w:hint="eastAsia"/>
          <w:sz w:val="32"/>
          <w:szCs w:val="32"/>
        </w:rPr>
        <w:t xml:space="preserve">                                  </w:t>
      </w:r>
    </w:p>
    <w:p w:rsidR="005F0F84" w:rsidRDefault="00817C63" w:rsidP="0018695A">
      <w:pPr>
        <w:spacing w:line="580" w:lineRule="exact"/>
        <w:ind w:firstLine="640"/>
        <w:rPr>
          <w:rFonts w:ascii="仿宋_GB2312" w:eastAsia="仿宋_GB2312"/>
          <w:sz w:val="32"/>
          <w:szCs w:val="32"/>
        </w:rPr>
      </w:pPr>
      <w:r>
        <w:rPr>
          <w:rFonts w:ascii="仿宋_GB2312" w:eastAsia="仿宋_GB2312" w:hint="eastAsia"/>
          <w:sz w:val="32"/>
          <w:szCs w:val="32"/>
        </w:rPr>
        <w:t>3.2025年主要工作任务</w:t>
      </w:r>
    </w:p>
    <w:p w:rsidR="0018695A" w:rsidRDefault="0018695A">
      <w:pPr>
        <w:spacing w:line="580" w:lineRule="exact"/>
        <w:ind w:firstLine="640"/>
        <w:rPr>
          <w:rFonts w:ascii="仿宋_GB2312" w:eastAsia="仿宋_GB2312"/>
          <w:sz w:val="32"/>
          <w:szCs w:val="32"/>
        </w:rPr>
      </w:pPr>
      <w:bookmarkStart w:id="1" w:name="_Toc268005759"/>
      <w:bookmarkStart w:id="2" w:name="_Toc263686375"/>
      <w:bookmarkEnd w:id="0"/>
      <w:r w:rsidRPr="0018695A">
        <w:rPr>
          <w:rFonts w:ascii="仿宋_GB2312" w:eastAsia="仿宋_GB2312" w:hint="eastAsia"/>
          <w:sz w:val="32"/>
          <w:szCs w:val="32"/>
        </w:rPr>
        <w:t>区科协全面贯彻落实党的"二十大"及历次全会精神和全民科学素质行动计划纲要精神，以习近平总书记在我区考察灾后恢复重建重要讲话精神为指导，紧紧围绕区委、区政府及北京市科协的中心工作，充分发挥科协联系科技工作者及基层学、协会的桥梁纽带作用，认真完成了2025年工作任务</w:t>
      </w:r>
      <w:r>
        <w:rPr>
          <w:rFonts w:ascii="仿宋_GB2312" w:eastAsia="仿宋_GB2312" w:hint="eastAsia"/>
          <w:sz w:val="32"/>
          <w:szCs w:val="32"/>
        </w:rPr>
        <w:t>。</w:t>
      </w:r>
    </w:p>
    <w:p w:rsidR="005F0F84" w:rsidRDefault="00817C63">
      <w:pPr>
        <w:spacing w:line="580" w:lineRule="exact"/>
        <w:ind w:firstLine="640"/>
        <w:rPr>
          <w:rFonts w:ascii="仿宋_GB2312" w:eastAsia="仿宋_GB2312"/>
          <w:sz w:val="32"/>
          <w:szCs w:val="32"/>
        </w:rPr>
      </w:pPr>
      <w:r>
        <w:rPr>
          <w:rFonts w:ascii="仿宋_GB2312" w:eastAsia="仿宋_GB2312" w:hint="eastAsia"/>
          <w:sz w:val="32"/>
          <w:szCs w:val="32"/>
        </w:rPr>
        <w:t>4.部门</w:t>
      </w:r>
      <w:bookmarkEnd w:id="1"/>
      <w:r>
        <w:rPr>
          <w:rFonts w:ascii="仿宋_GB2312" w:eastAsia="仿宋_GB2312" w:hint="eastAsia"/>
          <w:sz w:val="32"/>
          <w:szCs w:val="32"/>
        </w:rPr>
        <w:t>整体绩效目标设立情况</w:t>
      </w:r>
    </w:p>
    <w:tbl>
      <w:tblPr>
        <w:tblW w:w="5000" w:type="pct"/>
        <w:tblLayout w:type="fixed"/>
        <w:tblLook w:val="04A0" w:firstRow="1" w:lastRow="0" w:firstColumn="1" w:lastColumn="0" w:noHBand="0" w:noVBand="1"/>
      </w:tblPr>
      <w:tblGrid>
        <w:gridCol w:w="569"/>
        <w:gridCol w:w="4075"/>
        <w:gridCol w:w="3830"/>
        <w:gridCol w:w="4108"/>
        <w:gridCol w:w="1133"/>
        <w:gridCol w:w="1071"/>
      </w:tblGrid>
      <w:tr w:rsidR="0018695A" w:rsidTr="0018695A">
        <w:trPr>
          <w:trHeight w:val="275"/>
        </w:trPr>
        <w:tc>
          <w:tcPr>
            <w:tcW w:w="192" w:type="pct"/>
            <w:tcBorders>
              <w:top w:val="single" w:sz="4" w:space="0" w:color="auto"/>
              <w:left w:val="single" w:sz="4" w:space="0" w:color="auto"/>
              <w:bottom w:val="single" w:sz="4" w:space="0" w:color="auto"/>
              <w:right w:val="single" w:sz="4" w:space="0" w:color="auto"/>
            </w:tcBorders>
            <w:noWrap/>
            <w:vAlign w:val="bottom"/>
          </w:tcPr>
          <w:p w:rsidR="005F0F84" w:rsidRDefault="00817C63">
            <w:pPr>
              <w:spacing w:line="520" w:lineRule="exact"/>
              <w:jc w:val="center"/>
              <w:rPr>
                <w:rFonts w:ascii="仿宋_GB2312" w:eastAsia="仿宋_GB2312"/>
                <w:sz w:val="28"/>
                <w:szCs w:val="28"/>
              </w:rPr>
            </w:pPr>
            <w:r>
              <w:rPr>
                <w:rFonts w:ascii="仿宋_GB2312" w:eastAsia="仿宋_GB2312" w:hint="eastAsia"/>
                <w:sz w:val="28"/>
                <w:szCs w:val="28"/>
              </w:rPr>
              <w:t>序号</w:t>
            </w:r>
          </w:p>
        </w:tc>
        <w:tc>
          <w:tcPr>
            <w:tcW w:w="1378" w:type="pct"/>
            <w:tcBorders>
              <w:top w:val="single" w:sz="4" w:space="0" w:color="auto"/>
              <w:left w:val="nil"/>
              <w:bottom w:val="single" w:sz="4" w:space="0" w:color="auto"/>
              <w:right w:val="single" w:sz="4" w:space="0" w:color="auto"/>
            </w:tcBorders>
            <w:noWrap/>
            <w:vAlign w:val="bottom"/>
          </w:tcPr>
          <w:p w:rsidR="005F0F84" w:rsidRDefault="00817C63">
            <w:pPr>
              <w:spacing w:line="520" w:lineRule="exact"/>
              <w:jc w:val="center"/>
              <w:rPr>
                <w:rFonts w:ascii="仿宋_GB2312" w:eastAsia="仿宋_GB2312"/>
                <w:sz w:val="28"/>
                <w:szCs w:val="28"/>
              </w:rPr>
            </w:pPr>
            <w:r>
              <w:rPr>
                <w:rFonts w:ascii="仿宋_GB2312" w:eastAsia="仿宋_GB2312" w:hint="eastAsia"/>
                <w:sz w:val="28"/>
                <w:szCs w:val="28"/>
              </w:rPr>
              <w:t>三级指标</w:t>
            </w:r>
          </w:p>
        </w:tc>
        <w:tc>
          <w:tcPr>
            <w:tcW w:w="1295" w:type="pct"/>
            <w:tcBorders>
              <w:top w:val="single" w:sz="4" w:space="0" w:color="auto"/>
              <w:left w:val="nil"/>
              <w:bottom w:val="single" w:sz="4" w:space="0" w:color="auto"/>
              <w:right w:val="single" w:sz="4" w:space="0" w:color="auto"/>
            </w:tcBorders>
            <w:noWrap/>
            <w:vAlign w:val="bottom"/>
          </w:tcPr>
          <w:p w:rsidR="005F0F84" w:rsidRDefault="00817C63">
            <w:pPr>
              <w:spacing w:line="520" w:lineRule="exact"/>
              <w:jc w:val="center"/>
              <w:rPr>
                <w:rFonts w:ascii="仿宋_GB2312" w:eastAsia="仿宋_GB2312"/>
                <w:sz w:val="28"/>
                <w:szCs w:val="28"/>
              </w:rPr>
            </w:pPr>
            <w:r>
              <w:rPr>
                <w:rFonts w:ascii="仿宋_GB2312" w:eastAsia="仿宋_GB2312" w:hint="eastAsia"/>
                <w:sz w:val="28"/>
                <w:szCs w:val="28"/>
              </w:rPr>
              <w:t>指标性质</w:t>
            </w:r>
          </w:p>
        </w:tc>
        <w:tc>
          <w:tcPr>
            <w:tcW w:w="1389" w:type="pct"/>
            <w:tcBorders>
              <w:top w:val="single" w:sz="4" w:space="0" w:color="auto"/>
              <w:left w:val="nil"/>
              <w:bottom w:val="single" w:sz="4" w:space="0" w:color="auto"/>
              <w:right w:val="single" w:sz="4" w:space="0" w:color="auto"/>
            </w:tcBorders>
            <w:noWrap/>
            <w:vAlign w:val="bottom"/>
          </w:tcPr>
          <w:p w:rsidR="005F0F84" w:rsidRDefault="00817C63">
            <w:pPr>
              <w:spacing w:line="520" w:lineRule="exact"/>
              <w:jc w:val="center"/>
              <w:rPr>
                <w:rFonts w:ascii="仿宋_GB2312" w:eastAsia="仿宋_GB2312"/>
                <w:sz w:val="28"/>
                <w:szCs w:val="28"/>
              </w:rPr>
            </w:pPr>
            <w:r>
              <w:rPr>
                <w:rFonts w:ascii="仿宋_GB2312" w:eastAsia="仿宋_GB2312" w:hint="eastAsia"/>
                <w:sz w:val="28"/>
                <w:szCs w:val="28"/>
              </w:rPr>
              <w:t>指标值</w:t>
            </w:r>
          </w:p>
        </w:tc>
        <w:tc>
          <w:tcPr>
            <w:tcW w:w="383" w:type="pct"/>
            <w:tcBorders>
              <w:top w:val="single" w:sz="4" w:space="0" w:color="auto"/>
              <w:left w:val="nil"/>
              <w:bottom w:val="single" w:sz="4" w:space="0" w:color="auto"/>
              <w:right w:val="single" w:sz="4" w:space="0" w:color="auto"/>
            </w:tcBorders>
          </w:tcPr>
          <w:p w:rsidR="005F0F84" w:rsidRDefault="00817C63">
            <w:pPr>
              <w:spacing w:line="520" w:lineRule="exact"/>
              <w:jc w:val="center"/>
              <w:rPr>
                <w:rFonts w:ascii="仿宋_GB2312" w:eastAsia="仿宋_GB2312"/>
                <w:sz w:val="28"/>
                <w:szCs w:val="28"/>
              </w:rPr>
            </w:pPr>
            <w:r>
              <w:rPr>
                <w:rFonts w:ascii="仿宋_GB2312" w:eastAsia="仿宋_GB2312" w:hint="eastAsia"/>
                <w:sz w:val="28"/>
                <w:szCs w:val="28"/>
              </w:rPr>
              <w:t>度量单位</w:t>
            </w:r>
          </w:p>
        </w:tc>
        <w:tc>
          <w:tcPr>
            <w:tcW w:w="362" w:type="pct"/>
            <w:tcBorders>
              <w:top w:val="single" w:sz="4" w:space="0" w:color="auto"/>
              <w:left w:val="nil"/>
              <w:bottom w:val="single" w:sz="4" w:space="0" w:color="auto"/>
              <w:right w:val="single" w:sz="4" w:space="0" w:color="auto"/>
            </w:tcBorders>
          </w:tcPr>
          <w:p w:rsidR="005F0F84" w:rsidRDefault="00817C63">
            <w:pPr>
              <w:spacing w:line="520" w:lineRule="exact"/>
              <w:jc w:val="center"/>
              <w:rPr>
                <w:rFonts w:ascii="仿宋_GB2312" w:eastAsia="仿宋_GB2312"/>
                <w:sz w:val="28"/>
                <w:szCs w:val="28"/>
              </w:rPr>
            </w:pPr>
            <w:r>
              <w:rPr>
                <w:rFonts w:ascii="仿宋_GB2312" w:eastAsia="仿宋_GB2312" w:hint="eastAsia"/>
                <w:sz w:val="28"/>
                <w:szCs w:val="28"/>
              </w:rPr>
              <w:t>指标权重</w:t>
            </w:r>
          </w:p>
        </w:tc>
      </w:tr>
      <w:tr w:rsidR="0018695A" w:rsidTr="0018695A">
        <w:trPr>
          <w:trHeight w:val="275"/>
        </w:trPr>
        <w:tc>
          <w:tcPr>
            <w:tcW w:w="192" w:type="pct"/>
            <w:tcBorders>
              <w:top w:val="nil"/>
              <w:left w:val="single" w:sz="4" w:space="0" w:color="auto"/>
              <w:bottom w:val="single" w:sz="4" w:space="0" w:color="auto"/>
              <w:right w:val="single" w:sz="4" w:space="0" w:color="auto"/>
            </w:tcBorders>
            <w:noWrap/>
            <w:vAlign w:val="bottom"/>
          </w:tcPr>
          <w:p w:rsidR="0018695A" w:rsidRDefault="0018695A">
            <w:pPr>
              <w:spacing w:line="520" w:lineRule="exact"/>
              <w:jc w:val="center"/>
              <w:rPr>
                <w:rFonts w:ascii="仿宋_GB2312" w:eastAsia="仿宋_GB2312"/>
                <w:sz w:val="28"/>
                <w:szCs w:val="28"/>
              </w:rPr>
            </w:pPr>
            <w:r>
              <w:rPr>
                <w:rFonts w:ascii="仿宋_GB2312" w:eastAsia="仿宋_GB2312" w:hint="eastAsia"/>
                <w:sz w:val="28"/>
                <w:szCs w:val="28"/>
              </w:rPr>
              <w:t>1</w:t>
            </w:r>
          </w:p>
        </w:tc>
        <w:tc>
          <w:tcPr>
            <w:tcW w:w="1378" w:type="pct"/>
            <w:tcBorders>
              <w:top w:val="nil"/>
              <w:left w:val="nil"/>
              <w:bottom w:val="single" w:sz="4" w:space="0" w:color="auto"/>
              <w:right w:val="single" w:sz="4" w:space="0" w:color="auto"/>
            </w:tcBorders>
            <w:noWrap/>
            <w:vAlign w:val="center"/>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sz w:val="28"/>
                <w:szCs w:val="28"/>
              </w:rPr>
              <w:br/>
              <w:t>弘扬科学精神，普及科学知识，开展青少年科技教育活动</w:t>
            </w:r>
          </w:p>
        </w:tc>
        <w:tc>
          <w:tcPr>
            <w:tcW w:w="1295" w:type="pct"/>
            <w:tcBorders>
              <w:top w:val="nil"/>
              <w:left w:val="nil"/>
              <w:bottom w:val="single" w:sz="4" w:space="0" w:color="auto"/>
              <w:right w:val="single" w:sz="4" w:space="0" w:color="auto"/>
            </w:tcBorders>
            <w:noWrap/>
            <w:vAlign w:val="center"/>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sz w:val="28"/>
                <w:szCs w:val="28"/>
              </w:rPr>
              <w:t>定性</w:t>
            </w:r>
          </w:p>
        </w:tc>
        <w:tc>
          <w:tcPr>
            <w:tcW w:w="1389" w:type="pct"/>
            <w:tcBorders>
              <w:top w:val="nil"/>
              <w:left w:val="nil"/>
              <w:bottom w:val="single" w:sz="4" w:space="0" w:color="auto"/>
              <w:right w:val="single" w:sz="4" w:space="0" w:color="auto"/>
            </w:tcBorders>
            <w:noWrap/>
            <w:vAlign w:val="center"/>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sz w:val="28"/>
                <w:szCs w:val="28"/>
              </w:rPr>
              <w:t>组织科普讲座与活动，提升居民科学文化素质</w:t>
            </w:r>
          </w:p>
        </w:tc>
        <w:tc>
          <w:tcPr>
            <w:tcW w:w="383" w:type="pct"/>
            <w:tcBorders>
              <w:top w:val="nil"/>
              <w:left w:val="nil"/>
              <w:bottom w:val="single" w:sz="4" w:space="0" w:color="auto"/>
              <w:right w:val="single" w:sz="4" w:space="0" w:color="auto"/>
            </w:tcBorders>
            <w:vAlign w:val="center"/>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sz w:val="28"/>
                <w:szCs w:val="28"/>
              </w:rPr>
              <w:t>项</w:t>
            </w:r>
          </w:p>
        </w:tc>
        <w:tc>
          <w:tcPr>
            <w:tcW w:w="362" w:type="pct"/>
            <w:tcBorders>
              <w:top w:val="nil"/>
              <w:left w:val="nil"/>
              <w:bottom w:val="single" w:sz="4" w:space="0" w:color="auto"/>
              <w:right w:val="single" w:sz="4" w:space="0" w:color="auto"/>
            </w:tcBorders>
            <w:vAlign w:val="center"/>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sz w:val="28"/>
                <w:szCs w:val="28"/>
              </w:rPr>
              <w:t>15</w:t>
            </w:r>
          </w:p>
        </w:tc>
      </w:tr>
      <w:tr w:rsidR="0018695A" w:rsidTr="0018695A">
        <w:trPr>
          <w:trHeight w:val="275"/>
        </w:trPr>
        <w:tc>
          <w:tcPr>
            <w:tcW w:w="192" w:type="pct"/>
            <w:tcBorders>
              <w:top w:val="nil"/>
              <w:left w:val="single" w:sz="4" w:space="0" w:color="auto"/>
              <w:bottom w:val="single" w:sz="4" w:space="0" w:color="auto"/>
              <w:right w:val="single" w:sz="4" w:space="0" w:color="auto"/>
            </w:tcBorders>
            <w:noWrap/>
            <w:vAlign w:val="bottom"/>
          </w:tcPr>
          <w:p w:rsidR="0018695A" w:rsidRDefault="0018695A">
            <w:pPr>
              <w:spacing w:line="520" w:lineRule="exact"/>
              <w:jc w:val="center"/>
              <w:rPr>
                <w:rFonts w:ascii="仿宋_GB2312" w:eastAsia="仿宋_GB2312"/>
                <w:sz w:val="28"/>
                <w:szCs w:val="28"/>
              </w:rPr>
            </w:pPr>
            <w:r>
              <w:rPr>
                <w:rFonts w:ascii="仿宋_GB2312" w:eastAsia="仿宋_GB2312" w:hint="eastAsia"/>
                <w:sz w:val="28"/>
                <w:szCs w:val="28"/>
              </w:rPr>
              <w:t>2</w:t>
            </w:r>
          </w:p>
        </w:tc>
        <w:tc>
          <w:tcPr>
            <w:tcW w:w="1378" w:type="pct"/>
            <w:tcBorders>
              <w:top w:val="nil"/>
              <w:left w:val="nil"/>
              <w:bottom w:val="single" w:sz="4" w:space="0" w:color="auto"/>
              <w:right w:val="single" w:sz="4" w:space="0" w:color="auto"/>
            </w:tcBorders>
            <w:noWrap/>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开展科学论证、咨询服务、科技成果转化、科技协作</w:t>
            </w:r>
          </w:p>
        </w:tc>
        <w:tc>
          <w:tcPr>
            <w:tcW w:w="1295" w:type="pct"/>
            <w:tcBorders>
              <w:top w:val="nil"/>
              <w:left w:val="nil"/>
              <w:bottom w:val="single" w:sz="4" w:space="0" w:color="auto"/>
              <w:right w:val="single" w:sz="4" w:space="0" w:color="auto"/>
            </w:tcBorders>
            <w:noWrap/>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定性</w:t>
            </w:r>
          </w:p>
        </w:tc>
        <w:tc>
          <w:tcPr>
            <w:tcW w:w="1389" w:type="pct"/>
            <w:tcBorders>
              <w:top w:val="nil"/>
              <w:left w:val="nil"/>
              <w:bottom w:val="single" w:sz="4" w:space="0" w:color="auto"/>
              <w:right w:val="single" w:sz="4" w:space="0" w:color="auto"/>
            </w:tcBorders>
            <w:noWrap/>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开展农村科普、青少年科普工作</w:t>
            </w:r>
          </w:p>
        </w:tc>
        <w:tc>
          <w:tcPr>
            <w:tcW w:w="383" w:type="pct"/>
            <w:tcBorders>
              <w:top w:val="nil"/>
              <w:left w:val="nil"/>
              <w:bottom w:val="single" w:sz="4" w:space="0" w:color="auto"/>
              <w:right w:val="single" w:sz="4" w:space="0" w:color="auto"/>
            </w:tcBorders>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项</w:t>
            </w:r>
          </w:p>
        </w:tc>
        <w:tc>
          <w:tcPr>
            <w:tcW w:w="362" w:type="pct"/>
            <w:tcBorders>
              <w:top w:val="nil"/>
              <w:left w:val="nil"/>
              <w:bottom w:val="single" w:sz="4" w:space="0" w:color="auto"/>
              <w:right w:val="single" w:sz="4" w:space="0" w:color="auto"/>
            </w:tcBorders>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15</w:t>
            </w:r>
          </w:p>
        </w:tc>
      </w:tr>
      <w:tr w:rsidR="0018695A" w:rsidRPr="0018695A" w:rsidTr="0018695A">
        <w:trPr>
          <w:trHeight w:val="275"/>
        </w:trPr>
        <w:tc>
          <w:tcPr>
            <w:tcW w:w="192" w:type="pct"/>
            <w:tcBorders>
              <w:top w:val="nil"/>
              <w:left w:val="single" w:sz="4" w:space="0" w:color="auto"/>
              <w:bottom w:val="single" w:sz="4" w:space="0" w:color="auto"/>
              <w:right w:val="single" w:sz="4" w:space="0" w:color="auto"/>
            </w:tcBorders>
            <w:noWrap/>
            <w:vAlign w:val="bottom"/>
          </w:tcPr>
          <w:p w:rsidR="0018695A" w:rsidRDefault="0018695A">
            <w:pPr>
              <w:spacing w:line="520" w:lineRule="exact"/>
              <w:jc w:val="center"/>
              <w:rPr>
                <w:rFonts w:ascii="仿宋_GB2312" w:eastAsia="仿宋_GB2312"/>
                <w:sz w:val="28"/>
                <w:szCs w:val="28"/>
              </w:rPr>
            </w:pPr>
            <w:r>
              <w:rPr>
                <w:rFonts w:ascii="仿宋_GB2312" w:eastAsia="仿宋_GB2312" w:hint="eastAsia"/>
                <w:sz w:val="28"/>
                <w:szCs w:val="28"/>
              </w:rPr>
              <w:t>3</w:t>
            </w:r>
          </w:p>
        </w:tc>
        <w:tc>
          <w:tcPr>
            <w:tcW w:w="1378" w:type="pct"/>
            <w:tcBorders>
              <w:top w:val="nil"/>
              <w:left w:val="nil"/>
              <w:bottom w:val="single" w:sz="4" w:space="0" w:color="auto"/>
              <w:right w:val="single" w:sz="4" w:space="0" w:color="auto"/>
            </w:tcBorders>
            <w:noWrap/>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提高科学文化素质，为科技发展提供交流平台，促进成果转化</w:t>
            </w:r>
          </w:p>
        </w:tc>
        <w:tc>
          <w:tcPr>
            <w:tcW w:w="1295" w:type="pct"/>
            <w:tcBorders>
              <w:top w:val="nil"/>
              <w:left w:val="nil"/>
              <w:bottom w:val="single" w:sz="4" w:space="0" w:color="auto"/>
              <w:right w:val="single" w:sz="4" w:space="0" w:color="auto"/>
            </w:tcBorders>
            <w:noWrap/>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定性</w:t>
            </w:r>
          </w:p>
        </w:tc>
        <w:tc>
          <w:tcPr>
            <w:tcW w:w="1389" w:type="pct"/>
            <w:tcBorders>
              <w:top w:val="nil"/>
              <w:left w:val="nil"/>
              <w:bottom w:val="single" w:sz="4" w:space="0" w:color="auto"/>
              <w:right w:val="single" w:sz="4" w:space="0" w:color="auto"/>
            </w:tcBorders>
            <w:noWrap/>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打造科普活动品牌，开展大型科普专项活动</w:t>
            </w:r>
          </w:p>
        </w:tc>
        <w:tc>
          <w:tcPr>
            <w:tcW w:w="383" w:type="pct"/>
            <w:tcBorders>
              <w:top w:val="nil"/>
              <w:left w:val="nil"/>
              <w:bottom w:val="single" w:sz="4" w:space="0" w:color="auto"/>
              <w:right w:val="single" w:sz="4" w:space="0" w:color="auto"/>
            </w:tcBorders>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项</w:t>
            </w:r>
          </w:p>
        </w:tc>
        <w:tc>
          <w:tcPr>
            <w:tcW w:w="362" w:type="pct"/>
            <w:tcBorders>
              <w:top w:val="nil"/>
              <w:left w:val="nil"/>
              <w:bottom w:val="single" w:sz="4" w:space="0" w:color="auto"/>
              <w:right w:val="single" w:sz="4" w:space="0" w:color="auto"/>
            </w:tcBorders>
          </w:tcPr>
          <w:p w:rsidR="0018695A" w:rsidRPr="0018695A" w:rsidRDefault="0018695A" w:rsidP="0018695A">
            <w:pPr>
              <w:spacing w:line="520" w:lineRule="exact"/>
              <w:jc w:val="center"/>
              <w:rPr>
                <w:rFonts w:ascii="仿宋_GB2312" w:eastAsia="仿宋_GB2312"/>
                <w:sz w:val="28"/>
                <w:szCs w:val="28"/>
              </w:rPr>
            </w:pPr>
            <w:r w:rsidRPr="0018695A">
              <w:rPr>
                <w:rFonts w:ascii="仿宋_GB2312" w:eastAsia="仿宋_GB2312" w:hint="eastAsia"/>
                <w:sz w:val="28"/>
                <w:szCs w:val="28"/>
              </w:rPr>
              <w:t>30</w:t>
            </w:r>
          </w:p>
        </w:tc>
      </w:tr>
      <w:tr w:rsidR="0018695A" w:rsidTr="0018695A">
        <w:trPr>
          <w:trHeight w:val="275"/>
        </w:trPr>
        <w:tc>
          <w:tcPr>
            <w:tcW w:w="192" w:type="pct"/>
            <w:tcBorders>
              <w:top w:val="nil"/>
              <w:left w:val="single" w:sz="4" w:space="0" w:color="auto"/>
              <w:bottom w:val="single" w:sz="4" w:space="0" w:color="auto"/>
              <w:right w:val="single" w:sz="4" w:space="0" w:color="auto"/>
            </w:tcBorders>
            <w:noWrap/>
            <w:vAlign w:val="bottom"/>
          </w:tcPr>
          <w:p w:rsidR="005F0F84" w:rsidRDefault="00817C63">
            <w:pPr>
              <w:spacing w:line="520" w:lineRule="exact"/>
              <w:jc w:val="center"/>
              <w:rPr>
                <w:rFonts w:ascii="仿宋_GB2312" w:eastAsia="仿宋_GB2312"/>
                <w:sz w:val="28"/>
                <w:szCs w:val="28"/>
              </w:rPr>
            </w:pPr>
            <w:r>
              <w:rPr>
                <w:rFonts w:ascii="仿宋_GB2312" w:eastAsia="仿宋_GB2312" w:hint="eastAsia"/>
                <w:sz w:val="28"/>
                <w:szCs w:val="28"/>
              </w:rPr>
              <w:lastRenderedPageBreak/>
              <w:t>……</w:t>
            </w:r>
          </w:p>
        </w:tc>
        <w:tc>
          <w:tcPr>
            <w:tcW w:w="1378" w:type="pct"/>
            <w:tcBorders>
              <w:top w:val="nil"/>
              <w:left w:val="nil"/>
              <w:bottom w:val="single" w:sz="4" w:space="0" w:color="auto"/>
              <w:right w:val="single" w:sz="4" w:space="0" w:color="auto"/>
            </w:tcBorders>
            <w:noWrap/>
            <w:vAlign w:val="bottom"/>
          </w:tcPr>
          <w:p w:rsidR="005F0F84" w:rsidRDefault="00817C63">
            <w:pPr>
              <w:spacing w:line="520" w:lineRule="exact"/>
              <w:ind w:firstLine="640"/>
              <w:rPr>
                <w:rFonts w:ascii="仿宋_GB2312" w:eastAsia="仿宋_GB2312"/>
                <w:sz w:val="28"/>
                <w:szCs w:val="28"/>
              </w:rPr>
            </w:pPr>
            <w:r>
              <w:rPr>
                <w:rFonts w:ascii="仿宋_GB2312" w:eastAsia="仿宋_GB2312" w:hint="eastAsia"/>
                <w:sz w:val="28"/>
                <w:szCs w:val="28"/>
              </w:rPr>
              <w:t xml:space="preserve">　</w:t>
            </w:r>
          </w:p>
        </w:tc>
        <w:tc>
          <w:tcPr>
            <w:tcW w:w="1295" w:type="pct"/>
            <w:tcBorders>
              <w:top w:val="nil"/>
              <w:left w:val="nil"/>
              <w:bottom w:val="single" w:sz="4" w:space="0" w:color="auto"/>
              <w:right w:val="single" w:sz="4" w:space="0" w:color="auto"/>
            </w:tcBorders>
            <w:noWrap/>
            <w:vAlign w:val="bottom"/>
          </w:tcPr>
          <w:p w:rsidR="005F0F84" w:rsidRDefault="00817C63">
            <w:pPr>
              <w:spacing w:line="520" w:lineRule="exact"/>
              <w:ind w:firstLine="640"/>
              <w:rPr>
                <w:rFonts w:ascii="仿宋_GB2312" w:eastAsia="仿宋_GB2312"/>
                <w:sz w:val="28"/>
                <w:szCs w:val="28"/>
              </w:rPr>
            </w:pPr>
            <w:r>
              <w:rPr>
                <w:rFonts w:ascii="仿宋_GB2312" w:eastAsia="仿宋_GB2312" w:hint="eastAsia"/>
                <w:sz w:val="28"/>
                <w:szCs w:val="28"/>
              </w:rPr>
              <w:t xml:space="preserve">　</w:t>
            </w:r>
          </w:p>
        </w:tc>
        <w:tc>
          <w:tcPr>
            <w:tcW w:w="1389" w:type="pct"/>
            <w:tcBorders>
              <w:top w:val="nil"/>
              <w:left w:val="nil"/>
              <w:bottom w:val="single" w:sz="4" w:space="0" w:color="auto"/>
              <w:right w:val="single" w:sz="4" w:space="0" w:color="auto"/>
            </w:tcBorders>
            <w:noWrap/>
            <w:vAlign w:val="bottom"/>
          </w:tcPr>
          <w:p w:rsidR="005F0F84" w:rsidRDefault="00817C63">
            <w:pPr>
              <w:spacing w:line="520" w:lineRule="exact"/>
              <w:ind w:firstLine="640"/>
              <w:rPr>
                <w:rFonts w:ascii="仿宋_GB2312" w:eastAsia="仿宋_GB2312"/>
                <w:sz w:val="28"/>
                <w:szCs w:val="28"/>
              </w:rPr>
            </w:pPr>
            <w:r>
              <w:rPr>
                <w:rFonts w:ascii="仿宋_GB2312" w:eastAsia="仿宋_GB2312" w:hint="eastAsia"/>
                <w:sz w:val="28"/>
                <w:szCs w:val="28"/>
              </w:rPr>
              <w:t xml:space="preserve">　</w:t>
            </w:r>
          </w:p>
        </w:tc>
        <w:tc>
          <w:tcPr>
            <w:tcW w:w="383" w:type="pct"/>
            <w:tcBorders>
              <w:top w:val="nil"/>
              <w:left w:val="nil"/>
              <w:bottom w:val="single" w:sz="4" w:space="0" w:color="auto"/>
              <w:right w:val="single" w:sz="4" w:space="0" w:color="auto"/>
            </w:tcBorders>
          </w:tcPr>
          <w:p w:rsidR="005F0F84" w:rsidRDefault="005F0F84">
            <w:pPr>
              <w:spacing w:line="520" w:lineRule="exact"/>
              <w:ind w:firstLine="640"/>
              <w:rPr>
                <w:rFonts w:ascii="仿宋_GB2312" w:eastAsia="仿宋_GB2312"/>
                <w:sz w:val="28"/>
                <w:szCs w:val="28"/>
              </w:rPr>
            </w:pPr>
          </w:p>
        </w:tc>
        <w:tc>
          <w:tcPr>
            <w:tcW w:w="362" w:type="pct"/>
            <w:tcBorders>
              <w:top w:val="nil"/>
              <w:left w:val="nil"/>
              <w:bottom w:val="single" w:sz="4" w:space="0" w:color="auto"/>
              <w:right w:val="single" w:sz="4" w:space="0" w:color="auto"/>
            </w:tcBorders>
          </w:tcPr>
          <w:p w:rsidR="005F0F84" w:rsidRDefault="005F0F84">
            <w:pPr>
              <w:spacing w:line="520" w:lineRule="exact"/>
              <w:ind w:firstLine="640"/>
              <w:rPr>
                <w:rFonts w:ascii="仿宋_GB2312" w:eastAsia="仿宋_GB2312"/>
                <w:sz w:val="28"/>
                <w:szCs w:val="28"/>
              </w:rPr>
            </w:pPr>
          </w:p>
        </w:tc>
      </w:tr>
    </w:tbl>
    <w:p w:rsidR="005F0F84" w:rsidRDefault="00817C63">
      <w:pPr>
        <w:spacing w:line="580" w:lineRule="exact"/>
        <w:ind w:firstLine="641"/>
        <w:rPr>
          <w:rFonts w:ascii="楷体_GB2312" w:eastAsia="楷体_GB2312" w:hAnsi="Calibri"/>
          <w:b/>
          <w:sz w:val="32"/>
          <w:szCs w:val="32"/>
        </w:rPr>
      </w:pPr>
      <w:bookmarkStart w:id="3" w:name="_Toc268005761"/>
      <w:r>
        <w:rPr>
          <w:rFonts w:ascii="楷体_GB2312" w:eastAsia="楷体_GB2312" w:hint="eastAsia"/>
          <w:b/>
          <w:sz w:val="32"/>
          <w:szCs w:val="32"/>
        </w:rPr>
        <w:t>(二)当年预算执行情况</w:t>
      </w:r>
      <w:bookmarkEnd w:id="3"/>
      <w:r>
        <w:rPr>
          <w:rFonts w:ascii="仿宋_GB2312" w:eastAsia="仿宋_GB2312" w:hint="eastAsia"/>
          <w:sz w:val="32"/>
          <w:szCs w:val="32"/>
        </w:rPr>
        <w:t xml:space="preserve">  </w:t>
      </w:r>
    </w:p>
    <w:p w:rsidR="000C461B" w:rsidRPr="000C461B" w:rsidRDefault="000C461B" w:rsidP="000C461B">
      <w:pPr>
        <w:spacing w:line="580" w:lineRule="exact"/>
        <w:ind w:firstLine="641"/>
        <w:rPr>
          <w:rFonts w:ascii="仿宋_GB2312" w:eastAsia="仿宋_GB2312"/>
          <w:sz w:val="32"/>
          <w:szCs w:val="32"/>
        </w:rPr>
      </w:pPr>
      <w:r w:rsidRPr="000C461B">
        <w:rPr>
          <w:rFonts w:ascii="仿宋_GB2312" w:eastAsia="仿宋_GB2312" w:hint="eastAsia"/>
          <w:sz w:val="32"/>
          <w:szCs w:val="32"/>
        </w:rPr>
        <w:t>2025年全年预算数10,145,936.47元，其中：基本支出预算数8,864,003.65元，项目支出预算数1,281,932.82元。全年支出10,145,936.47元，其中：基本支出8,864,003.65元，项目支出1,281,932.82元。预算执行率为100%。</w:t>
      </w:r>
    </w:p>
    <w:p w:rsidR="000C461B" w:rsidRDefault="000C461B" w:rsidP="000C461B">
      <w:pPr>
        <w:spacing w:line="580" w:lineRule="exact"/>
        <w:ind w:firstLine="641"/>
        <w:rPr>
          <w:rFonts w:ascii="仿宋_GB2312" w:eastAsia="仿宋_GB2312"/>
          <w:sz w:val="32"/>
          <w:szCs w:val="32"/>
        </w:rPr>
      </w:pPr>
      <w:r w:rsidRPr="000C461B">
        <w:rPr>
          <w:rFonts w:ascii="仿宋_GB2312" w:eastAsia="仿宋_GB2312" w:hint="eastAsia"/>
          <w:sz w:val="32"/>
          <w:szCs w:val="32"/>
        </w:rPr>
        <w:t>2025年年末结转结余资金总额为0元，全年支出预算数为10,145,936.47元，资金结转结余率为0%；2024年年末结转结余资金总额为0元，全年支出预算数为10,065,141.22元，资金结转结余率为0%；2025年度部门结转结余率较上一年持平</w:t>
      </w:r>
      <w:r>
        <w:rPr>
          <w:rFonts w:ascii="仿宋_GB2312" w:eastAsia="仿宋_GB2312" w:hint="eastAsia"/>
          <w:sz w:val="32"/>
          <w:szCs w:val="32"/>
        </w:rPr>
        <w:t>。</w:t>
      </w:r>
    </w:p>
    <w:p w:rsidR="005F0F84" w:rsidRDefault="00817C63" w:rsidP="000C461B">
      <w:pPr>
        <w:spacing w:line="580" w:lineRule="exact"/>
        <w:ind w:firstLine="641"/>
        <w:rPr>
          <w:rFonts w:ascii="楷体_GB2312" w:eastAsia="楷体_GB2312"/>
          <w:b/>
          <w:sz w:val="32"/>
          <w:szCs w:val="32"/>
        </w:rPr>
      </w:pPr>
      <w:r>
        <w:rPr>
          <w:rFonts w:ascii="楷体_GB2312" w:eastAsia="楷体_GB2312" w:hint="eastAsia"/>
          <w:b/>
          <w:sz w:val="32"/>
          <w:szCs w:val="32"/>
        </w:rPr>
        <w:t>（三）整体绩效目标实现情况</w:t>
      </w:r>
    </w:p>
    <w:p w:rsidR="005F0F84" w:rsidRDefault="00817C63">
      <w:pPr>
        <w:spacing w:line="580" w:lineRule="exact"/>
        <w:ind w:firstLine="641"/>
        <w:rPr>
          <w:rFonts w:ascii="仿宋_GB2312" w:eastAsia="仿宋_GB2312"/>
          <w:sz w:val="32"/>
          <w:szCs w:val="32"/>
        </w:rPr>
      </w:pPr>
      <w:r>
        <w:rPr>
          <w:rFonts w:ascii="仿宋_GB2312" w:eastAsia="仿宋_GB2312" w:hint="eastAsia"/>
          <w:sz w:val="32"/>
          <w:szCs w:val="32"/>
        </w:rPr>
        <w:t>1.产出完成情况分析</w:t>
      </w:r>
    </w:p>
    <w:p w:rsidR="005F0F84" w:rsidRDefault="00817C63">
      <w:pPr>
        <w:spacing w:line="580" w:lineRule="exact"/>
        <w:ind w:firstLine="641"/>
        <w:rPr>
          <w:rFonts w:ascii="仿宋_GB2312" w:eastAsia="仿宋_GB2312"/>
          <w:sz w:val="32"/>
          <w:szCs w:val="32"/>
        </w:rPr>
      </w:pPr>
      <w:r>
        <w:rPr>
          <w:rFonts w:ascii="仿宋_GB2312" w:eastAsia="仿宋_GB2312" w:hint="eastAsia"/>
          <w:sz w:val="32"/>
          <w:szCs w:val="32"/>
        </w:rPr>
        <w:t>（1）产出数量</w:t>
      </w:r>
    </w:p>
    <w:tbl>
      <w:tblPr>
        <w:tblW w:w="0" w:type="auto"/>
        <w:tblInd w:w="108" w:type="dxa"/>
        <w:tblLook w:val="04A0" w:firstRow="1" w:lastRow="0" w:firstColumn="1" w:lastColumn="0" w:noHBand="0" w:noVBand="1"/>
      </w:tblPr>
      <w:tblGrid>
        <w:gridCol w:w="840"/>
        <w:gridCol w:w="5429"/>
        <w:gridCol w:w="5175"/>
        <w:gridCol w:w="1936"/>
        <w:gridCol w:w="1298"/>
      </w:tblGrid>
      <w:tr w:rsidR="000C461B" w:rsidTr="000C461B">
        <w:trPr>
          <w:trHeight w:val="510"/>
        </w:trPr>
        <w:tc>
          <w:tcPr>
            <w:tcW w:w="0" w:type="auto"/>
            <w:tcBorders>
              <w:top w:val="single" w:sz="4" w:space="0" w:color="auto"/>
              <w:left w:val="single" w:sz="4" w:space="0" w:color="auto"/>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序号</w:t>
            </w:r>
          </w:p>
        </w:tc>
        <w:tc>
          <w:tcPr>
            <w:tcW w:w="0" w:type="auto"/>
            <w:tcBorders>
              <w:top w:val="single" w:sz="4" w:space="0" w:color="auto"/>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三级指标</w:t>
            </w:r>
          </w:p>
        </w:tc>
        <w:tc>
          <w:tcPr>
            <w:tcW w:w="0" w:type="auto"/>
            <w:tcBorders>
              <w:top w:val="single" w:sz="4" w:space="0" w:color="auto"/>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计划值</w:t>
            </w:r>
          </w:p>
        </w:tc>
        <w:tc>
          <w:tcPr>
            <w:tcW w:w="0" w:type="auto"/>
            <w:tcBorders>
              <w:top w:val="single" w:sz="4" w:space="0" w:color="auto"/>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完成值</w:t>
            </w:r>
          </w:p>
        </w:tc>
        <w:tc>
          <w:tcPr>
            <w:tcW w:w="0" w:type="auto"/>
            <w:tcBorders>
              <w:top w:val="single" w:sz="4" w:space="0" w:color="auto"/>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偏差原因</w:t>
            </w:r>
          </w:p>
        </w:tc>
      </w:tr>
      <w:tr w:rsidR="000C461B" w:rsidTr="000C461B">
        <w:trPr>
          <w:trHeight w:val="510"/>
        </w:trPr>
        <w:tc>
          <w:tcPr>
            <w:tcW w:w="0" w:type="auto"/>
            <w:tcBorders>
              <w:top w:val="nil"/>
              <w:left w:val="single" w:sz="4" w:space="0" w:color="auto"/>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1</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弘扬科学精神，开展青少年科技教育活动</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组织科普讲座与活动，提升居民科学素质</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12个项目完成</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无</w:t>
            </w:r>
          </w:p>
        </w:tc>
      </w:tr>
      <w:tr w:rsidR="000C461B" w:rsidTr="000C461B">
        <w:trPr>
          <w:trHeight w:val="510"/>
        </w:trPr>
        <w:tc>
          <w:tcPr>
            <w:tcW w:w="0" w:type="auto"/>
            <w:tcBorders>
              <w:top w:val="nil"/>
              <w:left w:val="single" w:sz="4" w:space="0" w:color="auto"/>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lastRenderedPageBreak/>
              <w:t>2</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开展科学论证、咨询服务、科技协作</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开展农村科普、青少年科普工作</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100%完成</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无</w:t>
            </w:r>
          </w:p>
        </w:tc>
      </w:tr>
      <w:tr w:rsidR="000C461B" w:rsidTr="000C461B">
        <w:trPr>
          <w:trHeight w:val="510"/>
        </w:trPr>
        <w:tc>
          <w:tcPr>
            <w:tcW w:w="0" w:type="auto"/>
            <w:tcBorders>
              <w:top w:val="nil"/>
              <w:left w:val="single" w:sz="4" w:space="0" w:color="auto"/>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3</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提高科学文化素质，为科技发展提供交流平台</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打造科普活动品牌，开展大型科普专项活动</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100%完成</w:t>
            </w:r>
          </w:p>
        </w:tc>
        <w:tc>
          <w:tcPr>
            <w:tcW w:w="0" w:type="auto"/>
            <w:tcBorders>
              <w:top w:val="nil"/>
              <w:left w:val="nil"/>
              <w:bottom w:val="single" w:sz="4" w:space="0" w:color="auto"/>
              <w:right w:val="single" w:sz="4" w:space="0" w:color="auto"/>
            </w:tcBorders>
          </w:tcPr>
          <w:p w:rsidR="000C461B" w:rsidRPr="000C461B" w:rsidRDefault="000C461B" w:rsidP="00BF7CF2">
            <w:pPr>
              <w:rPr>
                <w:rFonts w:ascii="仿宋_GB2312" w:eastAsia="仿宋_GB2312"/>
                <w:sz w:val="32"/>
                <w:szCs w:val="32"/>
              </w:rPr>
            </w:pPr>
            <w:r w:rsidRPr="000C461B">
              <w:rPr>
                <w:rFonts w:ascii="仿宋_GB2312" w:eastAsia="仿宋_GB2312" w:hint="eastAsia"/>
                <w:sz w:val="32"/>
                <w:szCs w:val="32"/>
              </w:rPr>
              <w:t>无</w:t>
            </w:r>
          </w:p>
        </w:tc>
      </w:tr>
      <w:tr w:rsidR="005F0F84" w:rsidTr="000C461B">
        <w:trPr>
          <w:trHeight w:val="510"/>
        </w:trPr>
        <w:tc>
          <w:tcPr>
            <w:tcW w:w="0" w:type="auto"/>
            <w:tcBorders>
              <w:top w:val="nil"/>
              <w:left w:val="single" w:sz="4" w:space="0" w:color="auto"/>
              <w:bottom w:val="single" w:sz="4" w:space="0" w:color="auto"/>
              <w:right w:val="single" w:sz="4" w:space="0" w:color="auto"/>
            </w:tcBorders>
            <w:vAlign w:val="center"/>
          </w:tcPr>
          <w:p w:rsidR="005F0F84" w:rsidRDefault="00817C63">
            <w:pPr>
              <w:spacing w:line="520" w:lineRule="exact"/>
              <w:jc w:val="center"/>
              <w:rPr>
                <w:rFonts w:ascii="仿宋_GB2312" w:eastAsia="仿宋_GB2312"/>
                <w:sz w:val="28"/>
                <w:szCs w:val="28"/>
              </w:rPr>
            </w:pPr>
            <w:r>
              <w:rPr>
                <w:rFonts w:ascii="仿宋_GB2312" w:eastAsia="仿宋_GB2312" w:hint="eastAsia"/>
                <w:sz w:val="28"/>
                <w:szCs w:val="28"/>
              </w:rPr>
              <w:t>……</w:t>
            </w:r>
          </w:p>
        </w:tc>
        <w:tc>
          <w:tcPr>
            <w:tcW w:w="0" w:type="auto"/>
            <w:tcBorders>
              <w:top w:val="nil"/>
              <w:left w:val="nil"/>
              <w:bottom w:val="single" w:sz="4" w:space="0" w:color="auto"/>
              <w:right w:val="single" w:sz="4" w:space="0" w:color="auto"/>
            </w:tcBorders>
            <w:vAlign w:val="center"/>
          </w:tcPr>
          <w:p w:rsidR="005F0F84" w:rsidRDefault="00817C63">
            <w:pPr>
              <w:spacing w:line="520" w:lineRule="exact"/>
              <w:ind w:firstLine="640"/>
              <w:rPr>
                <w:rFonts w:ascii="仿宋_GB2312" w:eastAsia="仿宋_GB2312"/>
                <w:sz w:val="28"/>
                <w:szCs w:val="28"/>
              </w:rPr>
            </w:pPr>
            <w:r>
              <w:rPr>
                <w:rFonts w:ascii="仿宋_GB2312" w:eastAsia="仿宋_GB2312" w:hint="eastAsia"/>
                <w:sz w:val="28"/>
                <w:szCs w:val="28"/>
              </w:rPr>
              <w:t xml:space="preserve">　</w:t>
            </w:r>
          </w:p>
        </w:tc>
        <w:tc>
          <w:tcPr>
            <w:tcW w:w="0" w:type="auto"/>
            <w:tcBorders>
              <w:top w:val="nil"/>
              <w:left w:val="nil"/>
              <w:bottom w:val="single" w:sz="4" w:space="0" w:color="auto"/>
              <w:right w:val="single" w:sz="4" w:space="0" w:color="auto"/>
            </w:tcBorders>
            <w:vAlign w:val="center"/>
          </w:tcPr>
          <w:p w:rsidR="005F0F84" w:rsidRDefault="00817C63">
            <w:pPr>
              <w:spacing w:line="520" w:lineRule="exact"/>
              <w:ind w:firstLine="640"/>
              <w:rPr>
                <w:rFonts w:ascii="仿宋_GB2312" w:eastAsia="仿宋_GB2312"/>
                <w:sz w:val="28"/>
                <w:szCs w:val="28"/>
              </w:rPr>
            </w:pPr>
            <w:r>
              <w:rPr>
                <w:rFonts w:ascii="仿宋_GB2312" w:eastAsia="仿宋_GB2312" w:hint="eastAsia"/>
                <w:sz w:val="28"/>
                <w:szCs w:val="28"/>
              </w:rPr>
              <w:t xml:space="preserve">　</w:t>
            </w:r>
          </w:p>
        </w:tc>
        <w:tc>
          <w:tcPr>
            <w:tcW w:w="0" w:type="auto"/>
            <w:tcBorders>
              <w:top w:val="nil"/>
              <w:left w:val="nil"/>
              <w:bottom w:val="single" w:sz="4" w:space="0" w:color="auto"/>
              <w:right w:val="single" w:sz="4" w:space="0" w:color="auto"/>
            </w:tcBorders>
            <w:vAlign w:val="center"/>
          </w:tcPr>
          <w:p w:rsidR="005F0F84" w:rsidRDefault="00817C63">
            <w:pPr>
              <w:spacing w:line="520" w:lineRule="exact"/>
              <w:ind w:firstLine="640"/>
              <w:rPr>
                <w:rFonts w:ascii="仿宋_GB2312" w:eastAsia="仿宋_GB2312"/>
                <w:sz w:val="28"/>
                <w:szCs w:val="28"/>
              </w:rPr>
            </w:pPr>
            <w:r>
              <w:rPr>
                <w:rFonts w:ascii="仿宋_GB2312" w:eastAsia="仿宋_GB2312" w:hint="eastAsia"/>
                <w:sz w:val="28"/>
                <w:szCs w:val="28"/>
              </w:rPr>
              <w:t xml:space="preserve">　</w:t>
            </w:r>
          </w:p>
        </w:tc>
        <w:tc>
          <w:tcPr>
            <w:tcW w:w="0" w:type="auto"/>
            <w:tcBorders>
              <w:top w:val="nil"/>
              <w:left w:val="nil"/>
              <w:bottom w:val="single" w:sz="4" w:space="0" w:color="auto"/>
              <w:right w:val="single" w:sz="4" w:space="0" w:color="auto"/>
            </w:tcBorders>
            <w:vAlign w:val="center"/>
          </w:tcPr>
          <w:p w:rsidR="005F0F84" w:rsidRDefault="00817C63">
            <w:pPr>
              <w:spacing w:line="520" w:lineRule="exact"/>
              <w:ind w:firstLine="640"/>
              <w:rPr>
                <w:rFonts w:ascii="仿宋_GB2312" w:eastAsia="仿宋_GB2312"/>
                <w:sz w:val="28"/>
                <w:szCs w:val="28"/>
              </w:rPr>
            </w:pPr>
            <w:r>
              <w:rPr>
                <w:rFonts w:ascii="仿宋_GB2312" w:eastAsia="仿宋_GB2312" w:hint="eastAsia"/>
                <w:sz w:val="28"/>
                <w:szCs w:val="28"/>
              </w:rPr>
              <w:t xml:space="preserve">　</w:t>
            </w:r>
          </w:p>
        </w:tc>
      </w:tr>
    </w:tbl>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（2）产出质量</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各项科普活动均按计划高质量完成，达到预期效果。</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（3）产出进度</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所有项目均在年度内按计划完成</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（4）产出成本</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所有项目支出均在预算控制范围内，无超预算支出。</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2.效果实现情况分析</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（1）经济效益</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通过科技成果转化和科技咨询服务，为区域经济发展提供科技支撑。</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（2）社会效益</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通过广泛的科普宣传和活动，提升全区居民科学文化素质，营造良好科学氛围。</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（3）环境效益</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lastRenderedPageBreak/>
        <w:t>科普宣传中包含环保内容，提高居民环保意识</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（4）可持续影响</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建立科普工作长效机制，持续推动科学知识传播和普及。</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（5）服务对象满意度</w:t>
      </w:r>
    </w:p>
    <w:p w:rsid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根据活动反馈，参与群众对科普活动满意度较高。</w:t>
      </w:r>
    </w:p>
    <w:p w:rsidR="005F0F84" w:rsidRDefault="00817C63" w:rsidP="000C461B">
      <w:pPr>
        <w:spacing w:line="580" w:lineRule="exact"/>
        <w:ind w:firstLine="640"/>
        <w:rPr>
          <w:rFonts w:ascii="楷体_GB2312" w:eastAsia="楷体_GB2312"/>
          <w:b/>
          <w:sz w:val="32"/>
          <w:szCs w:val="32"/>
        </w:rPr>
      </w:pPr>
      <w:r>
        <w:rPr>
          <w:rFonts w:ascii="楷体_GB2312" w:eastAsia="楷体_GB2312" w:hint="eastAsia"/>
          <w:b/>
          <w:sz w:val="32"/>
          <w:szCs w:val="32"/>
        </w:rPr>
        <w:t>（四）预算管理情况分析</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1.财务管理</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严格按照区财政相关政策执行，资金使用合</w:t>
      </w:r>
      <w:proofErr w:type="gramStart"/>
      <w:r w:rsidRPr="000C461B">
        <w:rPr>
          <w:rFonts w:ascii="仿宋_GB2312" w:eastAsia="仿宋_GB2312" w:hint="eastAsia"/>
          <w:sz w:val="32"/>
          <w:szCs w:val="32"/>
        </w:rPr>
        <w:t>规</w:t>
      </w:r>
      <w:proofErr w:type="gramEnd"/>
      <w:r w:rsidRPr="000C461B">
        <w:rPr>
          <w:rFonts w:ascii="仿宋_GB2312" w:eastAsia="仿宋_GB2312" w:hint="eastAsia"/>
          <w:sz w:val="32"/>
          <w:szCs w:val="32"/>
        </w:rPr>
        <w:t>、安全，会计基础信息完善。</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2.资产管理</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根据2025年度资产年报数据，截至2025年12月31日，本部门固定资产总额为 897.31 万元。其中：</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房屋和构筑物：123.54 万元</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设备：685.11 万元</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图书和档案：21.16 万元</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家具和用具：35.41 万元</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所有资产均在用，无出租出借、闲置及待处置资产。</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lastRenderedPageBreak/>
        <w:t>3.绩效管理</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（1）预算绩效管理制度情况</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严格执行请、拨款制度，实行项目资金专款专用，专户管理，</w:t>
      </w:r>
      <w:proofErr w:type="gramStart"/>
      <w:r w:rsidRPr="000C461B">
        <w:rPr>
          <w:rFonts w:ascii="仿宋_GB2312" w:eastAsia="仿宋_GB2312" w:hint="eastAsia"/>
          <w:sz w:val="32"/>
          <w:szCs w:val="32"/>
        </w:rPr>
        <w:t>专帐</w:t>
      </w:r>
      <w:proofErr w:type="gramEnd"/>
      <w:r w:rsidRPr="000C461B">
        <w:rPr>
          <w:rFonts w:ascii="仿宋_GB2312" w:eastAsia="仿宋_GB2312" w:hint="eastAsia"/>
          <w:sz w:val="32"/>
          <w:szCs w:val="32"/>
        </w:rPr>
        <w:t>核算制度。</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（2）绩效目标管理情况</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 xml:space="preserve">2025年部门预算项目 12 </w:t>
      </w:r>
      <w:proofErr w:type="gramStart"/>
      <w:r w:rsidRPr="000C461B">
        <w:rPr>
          <w:rFonts w:ascii="仿宋_GB2312" w:eastAsia="仿宋_GB2312" w:hint="eastAsia"/>
          <w:sz w:val="32"/>
          <w:szCs w:val="32"/>
        </w:rPr>
        <w:t>个</w:t>
      </w:r>
      <w:proofErr w:type="gramEnd"/>
      <w:r w:rsidRPr="000C461B">
        <w:rPr>
          <w:rFonts w:ascii="仿宋_GB2312" w:eastAsia="仿宋_GB2312" w:hint="eastAsia"/>
          <w:sz w:val="32"/>
          <w:szCs w:val="32"/>
        </w:rPr>
        <w:t xml:space="preserve">，部门预算公开绩效目标的预算项目 12 </w:t>
      </w:r>
      <w:proofErr w:type="gramStart"/>
      <w:r w:rsidRPr="000C461B">
        <w:rPr>
          <w:rFonts w:ascii="仿宋_GB2312" w:eastAsia="仿宋_GB2312" w:hint="eastAsia"/>
          <w:sz w:val="32"/>
          <w:szCs w:val="32"/>
        </w:rPr>
        <w:t>个</w:t>
      </w:r>
      <w:proofErr w:type="gramEnd"/>
      <w:r w:rsidRPr="000C461B">
        <w:rPr>
          <w:rFonts w:ascii="仿宋_GB2312" w:eastAsia="仿宋_GB2312" w:hint="eastAsia"/>
          <w:sz w:val="32"/>
          <w:szCs w:val="32"/>
        </w:rPr>
        <w:t>，占本部门全部预算项目的 100%。</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（3）绩效运行监控情况</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2025年对本部门及所属单位11个预算项目进行绩效运行监控，占部门项目总数的100%，涉及资金128.19 万元。</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（4）绩效自评情况</w:t>
      </w:r>
    </w:p>
    <w:p w:rsidR="005F0F84"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2025年对本部门及所属单位2024年项目支出实施了绩效自评，评价项目11个，涉及金额128.19万元。</w:t>
      </w:r>
    </w:p>
    <w:p w:rsidR="005F0F84" w:rsidRDefault="00817C63">
      <w:pPr>
        <w:spacing w:line="580" w:lineRule="exact"/>
        <w:ind w:firstLine="640"/>
        <w:rPr>
          <w:rFonts w:ascii="楷体_GB2312" w:eastAsia="楷体_GB2312"/>
          <w:b/>
          <w:sz w:val="32"/>
          <w:szCs w:val="32"/>
        </w:rPr>
      </w:pPr>
      <w:r>
        <w:rPr>
          <w:rFonts w:ascii="楷体_GB2312" w:eastAsia="楷体_GB2312" w:hint="eastAsia"/>
          <w:b/>
          <w:sz w:val="32"/>
          <w:szCs w:val="32"/>
        </w:rPr>
        <w:t>（五）总体评价结论</w:t>
      </w:r>
    </w:p>
    <w:bookmarkEnd w:id="2"/>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1.评价得分情况</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绩效自评总分：100分</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绩效自评等级： 优秀</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lastRenderedPageBreak/>
        <w:t>2.存在的问题及原因分析</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无</w:t>
      </w:r>
    </w:p>
    <w:p w:rsidR="000C461B" w:rsidRP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3.改进措施</w:t>
      </w:r>
    </w:p>
    <w:p w:rsidR="000C461B" w:rsidRDefault="000C461B" w:rsidP="000C461B">
      <w:pPr>
        <w:spacing w:line="580" w:lineRule="exact"/>
        <w:ind w:firstLine="640"/>
        <w:rPr>
          <w:rFonts w:ascii="仿宋_GB2312" w:eastAsia="仿宋_GB2312"/>
          <w:sz w:val="32"/>
          <w:szCs w:val="32"/>
        </w:rPr>
      </w:pPr>
      <w:r w:rsidRPr="000C461B">
        <w:rPr>
          <w:rFonts w:ascii="仿宋_GB2312" w:eastAsia="仿宋_GB2312" w:hint="eastAsia"/>
          <w:sz w:val="32"/>
          <w:szCs w:val="32"/>
        </w:rPr>
        <w:t>无</w:t>
      </w:r>
    </w:p>
    <w:p w:rsidR="005F0F84" w:rsidRDefault="00817C63" w:rsidP="000C461B">
      <w:pPr>
        <w:spacing w:line="580" w:lineRule="exact"/>
        <w:ind w:firstLine="640"/>
        <w:rPr>
          <w:rFonts w:ascii="黑体" w:eastAsia="黑体" w:hAnsi="黑体"/>
          <w:sz w:val="32"/>
          <w:szCs w:val="32"/>
        </w:rPr>
      </w:pPr>
      <w:r>
        <w:rPr>
          <w:rFonts w:ascii="黑体" w:eastAsia="黑体" w:hAnsi="黑体" w:hint="eastAsia"/>
          <w:sz w:val="32"/>
          <w:szCs w:val="32"/>
        </w:rPr>
        <w:t>二、项目支出绩效自评情况</w:t>
      </w:r>
    </w:p>
    <w:p w:rsidR="005F0F84" w:rsidRDefault="00817C63" w:rsidP="00635485">
      <w:pPr>
        <w:spacing w:line="580" w:lineRule="exact"/>
        <w:ind w:firstLineChars="253" w:firstLine="813"/>
        <w:rPr>
          <w:rFonts w:ascii="楷体_GB2312" w:eastAsia="楷体_GB2312" w:hAnsi="仿宋"/>
          <w:b/>
          <w:sz w:val="32"/>
          <w:szCs w:val="32"/>
        </w:rPr>
      </w:pPr>
      <w:r>
        <w:rPr>
          <w:rFonts w:ascii="楷体_GB2312" w:eastAsia="楷体_GB2312" w:hAnsi="仿宋" w:hint="eastAsia"/>
          <w:b/>
          <w:sz w:val="32"/>
          <w:szCs w:val="32"/>
        </w:rPr>
        <w:t>（一）绩效自评开展总体情况</w:t>
      </w:r>
    </w:p>
    <w:p w:rsidR="005F0F84" w:rsidRDefault="000C461B" w:rsidP="000C461B">
      <w:pPr>
        <w:spacing w:line="580" w:lineRule="exact"/>
        <w:ind w:firstLineChars="253" w:firstLine="810"/>
        <w:rPr>
          <w:rFonts w:ascii="仿宋_GB2312" w:eastAsia="仿宋_GB2312" w:hAnsi="Calibri"/>
          <w:sz w:val="32"/>
          <w:szCs w:val="32"/>
        </w:rPr>
      </w:pPr>
      <w:r w:rsidRPr="000C461B">
        <w:rPr>
          <w:rFonts w:ascii="仿宋_GB2312" w:eastAsia="仿宋_GB2312" w:hint="eastAsia"/>
          <w:sz w:val="32"/>
          <w:szCs w:val="32"/>
        </w:rPr>
        <w:t>2025年度区财政批复项目支出预算项目11个，涉及金额128.19万元。本次实施绩效自评项目11个，涉及金额128.19万元。评价得分在90分（含90分）以上的11个，评价得分在80-90分（含80分）的0个，评价得分在60-80分（含60分）的0个，评价得分在60分以下的0个</w:t>
      </w:r>
      <w:r w:rsidR="00817C63">
        <w:rPr>
          <w:rFonts w:ascii="仿宋_GB2312" w:eastAsia="仿宋_GB2312" w:hint="eastAsia"/>
          <w:sz w:val="32"/>
          <w:szCs w:val="32"/>
        </w:rPr>
        <w:t>。</w:t>
      </w:r>
    </w:p>
    <w:p w:rsidR="005F0F84" w:rsidRDefault="00817C63" w:rsidP="00635485">
      <w:pPr>
        <w:spacing w:line="580" w:lineRule="exact"/>
        <w:ind w:firstLineChars="253" w:firstLine="813"/>
        <w:rPr>
          <w:rFonts w:ascii="楷体_GB2312" w:eastAsia="楷体_GB2312" w:hAnsi="仿宋"/>
          <w:b/>
          <w:sz w:val="32"/>
          <w:szCs w:val="32"/>
        </w:rPr>
      </w:pPr>
      <w:r>
        <w:rPr>
          <w:rFonts w:ascii="楷体_GB2312" w:eastAsia="楷体_GB2312" w:hAnsi="仿宋" w:hint="eastAsia"/>
          <w:b/>
          <w:sz w:val="32"/>
          <w:szCs w:val="32"/>
        </w:rPr>
        <w:t>（二）重点支出项目绩效自评报告</w:t>
      </w:r>
    </w:p>
    <w:p w:rsidR="005F0F84" w:rsidRDefault="000C461B" w:rsidP="000C461B">
      <w:pPr>
        <w:spacing w:line="580" w:lineRule="exact"/>
        <w:ind w:firstLineChars="200" w:firstLine="560"/>
        <w:outlineLvl w:val="0"/>
        <w:rPr>
          <w:rFonts w:ascii="仿宋_GB2312" w:eastAsia="仿宋_GB2312" w:hAnsi="Calibri"/>
          <w:sz w:val="32"/>
          <w:szCs w:val="32"/>
        </w:rPr>
      </w:pPr>
      <w:r>
        <w:rPr>
          <w:rFonts w:ascii="仿宋_GB2312" w:eastAsia="仿宋_GB2312"/>
          <w:sz w:val="28"/>
          <w:szCs w:val="28"/>
        </w:rPr>
        <w:t>详见附件</w:t>
      </w:r>
      <w:r>
        <w:rPr>
          <w:rFonts w:ascii="仿宋_GB2312" w:eastAsia="仿宋_GB2312" w:hint="eastAsia"/>
          <w:sz w:val="28"/>
          <w:szCs w:val="28"/>
        </w:rPr>
        <w:t>1</w:t>
      </w:r>
      <w:r w:rsidR="00817C63">
        <w:rPr>
          <w:rFonts w:ascii="仿宋_GB2312" w:eastAsia="仿宋_GB2312" w:hint="eastAsia"/>
          <w:sz w:val="32"/>
          <w:szCs w:val="32"/>
        </w:rPr>
        <w:t>。</w:t>
      </w:r>
    </w:p>
    <w:p w:rsidR="005F0F84" w:rsidRDefault="00817C63" w:rsidP="00BE5A8B">
      <w:pPr>
        <w:spacing w:line="580" w:lineRule="exact"/>
        <w:ind w:firstLineChars="253" w:firstLine="813"/>
        <w:rPr>
          <w:rFonts w:ascii="楷体_GB2312" w:eastAsia="楷体_GB2312" w:hAnsi="仿宋"/>
          <w:b/>
          <w:sz w:val="32"/>
          <w:szCs w:val="32"/>
        </w:rPr>
      </w:pPr>
      <w:r>
        <w:rPr>
          <w:rFonts w:ascii="楷体_GB2312" w:eastAsia="楷体_GB2312" w:hAnsi="仿宋" w:hint="eastAsia"/>
          <w:b/>
          <w:sz w:val="32"/>
          <w:szCs w:val="32"/>
        </w:rPr>
        <w:t>（三）项目支出绩效自评表</w:t>
      </w:r>
    </w:p>
    <w:p w:rsidR="005F0F84" w:rsidRDefault="000C461B" w:rsidP="000C461B">
      <w:pPr>
        <w:spacing w:line="580" w:lineRule="exact"/>
        <w:ind w:firstLineChars="200" w:firstLine="560"/>
        <w:outlineLvl w:val="0"/>
        <w:rPr>
          <w:rFonts w:ascii="仿宋_GB2312" w:eastAsia="仿宋_GB2312" w:hAnsi="Calibri"/>
          <w:sz w:val="32"/>
          <w:szCs w:val="32"/>
        </w:rPr>
      </w:pPr>
      <w:r>
        <w:rPr>
          <w:rFonts w:ascii="仿宋_GB2312" w:eastAsia="仿宋_GB2312" w:hint="eastAsia"/>
          <w:sz w:val="28"/>
          <w:szCs w:val="28"/>
        </w:rPr>
        <w:t>详见</w:t>
      </w:r>
      <w:r w:rsidRPr="00DA15C4">
        <w:rPr>
          <w:rFonts w:ascii="仿宋_GB2312" w:eastAsia="仿宋_GB2312" w:hint="eastAsia"/>
          <w:sz w:val="28"/>
          <w:szCs w:val="28"/>
        </w:rPr>
        <w:t>附件</w:t>
      </w:r>
      <w:r>
        <w:rPr>
          <w:rFonts w:ascii="仿宋_GB2312" w:eastAsia="仿宋_GB2312" w:hint="eastAsia"/>
          <w:sz w:val="28"/>
          <w:szCs w:val="28"/>
        </w:rPr>
        <w:t>2</w:t>
      </w:r>
      <w:r w:rsidR="00817C63">
        <w:rPr>
          <w:rFonts w:ascii="仿宋_GB2312" w:eastAsia="仿宋_GB2312" w:hint="eastAsia"/>
          <w:sz w:val="32"/>
          <w:szCs w:val="32"/>
        </w:rPr>
        <w:t>。</w:t>
      </w:r>
      <w:bookmarkStart w:id="4" w:name="_GoBack"/>
      <w:bookmarkEnd w:id="4"/>
    </w:p>
    <w:p w:rsidR="005F0F84" w:rsidRDefault="00817C63" w:rsidP="00635485">
      <w:pPr>
        <w:spacing w:line="580" w:lineRule="exact"/>
        <w:ind w:firstLineChars="200" w:firstLine="643"/>
        <w:outlineLvl w:val="0"/>
        <w:rPr>
          <w:rFonts w:ascii="仿宋_GB2312" w:eastAsia="仿宋_GB2312"/>
          <w:b/>
          <w:sz w:val="32"/>
          <w:szCs w:val="32"/>
        </w:rPr>
      </w:pPr>
      <w:r>
        <w:rPr>
          <w:rFonts w:ascii="仿宋_GB2312" w:eastAsia="仿宋_GB2312" w:hint="eastAsia"/>
          <w:b/>
          <w:sz w:val="32"/>
          <w:szCs w:val="32"/>
        </w:rPr>
        <w:t>（注：一级预算部门“一、二”均公开；二级预算单位仅公开“二（三）”。）</w:t>
      </w:r>
    </w:p>
    <w:p w:rsidR="005F0F84" w:rsidRDefault="00817C63">
      <w:pPr>
        <w:spacing w:line="580" w:lineRule="exact"/>
        <w:ind w:firstLineChars="250" w:firstLine="800"/>
        <w:rPr>
          <w:rFonts w:ascii="仿宋_GB2312" w:eastAsia="仿宋_GB2312"/>
          <w:sz w:val="32"/>
          <w:szCs w:val="32"/>
        </w:rPr>
      </w:pPr>
      <w:r>
        <w:rPr>
          <w:rFonts w:ascii="仿宋_GB2312" w:eastAsia="仿宋_GB2312" w:hint="eastAsia"/>
          <w:sz w:val="32"/>
          <w:szCs w:val="32"/>
        </w:rPr>
        <w:t>附件：1.重点支出项目绩效自评报告</w:t>
      </w:r>
    </w:p>
    <w:p w:rsidR="005F0F84" w:rsidRDefault="00817C63">
      <w:pPr>
        <w:spacing w:line="580" w:lineRule="exact"/>
        <w:ind w:firstLineChars="550" w:firstLine="1760"/>
        <w:rPr>
          <w:rFonts w:ascii="仿宋_GB2312" w:eastAsia="仿宋_GB2312"/>
          <w:sz w:val="32"/>
          <w:szCs w:val="32"/>
        </w:rPr>
      </w:pPr>
      <w:r>
        <w:rPr>
          <w:rFonts w:ascii="仿宋_GB2312" w:eastAsia="仿宋_GB2312" w:hint="eastAsia"/>
          <w:sz w:val="32"/>
          <w:szCs w:val="32"/>
        </w:rPr>
        <w:t>2.项目支出绩效自评表</w:t>
      </w:r>
    </w:p>
    <w:sectPr w:rsidR="005F0F84">
      <w:footerReference w:type="even" r:id="rId9"/>
      <w:footerReference w:type="default" r:id="rId10"/>
      <w:pgSz w:w="16838" w:h="11906" w:orient="landscape"/>
      <w:pgMar w:top="1134" w:right="1134" w:bottom="1134" w:left="1134"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192" w:rsidRDefault="001C4192">
      <w:r>
        <w:separator/>
      </w:r>
    </w:p>
  </w:endnote>
  <w:endnote w:type="continuationSeparator" w:id="0">
    <w:p w:rsidR="001C4192" w:rsidRDefault="001C4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Droid Sans">
    <w:altName w:val="微软雅黑"/>
    <w:charset w:val="00"/>
    <w:family w:val="auto"/>
    <w:pitch w:val="default"/>
    <w:sig w:usb0="00000000" w:usb1="00000000" w:usb2="00000000"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F84" w:rsidRDefault="00817C63">
    <w:pPr>
      <w:pStyle w:val="a7"/>
      <w:framePr w:wrap="around" w:vAnchor="text" w:hAnchor="margin" w:xAlign="center" w:y="1"/>
      <w:rPr>
        <w:rStyle w:val="ab"/>
      </w:rPr>
    </w:pPr>
    <w:r>
      <w:fldChar w:fldCharType="begin"/>
    </w:r>
    <w:r>
      <w:rPr>
        <w:rStyle w:val="ab"/>
      </w:rPr>
      <w:instrText xml:space="preserve">PAGE  </w:instrText>
    </w:r>
    <w:r>
      <w:fldChar w:fldCharType="separate"/>
    </w:r>
    <w:r w:rsidR="00BE5A8B">
      <w:rPr>
        <w:rStyle w:val="ab"/>
        <w:noProof/>
      </w:rPr>
      <w:t>3</w:t>
    </w:r>
    <w:r>
      <w:fldChar w:fldCharType="end"/>
    </w:r>
  </w:p>
  <w:p w:rsidR="005F0F84" w:rsidRDefault="005F0F84">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F84" w:rsidRDefault="00817C63">
    <w:pPr>
      <w:pStyle w:val="a7"/>
      <w:framePr w:wrap="around" w:vAnchor="text" w:hAnchor="margin" w:xAlign="center" w:y="1"/>
      <w:rPr>
        <w:rStyle w:val="ab"/>
      </w:rPr>
    </w:pPr>
    <w:r>
      <w:fldChar w:fldCharType="begin"/>
    </w:r>
    <w:r>
      <w:rPr>
        <w:rStyle w:val="ab"/>
      </w:rPr>
      <w:instrText xml:space="preserve">PAGE  </w:instrText>
    </w:r>
    <w:r>
      <w:fldChar w:fldCharType="separate"/>
    </w:r>
    <w:r>
      <w:rPr>
        <w:rStyle w:val="ab"/>
      </w:rPr>
      <w:t>15</w:t>
    </w:r>
    <w:r>
      <w:fldChar w:fldCharType="end"/>
    </w:r>
  </w:p>
  <w:p w:rsidR="005F0F84" w:rsidRDefault="005F0F84">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F84" w:rsidRDefault="00817C63">
    <w:pPr>
      <w:pStyle w:val="a7"/>
      <w:framePr w:wrap="around" w:vAnchor="text" w:hAnchor="margin" w:xAlign="center" w:y="1"/>
      <w:rPr>
        <w:rStyle w:val="ab"/>
      </w:rPr>
    </w:pPr>
    <w:r>
      <w:fldChar w:fldCharType="begin"/>
    </w:r>
    <w:r>
      <w:rPr>
        <w:rStyle w:val="ab"/>
      </w:rPr>
      <w:instrText xml:space="preserve">PAGE  </w:instrText>
    </w:r>
    <w:r>
      <w:fldChar w:fldCharType="separate"/>
    </w:r>
    <w:r w:rsidR="00BC4602">
      <w:rPr>
        <w:rStyle w:val="ab"/>
        <w:noProof/>
      </w:rPr>
      <w:t>17</w:t>
    </w:r>
    <w:r>
      <w:fldChar w:fldCharType="end"/>
    </w:r>
  </w:p>
  <w:p w:rsidR="005F0F84" w:rsidRDefault="005F0F8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192" w:rsidRDefault="001C4192">
      <w:r>
        <w:separator/>
      </w:r>
    </w:p>
  </w:footnote>
  <w:footnote w:type="continuationSeparator" w:id="0">
    <w:p w:rsidR="001C4192" w:rsidRDefault="001C41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C461B"/>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8695A"/>
    <w:rsid w:val="00191568"/>
    <w:rsid w:val="001A4277"/>
    <w:rsid w:val="001A7D2E"/>
    <w:rsid w:val="001B1DF9"/>
    <w:rsid w:val="001B1E93"/>
    <w:rsid w:val="001B375E"/>
    <w:rsid w:val="001B4A46"/>
    <w:rsid w:val="001B5E87"/>
    <w:rsid w:val="001B5E91"/>
    <w:rsid w:val="001B69BF"/>
    <w:rsid w:val="001B7988"/>
    <w:rsid w:val="001C4192"/>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B6A65"/>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0F84"/>
    <w:rsid w:val="005F7087"/>
    <w:rsid w:val="00611BE4"/>
    <w:rsid w:val="0061219B"/>
    <w:rsid w:val="00621419"/>
    <w:rsid w:val="00626446"/>
    <w:rsid w:val="00626BE8"/>
    <w:rsid w:val="00631827"/>
    <w:rsid w:val="00632804"/>
    <w:rsid w:val="00635485"/>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17C63"/>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18C"/>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337B"/>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602"/>
    <w:rsid w:val="00BC4E01"/>
    <w:rsid w:val="00BC73F6"/>
    <w:rsid w:val="00BD1177"/>
    <w:rsid w:val="00BD1374"/>
    <w:rsid w:val="00BD3531"/>
    <w:rsid w:val="00BD4E35"/>
    <w:rsid w:val="00BE34CA"/>
    <w:rsid w:val="00BE5A8B"/>
    <w:rsid w:val="00BF116A"/>
    <w:rsid w:val="00C0623C"/>
    <w:rsid w:val="00C06A07"/>
    <w:rsid w:val="00C07636"/>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269D"/>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2">
    <w:name w:val="heading 2"/>
    <w:basedOn w:val="a"/>
    <w:next w:val="a"/>
    <w:qFormat/>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200"/>
    </w:pPr>
  </w:style>
  <w:style w:type="paragraph" w:styleId="a4">
    <w:name w:val="Body Text Indent"/>
    <w:basedOn w:val="a"/>
    <w:qFormat/>
    <w:pPr>
      <w:ind w:firstLine="645"/>
    </w:pPr>
    <w:rPr>
      <w:rFonts w:ascii="仿宋_GB2312" w:eastAsia="仿宋_GB2312" w:hAnsi="Calibri"/>
      <w:sz w:val="32"/>
      <w:szCs w:val="32"/>
    </w:rPr>
  </w:style>
  <w:style w:type="paragraph" w:styleId="a5">
    <w:name w:val="Date"/>
    <w:basedOn w:val="a"/>
    <w:next w:val="a"/>
    <w:qFormat/>
    <w:pPr>
      <w:ind w:leftChars="2500" w:left="100"/>
    </w:pPr>
  </w:style>
  <w:style w:type="paragraph" w:styleId="a6">
    <w:name w:val="Balloon Text"/>
    <w:basedOn w:val="a"/>
    <w:semiHidden/>
    <w:qFormat/>
    <w:rPr>
      <w:sz w:val="18"/>
      <w:szCs w:val="18"/>
    </w:rPr>
  </w:style>
  <w:style w:type="paragraph" w:styleId="a7">
    <w:name w:val="footer"/>
    <w:basedOn w:val="a"/>
    <w:link w:val="Char"/>
    <w:qFormat/>
    <w:pPr>
      <w:tabs>
        <w:tab w:val="center" w:pos="4153"/>
        <w:tab w:val="right" w:pos="8306"/>
      </w:tabs>
      <w:snapToGrid w:val="0"/>
      <w:jc w:val="left"/>
    </w:pPr>
    <w:rPr>
      <w:sz w:val="18"/>
      <w:szCs w:val="18"/>
    </w:rPr>
  </w:style>
  <w:style w:type="paragraph" w:styleId="a8">
    <w:name w:val="header"/>
    <w:basedOn w:val="a"/>
    <w:link w:val="Char0"/>
    <w:qFormat/>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pPr>
      <w:spacing w:before="100" w:beforeAutospacing="1" w:after="100" w:afterAutospacing="1"/>
      <w:ind w:right="238"/>
      <w:jc w:val="left"/>
    </w:pPr>
    <w:rPr>
      <w:b/>
      <w:kern w:val="0"/>
      <w:sz w:val="24"/>
      <w:szCs w:val="20"/>
    </w:rPr>
  </w:style>
  <w:style w:type="character" w:styleId="aa">
    <w:name w:val="Strong"/>
    <w:qFormat/>
    <w:rPr>
      <w:b/>
    </w:rPr>
  </w:style>
  <w:style w:type="character" w:styleId="ab">
    <w:name w:val="page number"/>
    <w:qFormat/>
  </w:style>
  <w:style w:type="character" w:customStyle="1" w:styleId="Char">
    <w:name w:val="页脚 Char"/>
    <w:link w:val="a7"/>
    <w:qFormat/>
    <w:rPr>
      <w:rFonts w:eastAsia="宋体"/>
      <w:kern w:val="2"/>
      <w:sz w:val="18"/>
      <w:szCs w:val="18"/>
      <w:lang w:val="en-US" w:eastAsia="zh-CN" w:bidi="ar-SA"/>
    </w:rPr>
  </w:style>
  <w:style w:type="character" w:customStyle="1" w:styleId="Char0">
    <w:name w:val="页眉 Char"/>
    <w:link w:val="a8"/>
    <w:qFormat/>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Pr>
      <w:rFonts w:ascii="Tahoma" w:hAnsi="Tahoma"/>
      <w:sz w:val="24"/>
      <w:szCs w:val="20"/>
    </w:rPr>
  </w:style>
  <w:style w:type="paragraph" w:customStyle="1" w:styleId="Char1CharCharChar">
    <w:name w:val="Char1 Char Char Char"/>
    <w:basedOn w:val="a"/>
    <w:qFormat/>
    <w:pPr>
      <w:widowControl/>
      <w:spacing w:after="160" w:line="240" w:lineRule="exact"/>
      <w:jc w:val="left"/>
    </w:pPr>
    <w:rPr>
      <w:szCs w:val="20"/>
    </w:rPr>
  </w:style>
  <w:style w:type="paragraph" w:customStyle="1" w:styleId="Char1">
    <w:name w:val="Char"/>
    <w:basedOn w:val="a"/>
    <w:qFormat/>
    <w:rPr>
      <w:rFonts w:ascii="Tahoma" w:hAnsi="Tahoma"/>
      <w:sz w:val="24"/>
      <w:szCs w:val="20"/>
    </w:rPr>
  </w:style>
  <w:style w:type="paragraph" w:customStyle="1" w:styleId="CharChar3CharChar">
    <w:name w:val="Char Char3 Char Char"/>
    <w:basedOn w:val="a"/>
    <w:qFormat/>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2">
    <w:name w:val="heading 2"/>
    <w:basedOn w:val="a"/>
    <w:next w:val="a"/>
    <w:qFormat/>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200"/>
    </w:pPr>
  </w:style>
  <w:style w:type="paragraph" w:styleId="a4">
    <w:name w:val="Body Text Indent"/>
    <w:basedOn w:val="a"/>
    <w:qFormat/>
    <w:pPr>
      <w:ind w:firstLine="645"/>
    </w:pPr>
    <w:rPr>
      <w:rFonts w:ascii="仿宋_GB2312" w:eastAsia="仿宋_GB2312" w:hAnsi="Calibri"/>
      <w:sz w:val="32"/>
      <w:szCs w:val="32"/>
    </w:rPr>
  </w:style>
  <w:style w:type="paragraph" w:styleId="a5">
    <w:name w:val="Date"/>
    <w:basedOn w:val="a"/>
    <w:next w:val="a"/>
    <w:qFormat/>
    <w:pPr>
      <w:ind w:leftChars="2500" w:left="100"/>
    </w:pPr>
  </w:style>
  <w:style w:type="paragraph" w:styleId="a6">
    <w:name w:val="Balloon Text"/>
    <w:basedOn w:val="a"/>
    <w:semiHidden/>
    <w:qFormat/>
    <w:rPr>
      <w:sz w:val="18"/>
      <w:szCs w:val="18"/>
    </w:rPr>
  </w:style>
  <w:style w:type="paragraph" w:styleId="a7">
    <w:name w:val="footer"/>
    <w:basedOn w:val="a"/>
    <w:link w:val="Char"/>
    <w:qFormat/>
    <w:pPr>
      <w:tabs>
        <w:tab w:val="center" w:pos="4153"/>
        <w:tab w:val="right" w:pos="8306"/>
      </w:tabs>
      <w:snapToGrid w:val="0"/>
      <w:jc w:val="left"/>
    </w:pPr>
    <w:rPr>
      <w:sz w:val="18"/>
      <w:szCs w:val="18"/>
    </w:rPr>
  </w:style>
  <w:style w:type="paragraph" w:styleId="a8">
    <w:name w:val="header"/>
    <w:basedOn w:val="a"/>
    <w:link w:val="Char0"/>
    <w:qFormat/>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pPr>
      <w:spacing w:before="100" w:beforeAutospacing="1" w:after="100" w:afterAutospacing="1"/>
      <w:ind w:right="238"/>
      <w:jc w:val="left"/>
    </w:pPr>
    <w:rPr>
      <w:b/>
      <w:kern w:val="0"/>
      <w:sz w:val="24"/>
      <w:szCs w:val="20"/>
    </w:rPr>
  </w:style>
  <w:style w:type="character" w:styleId="aa">
    <w:name w:val="Strong"/>
    <w:qFormat/>
    <w:rPr>
      <w:b/>
    </w:rPr>
  </w:style>
  <w:style w:type="character" w:styleId="ab">
    <w:name w:val="page number"/>
    <w:qFormat/>
  </w:style>
  <w:style w:type="character" w:customStyle="1" w:styleId="Char">
    <w:name w:val="页脚 Char"/>
    <w:link w:val="a7"/>
    <w:qFormat/>
    <w:rPr>
      <w:rFonts w:eastAsia="宋体"/>
      <w:kern w:val="2"/>
      <w:sz w:val="18"/>
      <w:szCs w:val="18"/>
      <w:lang w:val="en-US" w:eastAsia="zh-CN" w:bidi="ar-SA"/>
    </w:rPr>
  </w:style>
  <w:style w:type="character" w:customStyle="1" w:styleId="Char0">
    <w:name w:val="页眉 Char"/>
    <w:link w:val="a8"/>
    <w:qFormat/>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Pr>
      <w:rFonts w:ascii="Tahoma" w:hAnsi="Tahoma"/>
      <w:sz w:val="24"/>
      <w:szCs w:val="20"/>
    </w:rPr>
  </w:style>
  <w:style w:type="paragraph" w:customStyle="1" w:styleId="Char1CharCharChar">
    <w:name w:val="Char1 Char Char Char"/>
    <w:basedOn w:val="a"/>
    <w:qFormat/>
    <w:pPr>
      <w:widowControl/>
      <w:spacing w:after="160" w:line="240" w:lineRule="exact"/>
      <w:jc w:val="left"/>
    </w:pPr>
    <w:rPr>
      <w:szCs w:val="20"/>
    </w:rPr>
  </w:style>
  <w:style w:type="paragraph" w:customStyle="1" w:styleId="Char1">
    <w:name w:val="Char"/>
    <w:basedOn w:val="a"/>
    <w:qFormat/>
    <w:rPr>
      <w:rFonts w:ascii="Tahoma" w:hAnsi="Tahoma"/>
      <w:sz w:val="24"/>
      <w:szCs w:val="20"/>
    </w:rPr>
  </w:style>
  <w:style w:type="paragraph" w:customStyle="1" w:styleId="CharChar3CharChar">
    <w:name w:val="Char Char3 Char Char"/>
    <w:basedOn w:val="a"/>
    <w:qFormat/>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G:\360MoveData\Users\ll\Desktop\&#36890;&#35759;&#2440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zh-CN" altLang="en-US"/>
              <a:t>基本支出和项目支出情况</a:t>
            </a:r>
          </a:p>
        </c:rich>
      </c:tx>
      <c:overlay val="0"/>
    </c:title>
    <c:autoTitleDeleted val="0"/>
    <c:plotArea>
      <c:layout/>
      <c:pieChart>
        <c:varyColors val="1"/>
        <c:ser>
          <c:idx val="0"/>
          <c:order val="0"/>
          <c:tx>
            <c:strRef>
              <c:f>草稿!$B$270</c:f>
              <c:strCache>
                <c:ptCount val="1"/>
                <c:pt idx="0">
                  <c:v>金额（元）</c:v>
                </c:pt>
              </c:strCache>
            </c:strRef>
          </c:tx>
          <c:dLbls>
            <c:showLegendKey val="0"/>
            <c:showVal val="0"/>
            <c:showCatName val="0"/>
            <c:showSerName val="0"/>
            <c:showPercent val="1"/>
            <c:showBubbleSize val="0"/>
            <c:showLeaderLines val="0"/>
          </c:dLbls>
          <c:cat>
            <c:strRef>
              <c:f>草稿!$A$271:$A$272</c:f>
              <c:strCache>
                <c:ptCount val="2"/>
                <c:pt idx="0">
                  <c:v>基本支出</c:v>
                </c:pt>
                <c:pt idx="1">
                  <c:v>项目支出</c:v>
                </c:pt>
              </c:strCache>
            </c:strRef>
          </c:cat>
          <c:val>
            <c:numRef>
              <c:f>草稿!$B$271:$B$272</c:f>
              <c:numCache>
                <c:formatCode>#,##0.00</c:formatCode>
                <c:ptCount val="2"/>
                <c:pt idx="0">
                  <c:v>8864003.6500000004</c:v>
                </c:pt>
                <c:pt idx="1">
                  <c:v>1281932.82</c:v>
                </c:pt>
              </c:numCache>
            </c:numRef>
          </c:val>
        </c:ser>
        <c:dLbls>
          <c:showLegendKey val="0"/>
          <c:showVal val="0"/>
          <c:showCatName val="0"/>
          <c:showSerName val="0"/>
          <c:showPercent val="0"/>
          <c:showBubbleSize val="0"/>
          <c:showLeaderLines val="0"/>
        </c:dLbls>
        <c:firstSliceAng val="0"/>
      </c:pieChart>
    </c:plotArea>
    <c:legend>
      <c:legendPos val="r"/>
      <c:layout>
        <c:manualLayout>
          <c:xMode val="edge"/>
          <c:yMode val="edge"/>
          <c:x val="0.69726531058617658"/>
          <c:y val="0.4079494750656168"/>
          <c:w val="0.28606802274715659"/>
          <c:h val="0.32021216097987754"/>
        </c:manualLayout>
      </c:layout>
      <c:overlay val="0"/>
      <c:txPr>
        <a:bodyPr/>
        <a:lstStyle/>
        <a:p>
          <a:pPr>
            <a:defRPr b="1"/>
          </a:pPr>
          <a:endParaRPr lang="zh-CN"/>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17</Pages>
  <Words>929</Words>
  <Characters>5300</Characters>
  <Application>Microsoft Office Word</Application>
  <DocSecurity>0</DocSecurity>
  <Lines>44</Lines>
  <Paragraphs>12</Paragraphs>
  <ScaleCrop>false</ScaleCrop>
  <Company/>
  <LinksUpToDate>false</LinksUpToDate>
  <CharactersWithSpaces>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北京市财政局关于做好向市人大常委会报送2015年度市级部门决算（草案）</dc:title>
  <dc:creator>常程</dc:creator>
  <cp:lastModifiedBy>Lyl</cp:lastModifiedBy>
  <cp:revision>3</cp:revision>
  <cp:lastPrinted>2020-08-07T11:39:00Z</cp:lastPrinted>
  <dcterms:created xsi:type="dcterms:W3CDTF">2026-08-25T07:07:00Z</dcterms:created>
  <dcterms:modified xsi:type="dcterms:W3CDTF">2026-08-27T08:17:00Z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