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CESI黑体-GB2312" w:hAnsi="CESI黑体-GB2312" w:eastAsia="CESI黑体-GB2312" w:cs="CESI黑体-GB2312"/>
          <w:sz w:val="32"/>
          <w:szCs w:val="24"/>
        </w:rPr>
      </w:pPr>
      <w:r>
        <w:rPr>
          <w:rFonts w:hint="eastAsia" w:ascii="CESI黑体-GB2312" w:hAnsi="CESI黑体-GB2312" w:eastAsia="CESI黑体-GB2312" w:cs="CESI黑体-GB2312"/>
          <w:sz w:val="32"/>
          <w:szCs w:val="24"/>
        </w:rPr>
        <w:t>附件</w:t>
      </w:r>
      <w:r>
        <w:rPr>
          <w:rFonts w:ascii="CESI黑体-GB2312" w:hAnsi="CESI黑体-GB2312" w:eastAsia="CESI黑体-GB2312" w:cs="CESI黑体-GB2312"/>
          <w:sz w:val="32"/>
          <w:szCs w:val="24"/>
        </w:rPr>
        <w:t>2</w:t>
      </w:r>
      <w:r>
        <w:rPr>
          <w:rFonts w:hint="eastAsia" w:ascii="CESI黑体-GB2312" w:hAnsi="CESI黑体-GB2312" w:eastAsia="CESI黑体-GB2312" w:cs="CESI黑体-GB2312"/>
          <w:sz w:val="32"/>
          <w:szCs w:val="24"/>
        </w:rPr>
        <w:t>：</w:t>
      </w:r>
    </w:p>
    <w:p>
      <w:pPr>
        <w:spacing w:line="560" w:lineRule="exact"/>
        <w:jc w:val="center"/>
        <w:rPr>
          <w:rFonts w:ascii="方正小标宋简体" w:hAnsi="方正小标宋简体" w:eastAsia="方正小标宋简体" w:cs="方正小标宋简体"/>
          <w:bCs/>
          <w:spacing w:val="-11"/>
          <w:sz w:val="44"/>
          <w:szCs w:val="44"/>
        </w:rPr>
      </w:pPr>
      <w:r>
        <w:rPr>
          <w:rFonts w:hint="eastAsia" w:ascii="方正小标宋简体" w:hAnsi="方正小标宋简体" w:eastAsia="方正小标宋简体" w:cs="方正小标宋简体"/>
          <w:bCs/>
          <w:spacing w:val="-11"/>
          <w:sz w:val="44"/>
          <w:szCs w:val="44"/>
          <w:lang w:eastAsia="zh-CN"/>
        </w:rPr>
        <w:t>门头沟区总工会</w:t>
      </w:r>
      <w:r>
        <w:rPr>
          <w:rFonts w:hint="eastAsia" w:ascii="方正小标宋简体" w:hAnsi="方正小标宋简体" w:eastAsia="方正小标宋简体" w:cs="方正小标宋简体"/>
          <w:bCs/>
          <w:spacing w:val="-11"/>
          <w:sz w:val="44"/>
          <w:szCs w:val="44"/>
        </w:rPr>
        <w:t>2025预算年度重点支出项目</w:t>
      </w:r>
    </w:p>
    <w:p>
      <w:pPr>
        <w:spacing w:line="560" w:lineRule="exact"/>
        <w:jc w:val="center"/>
        <w:rPr>
          <w:rFonts w:ascii="方正小标宋简体" w:hAnsi="方正小标宋简体" w:eastAsia="方正小标宋简体" w:cs="方正小标宋简体"/>
          <w:bCs/>
          <w:spacing w:val="-11"/>
          <w:sz w:val="44"/>
          <w:szCs w:val="44"/>
        </w:rPr>
      </w:pPr>
      <w:r>
        <w:rPr>
          <w:rFonts w:hint="eastAsia" w:ascii="方正小标宋简体" w:hAnsi="方正小标宋简体" w:eastAsia="方正小标宋简体" w:cs="方正小标宋简体"/>
          <w:bCs/>
          <w:spacing w:val="-11"/>
          <w:sz w:val="44"/>
          <w:szCs w:val="44"/>
        </w:rPr>
        <w:t>绩效</w:t>
      </w:r>
      <w:r>
        <w:rPr>
          <w:rFonts w:ascii="方正小标宋简体" w:hAnsi="方正小标宋简体" w:eastAsia="方正小标宋简体" w:cs="方正小标宋简体"/>
          <w:bCs/>
          <w:spacing w:val="-11"/>
          <w:sz w:val="44"/>
          <w:szCs w:val="44"/>
        </w:rPr>
        <w:t>自评报告</w:t>
      </w:r>
    </w:p>
    <w:p>
      <w:pPr>
        <w:spacing w:line="560" w:lineRule="exact"/>
        <w:ind w:firstLine="640" w:firstLineChars="200"/>
        <w:outlineLvl w:val="0"/>
        <w:rPr>
          <w:rFonts w:hint="eastAsia" w:ascii="CESI黑体-GB2312" w:hAnsi="CESI黑体-GB2312" w:eastAsia="CESI黑体-GB2312" w:cs="CESI黑体-GB2312"/>
          <w:sz w:val="32"/>
          <w:szCs w:val="32"/>
          <w:lang w:eastAsia="zh-CN"/>
        </w:rPr>
      </w:pPr>
      <w:r>
        <w:rPr>
          <w:rFonts w:hint="eastAsia" w:ascii="CESI黑体-GB2312" w:hAnsi="CESI黑体-GB2312" w:eastAsia="CESI黑体-GB2312" w:cs="CESI黑体-GB2312"/>
          <w:sz w:val="32"/>
          <w:szCs w:val="32"/>
        </w:rPr>
        <w:t>一、</w:t>
      </w:r>
      <w:r>
        <w:rPr>
          <w:rFonts w:hint="eastAsia" w:ascii="CESI黑体-GB2312" w:hAnsi="CESI黑体-GB2312" w:eastAsia="CESI黑体-GB2312" w:cs="CESI黑体-GB2312"/>
          <w:sz w:val="32"/>
          <w:szCs w:val="32"/>
          <w:lang w:eastAsia="zh-CN"/>
        </w:rPr>
        <w:t>部门概况</w:t>
      </w:r>
    </w:p>
    <w:p>
      <w:pPr>
        <w:spacing w:line="560" w:lineRule="exact"/>
        <w:ind w:firstLine="640" w:firstLineChars="200"/>
        <w:outlineLvl w:val="0"/>
        <w:rPr>
          <w:rFonts w:ascii="楷体_GB2312" w:hAnsi="楷体" w:eastAsia="楷体_GB2312" w:cs="仿宋_GB2312"/>
          <w:sz w:val="32"/>
          <w:szCs w:val="32"/>
        </w:rPr>
      </w:pPr>
      <w:r>
        <w:rPr>
          <w:rFonts w:hint="eastAsia" w:ascii="楷体_GB2312" w:hAnsi="楷体" w:eastAsia="楷体_GB2312" w:cs="仿宋_GB2312"/>
          <w:sz w:val="32"/>
          <w:szCs w:val="32"/>
        </w:rPr>
        <w:t>（一）部门职责情况</w:t>
      </w:r>
    </w:p>
    <w:p>
      <w:pPr>
        <w:spacing w:line="560" w:lineRule="exact"/>
        <w:ind w:firstLine="640" w:firstLineChars="200"/>
        <w:outlineLvl w:val="0"/>
        <w:rPr>
          <w:rFonts w:hint="eastAsia" w:ascii="仿宋_GB2312" w:eastAsia="仿宋_GB2312"/>
          <w:color w:val="000000"/>
          <w:sz w:val="32"/>
          <w:szCs w:val="32"/>
        </w:rPr>
      </w:pPr>
      <w:r>
        <w:rPr>
          <w:rFonts w:hint="eastAsia" w:ascii="仿宋_GB2312" w:eastAsia="仿宋_GB2312"/>
          <w:color w:val="000000"/>
          <w:sz w:val="32"/>
          <w:szCs w:val="32"/>
        </w:rPr>
        <w:t>门头沟区总工会是全区各级工会的领导机关，受门头沟区委和市总工会领导。主要职责是：</w:t>
      </w:r>
    </w:p>
    <w:p>
      <w:pPr>
        <w:spacing w:line="560" w:lineRule="exact"/>
        <w:ind w:firstLine="640" w:firstLineChars="200"/>
        <w:outlineLvl w:val="0"/>
        <w:rPr>
          <w:rFonts w:hint="eastAsia" w:ascii="仿宋_GB2312" w:eastAsia="仿宋_GB2312"/>
          <w:color w:val="000000"/>
          <w:sz w:val="32"/>
          <w:szCs w:val="32"/>
        </w:rPr>
      </w:pPr>
      <w:r>
        <w:rPr>
          <w:rFonts w:hint="eastAsia" w:ascii="仿宋_GB2312" w:eastAsia="仿宋_GB2312"/>
          <w:color w:val="000000"/>
          <w:sz w:val="32"/>
          <w:szCs w:val="32"/>
          <w:lang w:val="en-US" w:eastAsia="zh-CN"/>
        </w:rPr>
        <w:t>1.</w:t>
      </w:r>
      <w:r>
        <w:rPr>
          <w:rFonts w:hint="eastAsia" w:ascii="仿宋_GB2312" w:eastAsia="仿宋_GB2312"/>
          <w:color w:val="000000"/>
          <w:sz w:val="32"/>
          <w:szCs w:val="32"/>
        </w:rPr>
        <w:t>根据党的基本理论、基本路线、基本纲领和工运方针，围绕区委、区政府和市总工会中心工作，贯彻执行市区工会代表大会确定的方针、任务和决议。</w:t>
      </w:r>
    </w:p>
    <w:p>
      <w:pPr>
        <w:spacing w:line="560" w:lineRule="exact"/>
        <w:ind w:firstLine="640" w:firstLineChars="200"/>
        <w:outlineLvl w:val="0"/>
        <w:rPr>
          <w:rFonts w:hint="eastAsia" w:ascii="仿宋_GB2312" w:eastAsia="仿宋_GB2312"/>
          <w:color w:val="000000"/>
          <w:sz w:val="32"/>
          <w:szCs w:val="32"/>
        </w:rPr>
      </w:pPr>
      <w:r>
        <w:rPr>
          <w:rFonts w:hint="eastAsia" w:ascii="仿宋_GB2312" w:eastAsia="仿宋_GB2312"/>
          <w:color w:val="000000"/>
          <w:sz w:val="32"/>
          <w:szCs w:val="32"/>
          <w:lang w:val="en-US" w:eastAsia="zh-CN"/>
        </w:rPr>
        <w:t>2.</w:t>
      </w:r>
      <w:r>
        <w:rPr>
          <w:rFonts w:hint="eastAsia" w:ascii="仿宋_GB2312" w:eastAsia="仿宋_GB2312"/>
          <w:color w:val="000000"/>
          <w:sz w:val="32"/>
          <w:szCs w:val="32"/>
        </w:rPr>
        <w:t>依照法律和《中国工会章程》，组织和指导各级工会推动党的全心全意依靠工人阶级根本方针贯彻落实，突出履行工会维护职能。</w:t>
      </w:r>
    </w:p>
    <w:p>
      <w:pPr>
        <w:spacing w:line="560" w:lineRule="exact"/>
        <w:ind w:firstLine="640" w:firstLineChars="200"/>
        <w:outlineLvl w:val="0"/>
        <w:rPr>
          <w:rFonts w:hint="eastAsia" w:ascii="仿宋_GB2312" w:eastAsia="仿宋_GB2312"/>
          <w:color w:val="000000"/>
          <w:sz w:val="32"/>
          <w:szCs w:val="32"/>
        </w:rPr>
      </w:pPr>
      <w:r>
        <w:rPr>
          <w:rFonts w:hint="eastAsia" w:ascii="仿宋_GB2312" w:eastAsia="仿宋_GB2312"/>
          <w:color w:val="000000"/>
          <w:sz w:val="32"/>
          <w:szCs w:val="32"/>
          <w:lang w:val="en-US" w:eastAsia="zh-CN"/>
        </w:rPr>
        <w:t>3.</w:t>
      </w:r>
      <w:r>
        <w:rPr>
          <w:rFonts w:hint="eastAsia" w:ascii="仿宋_GB2312" w:eastAsia="仿宋_GB2312"/>
          <w:color w:val="000000"/>
          <w:sz w:val="32"/>
          <w:szCs w:val="32"/>
        </w:rPr>
        <w:t>对涉及职工合法权益重大问题开展调查研究，反映职工群众愿望诉求，参与相关政策措施制定，协助处理职工重大伤亡事故。</w:t>
      </w:r>
    </w:p>
    <w:p>
      <w:pPr>
        <w:spacing w:line="560" w:lineRule="exact"/>
        <w:ind w:firstLine="640" w:firstLineChars="200"/>
        <w:outlineLvl w:val="0"/>
        <w:rPr>
          <w:rFonts w:hint="eastAsia" w:ascii="仿宋_GB2312" w:eastAsia="仿宋_GB2312"/>
          <w:color w:val="000000"/>
          <w:sz w:val="32"/>
          <w:szCs w:val="32"/>
        </w:rPr>
      </w:pPr>
      <w:r>
        <w:rPr>
          <w:rFonts w:hint="eastAsia" w:ascii="仿宋_GB2312" w:eastAsia="仿宋_GB2312"/>
          <w:color w:val="000000"/>
          <w:sz w:val="32"/>
          <w:szCs w:val="32"/>
          <w:lang w:val="en-US" w:eastAsia="zh-CN"/>
        </w:rPr>
        <w:t>4.</w:t>
      </w:r>
      <w:r>
        <w:rPr>
          <w:rFonts w:hint="eastAsia" w:ascii="仿宋_GB2312" w:eastAsia="仿宋_GB2312"/>
          <w:color w:val="000000"/>
          <w:sz w:val="32"/>
          <w:szCs w:val="32"/>
        </w:rPr>
        <w:t>负责工运理论政策研究，加强工会组织制度与自身建设，推动基层工会民主管理、平等协商和集体合同制度建设。</w:t>
      </w:r>
    </w:p>
    <w:p>
      <w:pPr>
        <w:spacing w:line="560" w:lineRule="exact"/>
        <w:ind w:firstLine="640" w:firstLineChars="200"/>
        <w:outlineLvl w:val="0"/>
        <w:rPr>
          <w:rFonts w:hint="eastAsia" w:ascii="仿宋_GB2312" w:eastAsia="仿宋_GB2312"/>
          <w:color w:val="000000"/>
          <w:sz w:val="32"/>
          <w:szCs w:val="32"/>
        </w:rPr>
      </w:pP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协助同级党委管理基层工会领导干部，制定工会干部培训规划并组织实施。</w:t>
      </w:r>
    </w:p>
    <w:p>
      <w:pPr>
        <w:spacing w:line="560" w:lineRule="exact"/>
        <w:ind w:firstLine="640" w:firstLineChars="200"/>
        <w:outlineLvl w:val="0"/>
        <w:rPr>
          <w:rFonts w:hint="eastAsia" w:ascii="仿宋_GB2312" w:eastAsia="仿宋_GB2312"/>
          <w:color w:val="000000"/>
          <w:sz w:val="32"/>
          <w:szCs w:val="32"/>
        </w:rPr>
      </w:pPr>
      <w:r>
        <w:rPr>
          <w:rFonts w:hint="eastAsia" w:ascii="仿宋_GB2312" w:eastAsia="仿宋_GB2312"/>
          <w:color w:val="000000"/>
          <w:sz w:val="32"/>
          <w:szCs w:val="32"/>
          <w:lang w:val="en-US" w:eastAsia="zh-CN"/>
        </w:rPr>
        <w:t>6.</w:t>
      </w:r>
      <w:r>
        <w:rPr>
          <w:rFonts w:hint="eastAsia" w:ascii="仿宋_GB2312" w:eastAsia="仿宋_GB2312"/>
          <w:color w:val="000000"/>
          <w:sz w:val="32"/>
          <w:szCs w:val="32"/>
        </w:rPr>
        <w:t>协助区政府做好劳动模范、首都劳动奖章（状）推荐评选与管理工作。</w:t>
      </w:r>
    </w:p>
    <w:p>
      <w:pPr>
        <w:spacing w:line="560" w:lineRule="exact"/>
        <w:ind w:firstLine="640" w:firstLineChars="200"/>
        <w:outlineLvl w:val="0"/>
        <w:rPr>
          <w:rFonts w:hint="eastAsia" w:ascii="仿宋_GB2312" w:eastAsia="仿宋_GB2312"/>
          <w:color w:val="000000"/>
          <w:sz w:val="32"/>
          <w:szCs w:val="32"/>
        </w:rPr>
      </w:pPr>
      <w:r>
        <w:rPr>
          <w:rFonts w:hint="eastAsia" w:ascii="仿宋_GB2312" w:eastAsia="仿宋_GB2312"/>
          <w:color w:val="000000"/>
          <w:sz w:val="32"/>
          <w:szCs w:val="32"/>
          <w:lang w:val="en-US" w:eastAsia="zh-CN"/>
        </w:rPr>
        <w:t>7.</w:t>
      </w:r>
      <w:r>
        <w:rPr>
          <w:rFonts w:hint="eastAsia" w:ascii="仿宋_GB2312" w:eastAsia="仿宋_GB2312"/>
          <w:color w:val="000000"/>
          <w:sz w:val="32"/>
          <w:szCs w:val="32"/>
        </w:rPr>
        <w:t>组织职工参与经济建设，提升职工思想道德与科学文化素质。</w:t>
      </w:r>
    </w:p>
    <w:p>
      <w:pPr>
        <w:spacing w:line="560" w:lineRule="exact"/>
        <w:ind w:firstLine="640" w:firstLineChars="200"/>
        <w:outlineLvl w:val="0"/>
        <w:rPr>
          <w:rFonts w:hint="eastAsia" w:ascii="仿宋_GB2312" w:eastAsia="仿宋_GB2312"/>
          <w:color w:val="000000"/>
          <w:sz w:val="32"/>
          <w:szCs w:val="32"/>
        </w:rPr>
      </w:pPr>
      <w:r>
        <w:rPr>
          <w:rFonts w:hint="eastAsia" w:ascii="仿宋_GB2312" w:eastAsia="仿宋_GB2312"/>
          <w:color w:val="000000"/>
          <w:sz w:val="32"/>
          <w:szCs w:val="32"/>
          <w:lang w:val="en-US" w:eastAsia="zh-CN"/>
        </w:rPr>
        <w:t>8.</w:t>
      </w:r>
      <w:r>
        <w:rPr>
          <w:rFonts w:hint="eastAsia" w:ascii="仿宋_GB2312" w:eastAsia="仿宋_GB2312"/>
          <w:color w:val="000000"/>
          <w:sz w:val="32"/>
          <w:szCs w:val="32"/>
        </w:rPr>
        <w:t>负责工会经费收缴、管理、审查审计及工会资产管理，指导工会劳动福利事业发展。</w:t>
      </w:r>
    </w:p>
    <w:p>
      <w:pPr>
        <w:spacing w:line="560" w:lineRule="exact"/>
        <w:ind w:firstLine="640" w:firstLineChars="200"/>
        <w:outlineLvl w:val="0"/>
        <w:rPr>
          <w:rFonts w:hint="eastAsia" w:ascii="仿宋_GB2312" w:eastAsia="仿宋_GB2312"/>
          <w:color w:val="000000"/>
          <w:sz w:val="32"/>
          <w:szCs w:val="32"/>
        </w:rPr>
      </w:pPr>
      <w:r>
        <w:rPr>
          <w:rFonts w:hint="eastAsia" w:ascii="仿宋_GB2312" w:eastAsia="仿宋_GB2312"/>
          <w:color w:val="000000"/>
          <w:sz w:val="32"/>
          <w:szCs w:val="32"/>
          <w:lang w:val="en-US" w:eastAsia="zh-CN"/>
        </w:rPr>
        <w:t>9.</w:t>
      </w:r>
      <w:r>
        <w:rPr>
          <w:rFonts w:hint="eastAsia" w:ascii="仿宋_GB2312" w:eastAsia="仿宋_GB2312"/>
          <w:color w:val="000000"/>
          <w:sz w:val="32"/>
          <w:szCs w:val="32"/>
        </w:rPr>
        <w:t>负责机关及直属单位干部管理、党建和党风廉政建设。</w:t>
      </w:r>
    </w:p>
    <w:p>
      <w:pPr>
        <w:spacing w:line="560" w:lineRule="exact"/>
        <w:ind w:firstLine="640" w:firstLineChars="200"/>
        <w:outlineLvl w:val="0"/>
        <w:rPr>
          <w:rFonts w:hint="eastAsia" w:ascii="仿宋_GB2312" w:eastAsia="仿宋_GB2312"/>
          <w:color w:val="000000"/>
          <w:sz w:val="32"/>
          <w:szCs w:val="32"/>
        </w:rPr>
      </w:pPr>
      <w:r>
        <w:rPr>
          <w:rFonts w:hint="eastAsia" w:ascii="仿宋_GB2312" w:eastAsia="仿宋_GB2312"/>
          <w:color w:val="000000"/>
          <w:sz w:val="32"/>
          <w:szCs w:val="32"/>
          <w:lang w:val="en-US" w:eastAsia="zh-CN"/>
        </w:rPr>
        <w:t>10.</w:t>
      </w:r>
      <w:r>
        <w:rPr>
          <w:rFonts w:hint="eastAsia" w:ascii="仿宋_GB2312" w:eastAsia="仿宋_GB2312"/>
          <w:color w:val="000000"/>
          <w:sz w:val="32"/>
          <w:szCs w:val="32"/>
        </w:rPr>
        <w:t>承办区委、区政府交办的其他事项。</w:t>
      </w:r>
    </w:p>
    <w:p>
      <w:pPr>
        <w:spacing w:line="560" w:lineRule="exact"/>
        <w:ind w:firstLine="640" w:firstLineChars="200"/>
        <w:outlineLvl w:val="0"/>
        <w:rPr>
          <w:rFonts w:ascii="楷体_GB2312" w:hAnsi="楷体" w:eastAsia="楷体_GB2312" w:cs="仿宋_GB2312"/>
          <w:sz w:val="32"/>
          <w:szCs w:val="32"/>
        </w:rPr>
      </w:pPr>
      <w:r>
        <w:rPr>
          <w:rFonts w:hint="eastAsia" w:ascii="楷体_GB2312" w:hAnsi="楷体" w:eastAsia="楷体_GB2312" w:cs="仿宋_GB2312"/>
          <w:sz w:val="32"/>
          <w:szCs w:val="32"/>
        </w:rPr>
        <w:t>（二）部门机构设置情况</w:t>
      </w:r>
    </w:p>
    <w:p>
      <w:pPr>
        <w:spacing w:line="560" w:lineRule="exact"/>
        <w:ind w:firstLine="640" w:firstLineChars="200"/>
        <w:outlineLvl w:val="0"/>
        <w:rPr>
          <w:rFonts w:hint="eastAsia" w:ascii="仿宋_GB2312" w:eastAsia="仿宋_GB2312"/>
          <w:color w:val="000000"/>
          <w:sz w:val="32"/>
          <w:szCs w:val="32"/>
        </w:rPr>
      </w:pPr>
      <w:r>
        <w:rPr>
          <w:rFonts w:hint="eastAsia" w:ascii="仿宋_GB2312" w:eastAsia="仿宋_GB2312"/>
          <w:color w:val="000000"/>
          <w:sz w:val="32"/>
          <w:szCs w:val="32"/>
        </w:rPr>
        <w:t>门头沟区总工会共设</w:t>
      </w:r>
      <w:r>
        <w:rPr>
          <w:rFonts w:hint="eastAsia" w:ascii="仿宋_GB2312" w:eastAsia="仿宋_GB2312"/>
          <w:color w:val="000000"/>
          <w:sz w:val="32"/>
          <w:szCs w:val="32"/>
          <w:lang w:val="en-US" w:eastAsia="zh-CN"/>
        </w:rPr>
        <w:t>4</w:t>
      </w:r>
      <w:r>
        <w:rPr>
          <w:rFonts w:hint="eastAsia" w:ascii="仿宋_GB2312" w:eastAsia="仿宋_GB2312"/>
          <w:color w:val="000000"/>
          <w:sz w:val="32"/>
          <w:szCs w:val="32"/>
        </w:rPr>
        <w:t>个内设机构，分别为办公室、组宣部、权益部</w:t>
      </w:r>
      <w:r>
        <w:rPr>
          <w:rFonts w:hint="eastAsia" w:ascii="仿宋_GB2312" w:eastAsia="仿宋_GB2312"/>
          <w:color w:val="000000"/>
          <w:sz w:val="32"/>
          <w:szCs w:val="32"/>
          <w:lang w:val="en-US" w:eastAsia="zh-CN"/>
        </w:rPr>
        <w:t>、</w:t>
      </w:r>
      <w:bookmarkStart w:id="0" w:name="_GoBack"/>
      <w:bookmarkEnd w:id="0"/>
      <w:r>
        <w:rPr>
          <w:rFonts w:hint="eastAsia" w:ascii="仿宋_GB2312" w:eastAsia="仿宋_GB2312"/>
          <w:color w:val="000000"/>
          <w:sz w:val="32"/>
          <w:szCs w:val="32"/>
          <w:lang w:val="en-US" w:eastAsia="zh-CN"/>
        </w:rPr>
        <w:t>财务部</w:t>
      </w:r>
      <w:r>
        <w:rPr>
          <w:rFonts w:hint="eastAsia" w:ascii="仿宋_GB2312" w:eastAsia="仿宋_GB2312"/>
          <w:color w:val="000000"/>
          <w:sz w:val="32"/>
          <w:szCs w:val="32"/>
        </w:rPr>
        <w:t>；所属事业单位为门头沟区职工服务中心。</w:t>
      </w:r>
    </w:p>
    <w:p>
      <w:pPr>
        <w:spacing w:line="560" w:lineRule="exact"/>
        <w:ind w:firstLine="640" w:firstLineChars="200"/>
        <w:outlineLvl w:val="0"/>
        <w:rPr>
          <w:rFonts w:ascii="楷体_GB2312" w:hAnsi="楷体" w:eastAsia="楷体_GB2312" w:cs="仿宋_GB2312"/>
          <w:sz w:val="32"/>
          <w:szCs w:val="32"/>
        </w:rPr>
      </w:pPr>
      <w:r>
        <w:rPr>
          <w:rFonts w:hint="eastAsia" w:ascii="楷体_GB2312" w:hAnsi="楷体" w:eastAsia="楷体_GB2312" w:cs="仿宋_GB2312"/>
          <w:sz w:val="32"/>
          <w:szCs w:val="32"/>
        </w:rPr>
        <w:t>（三）2026年主要工作任务</w:t>
      </w:r>
    </w:p>
    <w:p>
      <w:pPr>
        <w:spacing w:line="520" w:lineRule="exact"/>
        <w:ind w:firstLine="640" w:firstLineChars="200"/>
        <w:outlineLvl w:val="0"/>
        <w:rPr>
          <w:rFonts w:hint="eastAsia" w:ascii="仿宋_GB2312" w:eastAsia="仿宋_GB2312"/>
          <w:color w:val="000000"/>
          <w:sz w:val="32"/>
          <w:szCs w:val="32"/>
        </w:rPr>
      </w:pPr>
      <w:r>
        <w:rPr>
          <w:rFonts w:hint="eastAsia" w:ascii="仿宋_GB2312" w:eastAsia="仿宋_GB2312"/>
          <w:color w:val="000000"/>
          <w:sz w:val="32"/>
          <w:szCs w:val="32"/>
          <w:lang w:val="en-US" w:eastAsia="zh-CN"/>
        </w:rPr>
        <w:t>1.</w:t>
      </w:r>
      <w:r>
        <w:rPr>
          <w:rFonts w:hint="eastAsia" w:ascii="仿宋_GB2312" w:eastAsia="仿宋_GB2312"/>
          <w:color w:val="000000"/>
          <w:sz w:val="32"/>
          <w:szCs w:val="32"/>
        </w:rPr>
        <w:t>强化政治引领，持续深化职工思想政治教育，凝聚职工思想共识。</w:t>
      </w:r>
    </w:p>
    <w:p>
      <w:pPr>
        <w:spacing w:line="520" w:lineRule="exact"/>
        <w:ind w:firstLine="640" w:firstLineChars="200"/>
        <w:outlineLvl w:val="0"/>
        <w:rPr>
          <w:rFonts w:hint="eastAsia" w:ascii="仿宋_GB2312" w:eastAsia="仿宋_GB2312"/>
          <w:color w:val="000000"/>
          <w:sz w:val="32"/>
          <w:szCs w:val="32"/>
        </w:rPr>
      </w:pPr>
      <w:r>
        <w:rPr>
          <w:rFonts w:hint="eastAsia" w:ascii="仿宋_GB2312" w:eastAsia="仿宋_GB2312"/>
          <w:color w:val="000000"/>
          <w:sz w:val="32"/>
          <w:szCs w:val="32"/>
          <w:lang w:val="en-US" w:eastAsia="zh-CN"/>
        </w:rPr>
        <w:t>2.</w:t>
      </w:r>
      <w:r>
        <w:rPr>
          <w:rFonts w:hint="eastAsia" w:ascii="仿宋_GB2312" w:eastAsia="仿宋_GB2312"/>
          <w:color w:val="000000"/>
          <w:sz w:val="32"/>
          <w:szCs w:val="32"/>
        </w:rPr>
        <w:t>夯实基层组织建设，扩大工会组织覆盖面，提升基层工会规范化水平。</w:t>
      </w:r>
    </w:p>
    <w:p>
      <w:pPr>
        <w:spacing w:line="520" w:lineRule="exact"/>
        <w:ind w:firstLine="640" w:firstLineChars="200"/>
        <w:outlineLvl w:val="0"/>
        <w:rPr>
          <w:rFonts w:hint="eastAsia" w:ascii="仿宋_GB2312" w:eastAsia="仿宋_GB2312"/>
          <w:color w:val="000000"/>
          <w:sz w:val="32"/>
          <w:szCs w:val="32"/>
        </w:rPr>
      </w:pPr>
      <w:r>
        <w:rPr>
          <w:rFonts w:hint="eastAsia" w:ascii="仿宋_GB2312" w:eastAsia="仿宋_GB2312"/>
          <w:color w:val="000000"/>
          <w:sz w:val="32"/>
          <w:szCs w:val="32"/>
          <w:lang w:val="en-US" w:eastAsia="zh-CN"/>
        </w:rPr>
        <w:t>3.</w:t>
      </w:r>
      <w:r>
        <w:rPr>
          <w:rFonts w:hint="eastAsia" w:ascii="仿宋_GB2312" w:eastAsia="仿宋_GB2312"/>
          <w:color w:val="000000"/>
          <w:sz w:val="32"/>
          <w:szCs w:val="32"/>
        </w:rPr>
        <w:t>服务区域发展大局，组织职工建功立业，深化劳模工匠培育选树。</w:t>
      </w:r>
    </w:p>
    <w:p>
      <w:pPr>
        <w:spacing w:line="520" w:lineRule="exact"/>
        <w:ind w:firstLine="640" w:firstLineChars="200"/>
        <w:outlineLvl w:val="0"/>
        <w:rPr>
          <w:rFonts w:hint="eastAsia" w:ascii="仿宋_GB2312" w:eastAsia="仿宋_GB2312"/>
          <w:color w:val="000000"/>
          <w:sz w:val="32"/>
          <w:szCs w:val="32"/>
        </w:rPr>
      </w:pPr>
      <w:r>
        <w:rPr>
          <w:rFonts w:hint="eastAsia" w:ascii="仿宋_GB2312" w:eastAsia="仿宋_GB2312"/>
          <w:color w:val="000000"/>
          <w:sz w:val="32"/>
          <w:szCs w:val="32"/>
          <w:lang w:val="en-US" w:eastAsia="zh-CN"/>
        </w:rPr>
        <w:t>4.</w:t>
      </w:r>
      <w:r>
        <w:rPr>
          <w:rFonts w:hint="eastAsia" w:ascii="仿宋_GB2312" w:eastAsia="仿宋_GB2312"/>
          <w:color w:val="000000"/>
          <w:sz w:val="32"/>
          <w:szCs w:val="32"/>
        </w:rPr>
        <w:t>维护职工合法权益，构建和谐劳动关系，筑牢劳动领域政治安全防线。</w:t>
      </w:r>
    </w:p>
    <w:p>
      <w:pPr>
        <w:spacing w:line="520" w:lineRule="exact"/>
        <w:ind w:firstLine="640" w:firstLineChars="200"/>
        <w:outlineLvl w:val="0"/>
        <w:rPr>
          <w:rFonts w:hint="eastAsia" w:ascii="仿宋_GB2312" w:eastAsia="仿宋_GB2312"/>
          <w:color w:val="000000"/>
          <w:sz w:val="32"/>
          <w:szCs w:val="32"/>
        </w:rPr>
      </w:pP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提升职工服务水平，开展普惠服务与精准帮扶，加强职工服务阵地建设。</w:t>
      </w:r>
    </w:p>
    <w:p>
      <w:pPr>
        <w:spacing w:line="520" w:lineRule="exact"/>
        <w:ind w:firstLine="640" w:firstLineChars="200"/>
        <w:outlineLvl w:val="0"/>
        <w:rPr>
          <w:rFonts w:hint="eastAsia" w:ascii="仿宋_GB2312" w:eastAsia="仿宋_GB2312"/>
          <w:color w:val="000000"/>
          <w:sz w:val="32"/>
          <w:szCs w:val="32"/>
        </w:rPr>
      </w:pPr>
      <w:r>
        <w:rPr>
          <w:rFonts w:hint="eastAsia" w:ascii="仿宋_GB2312" w:eastAsia="仿宋_GB2312"/>
          <w:color w:val="000000"/>
          <w:sz w:val="32"/>
          <w:szCs w:val="32"/>
          <w:lang w:val="en-US" w:eastAsia="zh-CN"/>
        </w:rPr>
        <w:t>6.</w:t>
      </w:r>
      <w:r>
        <w:rPr>
          <w:rFonts w:hint="eastAsia" w:ascii="仿宋_GB2312" w:eastAsia="仿宋_GB2312"/>
          <w:color w:val="000000"/>
          <w:sz w:val="32"/>
          <w:szCs w:val="32"/>
        </w:rPr>
        <w:t>规范经费与资产管理，严格预算执行，强化资金使用绩效。</w:t>
      </w:r>
    </w:p>
    <w:p>
      <w:pPr>
        <w:spacing w:line="520" w:lineRule="exact"/>
        <w:ind w:firstLine="640" w:firstLineChars="200"/>
        <w:outlineLvl w:val="0"/>
        <w:rPr>
          <w:rFonts w:ascii="仿宋_GB2312" w:eastAsia="仿宋_GB2312"/>
          <w:color w:val="000000"/>
          <w:sz w:val="32"/>
          <w:szCs w:val="32"/>
        </w:rPr>
      </w:pPr>
      <w:r>
        <w:rPr>
          <w:rFonts w:hint="eastAsia" w:ascii="仿宋_GB2312" w:eastAsia="仿宋_GB2312"/>
          <w:color w:val="000000"/>
          <w:sz w:val="32"/>
          <w:szCs w:val="32"/>
          <w:lang w:val="en-US" w:eastAsia="zh-CN"/>
        </w:rPr>
        <w:t>7.</w:t>
      </w:r>
      <w:r>
        <w:rPr>
          <w:rFonts w:hint="eastAsia" w:ascii="仿宋_GB2312" w:eastAsia="仿宋_GB2312"/>
          <w:color w:val="000000"/>
          <w:sz w:val="32"/>
          <w:szCs w:val="32"/>
        </w:rPr>
        <w:t>完成公务用车日常运维及2025年更新车辆规范化使用管理，保障公务出行高效安全。</w:t>
      </w:r>
    </w:p>
    <w:p>
      <w:pPr>
        <w:spacing w:line="560" w:lineRule="exact"/>
        <w:ind w:firstLine="640" w:firstLineChars="200"/>
        <w:outlineLvl w:val="0"/>
        <w:rPr>
          <w:rFonts w:hint="eastAsia" w:ascii="楷体_GB2312" w:hAnsi="楷体" w:eastAsia="楷体_GB2312" w:cs="仿宋_GB2312"/>
          <w:sz w:val="32"/>
          <w:szCs w:val="32"/>
          <w:lang w:eastAsia="zh-CN"/>
        </w:rPr>
      </w:pPr>
      <w:r>
        <w:rPr>
          <w:rFonts w:hint="eastAsia" w:ascii="楷体_GB2312" w:hAnsi="楷体" w:eastAsia="楷体_GB2312" w:cs="仿宋_GB2312"/>
          <w:sz w:val="32"/>
          <w:szCs w:val="32"/>
          <w:lang w:eastAsia="zh-CN"/>
        </w:rPr>
        <w:t>（四）部门整体绩效目标设立情况</w:t>
      </w:r>
    </w:p>
    <w:p>
      <w:pPr>
        <w:spacing w:line="520" w:lineRule="exact"/>
        <w:ind w:firstLine="640" w:firstLineChars="200"/>
        <w:outlineLvl w:val="0"/>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围绕部门履职、服务职工、队伍保障、资产运维、预算管控等方面设立绩效目标，重点保障人员经费、项目支出、公务运行、职工服务、工会基层工作等核心任务落地，确保预算执行规范、绩效目标全面实现。</w:t>
      </w:r>
    </w:p>
    <w:p>
      <w:pPr>
        <w:spacing w:line="560" w:lineRule="exact"/>
        <w:ind w:firstLine="640" w:firstLineChars="200"/>
        <w:outlineLvl w:val="0"/>
        <w:rPr>
          <w:rFonts w:hint="eastAsia" w:ascii="CESI黑体-GB2312" w:hAnsi="CESI黑体-GB2312" w:eastAsia="CESI黑体-GB2312" w:cs="CESI黑体-GB2312"/>
          <w:sz w:val="32"/>
          <w:szCs w:val="32"/>
          <w:lang w:eastAsia="zh-CN"/>
        </w:rPr>
      </w:pPr>
      <w:r>
        <w:rPr>
          <w:rFonts w:hint="eastAsia" w:ascii="CESI黑体-GB2312" w:hAnsi="CESI黑体-GB2312" w:eastAsia="CESI黑体-GB2312" w:cs="CESI黑体-GB2312"/>
          <w:sz w:val="32"/>
          <w:szCs w:val="32"/>
          <w:lang w:eastAsia="zh-CN"/>
        </w:rPr>
        <w:t>二、基本情况</w:t>
      </w:r>
    </w:p>
    <w:p>
      <w:pPr>
        <w:spacing w:line="560" w:lineRule="exact"/>
        <w:ind w:firstLine="640" w:firstLineChars="200"/>
        <w:outlineLvl w:val="0"/>
        <w:rPr>
          <w:rFonts w:hint="eastAsia" w:ascii="楷体_GB2312" w:hAnsi="楷体" w:eastAsia="楷体_GB2312" w:cs="仿宋_GB2312"/>
          <w:sz w:val="32"/>
          <w:szCs w:val="32"/>
          <w:lang w:val="en-US" w:eastAsia="zh-CN"/>
        </w:rPr>
      </w:pPr>
      <w:r>
        <w:rPr>
          <w:rFonts w:hint="eastAsia" w:ascii="楷体_GB2312" w:hAnsi="楷体" w:eastAsia="楷体_GB2312" w:cs="仿宋_GB2312"/>
          <w:sz w:val="32"/>
          <w:szCs w:val="32"/>
          <w:lang w:val="en-US" w:eastAsia="zh-CN"/>
        </w:rPr>
        <w:t>（一）项目概况</w:t>
      </w:r>
    </w:p>
    <w:p>
      <w:pPr>
        <w:spacing w:line="520" w:lineRule="exact"/>
        <w:ind w:firstLine="640" w:firstLineChars="200"/>
        <w:outlineLvl w:val="0"/>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1.专职工会社会工作者人员经费项目</w:t>
      </w:r>
    </w:p>
    <w:p>
      <w:pPr>
        <w:spacing w:line="520" w:lineRule="exact"/>
        <w:ind w:firstLine="640" w:firstLineChars="200"/>
        <w:outlineLvl w:val="0"/>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为加强我区工会基层工作力量，保障专职工会社会工作者队伍稳定运行，2025年度安排专职工会社会工作者人员经费项目，资金主要用于64名专职工会社会工作者工资、社保等人员经费支出，由财政负担50%，年度预算总额525.15万元，保障工会基层服务、职工维权、普惠服务等工作常态化开展。</w:t>
      </w:r>
    </w:p>
    <w:p>
      <w:pPr>
        <w:spacing w:line="520" w:lineRule="exact"/>
        <w:ind w:firstLine="640" w:firstLineChars="200"/>
        <w:outlineLvl w:val="0"/>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2.门头沟区职工服务中心公务用车更新项目</w:t>
      </w:r>
    </w:p>
    <w:p>
      <w:pPr>
        <w:spacing w:line="520" w:lineRule="exact"/>
        <w:ind w:firstLine="640" w:firstLineChars="200"/>
        <w:outlineLvl w:val="0"/>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为解决职工服务中心原有公务用车老化、故障率高、安全隐患突出等问题，保障职工慰问、基层调研、应急处置等公务出行需求，2025年度实施公务用车更新项目，按照政府采购及新能源车辆要求，更新公务用车1辆，项目资金总额17.98万元，全面提升公务出行保障能力与服务效率。</w:t>
      </w:r>
    </w:p>
    <w:p>
      <w:pPr>
        <w:spacing w:line="560" w:lineRule="exact"/>
        <w:ind w:firstLine="640" w:firstLineChars="200"/>
        <w:outlineLvl w:val="0"/>
        <w:rPr>
          <w:rFonts w:hint="eastAsia" w:ascii="楷体_GB2312" w:hAnsi="楷体" w:eastAsia="楷体_GB2312" w:cs="仿宋_GB2312"/>
          <w:sz w:val="32"/>
          <w:szCs w:val="32"/>
          <w:lang w:val="en-US" w:eastAsia="zh-CN"/>
        </w:rPr>
      </w:pPr>
      <w:r>
        <w:rPr>
          <w:rFonts w:hint="eastAsia" w:ascii="楷体_GB2312" w:hAnsi="楷体" w:eastAsia="楷体_GB2312" w:cs="仿宋_GB2312"/>
          <w:sz w:val="32"/>
          <w:szCs w:val="32"/>
          <w:lang w:val="en-US" w:eastAsia="zh-CN"/>
        </w:rPr>
        <w:t>（二）项目资金投入及使用情况</w:t>
      </w:r>
    </w:p>
    <w:p>
      <w:pPr>
        <w:spacing w:line="520" w:lineRule="exact"/>
        <w:ind w:firstLine="640" w:firstLineChars="200"/>
        <w:outlineLvl w:val="0"/>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1.专职工会社会工作者人员经费项目</w:t>
      </w:r>
    </w:p>
    <w:p>
      <w:pPr>
        <w:spacing w:line="520" w:lineRule="exact"/>
        <w:ind w:firstLine="640" w:firstLineChars="200"/>
        <w:outlineLvl w:val="0"/>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年初预算数296.30万元，预算调整数228.85万元，调整后预算数525.15万元，全年执行数525.15万元，预算执行率100%，资金全部用于人员经费发放，无结余。</w:t>
      </w:r>
    </w:p>
    <w:p>
      <w:pPr>
        <w:spacing w:line="520" w:lineRule="exact"/>
        <w:ind w:firstLine="640" w:firstLineChars="200"/>
        <w:outlineLvl w:val="0"/>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2.公务用车更新项目</w:t>
      </w:r>
    </w:p>
    <w:p>
      <w:pPr>
        <w:spacing w:line="520" w:lineRule="exact"/>
        <w:ind w:firstLine="640" w:firstLineChars="200"/>
        <w:outlineLvl w:val="0"/>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年初预算数0万元，预算调整数17.98万元，调整后预算数17.98万元，全年执行数17.98万元，预算执行率100%，资金全部用于新能源公务用车购置及相关费用，专款专用。</w:t>
      </w:r>
    </w:p>
    <w:p>
      <w:pPr>
        <w:spacing w:line="560" w:lineRule="exact"/>
        <w:ind w:firstLine="640" w:firstLineChars="200"/>
        <w:outlineLvl w:val="0"/>
        <w:rPr>
          <w:rFonts w:hint="eastAsia" w:ascii="楷体_GB2312" w:hAnsi="楷体" w:eastAsia="楷体_GB2312" w:cs="仿宋_GB2312"/>
          <w:sz w:val="32"/>
          <w:szCs w:val="32"/>
          <w:lang w:val="en-US" w:eastAsia="zh-CN"/>
        </w:rPr>
      </w:pPr>
      <w:r>
        <w:rPr>
          <w:rFonts w:hint="eastAsia" w:ascii="楷体_GB2312" w:hAnsi="楷体" w:eastAsia="楷体_GB2312" w:cs="仿宋_GB2312"/>
          <w:sz w:val="32"/>
          <w:szCs w:val="32"/>
          <w:lang w:val="en-US" w:eastAsia="zh-CN"/>
        </w:rPr>
        <w:t>（三）项目资金管理情况分析</w:t>
      </w:r>
    </w:p>
    <w:p>
      <w:pPr>
        <w:spacing w:line="520" w:lineRule="exact"/>
        <w:ind w:firstLine="640" w:firstLineChars="200"/>
        <w:outlineLvl w:val="0"/>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项目严格执行工会财务管理制度、政府采购制度及财政资金管理规定，规范预算编制、执行、调整全流程管理。按要求编制绩效目标，开展绩效运行监控，定期跟踪资金使用与目标完成情况。资金支付严格履行审批流程，依据合同、工资表、采购批复等资料据实支付，确保资金使用合规、高效、安全。</w:t>
      </w:r>
    </w:p>
    <w:p>
      <w:pPr>
        <w:spacing w:line="560" w:lineRule="exact"/>
        <w:ind w:firstLine="640" w:firstLineChars="200"/>
        <w:outlineLvl w:val="0"/>
        <w:rPr>
          <w:rFonts w:ascii="CESI黑体-GB2312" w:hAnsi="CESI黑体-GB2312" w:eastAsia="CESI黑体-GB2312" w:cs="CESI黑体-GB2312"/>
          <w:sz w:val="32"/>
          <w:szCs w:val="32"/>
        </w:rPr>
      </w:pPr>
      <w:r>
        <w:rPr>
          <w:rFonts w:hint="eastAsia" w:ascii="CESI黑体-GB2312" w:hAnsi="CESI黑体-GB2312" w:eastAsia="CESI黑体-GB2312" w:cs="CESI黑体-GB2312"/>
          <w:sz w:val="32"/>
          <w:szCs w:val="32"/>
          <w:lang w:eastAsia="zh-CN"/>
        </w:rPr>
        <w:t>三</w:t>
      </w:r>
      <w:r>
        <w:rPr>
          <w:rFonts w:hint="eastAsia" w:ascii="CESI黑体-GB2312" w:hAnsi="CESI黑体-GB2312" w:eastAsia="CESI黑体-GB2312" w:cs="CESI黑体-GB2312"/>
          <w:sz w:val="32"/>
          <w:szCs w:val="32"/>
        </w:rPr>
        <w:t>、绩效自评结论</w:t>
      </w:r>
    </w:p>
    <w:p>
      <w:pPr>
        <w:spacing w:line="520" w:lineRule="exact"/>
        <w:ind w:firstLine="640" w:firstLineChars="200"/>
        <w:rPr>
          <w:rFonts w:ascii="仿宋_GB2312" w:hAnsi="黑体" w:eastAsia="仿宋_GB2312" w:cs="黑体"/>
          <w:bCs/>
          <w:sz w:val="32"/>
          <w:szCs w:val="32"/>
        </w:rPr>
      </w:pPr>
      <w:r>
        <w:rPr>
          <w:rFonts w:hint="eastAsia" w:ascii="仿宋_GB2312" w:hAnsi="黑体" w:eastAsia="仿宋_GB2312" w:cs="黑体"/>
          <w:bCs/>
          <w:sz w:val="32"/>
          <w:szCs w:val="32"/>
        </w:rPr>
        <w:t>绩效自评总分：</w:t>
      </w:r>
      <w:r>
        <w:rPr>
          <w:rFonts w:hint="eastAsia" w:ascii="仿宋_GB2312" w:hAnsi="黑体" w:eastAsia="仿宋_GB2312" w:cs="黑体"/>
          <w:bCs/>
          <w:sz w:val="32"/>
          <w:szCs w:val="32"/>
          <w:lang w:val="en-US" w:eastAsia="zh-CN"/>
        </w:rPr>
        <w:t>100</w:t>
      </w:r>
      <w:r>
        <w:rPr>
          <w:rFonts w:hint="eastAsia" w:ascii="仿宋_GB2312" w:hAnsi="黑体" w:eastAsia="仿宋_GB2312" w:cs="黑体"/>
          <w:bCs/>
          <w:sz w:val="32"/>
          <w:szCs w:val="32"/>
        </w:rPr>
        <w:t>分</w:t>
      </w:r>
    </w:p>
    <w:p>
      <w:pPr>
        <w:spacing w:line="520" w:lineRule="exact"/>
        <w:ind w:firstLine="640" w:firstLineChars="200"/>
        <w:rPr>
          <w:rFonts w:ascii="仿宋_GB2312" w:hAnsi="黑体" w:eastAsia="仿宋_GB2312" w:cs="黑体"/>
          <w:bCs/>
          <w:sz w:val="32"/>
          <w:szCs w:val="32"/>
        </w:rPr>
      </w:pPr>
      <w:r>
        <w:rPr>
          <w:rFonts w:hint="eastAsia" w:ascii="仿宋_GB2312" w:hAnsi="黑体" w:eastAsia="仿宋_GB2312" w:cs="黑体"/>
          <w:bCs/>
          <w:sz w:val="32"/>
          <w:szCs w:val="32"/>
        </w:rPr>
        <w:t>绩效自评等级：优秀</w:t>
      </w:r>
    </w:p>
    <w:p>
      <w:pPr>
        <w:spacing w:line="560" w:lineRule="exact"/>
        <w:ind w:firstLine="640" w:firstLineChars="200"/>
        <w:outlineLvl w:val="0"/>
        <w:rPr>
          <w:rFonts w:ascii="CESI黑体-GB2312" w:hAnsi="CESI黑体-GB2312" w:eastAsia="CESI黑体-GB2312" w:cs="CESI黑体-GB2312"/>
          <w:sz w:val="32"/>
          <w:szCs w:val="32"/>
        </w:rPr>
      </w:pPr>
      <w:r>
        <w:rPr>
          <w:rFonts w:hint="eastAsia" w:ascii="CESI黑体-GB2312" w:hAnsi="CESI黑体-GB2312" w:eastAsia="CESI黑体-GB2312" w:cs="CESI黑体-GB2312"/>
          <w:sz w:val="32"/>
          <w:szCs w:val="32"/>
        </w:rPr>
        <w:t>三、绩效目标完成情况分析</w:t>
      </w:r>
    </w:p>
    <w:p>
      <w:pPr>
        <w:spacing w:line="560" w:lineRule="exact"/>
        <w:ind w:firstLine="640" w:firstLineChars="200"/>
        <w:outlineLvl w:val="0"/>
        <w:rPr>
          <w:rFonts w:ascii="楷体_GB2312" w:hAnsi="楷体" w:eastAsia="楷体_GB2312" w:cs="仿宋_GB2312"/>
          <w:sz w:val="32"/>
          <w:szCs w:val="32"/>
        </w:rPr>
      </w:pPr>
      <w:r>
        <w:rPr>
          <w:rFonts w:hint="eastAsia" w:ascii="楷体_GB2312" w:hAnsi="楷体" w:eastAsia="楷体_GB2312" w:cs="仿宋_GB2312"/>
          <w:sz w:val="32"/>
          <w:szCs w:val="32"/>
        </w:rPr>
        <w:t>（一）项目绩效目标、绩效指标设定情况</w:t>
      </w:r>
    </w:p>
    <w:p>
      <w:pPr>
        <w:spacing w:line="520" w:lineRule="exact"/>
        <w:ind w:firstLine="640" w:firstLineChars="200"/>
        <w:outlineLvl w:val="0"/>
        <w:rPr>
          <w:rFonts w:ascii="仿宋_GB2312" w:eastAsia="仿宋_GB2312"/>
          <w:color w:val="000000"/>
          <w:sz w:val="32"/>
          <w:szCs w:val="32"/>
        </w:rPr>
      </w:pPr>
      <w:r>
        <w:rPr>
          <w:rFonts w:hint="eastAsia" w:ascii="仿宋_GB2312" w:eastAsia="仿宋_GB2312"/>
          <w:color w:val="000000"/>
          <w:sz w:val="32"/>
          <w:szCs w:val="32"/>
        </w:rPr>
        <w:t>围绕人员保障、车辆更新、服务提质、队伍稳定、长效运行等核心目标，设定产出、成本、效益、满意度等指标，涵盖数量、质量、时效、经济成本、社会效益、可持续影响、服务对象满意度等内容，指标科学合理、贴合实际。</w:t>
      </w:r>
    </w:p>
    <w:p>
      <w:pPr>
        <w:spacing w:line="560" w:lineRule="exact"/>
        <w:ind w:firstLine="640" w:firstLineChars="200"/>
        <w:outlineLvl w:val="0"/>
        <w:rPr>
          <w:rFonts w:ascii="楷体_GB2312" w:hAnsi="楷体" w:eastAsia="楷体_GB2312" w:cs="仿宋_GB2312"/>
          <w:sz w:val="32"/>
          <w:szCs w:val="32"/>
        </w:rPr>
      </w:pPr>
      <w:r>
        <w:rPr>
          <w:rFonts w:hint="eastAsia" w:ascii="楷体_GB2312" w:hAnsi="楷体" w:eastAsia="楷体_GB2312" w:cs="仿宋_GB2312"/>
          <w:sz w:val="32"/>
          <w:szCs w:val="32"/>
        </w:rPr>
        <w:t>（二）总体绩效目标完成情况分析</w:t>
      </w:r>
    </w:p>
    <w:p>
      <w:pPr>
        <w:spacing w:line="520" w:lineRule="exact"/>
        <w:ind w:firstLine="640" w:firstLineChars="200"/>
        <w:outlineLvl w:val="0"/>
        <w:rPr>
          <w:rFonts w:ascii="仿宋_GB2312" w:eastAsia="仿宋_GB2312"/>
          <w:color w:val="000000"/>
          <w:sz w:val="32"/>
          <w:szCs w:val="32"/>
        </w:rPr>
      </w:pPr>
      <w:r>
        <w:rPr>
          <w:rFonts w:hint="eastAsia" w:ascii="仿宋_GB2312" w:eastAsia="仿宋_GB2312"/>
          <w:color w:val="000000"/>
          <w:sz w:val="32"/>
          <w:szCs w:val="32"/>
        </w:rPr>
        <w:t>两个项目均全面完成年度绩效目标。专职工会社会工作者人员经费足额及时发放，有效稳定队伍；公务用车按要求完成更新并投入使用，保障公务出行。项目实施提升了工会服务职工能力，保障工会工作高效运转，服务对象满意度达标。</w:t>
      </w:r>
    </w:p>
    <w:p>
      <w:pPr>
        <w:spacing w:line="560" w:lineRule="exact"/>
        <w:ind w:firstLine="640" w:firstLineChars="200"/>
        <w:outlineLvl w:val="0"/>
        <w:rPr>
          <w:rFonts w:ascii="楷体_GB2312" w:hAnsi="楷体" w:eastAsia="楷体_GB2312" w:cs="仿宋_GB2312"/>
          <w:sz w:val="32"/>
          <w:szCs w:val="32"/>
        </w:rPr>
      </w:pPr>
      <w:r>
        <w:rPr>
          <w:rFonts w:hint="eastAsia" w:ascii="楷体_GB2312" w:hAnsi="楷体" w:eastAsia="楷体_GB2312" w:cs="仿宋_GB2312"/>
          <w:sz w:val="32"/>
          <w:szCs w:val="32"/>
        </w:rPr>
        <w:t>（三）项目绩效指标完成情况分析</w:t>
      </w:r>
    </w:p>
    <w:p>
      <w:pPr>
        <w:spacing w:line="520" w:lineRule="exact"/>
        <w:ind w:firstLine="640" w:firstLineChars="200"/>
        <w:rPr>
          <w:rFonts w:ascii="仿宋_GB2312" w:hAnsi="黑体" w:eastAsia="仿宋_GB2312" w:cs="黑体"/>
          <w:bCs/>
          <w:sz w:val="32"/>
          <w:szCs w:val="32"/>
        </w:rPr>
      </w:pPr>
      <w:r>
        <w:rPr>
          <w:rFonts w:hint="eastAsia" w:ascii="仿宋_GB2312" w:hAnsi="黑体" w:eastAsia="仿宋_GB2312" w:cs="黑体"/>
          <w:bCs/>
          <w:sz w:val="32"/>
          <w:szCs w:val="32"/>
        </w:rPr>
        <w:t>1.产出指标完成情况分析。</w:t>
      </w:r>
    </w:p>
    <w:p>
      <w:pPr>
        <w:spacing w:line="520" w:lineRule="exact"/>
        <w:ind w:firstLine="640" w:firstLineChars="200"/>
        <w:rPr>
          <w:rFonts w:ascii="仿宋_GB2312" w:hAnsi="黑体" w:eastAsia="仿宋_GB2312" w:cs="黑体"/>
          <w:bCs/>
          <w:sz w:val="32"/>
          <w:szCs w:val="32"/>
        </w:rPr>
      </w:pPr>
      <w:r>
        <w:rPr>
          <w:rFonts w:hint="eastAsia" w:ascii="仿宋_GB2312" w:hAnsi="黑体" w:eastAsia="仿宋_GB2312" w:cs="黑体"/>
          <w:bCs/>
          <w:sz w:val="32"/>
          <w:szCs w:val="32"/>
        </w:rPr>
        <w:t>（1）数量指标。保障64名专职工会社会工作者经费，实际完成64名，完成率100%。更新公务用车1辆，实际完成1辆，完成率100%。</w:t>
      </w:r>
    </w:p>
    <w:p>
      <w:pPr>
        <w:spacing w:line="520" w:lineRule="exact"/>
        <w:ind w:firstLine="640" w:firstLineChars="200"/>
        <w:rPr>
          <w:rFonts w:ascii="仿宋_GB2312" w:eastAsia="仿宋_GB2312"/>
          <w:sz w:val="32"/>
          <w:szCs w:val="32"/>
        </w:rPr>
      </w:pPr>
      <w:r>
        <w:rPr>
          <w:rFonts w:hint="eastAsia" w:ascii="仿宋_GB2312" w:eastAsia="仿宋_GB2312"/>
          <w:sz w:val="32"/>
          <w:szCs w:val="32"/>
        </w:rPr>
        <w:t>（2）质量指标。按规定标准及时足额发放，资金525.15万元全部落实到位。按政府采购及新能源要求完成更新，</w:t>
      </w:r>
      <w:r>
        <w:rPr>
          <w:rFonts w:hint="eastAsia" w:ascii="仿宋_GB2312" w:eastAsia="仿宋_GB2312"/>
          <w:sz w:val="32"/>
          <w:szCs w:val="32"/>
          <w:lang w:eastAsia="zh-CN"/>
        </w:rPr>
        <w:t>公车采购</w:t>
      </w:r>
      <w:r>
        <w:rPr>
          <w:rFonts w:hint="eastAsia" w:ascii="仿宋_GB2312" w:eastAsia="仿宋_GB2312"/>
          <w:sz w:val="32"/>
          <w:szCs w:val="32"/>
        </w:rPr>
        <w:t>资金17.98万元执行到位。</w:t>
      </w:r>
    </w:p>
    <w:p>
      <w:pPr>
        <w:spacing w:line="520" w:lineRule="exact"/>
        <w:ind w:firstLine="640" w:firstLineChars="200"/>
        <w:rPr>
          <w:rFonts w:ascii="仿宋_GB2312" w:eastAsia="仿宋_GB2312"/>
          <w:sz w:val="32"/>
          <w:szCs w:val="32"/>
        </w:rPr>
      </w:pPr>
      <w:r>
        <w:rPr>
          <w:rFonts w:hint="eastAsia" w:ascii="仿宋_GB2312" w:eastAsia="仿宋_GB2312"/>
          <w:sz w:val="32"/>
          <w:szCs w:val="32"/>
        </w:rPr>
        <w:t>（3）时效指标。两个项目均在 2025 年 1—12 月按期实施，全年按时完成，无延误。</w:t>
      </w:r>
    </w:p>
    <w:p>
      <w:pPr>
        <w:spacing w:line="520" w:lineRule="exact"/>
        <w:ind w:firstLine="640" w:firstLineChars="200"/>
        <w:rPr>
          <w:rFonts w:ascii="仿宋_GB2312" w:eastAsia="仿宋_GB2312"/>
          <w:sz w:val="32"/>
          <w:szCs w:val="32"/>
        </w:rPr>
      </w:pPr>
      <w:r>
        <w:rPr>
          <w:rFonts w:hint="eastAsia" w:ascii="仿宋_GB2312" w:eastAsia="仿宋_GB2312"/>
          <w:sz w:val="32"/>
          <w:szCs w:val="32"/>
        </w:rPr>
        <w:t>2</w:t>
      </w:r>
      <w:r>
        <w:rPr>
          <w:rFonts w:ascii="仿宋_GB2312" w:eastAsia="仿宋_GB2312"/>
          <w:sz w:val="32"/>
          <w:szCs w:val="32"/>
        </w:rPr>
        <w:t>.</w:t>
      </w:r>
      <w:r>
        <w:rPr>
          <w:rFonts w:hint="eastAsia" w:ascii="仿宋_GB2312" w:eastAsia="仿宋_GB2312"/>
          <w:sz w:val="32"/>
          <w:szCs w:val="32"/>
        </w:rPr>
        <w:t>成本指标。</w:t>
      </w:r>
    </w:p>
    <w:p>
      <w:pPr>
        <w:spacing w:line="520" w:lineRule="exact"/>
        <w:ind w:firstLine="640" w:firstLineChars="200"/>
        <w:rPr>
          <w:rFonts w:ascii="仿宋_GB2312" w:eastAsia="仿宋_GB2312"/>
          <w:bCs/>
          <w:sz w:val="32"/>
          <w:szCs w:val="32"/>
        </w:rPr>
      </w:pPr>
      <w:r>
        <w:rPr>
          <w:rFonts w:hint="eastAsia" w:ascii="仿宋_GB2312" w:eastAsia="仿宋_GB2312"/>
          <w:bCs/>
          <w:sz w:val="32"/>
          <w:szCs w:val="32"/>
        </w:rPr>
        <w:t>（1）经济成本指标。严格执行工资与政府采购标准，无超支。</w:t>
      </w:r>
    </w:p>
    <w:p>
      <w:pPr>
        <w:spacing w:line="520" w:lineRule="exact"/>
        <w:ind w:firstLine="640" w:firstLineChars="200"/>
        <w:rPr>
          <w:rFonts w:ascii="仿宋_GB2312" w:eastAsia="仿宋_GB2312"/>
          <w:sz w:val="32"/>
          <w:szCs w:val="32"/>
        </w:rPr>
      </w:pPr>
      <w:r>
        <w:rPr>
          <w:rFonts w:hint="eastAsia" w:ascii="仿宋_GB2312" w:eastAsia="仿宋_GB2312"/>
          <w:sz w:val="32"/>
          <w:szCs w:val="32"/>
        </w:rPr>
        <w:t>（2）社会成本指标。有效保障工会工作运转，公车采用新能源，绿色低碳。</w:t>
      </w:r>
    </w:p>
    <w:p>
      <w:pPr>
        <w:spacing w:line="520" w:lineRule="exact"/>
        <w:ind w:firstLine="640" w:firstLineChars="200"/>
        <w:rPr>
          <w:rFonts w:hint="eastAsia" w:ascii="仿宋_GB2312" w:eastAsia="仿宋_GB2312"/>
          <w:sz w:val="32"/>
          <w:szCs w:val="32"/>
          <w:lang w:eastAsia="zh-CN"/>
        </w:rPr>
      </w:pPr>
      <w:r>
        <w:rPr>
          <w:rFonts w:hint="eastAsia" w:ascii="仿宋_GB2312" w:eastAsia="仿宋_GB2312"/>
          <w:sz w:val="32"/>
          <w:szCs w:val="32"/>
        </w:rPr>
        <w:t>（3）生态环境成本指标。</w:t>
      </w:r>
      <w:r>
        <w:rPr>
          <w:rFonts w:hint="eastAsia" w:ascii="仿宋_GB2312" w:eastAsia="仿宋_GB2312"/>
          <w:sz w:val="32"/>
          <w:szCs w:val="32"/>
          <w:lang w:eastAsia="zh-CN"/>
        </w:rPr>
        <w:t>不涉及</w:t>
      </w:r>
    </w:p>
    <w:p>
      <w:pPr>
        <w:spacing w:line="520" w:lineRule="exact"/>
        <w:ind w:firstLine="640" w:firstLineChars="200"/>
        <w:rPr>
          <w:rFonts w:ascii="仿宋_GB2312" w:eastAsia="仿宋_GB2312"/>
          <w:sz w:val="32"/>
          <w:szCs w:val="32"/>
        </w:rPr>
      </w:pPr>
      <w:r>
        <w:rPr>
          <w:rFonts w:ascii="仿宋_GB2312" w:eastAsia="仿宋_GB2312"/>
          <w:sz w:val="32"/>
          <w:szCs w:val="32"/>
        </w:rPr>
        <w:t>3</w:t>
      </w:r>
      <w:r>
        <w:rPr>
          <w:rFonts w:hint="eastAsia" w:ascii="仿宋_GB2312" w:eastAsia="仿宋_GB2312"/>
          <w:sz w:val="32"/>
          <w:szCs w:val="32"/>
        </w:rPr>
        <w:t>.效益指标完成情况分析。</w:t>
      </w:r>
    </w:p>
    <w:p>
      <w:pPr>
        <w:spacing w:line="520" w:lineRule="exact"/>
        <w:ind w:firstLine="640" w:firstLineChars="200"/>
        <w:rPr>
          <w:rFonts w:hint="eastAsia" w:ascii="仿宋_GB2312" w:eastAsia="仿宋_GB2312"/>
          <w:sz w:val="32"/>
          <w:szCs w:val="32"/>
          <w:lang w:eastAsia="zh-CN"/>
        </w:rPr>
      </w:pPr>
      <w:r>
        <w:rPr>
          <w:rFonts w:hint="eastAsia" w:ascii="仿宋_GB2312" w:eastAsia="仿宋_GB2312"/>
          <w:sz w:val="32"/>
          <w:szCs w:val="32"/>
        </w:rPr>
        <w:t>（1）经济效益。</w:t>
      </w:r>
      <w:r>
        <w:rPr>
          <w:rFonts w:hint="eastAsia" w:ascii="仿宋_GB2312" w:eastAsia="仿宋_GB2312"/>
          <w:sz w:val="32"/>
          <w:szCs w:val="32"/>
          <w:lang w:eastAsia="zh-CN"/>
        </w:rPr>
        <w:t>不涉及</w:t>
      </w:r>
    </w:p>
    <w:p>
      <w:pPr>
        <w:spacing w:line="520" w:lineRule="exact"/>
        <w:ind w:firstLine="640" w:firstLineChars="200"/>
        <w:rPr>
          <w:rFonts w:ascii="仿宋_GB2312" w:eastAsia="仿宋_GB2312"/>
          <w:sz w:val="32"/>
          <w:szCs w:val="32"/>
        </w:rPr>
      </w:pPr>
      <w:r>
        <w:rPr>
          <w:rFonts w:hint="eastAsia" w:ascii="仿宋_GB2312" w:eastAsia="仿宋_GB2312"/>
          <w:sz w:val="32"/>
          <w:szCs w:val="32"/>
        </w:rPr>
        <w:t>（2）社会效益。充实基层服务力量，提升公务出行与职工服务效率。</w:t>
      </w:r>
    </w:p>
    <w:p>
      <w:pPr>
        <w:spacing w:line="520" w:lineRule="exact"/>
        <w:ind w:firstLine="640" w:firstLineChars="200"/>
        <w:rPr>
          <w:rFonts w:hint="eastAsia" w:ascii="仿宋_GB2312" w:eastAsia="仿宋_GB2312"/>
          <w:sz w:val="32"/>
          <w:szCs w:val="32"/>
          <w:lang w:eastAsia="zh-CN"/>
        </w:rPr>
      </w:pPr>
      <w:r>
        <w:rPr>
          <w:rFonts w:hint="eastAsia" w:ascii="仿宋_GB2312" w:eastAsia="仿宋_GB2312"/>
          <w:sz w:val="32"/>
          <w:szCs w:val="32"/>
        </w:rPr>
        <w:t>（3）生态效益。</w:t>
      </w:r>
      <w:r>
        <w:rPr>
          <w:rFonts w:hint="eastAsia" w:ascii="仿宋_GB2312" w:eastAsia="仿宋_GB2312"/>
          <w:sz w:val="32"/>
          <w:szCs w:val="32"/>
          <w:lang w:eastAsia="zh-CN"/>
        </w:rPr>
        <w:t>不涉及</w:t>
      </w:r>
    </w:p>
    <w:p>
      <w:pPr>
        <w:spacing w:line="520" w:lineRule="exact"/>
        <w:ind w:firstLine="640" w:firstLineChars="200"/>
        <w:rPr>
          <w:rFonts w:ascii="仿宋_GB2312" w:eastAsia="仿宋_GB2312"/>
          <w:sz w:val="32"/>
          <w:szCs w:val="32"/>
        </w:rPr>
      </w:pPr>
      <w:r>
        <w:rPr>
          <w:rFonts w:hint="eastAsia" w:ascii="仿宋_GB2312" w:eastAsia="仿宋_GB2312"/>
          <w:sz w:val="32"/>
          <w:szCs w:val="32"/>
        </w:rPr>
        <w:t>（4）可持续影响。稳定工会队伍、强化长效保障，支撑工会工作持续开展。</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4.满意度指标完成情况分析。</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服务对象满意度均≥90%，完成目标。</w:t>
      </w:r>
    </w:p>
    <w:p>
      <w:pPr>
        <w:spacing w:line="560" w:lineRule="exact"/>
        <w:ind w:firstLine="640" w:firstLineChars="200"/>
        <w:outlineLvl w:val="0"/>
        <w:rPr>
          <w:rFonts w:ascii="CESI黑体-GB2312" w:hAnsi="CESI黑体-GB2312" w:eastAsia="CESI黑体-GB2312" w:cs="CESI黑体-GB2312"/>
          <w:sz w:val="32"/>
          <w:szCs w:val="32"/>
        </w:rPr>
      </w:pPr>
      <w:r>
        <w:rPr>
          <w:rFonts w:hint="eastAsia" w:ascii="CESI黑体-GB2312" w:hAnsi="CESI黑体-GB2312" w:eastAsia="CESI黑体-GB2312" w:cs="CESI黑体-GB2312"/>
          <w:sz w:val="32"/>
          <w:szCs w:val="32"/>
        </w:rPr>
        <w:t>四、发现的主要问题和改进措施</w:t>
      </w:r>
    </w:p>
    <w:p>
      <w:pPr>
        <w:spacing w:line="560" w:lineRule="exact"/>
        <w:ind w:firstLine="640" w:firstLineChars="200"/>
        <w:outlineLvl w:val="0"/>
        <w:rPr>
          <w:rFonts w:hint="eastAsia" w:ascii="仿宋_GB2312" w:eastAsia="仿宋_GB2312"/>
          <w:sz w:val="32"/>
          <w:szCs w:val="32"/>
        </w:rPr>
      </w:pPr>
      <w:r>
        <w:rPr>
          <w:rFonts w:hint="eastAsia" w:ascii="仿宋_GB2312" w:eastAsia="仿宋_GB2312"/>
          <w:sz w:val="32"/>
          <w:szCs w:val="32"/>
        </w:rPr>
        <w:t>本部门严格按照财政要求科学编制、规范执行预算，管理制度健全、执行到位，资金使用合规高效，绩效目标全面完成，未发现明显问题。</w:t>
      </w:r>
    </w:p>
    <w:p>
      <w:pPr>
        <w:spacing w:line="560" w:lineRule="exact"/>
        <w:ind w:firstLine="640" w:firstLineChars="200"/>
        <w:outlineLvl w:val="0"/>
        <w:rPr>
          <w:rFonts w:ascii="CESI黑体-GB2312" w:hAnsi="CESI黑体-GB2312" w:eastAsia="CESI黑体-GB2312" w:cs="CESI黑体-GB2312"/>
          <w:sz w:val="32"/>
          <w:szCs w:val="32"/>
        </w:rPr>
      </w:pPr>
      <w:r>
        <w:rPr>
          <w:rFonts w:hint="eastAsia" w:ascii="CESI黑体-GB2312" w:hAnsi="CESI黑体-GB2312" w:eastAsia="CESI黑体-GB2312" w:cs="CESI黑体-GB2312"/>
          <w:sz w:val="32"/>
          <w:szCs w:val="32"/>
        </w:rPr>
        <w:t>五、有关</w:t>
      </w:r>
      <w:r>
        <w:rPr>
          <w:rFonts w:ascii="CESI黑体-GB2312" w:hAnsi="CESI黑体-GB2312" w:eastAsia="CESI黑体-GB2312" w:cs="CESI黑体-GB2312"/>
          <w:sz w:val="32"/>
          <w:szCs w:val="32"/>
        </w:rPr>
        <w:t>建议及</w:t>
      </w:r>
      <w:r>
        <w:rPr>
          <w:rFonts w:hint="eastAsia" w:ascii="CESI黑体-GB2312" w:hAnsi="CESI黑体-GB2312" w:eastAsia="CESI黑体-GB2312" w:cs="CESI黑体-GB2312"/>
          <w:sz w:val="32"/>
          <w:szCs w:val="32"/>
        </w:rPr>
        <w:t>其他需要说明的情况</w:t>
      </w:r>
    </w:p>
    <w:p>
      <w:pPr>
        <w:spacing w:line="560" w:lineRule="exact"/>
        <w:ind w:firstLine="640" w:firstLineChars="200"/>
        <w:outlineLvl w:val="0"/>
        <w:rPr>
          <w:rFonts w:hint="eastAsia" w:ascii="仿宋_GB2312" w:eastAsia="仿宋_GB2312"/>
          <w:sz w:val="32"/>
          <w:szCs w:val="32"/>
        </w:rPr>
      </w:pPr>
      <w:r>
        <w:rPr>
          <w:rFonts w:hint="eastAsia" w:ascii="仿宋_GB2312" w:eastAsia="仿宋_GB2312"/>
          <w:sz w:val="32"/>
          <w:szCs w:val="32"/>
          <w:lang w:val="en-US" w:eastAsia="zh-CN"/>
        </w:rPr>
        <w:t>1.</w:t>
      </w:r>
      <w:r>
        <w:rPr>
          <w:rFonts w:hint="eastAsia" w:ascii="仿宋_GB2312" w:eastAsia="仿宋_GB2312"/>
          <w:sz w:val="32"/>
          <w:szCs w:val="32"/>
        </w:rPr>
        <w:t>持续加强财务与绩效业务培训，提升人员专业能力，规范预算核算与绩效管理。</w:t>
      </w:r>
    </w:p>
    <w:p>
      <w:pPr>
        <w:spacing w:line="560" w:lineRule="exact"/>
        <w:ind w:firstLine="640" w:firstLineChars="200"/>
        <w:outlineLvl w:val="0"/>
        <w:rPr>
          <w:rFonts w:hint="eastAsia" w:ascii="仿宋_GB2312" w:eastAsia="仿宋_GB2312"/>
          <w:sz w:val="32"/>
          <w:szCs w:val="32"/>
        </w:rPr>
      </w:pPr>
      <w:r>
        <w:rPr>
          <w:rFonts w:hint="eastAsia" w:ascii="仿宋_GB2312" w:eastAsia="仿宋_GB2312"/>
          <w:sz w:val="32"/>
          <w:szCs w:val="32"/>
          <w:lang w:val="en-US" w:eastAsia="zh-CN"/>
        </w:rPr>
        <w:t>2.</w:t>
      </w:r>
      <w:r>
        <w:rPr>
          <w:rFonts w:hint="eastAsia" w:ascii="仿宋_GB2312" w:eastAsia="仿宋_GB2312"/>
          <w:sz w:val="32"/>
          <w:szCs w:val="32"/>
        </w:rPr>
        <w:t>进一步完善资产管理制度，强化公务用车、固定资产全生命周期管理。</w:t>
      </w:r>
    </w:p>
    <w:p>
      <w:pPr>
        <w:spacing w:line="560" w:lineRule="exact"/>
        <w:ind w:firstLine="640" w:firstLineChars="200"/>
        <w:outlineLvl w:val="0"/>
        <w:rPr>
          <w:rFonts w:hint="eastAsia" w:ascii="仿宋_GB2312" w:eastAsia="仿宋_GB2312"/>
          <w:sz w:val="32"/>
          <w:szCs w:val="32"/>
        </w:rPr>
      </w:pPr>
      <w:r>
        <w:rPr>
          <w:rFonts w:hint="eastAsia" w:ascii="仿宋_GB2312" w:eastAsia="仿宋_GB2312"/>
          <w:sz w:val="32"/>
          <w:szCs w:val="32"/>
          <w:lang w:val="en-US" w:eastAsia="zh-CN"/>
        </w:rPr>
        <w:t>3.</w:t>
      </w:r>
      <w:r>
        <w:rPr>
          <w:rFonts w:hint="eastAsia" w:ascii="仿宋_GB2312" w:eastAsia="仿宋_GB2312"/>
          <w:sz w:val="32"/>
          <w:szCs w:val="32"/>
        </w:rPr>
        <w:t>深化预算绩效融合，强化事前评估、事中监控、事后评价应用，持续提升资金使用效益。</w:t>
      </w:r>
    </w:p>
    <w:p>
      <w:pPr>
        <w:spacing w:line="560" w:lineRule="exact"/>
        <w:ind w:firstLine="640" w:firstLineChars="200"/>
        <w:outlineLvl w:val="0"/>
        <w:rPr>
          <w:rFonts w:ascii="仿宋_GB2312" w:eastAsia="仿宋_GB2312"/>
          <w:color w:val="FF0000"/>
          <w:sz w:val="32"/>
          <w:szCs w:val="32"/>
        </w:rPr>
      </w:pPr>
      <w:r>
        <w:rPr>
          <w:rFonts w:hint="eastAsia" w:ascii="仿宋_GB2312" w:eastAsia="仿宋_GB2312"/>
          <w:sz w:val="32"/>
          <w:szCs w:val="32"/>
          <w:lang w:val="en-US" w:eastAsia="zh-CN"/>
        </w:rPr>
        <w:t>4.</w:t>
      </w:r>
      <w:r>
        <w:rPr>
          <w:rFonts w:hint="eastAsia" w:ascii="仿宋_GB2312" w:eastAsia="仿宋_GB2312"/>
          <w:sz w:val="32"/>
          <w:szCs w:val="32"/>
        </w:rPr>
        <w:t>严格落实中央八项规定精神，严控一般性支出，提高财政资金使用效能。</w:t>
      </w:r>
    </w:p>
    <w:p>
      <w:pPr>
        <w:spacing w:line="520" w:lineRule="exact"/>
        <w:ind w:firstLine="640" w:firstLineChars="200"/>
        <w:rPr>
          <w:rFonts w:ascii="仿宋_GB2312" w:eastAsia="仿宋_GB2312"/>
          <w:sz w:val="32"/>
          <w:szCs w:val="32"/>
        </w:rPr>
      </w:pPr>
    </w:p>
    <w:p>
      <w:pPr>
        <w:spacing w:line="520" w:lineRule="exact"/>
        <w:ind w:left="6660" w:leftChars="200" w:hanging="6240" w:hangingChars="1950"/>
        <w:jc w:val="left"/>
        <w:rPr>
          <w:rFonts w:ascii="仿宋_GB2312" w:eastAsia="仿宋_GB2312"/>
          <w:sz w:val="32"/>
          <w:szCs w:val="32"/>
        </w:rPr>
      </w:pPr>
      <w:r>
        <w:rPr>
          <w:rFonts w:hint="eastAsia" w:ascii="仿宋_GB2312" w:eastAsia="仿宋_GB2312"/>
          <w:sz w:val="32"/>
          <w:szCs w:val="32"/>
        </w:rPr>
        <w:t xml:space="preserve">                                                         </w:t>
      </w:r>
    </w:p>
    <w:sectPr>
      <w:pgSz w:w="11906" w:h="16838"/>
      <w:pgMar w:top="2098" w:right="1474" w:bottom="1985"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ESI黑体-GB2312">
    <w:altName w:val="黑体"/>
    <w:panose1 w:val="00000000000000000000"/>
    <w:charset w:val="86"/>
    <w:family w:val="auto"/>
    <w:pitch w:val="default"/>
    <w:sig w:usb0="00000000" w:usb1="00000000" w:usb2="00000012" w:usb3="00000000" w:csb0="0004000F"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B17"/>
    <w:rsid w:val="00013E3D"/>
    <w:rsid w:val="0002025A"/>
    <w:rsid w:val="00022E11"/>
    <w:rsid w:val="000269DC"/>
    <w:rsid w:val="00047DC0"/>
    <w:rsid w:val="00096808"/>
    <w:rsid w:val="000A1062"/>
    <w:rsid w:val="000A23F6"/>
    <w:rsid w:val="000C3ADA"/>
    <w:rsid w:val="00101019"/>
    <w:rsid w:val="001451E0"/>
    <w:rsid w:val="001E0ECA"/>
    <w:rsid w:val="001F4635"/>
    <w:rsid w:val="00203391"/>
    <w:rsid w:val="00205468"/>
    <w:rsid w:val="00210B4C"/>
    <w:rsid w:val="002140C0"/>
    <w:rsid w:val="00215248"/>
    <w:rsid w:val="002269C5"/>
    <w:rsid w:val="002E58C9"/>
    <w:rsid w:val="0031524F"/>
    <w:rsid w:val="00330537"/>
    <w:rsid w:val="00367048"/>
    <w:rsid w:val="003727E8"/>
    <w:rsid w:val="00377BDC"/>
    <w:rsid w:val="00392D09"/>
    <w:rsid w:val="003A2E58"/>
    <w:rsid w:val="003B3B58"/>
    <w:rsid w:val="003C42FF"/>
    <w:rsid w:val="004015F7"/>
    <w:rsid w:val="004503E3"/>
    <w:rsid w:val="004561D4"/>
    <w:rsid w:val="004B7FE1"/>
    <w:rsid w:val="004F49B9"/>
    <w:rsid w:val="004F7834"/>
    <w:rsid w:val="00504BA3"/>
    <w:rsid w:val="00543B65"/>
    <w:rsid w:val="0054688F"/>
    <w:rsid w:val="00554136"/>
    <w:rsid w:val="005610FD"/>
    <w:rsid w:val="00565DE2"/>
    <w:rsid w:val="005D4ED9"/>
    <w:rsid w:val="005E6415"/>
    <w:rsid w:val="00611E84"/>
    <w:rsid w:val="006305D3"/>
    <w:rsid w:val="00634BA6"/>
    <w:rsid w:val="0064412D"/>
    <w:rsid w:val="00676705"/>
    <w:rsid w:val="006D4D7E"/>
    <w:rsid w:val="006D6351"/>
    <w:rsid w:val="006E113E"/>
    <w:rsid w:val="006E4B81"/>
    <w:rsid w:val="006F376B"/>
    <w:rsid w:val="007242C1"/>
    <w:rsid w:val="00795987"/>
    <w:rsid w:val="007C3E7C"/>
    <w:rsid w:val="007D661E"/>
    <w:rsid w:val="007F46A7"/>
    <w:rsid w:val="00821DDE"/>
    <w:rsid w:val="00835A6F"/>
    <w:rsid w:val="00845359"/>
    <w:rsid w:val="00851994"/>
    <w:rsid w:val="008651F7"/>
    <w:rsid w:val="008728BA"/>
    <w:rsid w:val="00880D15"/>
    <w:rsid w:val="009127C3"/>
    <w:rsid w:val="00917FE5"/>
    <w:rsid w:val="00923051"/>
    <w:rsid w:val="009976F0"/>
    <w:rsid w:val="009B27A6"/>
    <w:rsid w:val="009D700F"/>
    <w:rsid w:val="00A02654"/>
    <w:rsid w:val="00A127E4"/>
    <w:rsid w:val="00A4171D"/>
    <w:rsid w:val="00A5212E"/>
    <w:rsid w:val="00A52489"/>
    <w:rsid w:val="00A61FC1"/>
    <w:rsid w:val="00A962BF"/>
    <w:rsid w:val="00AD7689"/>
    <w:rsid w:val="00AE0078"/>
    <w:rsid w:val="00AE698C"/>
    <w:rsid w:val="00B2165C"/>
    <w:rsid w:val="00B6357B"/>
    <w:rsid w:val="00B83292"/>
    <w:rsid w:val="00B83A7C"/>
    <w:rsid w:val="00BF6BCD"/>
    <w:rsid w:val="00C01D2B"/>
    <w:rsid w:val="00C531AA"/>
    <w:rsid w:val="00C75ABE"/>
    <w:rsid w:val="00C8361D"/>
    <w:rsid w:val="00CA72AB"/>
    <w:rsid w:val="00CC168C"/>
    <w:rsid w:val="00CD1D34"/>
    <w:rsid w:val="00D21CD8"/>
    <w:rsid w:val="00D22818"/>
    <w:rsid w:val="00D36848"/>
    <w:rsid w:val="00D374F7"/>
    <w:rsid w:val="00D50DEF"/>
    <w:rsid w:val="00D60B17"/>
    <w:rsid w:val="00D66A17"/>
    <w:rsid w:val="00D8000B"/>
    <w:rsid w:val="00D85CD5"/>
    <w:rsid w:val="00D860F4"/>
    <w:rsid w:val="00D91ABE"/>
    <w:rsid w:val="00DC020E"/>
    <w:rsid w:val="00DC5B3A"/>
    <w:rsid w:val="00E11A96"/>
    <w:rsid w:val="00E37F80"/>
    <w:rsid w:val="00E67831"/>
    <w:rsid w:val="00EC6591"/>
    <w:rsid w:val="00EF109F"/>
    <w:rsid w:val="00F207A8"/>
    <w:rsid w:val="00F23525"/>
    <w:rsid w:val="00F24761"/>
    <w:rsid w:val="00F37EB3"/>
    <w:rsid w:val="00F533DD"/>
    <w:rsid w:val="00F922BE"/>
    <w:rsid w:val="00FB0C8F"/>
    <w:rsid w:val="00FF5545"/>
    <w:rsid w:val="188A61BF"/>
    <w:rsid w:val="1E760B88"/>
    <w:rsid w:val="367D7A2D"/>
    <w:rsid w:val="3E5E35BC"/>
    <w:rsid w:val="42235C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99"/>
    <w:rPr>
      <w:sz w:val="18"/>
      <w:szCs w:val="18"/>
    </w:rPr>
  </w:style>
  <w:style w:type="character" w:customStyle="1" w:styleId="7">
    <w:name w:val="页脚 Char"/>
    <w:basedOn w:val="5"/>
    <w:link w:val="2"/>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2406</Words>
  <Characters>2526</Characters>
  <Lines>6</Lines>
  <Paragraphs>1</Paragraphs>
  <TotalTime>43</TotalTime>
  <ScaleCrop>false</ScaleCrop>
  <LinksUpToDate>false</LinksUpToDate>
  <CharactersWithSpaces>2587</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2026-04-24T06:59:00Z</dcterms:created>
  <dc:creator>井文胜</dc:creator>
  <cp:lastModifiedBy>翎</cp:lastModifiedBy>
  <dcterms:modified xsi:type="dcterms:W3CDTF">2026-08-21T05:42:45Z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2052-11.8.2.12195</vt:lpwstr>
  </property>
  <property fmtid="{D5CDD505-2E9C-101B-9397-08002B2CF9AE}" pid="3" name="ICV">
    <vt:lpwstr>4EE0D655A3884463928D97CEC205C0B9</vt:lpwstr>
  </property>
</Properties>
</file>