
<file path=[Content_Types].xml><?xml version="1.0" encoding="utf-8"?>
<Types xmlns="http://schemas.openxmlformats.org/package/2006/content-types">
  <Default Extension="xlsx" ContentType="application/vnd.openxmlformats-officedocument.spreadsheetml.sheet"/>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C64D00">
      <w:pPr>
        <w:jc w:val="center"/>
        <w:rPr>
          <w:rFonts w:ascii="仿宋_GB2312" w:eastAsia="仿宋_GB2312"/>
          <w:b/>
          <w:sz w:val="32"/>
          <w:szCs w:val="32"/>
        </w:rPr>
      </w:pPr>
    </w:p>
    <w:p w14:paraId="15B67461">
      <w:pPr>
        <w:jc w:val="center"/>
        <w:rPr>
          <w:rFonts w:ascii="黑体" w:eastAsia="黑体"/>
          <w:sz w:val="72"/>
          <w:szCs w:val="72"/>
        </w:rPr>
      </w:pPr>
    </w:p>
    <w:p w14:paraId="66657F74">
      <w:pPr>
        <w:jc w:val="center"/>
        <w:rPr>
          <w:rFonts w:ascii="黑体" w:eastAsia="黑体"/>
          <w:sz w:val="72"/>
          <w:szCs w:val="72"/>
        </w:rPr>
      </w:pPr>
    </w:p>
    <w:p w14:paraId="3C7A88E9">
      <w:pPr>
        <w:jc w:val="center"/>
        <w:rPr>
          <w:rFonts w:ascii="黑体" w:eastAsia="黑体"/>
          <w:sz w:val="72"/>
          <w:szCs w:val="72"/>
        </w:rPr>
      </w:pPr>
    </w:p>
    <w:p w14:paraId="7848ECE5">
      <w:pPr>
        <w:jc w:val="center"/>
        <w:rPr>
          <w:rFonts w:ascii="黑体" w:eastAsia="黑体"/>
          <w:sz w:val="72"/>
          <w:szCs w:val="72"/>
        </w:rPr>
      </w:pPr>
    </w:p>
    <w:p w14:paraId="6E692442">
      <w:pPr>
        <w:jc w:val="center"/>
        <w:rPr>
          <w:rFonts w:ascii="黑体" w:eastAsia="黑体"/>
          <w:sz w:val="72"/>
          <w:szCs w:val="72"/>
        </w:rPr>
      </w:pPr>
      <w:r>
        <w:rPr>
          <w:rFonts w:hint="eastAsia" w:ascii="黑体" w:eastAsia="黑体"/>
          <w:sz w:val="72"/>
          <w:szCs w:val="72"/>
        </w:rPr>
        <w:t>2025年度部门决算（公开</w:t>
      </w:r>
      <w:r>
        <w:rPr>
          <w:rFonts w:ascii="黑体" w:eastAsia="黑体"/>
          <w:sz w:val="72"/>
          <w:szCs w:val="72"/>
        </w:rPr>
        <w:t>）</w:t>
      </w:r>
    </w:p>
    <w:p w14:paraId="5A3455DF">
      <w:pPr>
        <w:jc w:val="center"/>
        <w:rPr>
          <w:rFonts w:ascii="黑体" w:eastAsia="黑体"/>
          <w:sz w:val="52"/>
          <w:szCs w:val="52"/>
        </w:rPr>
      </w:pPr>
    </w:p>
    <w:p w14:paraId="395D18AA">
      <w:pPr>
        <w:jc w:val="center"/>
        <w:rPr>
          <w:rFonts w:ascii="黑体" w:eastAsia="黑体"/>
          <w:sz w:val="52"/>
          <w:szCs w:val="52"/>
        </w:rPr>
      </w:pPr>
    </w:p>
    <w:p w14:paraId="5D4ECA02">
      <w:pPr>
        <w:jc w:val="center"/>
        <w:rPr>
          <w:rFonts w:ascii="黑体" w:eastAsia="黑体"/>
          <w:sz w:val="52"/>
          <w:szCs w:val="52"/>
        </w:rPr>
      </w:pPr>
    </w:p>
    <w:p w14:paraId="35208103">
      <w:pPr>
        <w:jc w:val="center"/>
        <w:rPr>
          <w:rFonts w:ascii="黑体" w:eastAsia="黑体"/>
          <w:sz w:val="52"/>
          <w:szCs w:val="52"/>
        </w:rPr>
      </w:pPr>
    </w:p>
    <w:p w14:paraId="1037C766">
      <w:pPr>
        <w:jc w:val="center"/>
        <w:rPr>
          <w:rFonts w:ascii="黑体" w:eastAsia="黑体"/>
          <w:sz w:val="32"/>
          <w:szCs w:val="32"/>
        </w:rPr>
      </w:pPr>
    </w:p>
    <w:p w14:paraId="4D09F49C">
      <w:pPr>
        <w:spacing w:line="500" w:lineRule="exact"/>
        <w:ind w:firstLine="645"/>
        <w:jc w:val="center"/>
        <w:rPr>
          <w:rFonts w:ascii="宋体" w:hAnsi="宋体" w:cs="宋体"/>
          <w:b/>
          <w:bCs/>
          <w:kern w:val="0"/>
          <w:sz w:val="44"/>
          <w:szCs w:val="36"/>
        </w:rPr>
      </w:pPr>
      <w:r>
        <w:rPr>
          <w:rFonts w:hint="eastAsia" w:ascii="宋体" w:hAnsi="宋体" w:cs="宋体"/>
          <w:b/>
          <w:bCs/>
          <w:kern w:val="0"/>
          <w:sz w:val="44"/>
          <w:szCs w:val="36"/>
        </w:rPr>
        <w:t>目    录</w:t>
      </w:r>
    </w:p>
    <w:p w14:paraId="3F9B6C24">
      <w:pPr>
        <w:spacing w:line="500" w:lineRule="exact"/>
        <w:ind w:firstLine="645"/>
        <w:jc w:val="center"/>
        <w:rPr>
          <w:rFonts w:ascii="宋体" w:hAnsi="宋体" w:cs="宋体"/>
          <w:b/>
          <w:bCs/>
          <w:kern w:val="0"/>
          <w:sz w:val="36"/>
          <w:szCs w:val="36"/>
        </w:rPr>
      </w:pPr>
    </w:p>
    <w:p w14:paraId="308BF83F">
      <w:pPr>
        <w:tabs>
          <w:tab w:val="center" w:pos="6979"/>
        </w:tabs>
        <w:spacing w:line="500" w:lineRule="exact"/>
        <w:ind w:firstLine="1600" w:firstLineChars="400"/>
        <w:jc w:val="left"/>
        <w:rPr>
          <w:rFonts w:ascii="宋体" w:hAnsi="宋体" w:cs="宋体"/>
          <w:bCs/>
          <w:spacing w:val="40"/>
          <w:kern w:val="0"/>
          <w:sz w:val="32"/>
          <w:szCs w:val="32"/>
        </w:rPr>
      </w:pPr>
      <w:r>
        <w:rPr>
          <w:rFonts w:hint="eastAsia" w:ascii="宋体" w:hAnsi="宋体" w:cs="宋体"/>
          <w:bCs/>
          <w:spacing w:val="40"/>
          <w:kern w:val="0"/>
          <w:sz w:val="32"/>
          <w:szCs w:val="32"/>
        </w:rPr>
        <w:t>第一部分 2025年度部门决算报表</w:t>
      </w:r>
    </w:p>
    <w:p w14:paraId="2E05CD92">
      <w:pPr>
        <w:tabs>
          <w:tab w:val="center" w:pos="6979"/>
        </w:tabs>
        <w:spacing w:line="500" w:lineRule="exact"/>
        <w:ind w:firstLine="2400" w:firstLineChars="600"/>
        <w:jc w:val="left"/>
        <w:rPr>
          <w:rFonts w:ascii="仿宋_GB2312" w:hAnsi="仿宋" w:eastAsia="仿宋_GB2312"/>
          <w:spacing w:val="40"/>
          <w:sz w:val="32"/>
          <w:szCs w:val="32"/>
        </w:rPr>
      </w:pPr>
      <w:r>
        <w:rPr>
          <w:rFonts w:hint="eastAsia" w:ascii="仿宋_GB2312" w:hAnsi="仿宋" w:eastAsia="仿宋_GB2312" w:cs="宋体"/>
          <w:bCs/>
          <w:spacing w:val="40"/>
          <w:kern w:val="0"/>
          <w:sz w:val="32"/>
          <w:szCs w:val="32"/>
        </w:rPr>
        <w:t>一、收入支出决算总表</w:t>
      </w:r>
    </w:p>
    <w:p w14:paraId="7491EFBE">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二、收入决算表</w:t>
      </w:r>
    </w:p>
    <w:p w14:paraId="0D5CDA34">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三、支出决算表</w:t>
      </w:r>
    </w:p>
    <w:p w14:paraId="172C32E2">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四、财政拨款收入支出决算总表</w:t>
      </w:r>
    </w:p>
    <w:p w14:paraId="608C8390">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五、一般公共预算财政拨款支出决算表</w:t>
      </w:r>
    </w:p>
    <w:p w14:paraId="1666CDDF">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六、一般公共预算财政拨款</w:t>
      </w:r>
      <w:r>
        <w:rPr>
          <w:rFonts w:ascii="仿宋_GB2312" w:hAnsi="仿宋" w:eastAsia="仿宋_GB2312" w:cs="宋体"/>
          <w:bCs/>
          <w:spacing w:val="40"/>
          <w:kern w:val="0"/>
          <w:sz w:val="32"/>
          <w:szCs w:val="32"/>
        </w:rPr>
        <w:t>基本支出决算表</w:t>
      </w:r>
    </w:p>
    <w:p w14:paraId="557BE74F">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七</w:t>
      </w:r>
      <w:r>
        <w:rPr>
          <w:rFonts w:ascii="仿宋_GB2312" w:hAnsi="仿宋" w:eastAsia="仿宋_GB2312" w:cs="宋体"/>
          <w:bCs/>
          <w:spacing w:val="40"/>
          <w:kern w:val="0"/>
          <w:sz w:val="32"/>
          <w:szCs w:val="32"/>
        </w:rPr>
        <w:t>、</w:t>
      </w:r>
      <w:r>
        <w:rPr>
          <w:rFonts w:hint="eastAsia" w:ascii="仿宋_GB2312" w:hAnsi="仿宋" w:eastAsia="仿宋_GB2312" w:cs="宋体"/>
          <w:bCs/>
          <w:spacing w:val="40"/>
          <w:kern w:val="0"/>
          <w:sz w:val="32"/>
          <w:szCs w:val="32"/>
        </w:rPr>
        <w:t>政府性基金预算财政拨款收入支出决算表</w:t>
      </w:r>
    </w:p>
    <w:p w14:paraId="01309430">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八、</w:t>
      </w:r>
      <w:r>
        <w:rPr>
          <w:rFonts w:ascii="仿宋_GB2312" w:hAnsi="仿宋" w:eastAsia="仿宋_GB2312" w:cs="宋体"/>
          <w:bCs/>
          <w:spacing w:val="40"/>
          <w:kern w:val="0"/>
          <w:sz w:val="32"/>
          <w:szCs w:val="32"/>
        </w:rPr>
        <w:t>政府性基金</w:t>
      </w:r>
      <w:r>
        <w:rPr>
          <w:rFonts w:hint="eastAsia" w:ascii="仿宋_GB2312" w:hAnsi="仿宋" w:eastAsia="仿宋_GB2312" w:cs="宋体"/>
          <w:bCs/>
          <w:spacing w:val="40"/>
          <w:kern w:val="0"/>
          <w:sz w:val="32"/>
          <w:szCs w:val="32"/>
        </w:rPr>
        <w:t>预算</w:t>
      </w:r>
      <w:r>
        <w:rPr>
          <w:rFonts w:ascii="仿宋_GB2312" w:hAnsi="仿宋" w:eastAsia="仿宋_GB2312" w:cs="宋体"/>
          <w:bCs/>
          <w:spacing w:val="40"/>
          <w:kern w:val="0"/>
          <w:sz w:val="32"/>
          <w:szCs w:val="32"/>
        </w:rPr>
        <w:t>财政拨款基本支出决算表</w:t>
      </w:r>
    </w:p>
    <w:p w14:paraId="4E5FFFA5">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九、国有资本经营预算财政拨款支出决算表</w:t>
      </w:r>
    </w:p>
    <w:p w14:paraId="236C2722">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十、财政拨款“三公”经费支出决算表</w:t>
      </w:r>
    </w:p>
    <w:p w14:paraId="1C87600D">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十一、政府采购情况表</w:t>
      </w:r>
    </w:p>
    <w:p w14:paraId="4A31E5E6">
      <w:pPr>
        <w:tabs>
          <w:tab w:val="center" w:pos="6979"/>
        </w:tabs>
        <w:spacing w:line="500" w:lineRule="exact"/>
        <w:ind w:firstLine="1600" w:firstLineChars="400"/>
        <w:jc w:val="left"/>
        <w:rPr>
          <w:rFonts w:ascii="宋体" w:hAnsi="宋体" w:cs="宋体"/>
          <w:bCs/>
          <w:spacing w:val="40"/>
          <w:kern w:val="0"/>
          <w:sz w:val="32"/>
          <w:szCs w:val="32"/>
        </w:rPr>
      </w:pPr>
      <w:r>
        <w:rPr>
          <w:rFonts w:hint="eastAsia" w:ascii="宋体" w:hAnsi="宋体" w:cs="宋体"/>
          <w:bCs/>
          <w:spacing w:val="40"/>
          <w:kern w:val="0"/>
          <w:sz w:val="32"/>
          <w:szCs w:val="32"/>
        </w:rPr>
        <w:t xml:space="preserve">第二部分 </w:t>
      </w:r>
      <w:r>
        <w:rPr>
          <w:rFonts w:hint="eastAsia" w:ascii="宋体" w:hAnsi="宋体"/>
          <w:spacing w:val="40"/>
          <w:sz w:val="32"/>
          <w:szCs w:val="32"/>
        </w:rPr>
        <w:t>2025年度部门决算说明</w:t>
      </w:r>
    </w:p>
    <w:p w14:paraId="70754FDC">
      <w:pPr>
        <w:tabs>
          <w:tab w:val="center" w:pos="6979"/>
        </w:tabs>
        <w:spacing w:line="500" w:lineRule="exact"/>
        <w:ind w:firstLine="1600" w:firstLineChars="400"/>
        <w:jc w:val="left"/>
        <w:rPr>
          <w:rFonts w:ascii="宋体" w:hAnsi="宋体" w:cs="宋体"/>
          <w:spacing w:val="40"/>
          <w:kern w:val="0"/>
          <w:sz w:val="32"/>
          <w:szCs w:val="32"/>
        </w:rPr>
      </w:pPr>
      <w:r>
        <w:rPr>
          <w:rFonts w:hint="eastAsia" w:ascii="宋体" w:hAnsi="宋体" w:cs="宋体"/>
          <w:bCs/>
          <w:spacing w:val="40"/>
          <w:kern w:val="0"/>
          <w:sz w:val="32"/>
          <w:szCs w:val="32"/>
        </w:rPr>
        <w:t xml:space="preserve">第三部分 </w:t>
      </w:r>
      <w:r>
        <w:rPr>
          <w:rFonts w:hint="eastAsia" w:ascii="宋体" w:hAnsi="宋体"/>
          <w:spacing w:val="40"/>
          <w:sz w:val="32"/>
          <w:szCs w:val="32"/>
        </w:rPr>
        <w:t>2025年度</w:t>
      </w:r>
      <w:r>
        <w:rPr>
          <w:rFonts w:hint="eastAsia" w:ascii="宋体" w:hAnsi="宋体" w:cs="宋体"/>
          <w:spacing w:val="40"/>
          <w:kern w:val="0"/>
          <w:sz w:val="32"/>
          <w:szCs w:val="32"/>
        </w:rPr>
        <w:t>其他重要事项的情况说明</w:t>
      </w:r>
    </w:p>
    <w:p w14:paraId="2557A828">
      <w:pPr>
        <w:tabs>
          <w:tab w:val="center" w:pos="6979"/>
        </w:tabs>
        <w:spacing w:line="500" w:lineRule="exact"/>
        <w:ind w:firstLine="1600" w:firstLineChars="400"/>
        <w:jc w:val="left"/>
        <w:rPr>
          <w:rFonts w:ascii="宋体" w:hAnsi="宋体" w:cs="宋体"/>
          <w:spacing w:val="40"/>
          <w:kern w:val="0"/>
          <w:sz w:val="36"/>
          <w:szCs w:val="32"/>
        </w:rPr>
      </w:pPr>
      <w:r>
        <w:rPr>
          <w:rFonts w:hint="eastAsia" w:ascii="宋体" w:hAnsi="宋体" w:cs="宋体"/>
          <w:spacing w:val="40"/>
          <w:kern w:val="0"/>
          <w:sz w:val="32"/>
          <w:szCs w:val="32"/>
        </w:rPr>
        <w:t>第四部分 2025年度部门绩效评价情况</w:t>
      </w:r>
    </w:p>
    <w:p w14:paraId="42A7C2D4">
      <w:pPr>
        <w:tabs>
          <w:tab w:val="center" w:pos="6979"/>
        </w:tabs>
        <w:spacing w:before="156" w:beforeLines="50" w:after="156" w:afterLines="50"/>
        <w:jc w:val="center"/>
        <w:rPr>
          <w:rFonts w:ascii="宋体" w:hAnsi="宋体" w:cs="宋体"/>
          <w:b/>
          <w:bCs/>
          <w:spacing w:val="40"/>
          <w:kern w:val="0"/>
          <w:sz w:val="32"/>
          <w:szCs w:val="32"/>
        </w:rPr>
      </w:pPr>
    </w:p>
    <w:p w14:paraId="6AE1C418">
      <w:pPr>
        <w:tabs>
          <w:tab w:val="center" w:pos="6979"/>
        </w:tabs>
        <w:spacing w:before="156" w:beforeLines="50" w:after="156" w:afterLines="50"/>
        <w:jc w:val="center"/>
        <w:rPr>
          <w:rFonts w:ascii="宋体" w:hAnsi="宋体" w:cs="宋体"/>
          <w:b/>
          <w:bCs/>
          <w:spacing w:val="40"/>
          <w:kern w:val="0"/>
          <w:sz w:val="32"/>
          <w:szCs w:val="32"/>
        </w:rPr>
      </w:pPr>
    </w:p>
    <w:p w14:paraId="2F7AD857">
      <w:pPr>
        <w:tabs>
          <w:tab w:val="center" w:pos="6979"/>
        </w:tabs>
        <w:spacing w:before="156" w:beforeLines="50" w:after="156" w:afterLines="50"/>
        <w:jc w:val="center"/>
        <w:rPr>
          <w:rFonts w:ascii="宋体" w:hAnsi="宋体" w:cs="宋体"/>
          <w:b/>
          <w:bCs/>
          <w:spacing w:val="40"/>
          <w:kern w:val="0"/>
          <w:sz w:val="32"/>
          <w:szCs w:val="32"/>
        </w:rPr>
      </w:pPr>
    </w:p>
    <w:p w14:paraId="391C52F8">
      <w:pPr>
        <w:tabs>
          <w:tab w:val="center" w:pos="6979"/>
        </w:tabs>
        <w:spacing w:before="156" w:beforeLines="50" w:after="156" w:afterLines="50"/>
        <w:jc w:val="center"/>
        <w:rPr>
          <w:rFonts w:ascii="宋体" w:hAnsi="宋体" w:cs="宋体"/>
          <w:b/>
          <w:bCs/>
          <w:spacing w:val="40"/>
          <w:kern w:val="0"/>
          <w:sz w:val="32"/>
          <w:szCs w:val="32"/>
        </w:rPr>
      </w:pPr>
    </w:p>
    <w:p w14:paraId="29152BC3">
      <w:pPr>
        <w:tabs>
          <w:tab w:val="center" w:pos="6979"/>
        </w:tabs>
        <w:spacing w:before="156" w:beforeLines="50" w:after="156" w:afterLines="50"/>
        <w:jc w:val="center"/>
        <w:rPr>
          <w:rFonts w:ascii="宋体" w:hAnsi="宋体" w:cs="宋体"/>
          <w:b/>
          <w:bCs/>
          <w:spacing w:val="40"/>
          <w:kern w:val="0"/>
          <w:sz w:val="32"/>
          <w:szCs w:val="32"/>
        </w:rPr>
      </w:pPr>
    </w:p>
    <w:p w14:paraId="06C2FE9A">
      <w:pPr>
        <w:tabs>
          <w:tab w:val="center" w:pos="6979"/>
        </w:tabs>
        <w:spacing w:before="156" w:beforeLines="50" w:after="156" w:afterLines="50"/>
        <w:jc w:val="center"/>
        <w:rPr>
          <w:rFonts w:ascii="宋体" w:hAnsi="宋体" w:cs="宋体"/>
          <w:b/>
          <w:bCs/>
          <w:spacing w:val="40"/>
          <w:kern w:val="0"/>
          <w:sz w:val="32"/>
          <w:szCs w:val="32"/>
        </w:rPr>
      </w:pPr>
      <w:r>
        <w:rPr>
          <w:rFonts w:hint="eastAsia" w:ascii="宋体" w:hAnsi="宋体" w:cs="宋体"/>
          <w:b/>
          <w:bCs/>
          <w:spacing w:val="40"/>
          <w:kern w:val="0"/>
          <w:sz w:val="44"/>
          <w:szCs w:val="44"/>
        </w:rPr>
        <w:t>第一部分 2025年度部门决算报表</w:t>
      </w:r>
    </w:p>
    <w:p w14:paraId="44B07447">
      <w:pPr>
        <w:pStyle w:val="2"/>
        <w:rPr>
          <w:b w:val="0"/>
          <w:bCs w:val="0"/>
        </w:rPr>
        <w:sectPr>
          <w:footerReference r:id="rId3" w:type="default"/>
          <w:pgSz w:w="16838" w:h="11906" w:orient="landscape"/>
          <w:pgMar w:top="1134" w:right="1134" w:bottom="1134" w:left="1134" w:header="851" w:footer="992" w:gutter="0"/>
          <w:cols w:space="720" w:num="1"/>
          <w:docGrid w:type="linesAndChars" w:linePitch="312" w:charSpace="0"/>
        </w:sectPr>
      </w:pPr>
      <w:r>
        <w:rPr>
          <w:rFonts w:hint="eastAsia" w:ascii="仿宋_GB2312" w:eastAsia="仿宋_GB2312"/>
          <w:sz w:val="28"/>
          <w:szCs w:val="28"/>
        </w:rPr>
        <w:t xml:space="preserve">   </w:t>
      </w:r>
      <w:r>
        <w:rPr>
          <w:rFonts w:hint="eastAsia" w:ascii="仿宋_GB2312" w:eastAsia="仿宋_GB2312"/>
          <w:b w:val="0"/>
          <w:bCs w:val="0"/>
          <w:sz w:val="28"/>
          <w:szCs w:val="28"/>
        </w:rPr>
        <w:t>报表详见附件。</w:t>
      </w:r>
    </w:p>
    <w:p w14:paraId="721DD6CB">
      <w:pPr>
        <w:tabs>
          <w:tab w:val="center" w:pos="6979"/>
        </w:tabs>
        <w:spacing w:before="156" w:beforeLines="50" w:after="156" w:afterLines="50"/>
        <w:jc w:val="center"/>
        <w:rPr>
          <w:rFonts w:ascii="宋体" w:hAnsi="宋体"/>
          <w:b/>
          <w:sz w:val="32"/>
          <w:szCs w:val="32"/>
        </w:rPr>
      </w:pPr>
      <w:r>
        <w:rPr>
          <w:rFonts w:hint="eastAsia" w:ascii="宋体" w:hAnsi="宋体" w:cs="宋体"/>
          <w:b/>
          <w:bCs/>
          <w:spacing w:val="40"/>
          <w:kern w:val="0"/>
          <w:sz w:val="32"/>
          <w:szCs w:val="32"/>
        </w:rPr>
        <w:t xml:space="preserve">第二部分 </w:t>
      </w:r>
      <w:r>
        <w:rPr>
          <w:rFonts w:hint="eastAsia" w:ascii="宋体" w:hAnsi="宋体"/>
          <w:b/>
          <w:spacing w:val="40"/>
          <w:sz w:val="32"/>
          <w:szCs w:val="32"/>
        </w:rPr>
        <w:t>2025年度部门决算说明</w:t>
      </w:r>
    </w:p>
    <w:p w14:paraId="22C9C0E0">
      <w:pPr>
        <w:tabs>
          <w:tab w:val="center" w:pos="6979"/>
        </w:tabs>
        <w:spacing w:line="580" w:lineRule="exact"/>
        <w:ind w:firstLine="548" w:firstLineChars="196"/>
        <w:rPr>
          <w:rFonts w:ascii="黑体" w:eastAsia="黑体"/>
          <w:b/>
          <w:sz w:val="28"/>
          <w:szCs w:val="28"/>
        </w:rPr>
      </w:pPr>
      <w:r>
        <w:rPr>
          <w:rFonts w:hint="eastAsia" w:ascii="黑体" w:eastAsia="黑体"/>
          <w:b/>
          <w:sz w:val="28"/>
          <w:szCs w:val="28"/>
        </w:rPr>
        <w:t>一、部门/单位基本情况</w:t>
      </w:r>
    </w:p>
    <w:p w14:paraId="4B352384">
      <w:pPr>
        <w:tabs>
          <w:tab w:val="center" w:pos="6979"/>
        </w:tabs>
        <w:spacing w:line="580" w:lineRule="exact"/>
        <w:ind w:firstLine="700" w:firstLineChars="250"/>
        <w:rPr>
          <w:rFonts w:hint="eastAsia" w:ascii="仿宋_GB2312" w:eastAsia="仿宋_GB2312"/>
          <w:sz w:val="28"/>
          <w:szCs w:val="28"/>
        </w:rPr>
      </w:pPr>
      <w:r>
        <w:rPr>
          <w:rFonts w:hint="eastAsia" w:ascii="仿宋_GB2312" w:eastAsia="仿宋_GB2312"/>
          <w:sz w:val="28"/>
          <w:szCs w:val="28"/>
        </w:rPr>
        <w:t>（一</w:t>
      </w:r>
      <w:r>
        <w:rPr>
          <w:rFonts w:ascii="仿宋_GB2312" w:eastAsia="仿宋_GB2312"/>
          <w:sz w:val="28"/>
          <w:szCs w:val="28"/>
        </w:rPr>
        <w:t>）</w:t>
      </w:r>
      <w:r>
        <w:rPr>
          <w:rFonts w:hint="eastAsia" w:ascii="仿宋_GB2312" w:eastAsia="仿宋_GB2312"/>
          <w:sz w:val="28"/>
          <w:szCs w:val="28"/>
        </w:rPr>
        <w:t>本部门职责情况</w:t>
      </w:r>
    </w:p>
    <w:p w14:paraId="1C63F120">
      <w:pPr>
        <w:tabs>
          <w:tab w:val="center" w:pos="6979"/>
        </w:tabs>
        <w:spacing w:line="580" w:lineRule="exact"/>
        <w:ind w:firstLine="700" w:firstLineChars="250"/>
        <w:rPr>
          <w:rFonts w:hint="eastAsia" w:ascii="仿宋_GB2312" w:eastAsia="仿宋_GB2312"/>
          <w:sz w:val="28"/>
          <w:szCs w:val="28"/>
        </w:rPr>
      </w:pPr>
      <w:r>
        <w:rPr>
          <w:rFonts w:hint="eastAsia" w:ascii="仿宋_GB2312" w:eastAsia="仿宋_GB2312"/>
          <w:sz w:val="28"/>
          <w:szCs w:val="28"/>
        </w:rPr>
        <w:t>受区房屋征收办的委托，负责落实本区房屋征收与补偿安置方案，负责做好房屋征收与补偿的宣传、讲解工作，负责对房屋征收范围内房屋的权属、区位、用途、建筑面积等情况组织调查登记，负责补偿资金管理、安置以及周转房源分配管理工作，负责依法确定评估、征收、拆除、安置等服务中介机构工作，负责拆迁档案的收集、整理、保管工作及其他委托事项工作。</w:t>
      </w:r>
    </w:p>
    <w:p w14:paraId="625CA8C2">
      <w:pPr>
        <w:tabs>
          <w:tab w:val="center" w:pos="6979"/>
        </w:tabs>
        <w:spacing w:line="580" w:lineRule="exact"/>
        <w:ind w:firstLine="700" w:firstLineChars="250"/>
        <w:rPr>
          <w:rFonts w:hint="eastAsia" w:ascii="仿宋_GB2312" w:eastAsia="仿宋_GB2312"/>
          <w:sz w:val="28"/>
          <w:szCs w:val="28"/>
        </w:rPr>
      </w:pPr>
      <w:r>
        <w:rPr>
          <w:rFonts w:hint="eastAsia" w:ascii="仿宋_GB2312" w:eastAsia="仿宋_GB2312"/>
          <w:sz w:val="28"/>
          <w:szCs w:val="28"/>
        </w:rPr>
        <w:t>（二）机构</w:t>
      </w:r>
      <w:r>
        <w:rPr>
          <w:rFonts w:ascii="仿宋_GB2312" w:eastAsia="仿宋_GB2312"/>
          <w:sz w:val="28"/>
          <w:szCs w:val="28"/>
        </w:rPr>
        <w:t>设置</w:t>
      </w:r>
      <w:r>
        <w:rPr>
          <w:rFonts w:hint="eastAsia" w:ascii="仿宋_GB2312" w:eastAsia="仿宋_GB2312"/>
          <w:sz w:val="28"/>
          <w:szCs w:val="28"/>
        </w:rPr>
        <w:t>情况</w:t>
      </w:r>
    </w:p>
    <w:p w14:paraId="53BBB78A">
      <w:pPr>
        <w:tabs>
          <w:tab w:val="center" w:pos="6979"/>
        </w:tabs>
        <w:spacing w:line="580" w:lineRule="exact"/>
        <w:ind w:firstLine="700" w:firstLineChars="250"/>
        <w:rPr>
          <w:rFonts w:hint="eastAsia" w:ascii="仿宋_GB2312" w:eastAsia="仿宋_GB2312"/>
          <w:sz w:val="28"/>
          <w:szCs w:val="28"/>
        </w:rPr>
      </w:pPr>
      <w:r>
        <w:rPr>
          <w:rFonts w:hint="eastAsia" w:ascii="仿宋_GB2312" w:eastAsia="仿宋_GB2312"/>
          <w:sz w:val="28"/>
          <w:szCs w:val="28"/>
        </w:rPr>
        <w:t>本部门共设5个内设机构，下设0个事业单位。事业编制24人，实有人数23人。</w:t>
      </w:r>
    </w:p>
    <w:p w14:paraId="6876D805">
      <w:pPr>
        <w:tabs>
          <w:tab w:val="center" w:pos="6979"/>
        </w:tabs>
        <w:spacing w:line="580" w:lineRule="exact"/>
        <w:ind w:firstLine="560" w:firstLineChars="200"/>
        <w:rPr>
          <w:rFonts w:ascii="黑体" w:eastAsia="黑体"/>
          <w:b/>
          <w:sz w:val="28"/>
          <w:szCs w:val="28"/>
        </w:rPr>
      </w:pPr>
      <w:r>
        <w:rPr>
          <w:rFonts w:hint="eastAsia" w:ascii="黑体" w:eastAsia="黑体"/>
          <w:b/>
          <w:sz w:val="28"/>
          <w:szCs w:val="28"/>
        </w:rPr>
        <w:t>二、收入支出决算总体情况说明</w:t>
      </w:r>
    </w:p>
    <w:p w14:paraId="27859273">
      <w:pPr>
        <w:tabs>
          <w:tab w:val="center" w:pos="6979"/>
        </w:tabs>
        <w:spacing w:line="580" w:lineRule="exact"/>
        <w:ind w:firstLine="570"/>
        <w:rPr>
          <w:rFonts w:ascii="仿宋_GB2312" w:eastAsia="仿宋_GB2312"/>
          <w:sz w:val="28"/>
          <w:szCs w:val="28"/>
        </w:rPr>
      </w:pPr>
      <w:r>
        <w:rPr>
          <w:rFonts w:hint="eastAsia" w:ascii="仿宋_GB2312" w:eastAsia="仿宋_GB2312"/>
          <w:sz w:val="28"/>
          <w:szCs w:val="28"/>
        </w:rPr>
        <w:t>2025年度收、</w:t>
      </w:r>
      <w:r>
        <w:rPr>
          <w:rFonts w:ascii="仿宋_GB2312" w:eastAsia="仿宋_GB2312"/>
          <w:sz w:val="28"/>
          <w:szCs w:val="28"/>
        </w:rPr>
        <w:t>支</w:t>
      </w:r>
      <w:r>
        <w:rPr>
          <w:rFonts w:hint="eastAsia" w:ascii="仿宋_GB2312" w:eastAsia="仿宋_GB2312"/>
          <w:sz w:val="28"/>
          <w:szCs w:val="28"/>
        </w:rPr>
        <w:t>总计</w:t>
      </w:r>
      <w:r>
        <w:rPr>
          <w:rFonts w:ascii="仿宋_GB2312" w:eastAsia="仿宋_GB2312"/>
          <w:sz w:val="28"/>
          <w:szCs w:val="28"/>
        </w:rPr>
        <w:t>20</w:t>
      </w:r>
      <w:r>
        <w:rPr>
          <w:rFonts w:hint="eastAsia" w:ascii="仿宋_GB2312" w:eastAsia="仿宋_GB2312"/>
          <w:sz w:val="28"/>
          <w:szCs w:val="28"/>
          <w:lang w:val="en-US" w:eastAsia="zh-CN"/>
        </w:rPr>
        <w:t>,</w:t>
      </w:r>
      <w:r>
        <w:rPr>
          <w:rFonts w:ascii="仿宋_GB2312" w:eastAsia="仿宋_GB2312"/>
          <w:sz w:val="28"/>
          <w:szCs w:val="28"/>
        </w:rPr>
        <w:t>246</w:t>
      </w:r>
      <w:r>
        <w:rPr>
          <w:rFonts w:hint="eastAsia" w:ascii="仿宋_GB2312" w:eastAsia="仿宋_GB2312"/>
          <w:sz w:val="28"/>
          <w:szCs w:val="28"/>
          <w:lang w:val="en-US" w:eastAsia="zh-CN"/>
        </w:rPr>
        <w:t>,</w:t>
      </w:r>
      <w:r>
        <w:rPr>
          <w:rFonts w:ascii="仿宋_GB2312" w:eastAsia="仿宋_GB2312"/>
          <w:sz w:val="28"/>
          <w:szCs w:val="28"/>
        </w:rPr>
        <w:t>109.28</w:t>
      </w:r>
      <w:r>
        <w:rPr>
          <w:rFonts w:hint="eastAsia" w:ascii="仿宋_GB2312" w:eastAsia="仿宋_GB2312"/>
          <w:sz w:val="28"/>
          <w:szCs w:val="28"/>
        </w:rPr>
        <w:t>元，</w:t>
      </w:r>
      <w:r>
        <w:rPr>
          <w:rFonts w:ascii="仿宋_GB2312" w:eastAsia="仿宋_GB2312"/>
          <w:sz w:val="28"/>
          <w:szCs w:val="28"/>
        </w:rPr>
        <w:t>比上年</w:t>
      </w:r>
      <w:r>
        <w:rPr>
          <w:rFonts w:hint="eastAsia" w:ascii="仿宋_GB2312" w:eastAsia="仿宋_GB2312"/>
          <w:sz w:val="28"/>
          <w:szCs w:val="28"/>
        </w:rPr>
        <w:t>减少147,134.56元，下降</w:t>
      </w:r>
      <w:r>
        <w:rPr>
          <w:rFonts w:hint="eastAsia" w:ascii="仿宋_GB2312" w:eastAsia="仿宋_GB2312"/>
          <w:sz w:val="28"/>
          <w:szCs w:val="28"/>
          <w:lang w:val="en-US" w:eastAsia="zh-CN"/>
        </w:rPr>
        <w:t>0.7</w:t>
      </w:r>
      <w:r>
        <w:rPr>
          <w:rFonts w:hint="eastAsia" w:ascii="仿宋_GB2312" w:eastAsia="仿宋_GB2312"/>
          <w:sz w:val="28"/>
          <w:szCs w:val="28"/>
        </w:rPr>
        <w:t>%。</w:t>
      </w:r>
    </w:p>
    <w:p w14:paraId="27C7AA8A">
      <w:pPr>
        <w:tabs>
          <w:tab w:val="center" w:pos="6979"/>
        </w:tabs>
        <w:spacing w:line="580" w:lineRule="exact"/>
        <w:ind w:firstLine="570"/>
        <w:rPr>
          <w:rFonts w:ascii="仿宋_GB2312" w:eastAsia="仿宋_GB2312"/>
          <w:sz w:val="28"/>
          <w:szCs w:val="28"/>
        </w:rPr>
      </w:pPr>
      <w:r>
        <w:rPr>
          <w:rFonts w:hint="eastAsia" w:ascii="仿宋_GB2312" w:eastAsia="仿宋_GB2312"/>
          <w:sz w:val="28"/>
          <w:szCs w:val="28"/>
        </w:rPr>
        <w:t>（一</w:t>
      </w:r>
      <w:r>
        <w:rPr>
          <w:rFonts w:ascii="仿宋_GB2312" w:eastAsia="仿宋_GB2312"/>
          <w:sz w:val="28"/>
          <w:szCs w:val="28"/>
        </w:rPr>
        <w:t>）</w:t>
      </w:r>
      <w:r>
        <w:rPr>
          <w:rFonts w:hint="eastAsia" w:ascii="仿宋_GB2312" w:eastAsia="仿宋_GB2312"/>
          <w:sz w:val="28"/>
          <w:szCs w:val="28"/>
        </w:rPr>
        <w:t>收入决算</w:t>
      </w:r>
      <w:r>
        <w:rPr>
          <w:rFonts w:ascii="仿宋_GB2312" w:eastAsia="仿宋_GB2312"/>
          <w:sz w:val="28"/>
          <w:szCs w:val="28"/>
        </w:rPr>
        <w:t>说明</w:t>
      </w:r>
    </w:p>
    <w:p w14:paraId="140AD93A">
      <w:pPr>
        <w:tabs>
          <w:tab w:val="center" w:pos="6979"/>
        </w:tabs>
        <w:spacing w:line="580" w:lineRule="exact"/>
        <w:ind w:firstLine="570"/>
        <w:rPr>
          <w:rFonts w:ascii="仿宋_GB2312" w:eastAsia="仿宋_GB2312"/>
          <w:sz w:val="28"/>
          <w:szCs w:val="28"/>
        </w:rPr>
      </w:pPr>
      <w:r>
        <w:rPr>
          <w:rFonts w:hint="eastAsia" w:ascii="仿宋_GB2312" w:eastAsia="仿宋_GB2312"/>
          <w:sz w:val="28"/>
          <w:szCs w:val="28"/>
        </w:rPr>
        <w:t>2025年度本年收入合计</w:t>
      </w:r>
      <w:r>
        <w:rPr>
          <w:rFonts w:ascii="仿宋_GB2312" w:eastAsia="仿宋_GB2312"/>
          <w:sz w:val="28"/>
          <w:szCs w:val="28"/>
        </w:rPr>
        <w:t>8</w:t>
      </w:r>
      <w:r>
        <w:rPr>
          <w:rFonts w:hint="eastAsia" w:ascii="仿宋_GB2312" w:eastAsia="仿宋_GB2312"/>
          <w:sz w:val="28"/>
          <w:szCs w:val="28"/>
          <w:lang w:val="en-US" w:eastAsia="zh-CN"/>
        </w:rPr>
        <w:t>,</w:t>
      </w:r>
      <w:r>
        <w:rPr>
          <w:rFonts w:ascii="仿宋_GB2312" w:eastAsia="仿宋_GB2312"/>
          <w:sz w:val="28"/>
          <w:szCs w:val="28"/>
        </w:rPr>
        <w:t>954</w:t>
      </w:r>
      <w:r>
        <w:rPr>
          <w:rFonts w:hint="eastAsia" w:ascii="仿宋_GB2312" w:eastAsia="仿宋_GB2312"/>
          <w:sz w:val="28"/>
          <w:szCs w:val="28"/>
          <w:lang w:val="en-US" w:eastAsia="zh-CN"/>
        </w:rPr>
        <w:t>,</w:t>
      </w:r>
      <w:r>
        <w:rPr>
          <w:rFonts w:ascii="仿宋_GB2312" w:eastAsia="仿宋_GB2312"/>
          <w:sz w:val="28"/>
          <w:szCs w:val="28"/>
        </w:rPr>
        <w:t>166.27</w:t>
      </w:r>
      <w:r>
        <w:rPr>
          <w:rFonts w:hint="eastAsia" w:ascii="仿宋_GB2312" w:eastAsia="仿宋_GB2312"/>
          <w:sz w:val="28"/>
          <w:szCs w:val="28"/>
        </w:rPr>
        <w:t>元，</w:t>
      </w:r>
      <w:r>
        <w:rPr>
          <w:rFonts w:ascii="仿宋_GB2312" w:eastAsia="仿宋_GB2312"/>
          <w:sz w:val="28"/>
          <w:szCs w:val="28"/>
        </w:rPr>
        <w:t>比上年</w:t>
      </w:r>
      <w:r>
        <w:rPr>
          <w:rFonts w:hint="eastAsia" w:ascii="仿宋_GB2312" w:eastAsia="仿宋_GB2312"/>
          <w:sz w:val="28"/>
          <w:szCs w:val="28"/>
        </w:rPr>
        <w:t>减少147,134.56元，下降</w:t>
      </w:r>
      <w:r>
        <w:rPr>
          <w:rFonts w:hint="eastAsia" w:ascii="仿宋_GB2312" w:eastAsia="仿宋_GB2312"/>
          <w:sz w:val="28"/>
          <w:szCs w:val="28"/>
          <w:lang w:val="en-US" w:eastAsia="zh-CN"/>
        </w:rPr>
        <w:t>1.6</w:t>
      </w:r>
      <w:r>
        <w:rPr>
          <w:rFonts w:hint="eastAsia" w:ascii="仿宋_GB2312" w:eastAsia="仿宋_GB2312"/>
          <w:sz w:val="28"/>
          <w:szCs w:val="28"/>
        </w:rPr>
        <w:t>%。</w:t>
      </w:r>
    </w:p>
    <w:p w14:paraId="05DBF0C8">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1.财政拨款收入</w:t>
      </w:r>
      <w:r>
        <w:rPr>
          <w:rFonts w:ascii="仿宋_GB2312" w:eastAsia="仿宋_GB2312"/>
          <w:sz w:val="28"/>
          <w:szCs w:val="28"/>
        </w:rPr>
        <w:t>8</w:t>
      </w:r>
      <w:r>
        <w:rPr>
          <w:rFonts w:hint="eastAsia" w:ascii="仿宋_GB2312" w:eastAsia="仿宋_GB2312"/>
          <w:sz w:val="28"/>
          <w:szCs w:val="28"/>
          <w:lang w:val="en-US" w:eastAsia="zh-CN"/>
        </w:rPr>
        <w:t>,</w:t>
      </w:r>
      <w:r>
        <w:rPr>
          <w:rFonts w:ascii="仿宋_GB2312" w:eastAsia="仿宋_GB2312"/>
          <w:sz w:val="28"/>
          <w:szCs w:val="28"/>
        </w:rPr>
        <w:t>954</w:t>
      </w:r>
      <w:r>
        <w:rPr>
          <w:rFonts w:hint="eastAsia" w:ascii="仿宋_GB2312" w:eastAsia="仿宋_GB2312"/>
          <w:sz w:val="28"/>
          <w:szCs w:val="28"/>
          <w:lang w:val="en-US" w:eastAsia="zh-CN"/>
        </w:rPr>
        <w:t>,</w:t>
      </w:r>
      <w:r>
        <w:rPr>
          <w:rFonts w:ascii="仿宋_GB2312" w:eastAsia="仿宋_GB2312"/>
          <w:sz w:val="28"/>
          <w:szCs w:val="28"/>
        </w:rPr>
        <w:t>166.27</w:t>
      </w:r>
      <w:r>
        <w:rPr>
          <w:rFonts w:hint="eastAsia" w:ascii="仿宋_GB2312" w:eastAsia="仿宋_GB2312"/>
          <w:sz w:val="28"/>
          <w:szCs w:val="28"/>
        </w:rPr>
        <w:t>元，占收入合计的100%。其中：一般公共预算财政拨款收入</w:t>
      </w:r>
      <w:r>
        <w:rPr>
          <w:rFonts w:ascii="仿宋_GB2312" w:eastAsia="仿宋_GB2312"/>
          <w:sz w:val="28"/>
          <w:szCs w:val="28"/>
        </w:rPr>
        <w:t>8</w:t>
      </w:r>
      <w:r>
        <w:rPr>
          <w:rFonts w:hint="eastAsia" w:ascii="仿宋_GB2312" w:eastAsia="仿宋_GB2312"/>
          <w:sz w:val="28"/>
          <w:szCs w:val="28"/>
          <w:lang w:val="en-US" w:eastAsia="zh-CN"/>
        </w:rPr>
        <w:t>,</w:t>
      </w:r>
      <w:r>
        <w:rPr>
          <w:rFonts w:ascii="仿宋_GB2312" w:eastAsia="仿宋_GB2312"/>
          <w:sz w:val="28"/>
          <w:szCs w:val="28"/>
        </w:rPr>
        <w:t>937</w:t>
      </w:r>
      <w:r>
        <w:rPr>
          <w:rFonts w:hint="eastAsia" w:ascii="仿宋_GB2312" w:eastAsia="仿宋_GB2312"/>
          <w:sz w:val="28"/>
          <w:szCs w:val="28"/>
          <w:lang w:val="en-US" w:eastAsia="zh-CN"/>
        </w:rPr>
        <w:t>,</w:t>
      </w:r>
      <w:r>
        <w:rPr>
          <w:rFonts w:ascii="仿宋_GB2312" w:eastAsia="仿宋_GB2312"/>
          <w:sz w:val="28"/>
          <w:szCs w:val="28"/>
        </w:rPr>
        <w:t>966.27</w:t>
      </w:r>
      <w:r>
        <w:rPr>
          <w:rFonts w:hint="eastAsia" w:ascii="仿宋_GB2312" w:eastAsia="仿宋_GB2312"/>
          <w:sz w:val="28"/>
          <w:szCs w:val="28"/>
        </w:rPr>
        <w:t>元，占收入合计的99.</w:t>
      </w:r>
      <w:r>
        <w:rPr>
          <w:rFonts w:hint="eastAsia" w:ascii="仿宋_GB2312" w:eastAsia="仿宋_GB2312"/>
          <w:sz w:val="28"/>
          <w:szCs w:val="28"/>
          <w:lang w:val="en-US" w:eastAsia="zh-CN"/>
        </w:rPr>
        <w:t>8</w:t>
      </w:r>
      <w:r>
        <w:rPr>
          <w:rFonts w:hint="eastAsia" w:ascii="仿宋_GB2312" w:eastAsia="仿宋_GB2312"/>
          <w:sz w:val="28"/>
          <w:szCs w:val="28"/>
        </w:rPr>
        <w:t>%；政府性基金预算财政拨款收入</w:t>
      </w:r>
      <w:r>
        <w:rPr>
          <w:rFonts w:ascii="仿宋_GB2312" w:eastAsia="仿宋_GB2312"/>
          <w:sz w:val="28"/>
          <w:szCs w:val="28"/>
        </w:rPr>
        <w:t>16</w:t>
      </w:r>
      <w:r>
        <w:rPr>
          <w:rFonts w:hint="eastAsia" w:ascii="仿宋_GB2312" w:eastAsia="仿宋_GB2312"/>
          <w:sz w:val="28"/>
          <w:szCs w:val="28"/>
          <w:lang w:val="en-US" w:eastAsia="zh-CN"/>
        </w:rPr>
        <w:t>,</w:t>
      </w:r>
      <w:r>
        <w:rPr>
          <w:rFonts w:ascii="仿宋_GB2312" w:eastAsia="仿宋_GB2312"/>
          <w:sz w:val="28"/>
          <w:szCs w:val="28"/>
        </w:rPr>
        <w:t>200</w:t>
      </w:r>
      <w:r>
        <w:rPr>
          <w:rFonts w:hint="eastAsia" w:ascii="仿宋_GB2312" w:eastAsia="仿宋_GB2312"/>
          <w:sz w:val="28"/>
          <w:szCs w:val="28"/>
        </w:rPr>
        <w:t>元，占收入合计的0.</w:t>
      </w:r>
      <w:r>
        <w:rPr>
          <w:rFonts w:hint="eastAsia" w:ascii="仿宋_GB2312" w:eastAsia="仿宋_GB2312"/>
          <w:sz w:val="28"/>
          <w:szCs w:val="28"/>
          <w:lang w:val="en-US" w:eastAsia="zh-CN"/>
        </w:rPr>
        <w:t>2</w:t>
      </w:r>
      <w:r>
        <w:rPr>
          <w:rFonts w:hint="eastAsia" w:ascii="仿宋_GB2312" w:eastAsia="仿宋_GB2312"/>
          <w:sz w:val="28"/>
          <w:szCs w:val="28"/>
        </w:rPr>
        <w:t>%；国有资本经营预算财政拨款收入</w:t>
      </w:r>
      <w:r>
        <w:rPr>
          <w:rFonts w:ascii="仿宋_GB2312" w:eastAsia="仿宋_GB2312"/>
          <w:sz w:val="28"/>
          <w:szCs w:val="28"/>
        </w:rPr>
        <w:t>0</w:t>
      </w:r>
      <w:r>
        <w:rPr>
          <w:rFonts w:hint="eastAsia" w:ascii="仿宋_GB2312" w:eastAsia="仿宋_GB2312"/>
          <w:sz w:val="28"/>
          <w:szCs w:val="28"/>
        </w:rPr>
        <w:t>元，占收入合计的0%；</w:t>
      </w:r>
    </w:p>
    <w:p w14:paraId="495CEE2A">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2.上级补助收入</w:t>
      </w:r>
      <w:r>
        <w:rPr>
          <w:rFonts w:ascii="仿宋_GB2312" w:eastAsia="仿宋_GB2312"/>
          <w:sz w:val="28"/>
          <w:szCs w:val="28"/>
        </w:rPr>
        <w:t>0</w:t>
      </w:r>
      <w:r>
        <w:rPr>
          <w:rFonts w:hint="eastAsia" w:ascii="仿宋_GB2312" w:eastAsia="仿宋_GB2312"/>
          <w:sz w:val="28"/>
          <w:szCs w:val="28"/>
        </w:rPr>
        <w:t>元，占收入合计的0%；</w:t>
      </w:r>
    </w:p>
    <w:p w14:paraId="1DF10BED">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3.事业收入</w:t>
      </w:r>
      <w:r>
        <w:rPr>
          <w:rFonts w:ascii="仿宋_GB2312" w:eastAsia="仿宋_GB2312"/>
          <w:sz w:val="28"/>
          <w:szCs w:val="28"/>
        </w:rPr>
        <w:t>0</w:t>
      </w:r>
      <w:r>
        <w:rPr>
          <w:rFonts w:hint="eastAsia" w:ascii="仿宋_GB2312" w:eastAsia="仿宋_GB2312"/>
          <w:sz w:val="28"/>
          <w:szCs w:val="28"/>
        </w:rPr>
        <w:t>元，占收入合计的0%；</w:t>
      </w:r>
    </w:p>
    <w:p w14:paraId="53AABC2D">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4.经营收入</w:t>
      </w:r>
      <w:r>
        <w:rPr>
          <w:rFonts w:ascii="仿宋_GB2312" w:eastAsia="仿宋_GB2312"/>
          <w:sz w:val="28"/>
          <w:szCs w:val="28"/>
        </w:rPr>
        <w:t>0</w:t>
      </w:r>
      <w:r>
        <w:rPr>
          <w:rFonts w:hint="eastAsia" w:ascii="仿宋_GB2312" w:eastAsia="仿宋_GB2312"/>
          <w:sz w:val="28"/>
          <w:szCs w:val="28"/>
        </w:rPr>
        <w:t>元，占收入合计的0%；</w:t>
      </w:r>
    </w:p>
    <w:p w14:paraId="4E23915B">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5.附属单位上缴收入</w:t>
      </w:r>
      <w:r>
        <w:rPr>
          <w:rFonts w:ascii="仿宋_GB2312" w:eastAsia="仿宋_GB2312"/>
          <w:sz w:val="28"/>
          <w:szCs w:val="28"/>
        </w:rPr>
        <w:t>0</w:t>
      </w:r>
      <w:r>
        <w:rPr>
          <w:rFonts w:hint="eastAsia" w:ascii="仿宋_GB2312" w:eastAsia="仿宋_GB2312"/>
          <w:sz w:val="28"/>
          <w:szCs w:val="28"/>
        </w:rPr>
        <w:t>元，占收入合计的0%；</w:t>
      </w:r>
    </w:p>
    <w:p w14:paraId="5A5E12C2">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6.其他收入</w:t>
      </w:r>
      <w:r>
        <w:rPr>
          <w:rFonts w:ascii="仿宋_GB2312" w:eastAsia="仿宋_GB2312"/>
          <w:sz w:val="28"/>
          <w:szCs w:val="28"/>
        </w:rPr>
        <w:t>0</w:t>
      </w:r>
      <w:r>
        <w:rPr>
          <w:rFonts w:hint="eastAsia" w:ascii="仿宋_GB2312" w:eastAsia="仿宋_GB2312"/>
          <w:sz w:val="28"/>
          <w:szCs w:val="28"/>
        </w:rPr>
        <w:t>元，占收入合计的0%。</w:t>
      </w:r>
    </w:p>
    <w:p w14:paraId="4962BC90">
      <w:pPr>
        <w:spacing w:line="560" w:lineRule="exact"/>
        <w:ind w:firstLine="640"/>
        <w:rPr>
          <w:rFonts w:ascii="仿宋_GB2312" w:eastAsia="仿宋_GB2312" w:cs="Droid Sans"/>
          <w:color w:val="000000"/>
          <w:sz w:val="32"/>
          <w:szCs w:val="32"/>
        </w:rPr>
      </w:pPr>
    </w:p>
    <w:p w14:paraId="318C6554">
      <w:pPr>
        <w:pStyle w:val="2"/>
        <w:jc w:val="center"/>
      </w:pPr>
      <w:r>
        <w:rPr>
          <w:rFonts w:hint="eastAsia" w:ascii="仿宋_GB2312" w:eastAsia="仿宋_GB2312"/>
          <w:color w:val="000000"/>
          <w:sz w:val="32"/>
        </w:rPr>
        <w:t>图1：收入决算</w:t>
      </w:r>
    </w:p>
    <w:p w14:paraId="3B573FD2">
      <w:pPr>
        <w:pStyle w:val="3"/>
        <w:ind w:firstLine="420"/>
        <w:jc w:val="center"/>
      </w:pPr>
      <w:r>
        <w:drawing>
          <wp:inline distT="0" distB="0" distL="0" distR="0">
            <wp:extent cx="4036695" cy="2328545"/>
            <wp:effectExtent l="0" t="0" r="20955" b="14605"/>
            <wp:docPr id="3" name="图表 3" title="{{pieChart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5D5B0096">
      <w:pPr>
        <w:tabs>
          <w:tab w:val="center" w:pos="6979"/>
        </w:tabs>
        <w:spacing w:line="580" w:lineRule="exact"/>
        <w:ind w:firstLine="570"/>
        <w:rPr>
          <w:rFonts w:ascii="仿宋_GB2312" w:eastAsia="仿宋_GB2312"/>
          <w:sz w:val="28"/>
          <w:szCs w:val="28"/>
        </w:rPr>
      </w:pPr>
      <w:r>
        <w:rPr>
          <w:rFonts w:hint="eastAsia" w:ascii="仿宋_GB2312" w:eastAsia="仿宋_GB2312"/>
          <w:sz w:val="28"/>
          <w:szCs w:val="28"/>
        </w:rPr>
        <w:t>（二</w:t>
      </w:r>
      <w:r>
        <w:rPr>
          <w:rFonts w:ascii="仿宋_GB2312" w:eastAsia="仿宋_GB2312"/>
          <w:sz w:val="28"/>
          <w:szCs w:val="28"/>
        </w:rPr>
        <w:t>）</w:t>
      </w:r>
      <w:r>
        <w:rPr>
          <w:rFonts w:hint="eastAsia" w:ascii="仿宋_GB2312" w:eastAsia="仿宋_GB2312"/>
          <w:sz w:val="28"/>
          <w:szCs w:val="28"/>
        </w:rPr>
        <w:t>支出决算</w:t>
      </w:r>
      <w:r>
        <w:rPr>
          <w:rFonts w:ascii="仿宋_GB2312" w:eastAsia="仿宋_GB2312"/>
          <w:sz w:val="28"/>
          <w:szCs w:val="28"/>
        </w:rPr>
        <w:t>说明</w:t>
      </w:r>
    </w:p>
    <w:p w14:paraId="43EF14BB">
      <w:pPr>
        <w:tabs>
          <w:tab w:val="center" w:pos="6979"/>
        </w:tabs>
        <w:spacing w:line="580" w:lineRule="exact"/>
        <w:ind w:firstLine="570"/>
        <w:rPr>
          <w:rFonts w:ascii="仿宋_GB2312" w:eastAsia="仿宋_GB2312"/>
          <w:sz w:val="28"/>
          <w:szCs w:val="28"/>
        </w:rPr>
      </w:pPr>
      <w:r>
        <w:rPr>
          <w:rFonts w:hint="eastAsia" w:ascii="仿宋_GB2312" w:eastAsia="仿宋_GB2312"/>
          <w:sz w:val="28"/>
          <w:szCs w:val="28"/>
        </w:rPr>
        <w:t>2025年度本年支出合计</w:t>
      </w:r>
      <w:r>
        <w:rPr>
          <w:rFonts w:ascii="仿宋_GB2312" w:eastAsia="仿宋_GB2312"/>
          <w:sz w:val="28"/>
          <w:szCs w:val="28"/>
        </w:rPr>
        <w:t>8</w:t>
      </w:r>
      <w:r>
        <w:rPr>
          <w:rFonts w:hint="eastAsia" w:ascii="仿宋_GB2312" w:eastAsia="仿宋_GB2312"/>
          <w:sz w:val="28"/>
          <w:szCs w:val="28"/>
          <w:lang w:val="en-US" w:eastAsia="zh-CN"/>
        </w:rPr>
        <w:t>,</w:t>
      </w:r>
      <w:r>
        <w:rPr>
          <w:rFonts w:ascii="仿宋_GB2312" w:eastAsia="仿宋_GB2312"/>
          <w:sz w:val="28"/>
          <w:szCs w:val="28"/>
        </w:rPr>
        <w:t>954</w:t>
      </w:r>
      <w:r>
        <w:rPr>
          <w:rFonts w:hint="eastAsia" w:ascii="仿宋_GB2312" w:eastAsia="仿宋_GB2312"/>
          <w:sz w:val="28"/>
          <w:szCs w:val="28"/>
          <w:lang w:val="en-US" w:eastAsia="zh-CN"/>
        </w:rPr>
        <w:t>,</w:t>
      </w:r>
      <w:r>
        <w:rPr>
          <w:rFonts w:ascii="仿宋_GB2312" w:eastAsia="仿宋_GB2312"/>
          <w:sz w:val="28"/>
          <w:szCs w:val="28"/>
        </w:rPr>
        <w:t>166.27</w:t>
      </w:r>
      <w:r>
        <w:rPr>
          <w:rFonts w:hint="eastAsia" w:ascii="仿宋_GB2312" w:eastAsia="仿宋_GB2312"/>
          <w:sz w:val="28"/>
          <w:szCs w:val="28"/>
        </w:rPr>
        <w:t>元，</w:t>
      </w:r>
      <w:r>
        <w:rPr>
          <w:rFonts w:ascii="仿宋_GB2312" w:eastAsia="仿宋_GB2312"/>
          <w:sz w:val="28"/>
          <w:szCs w:val="28"/>
        </w:rPr>
        <w:t>比上年</w:t>
      </w:r>
      <w:r>
        <w:rPr>
          <w:rFonts w:hint="eastAsia" w:ascii="仿宋_GB2312" w:eastAsia="仿宋_GB2312"/>
          <w:sz w:val="28"/>
          <w:szCs w:val="28"/>
        </w:rPr>
        <w:t>减少147,134.56元，下降</w:t>
      </w:r>
      <w:r>
        <w:rPr>
          <w:rFonts w:hint="eastAsia" w:ascii="仿宋_GB2312" w:eastAsia="仿宋_GB2312"/>
          <w:sz w:val="28"/>
          <w:szCs w:val="28"/>
          <w:lang w:val="en-US" w:eastAsia="zh-CN"/>
        </w:rPr>
        <w:t>1.6</w:t>
      </w:r>
      <w:r>
        <w:rPr>
          <w:rFonts w:hint="eastAsia" w:ascii="仿宋_GB2312" w:eastAsia="仿宋_GB2312"/>
          <w:sz w:val="28"/>
          <w:szCs w:val="28"/>
        </w:rPr>
        <w:t>%，其中：基本支出</w:t>
      </w:r>
      <w:r>
        <w:rPr>
          <w:rFonts w:ascii="仿宋_GB2312" w:eastAsia="仿宋_GB2312"/>
          <w:sz w:val="28"/>
          <w:szCs w:val="28"/>
        </w:rPr>
        <w:t>8</w:t>
      </w:r>
      <w:r>
        <w:rPr>
          <w:rFonts w:hint="eastAsia" w:ascii="仿宋_GB2312" w:eastAsia="仿宋_GB2312"/>
          <w:sz w:val="28"/>
          <w:szCs w:val="28"/>
          <w:lang w:val="en-US" w:eastAsia="zh-CN"/>
        </w:rPr>
        <w:t>,</w:t>
      </w:r>
      <w:r>
        <w:rPr>
          <w:rFonts w:ascii="仿宋_GB2312" w:eastAsia="仿宋_GB2312"/>
          <w:sz w:val="28"/>
          <w:szCs w:val="28"/>
        </w:rPr>
        <w:t>546</w:t>
      </w:r>
      <w:r>
        <w:rPr>
          <w:rFonts w:hint="eastAsia" w:ascii="仿宋_GB2312" w:eastAsia="仿宋_GB2312"/>
          <w:sz w:val="28"/>
          <w:szCs w:val="28"/>
          <w:lang w:val="en-US" w:eastAsia="zh-CN"/>
        </w:rPr>
        <w:t>,</w:t>
      </w:r>
      <w:r>
        <w:rPr>
          <w:rFonts w:ascii="仿宋_GB2312" w:eastAsia="仿宋_GB2312"/>
          <w:sz w:val="28"/>
          <w:szCs w:val="28"/>
        </w:rPr>
        <w:t>766.2</w:t>
      </w:r>
      <w:r>
        <w:rPr>
          <w:rFonts w:hint="eastAsia" w:ascii="仿宋_GB2312" w:eastAsia="仿宋_GB2312"/>
          <w:sz w:val="28"/>
          <w:szCs w:val="28"/>
          <w:lang w:val="en-US" w:eastAsia="zh-CN"/>
        </w:rPr>
        <w:t>0</w:t>
      </w:r>
      <w:r>
        <w:rPr>
          <w:rFonts w:hint="eastAsia" w:ascii="仿宋_GB2312" w:eastAsia="仿宋_GB2312"/>
          <w:sz w:val="28"/>
          <w:szCs w:val="28"/>
        </w:rPr>
        <w:t>元，占支出合计的95.</w:t>
      </w:r>
      <w:r>
        <w:rPr>
          <w:rFonts w:hint="eastAsia" w:ascii="仿宋_GB2312" w:eastAsia="仿宋_GB2312"/>
          <w:sz w:val="28"/>
          <w:szCs w:val="28"/>
          <w:lang w:val="en-US" w:eastAsia="zh-CN"/>
        </w:rPr>
        <w:t>5</w:t>
      </w:r>
      <w:r>
        <w:rPr>
          <w:rFonts w:hint="eastAsia" w:ascii="仿宋_GB2312" w:eastAsia="仿宋_GB2312"/>
          <w:sz w:val="28"/>
          <w:szCs w:val="28"/>
        </w:rPr>
        <w:t>%；项目支出</w:t>
      </w:r>
      <w:r>
        <w:rPr>
          <w:rFonts w:ascii="仿宋_GB2312" w:eastAsia="仿宋_GB2312"/>
          <w:sz w:val="28"/>
          <w:szCs w:val="28"/>
        </w:rPr>
        <w:t>407</w:t>
      </w:r>
      <w:r>
        <w:rPr>
          <w:rFonts w:hint="eastAsia" w:ascii="仿宋_GB2312" w:eastAsia="仿宋_GB2312"/>
          <w:sz w:val="28"/>
          <w:szCs w:val="28"/>
          <w:lang w:val="en-US" w:eastAsia="zh-CN"/>
        </w:rPr>
        <w:t>,</w:t>
      </w:r>
      <w:r>
        <w:rPr>
          <w:rFonts w:ascii="仿宋_GB2312" w:eastAsia="仿宋_GB2312"/>
          <w:sz w:val="28"/>
          <w:szCs w:val="28"/>
        </w:rPr>
        <w:t>400.07</w:t>
      </w:r>
      <w:r>
        <w:rPr>
          <w:rFonts w:hint="eastAsia" w:ascii="仿宋_GB2312" w:eastAsia="仿宋_GB2312"/>
          <w:sz w:val="28"/>
          <w:szCs w:val="28"/>
        </w:rPr>
        <w:t>元，占支出合计的4.</w:t>
      </w:r>
      <w:r>
        <w:rPr>
          <w:rFonts w:hint="eastAsia" w:ascii="仿宋_GB2312" w:eastAsia="仿宋_GB2312"/>
          <w:sz w:val="28"/>
          <w:szCs w:val="28"/>
          <w:lang w:val="en-US" w:eastAsia="zh-CN"/>
        </w:rPr>
        <w:t>5</w:t>
      </w:r>
      <w:r>
        <w:rPr>
          <w:rFonts w:hint="eastAsia" w:ascii="仿宋_GB2312" w:eastAsia="仿宋_GB2312"/>
          <w:sz w:val="28"/>
          <w:szCs w:val="28"/>
        </w:rPr>
        <w:t>%;上缴上级支出</w:t>
      </w:r>
      <w:r>
        <w:rPr>
          <w:rFonts w:ascii="仿宋_GB2312" w:eastAsia="仿宋_GB2312"/>
          <w:sz w:val="28"/>
          <w:szCs w:val="28"/>
        </w:rPr>
        <w:t>0</w:t>
      </w:r>
      <w:r>
        <w:rPr>
          <w:rFonts w:hint="eastAsia" w:ascii="仿宋_GB2312" w:eastAsia="仿宋_GB2312"/>
          <w:sz w:val="28"/>
          <w:szCs w:val="28"/>
        </w:rPr>
        <w:t>元，占支出合计的0%；经营支出</w:t>
      </w:r>
      <w:r>
        <w:rPr>
          <w:rFonts w:ascii="仿宋_GB2312" w:eastAsia="仿宋_GB2312"/>
          <w:sz w:val="28"/>
          <w:szCs w:val="28"/>
        </w:rPr>
        <w:t>0</w:t>
      </w:r>
      <w:r>
        <w:rPr>
          <w:rFonts w:hint="eastAsia" w:ascii="仿宋_GB2312" w:eastAsia="仿宋_GB2312"/>
          <w:sz w:val="28"/>
          <w:szCs w:val="28"/>
        </w:rPr>
        <w:t>元，占支出合计的0%；对附属单位补助支出</w:t>
      </w:r>
      <w:r>
        <w:rPr>
          <w:rFonts w:ascii="仿宋_GB2312" w:eastAsia="仿宋_GB2312"/>
          <w:sz w:val="28"/>
          <w:szCs w:val="28"/>
        </w:rPr>
        <w:t>0</w:t>
      </w:r>
      <w:r>
        <w:rPr>
          <w:rFonts w:hint="eastAsia" w:ascii="仿宋_GB2312" w:eastAsia="仿宋_GB2312"/>
          <w:sz w:val="28"/>
          <w:szCs w:val="28"/>
        </w:rPr>
        <w:t>元，占支出合计的0%。</w:t>
      </w:r>
    </w:p>
    <w:p w14:paraId="0D2958A4">
      <w:pPr>
        <w:spacing w:line="560" w:lineRule="exact"/>
        <w:ind w:firstLine="640"/>
        <w:rPr>
          <w:rFonts w:ascii="仿宋_GB2312" w:eastAsia="仿宋_GB2312" w:cs="Droid Sans"/>
          <w:color w:val="000000"/>
          <w:sz w:val="32"/>
          <w:szCs w:val="32"/>
        </w:rPr>
      </w:pPr>
    </w:p>
    <w:p w14:paraId="153CB323">
      <w:pPr>
        <w:pStyle w:val="2"/>
        <w:ind w:firstLine="5772" w:firstLineChars="1804"/>
        <w:rPr>
          <w:rFonts w:ascii="仿宋_GB2312" w:eastAsia="仿宋_GB2312"/>
          <w:color w:val="000000"/>
          <w:sz w:val="32"/>
        </w:rPr>
      </w:pPr>
      <w:r>
        <w:rPr>
          <w:rFonts w:hint="eastAsia" w:ascii="仿宋_GB2312" w:eastAsia="仿宋_GB2312"/>
          <w:color w:val="000000"/>
          <w:sz w:val="32"/>
        </w:rPr>
        <w:t>图2：支出决算</w:t>
      </w:r>
    </w:p>
    <w:p w14:paraId="0AE54928">
      <w:pPr>
        <w:jc w:val="center"/>
        <w:rPr>
          <w:rFonts w:ascii="黑体" w:eastAsia="黑体"/>
          <w:b/>
          <w:sz w:val="28"/>
          <w:szCs w:val="28"/>
        </w:rPr>
      </w:pPr>
      <w:r>
        <w:drawing>
          <wp:inline distT="0" distB="0" distL="114300" distR="114300">
            <wp:extent cx="4572000" cy="2743200"/>
            <wp:effectExtent l="4445" t="4445" r="14605" b="14605"/>
            <wp:docPr id="1" name="图表 3" title="{{pieChart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7E58274C">
      <w:pPr>
        <w:tabs>
          <w:tab w:val="center" w:pos="6979"/>
        </w:tabs>
        <w:spacing w:line="580" w:lineRule="exact"/>
        <w:ind w:firstLine="548" w:firstLineChars="196"/>
        <w:rPr>
          <w:rFonts w:ascii="黑体" w:eastAsia="黑体"/>
          <w:b/>
          <w:sz w:val="28"/>
          <w:szCs w:val="28"/>
        </w:rPr>
      </w:pPr>
      <w:r>
        <w:rPr>
          <w:rFonts w:hint="eastAsia" w:ascii="黑体" w:eastAsia="黑体"/>
          <w:b/>
          <w:sz w:val="28"/>
          <w:szCs w:val="28"/>
        </w:rPr>
        <w:t>三</w:t>
      </w:r>
      <w:r>
        <w:rPr>
          <w:rFonts w:ascii="黑体" w:eastAsia="黑体"/>
          <w:b/>
          <w:sz w:val="28"/>
          <w:szCs w:val="28"/>
        </w:rPr>
        <w:t>、财政拨款</w:t>
      </w:r>
      <w:r>
        <w:rPr>
          <w:rFonts w:hint="eastAsia" w:ascii="黑体" w:eastAsia="黑体"/>
          <w:b/>
          <w:sz w:val="28"/>
          <w:szCs w:val="28"/>
        </w:rPr>
        <w:t>收入支出决算</w:t>
      </w:r>
      <w:r>
        <w:rPr>
          <w:rFonts w:ascii="黑体" w:eastAsia="黑体"/>
          <w:b/>
          <w:sz w:val="28"/>
          <w:szCs w:val="28"/>
        </w:rPr>
        <w:t>总体情况说明</w:t>
      </w:r>
    </w:p>
    <w:p w14:paraId="4DE73F78">
      <w:pPr>
        <w:tabs>
          <w:tab w:val="center" w:pos="6979"/>
        </w:tabs>
        <w:spacing w:line="580" w:lineRule="exact"/>
        <w:ind w:firstLine="570"/>
        <w:rPr>
          <w:rFonts w:ascii="仿宋_GB2312" w:eastAsia="仿宋_GB2312"/>
          <w:sz w:val="28"/>
          <w:szCs w:val="28"/>
        </w:rPr>
      </w:pPr>
      <w:r>
        <w:rPr>
          <w:rFonts w:hint="eastAsia" w:ascii="仿宋_GB2312" w:eastAsia="仿宋_GB2312"/>
          <w:sz w:val="28"/>
          <w:szCs w:val="28"/>
        </w:rPr>
        <w:t>2025年度财政拨款收、</w:t>
      </w:r>
      <w:r>
        <w:rPr>
          <w:rFonts w:ascii="仿宋_GB2312" w:eastAsia="仿宋_GB2312"/>
          <w:sz w:val="28"/>
          <w:szCs w:val="28"/>
        </w:rPr>
        <w:t>支</w:t>
      </w:r>
      <w:r>
        <w:rPr>
          <w:rFonts w:hint="eastAsia" w:ascii="仿宋_GB2312" w:eastAsia="仿宋_GB2312"/>
          <w:sz w:val="28"/>
          <w:szCs w:val="28"/>
        </w:rPr>
        <w:t>总计</w:t>
      </w:r>
      <w:r>
        <w:rPr>
          <w:rFonts w:ascii="仿宋_GB2312" w:eastAsia="仿宋_GB2312"/>
          <w:sz w:val="28"/>
          <w:szCs w:val="28"/>
        </w:rPr>
        <w:t>20</w:t>
      </w:r>
      <w:r>
        <w:rPr>
          <w:rFonts w:hint="eastAsia" w:ascii="仿宋_GB2312" w:eastAsia="仿宋_GB2312"/>
          <w:sz w:val="28"/>
          <w:szCs w:val="28"/>
          <w:lang w:val="en-US" w:eastAsia="zh-CN"/>
        </w:rPr>
        <w:t>,</w:t>
      </w:r>
      <w:r>
        <w:rPr>
          <w:rFonts w:ascii="仿宋_GB2312" w:eastAsia="仿宋_GB2312"/>
          <w:sz w:val="28"/>
          <w:szCs w:val="28"/>
        </w:rPr>
        <w:t>246</w:t>
      </w:r>
      <w:r>
        <w:rPr>
          <w:rFonts w:hint="eastAsia" w:ascii="仿宋_GB2312" w:eastAsia="仿宋_GB2312"/>
          <w:sz w:val="28"/>
          <w:szCs w:val="28"/>
          <w:lang w:val="en-US" w:eastAsia="zh-CN"/>
        </w:rPr>
        <w:t>,</w:t>
      </w:r>
      <w:r>
        <w:rPr>
          <w:rFonts w:ascii="仿宋_GB2312" w:eastAsia="仿宋_GB2312"/>
          <w:sz w:val="28"/>
          <w:szCs w:val="28"/>
        </w:rPr>
        <w:t>109.28</w:t>
      </w:r>
      <w:r>
        <w:rPr>
          <w:rFonts w:hint="eastAsia" w:ascii="仿宋_GB2312" w:eastAsia="仿宋_GB2312"/>
          <w:sz w:val="28"/>
          <w:szCs w:val="28"/>
        </w:rPr>
        <w:t>元，比上年减少147,134.56元，下降</w:t>
      </w:r>
      <w:r>
        <w:rPr>
          <w:rFonts w:hint="eastAsia" w:ascii="仿宋_GB2312" w:eastAsia="仿宋_GB2312"/>
          <w:sz w:val="28"/>
          <w:szCs w:val="28"/>
          <w:lang w:val="en-US" w:eastAsia="zh-CN"/>
        </w:rPr>
        <w:t>0.7</w:t>
      </w:r>
      <w:r>
        <w:rPr>
          <w:rFonts w:hint="eastAsia" w:ascii="仿宋_GB2312" w:eastAsia="仿宋_GB2312"/>
          <w:sz w:val="28"/>
          <w:szCs w:val="28"/>
        </w:rPr>
        <w:t>%。主要原因：2025年度项目支出减少。</w:t>
      </w:r>
    </w:p>
    <w:p w14:paraId="021A8B6B">
      <w:pPr>
        <w:tabs>
          <w:tab w:val="center" w:pos="6979"/>
        </w:tabs>
        <w:spacing w:line="580" w:lineRule="exact"/>
        <w:ind w:firstLine="548" w:firstLineChars="196"/>
        <w:rPr>
          <w:rFonts w:ascii="黑体" w:eastAsia="黑体"/>
          <w:b/>
          <w:sz w:val="28"/>
          <w:szCs w:val="28"/>
        </w:rPr>
      </w:pPr>
      <w:r>
        <w:rPr>
          <w:rFonts w:hint="eastAsia" w:ascii="黑体" w:eastAsia="黑体"/>
          <w:b/>
          <w:sz w:val="28"/>
          <w:szCs w:val="28"/>
        </w:rPr>
        <w:t>四、一般公共预算财政拨款支出决算情况说明</w:t>
      </w:r>
    </w:p>
    <w:p w14:paraId="42531A65">
      <w:pPr>
        <w:autoSpaceDE w:val="0"/>
        <w:autoSpaceDN w:val="0"/>
        <w:adjustRightInd w:val="0"/>
        <w:spacing w:line="580" w:lineRule="exact"/>
        <w:ind w:firstLine="560" w:firstLineChars="200"/>
        <w:jc w:val="left"/>
        <w:rPr>
          <w:rFonts w:ascii="仿宋_GB2312" w:eastAsia="仿宋_GB2312"/>
          <w:sz w:val="28"/>
          <w:szCs w:val="28"/>
        </w:rPr>
      </w:pPr>
      <w:r>
        <w:rPr>
          <w:rFonts w:hint="eastAsia" w:ascii="仿宋_GB2312" w:eastAsia="仿宋_GB2312"/>
          <w:sz w:val="28"/>
          <w:szCs w:val="28"/>
        </w:rPr>
        <w:t>（一）一般公共预算财政拨款支出决算总体情况</w:t>
      </w:r>
    </w:p>
    <w:p w14:paraId="18B2C7E8">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2025年度一般公共预算财政拨款支出</w:t>
      </w:r>
      <w:r>
        <w:rPr>
          <w:rFonts w:ascii="仿宋_GB2312" w:eastAsia="仿宋_GB2312"/>
          <w:sz w:val="28"/>
          <w:szCs w:val="28"/>
        </w:rPr>
        <w:t>8</w:t>
      </w:r>
      <w:r>
        <w:rPr>
          <w:rFonts w:hint="eastAsia" w:ascii="仿宋_GB2312" w:eastAsia="仿宋_GB2312"/>
          <w:sz w:val="28"/>
          <w:szCs w:val="28"/>
          <w:lang w:val="en-US" w:eastAsia="zh-CN"/>
        </w:rPr>
        <w:t>,</w:t>
      </w:r>
      <w:r>
        <w:rPr>
          <w:rFonts w:ascii="仿宋_GB2312" w:eastAsia="仿宋_GB2312"/>
          <w:sz w:val="28"/>
          <w:szCs w:val="28"/>
        </w:rPr>
        <w:t>937</w:t>
      </w:r>
      <w:r>
        <w:rPr>
          <w:rFonts w:hint="eastAsia" w:ascii="仿宋_GB2312" w:eastAsia="仿宋_GB2312"/>
          <w:sz w:val="28"/>
          <w:szCs w:val="28"/>
          <w:lang w:val="en-US" w:eastAsia="zh-CN"/>
        </w:rPr>
        <w:t>,</w:t>
      </w:r>
      <w:r>
        <w:rPr>
          <w:rFonts w:ascii="仿宋_GB2312" w:eastAsia="仿宋_GB2312"/>
          <w:sz w:val="28"/>
          <w:szCs w:val="28"/>
        </w:rPr>
        <w:t>966.27</w:t>
      </w:r>
      <w:r>
        <w:rPr>
          <w:rFonts w:hint="eastAsia" w:ascii="仿宋_GB2312" w:eastAsia="仿宋_GB2312"/>
          <w:sz w:val="28"/>
          <w:szCs w:val="28"/>
        </w:rPr>
        <w:t>元，主要用于以下方面（按大类）：社会保障和就业支出6,078.00元，占本年财政拨款支出0.</w:t>
      </w:r>
      <w:r>
        <w:rPr>
          <w:rFonts w:hint="eastAsia" w:ascii="仿宋_GB2312" w:eastAsia="仿宋_GB2312"/>
          <w:sz w:val="28"/>
          <w:szCs w:val="28"/>
          <w:lang w:val="en-US" w:eastAsia="zh-CN"/>
        </w:rPr>
        <w:t>1</w:t>
      </w:r>
      <w:r>
        <w:rPr>
          <w:rFonts w:hint="eastAsia" w:ascii="仿宋_GB2312" w:eastAsia="仿宋_GB2312"/>
          <w:sz w:val="28"/>
          <w:szCs w:val="28"/>
        </w:rPr>
        <w:t>%；城乡社区支出8,922,863.27元，占本年财政拨款支出99.</w:t>
      </w:r>
      <w:r>
        <w:rPr>
          <w:rFonts w:hint="eastAsia" w:ascii="仿宋_GB2312" w:eastAsia="仿宋_GB2312"/>
          <w:sz w:val="28"/>
          <w:szCs w:val="28"/>
          <w:lang w:val="en-US" w:eastAsia="zh-CN"/>
        </w:rPr>
        <w:t>6</w:t>
      </w:r>
      <w:r>
        <w:rPr>
          <w:rFonts w:hint="eastAsia" w:ascii="仿宋_GB2312" w:eastAsia="仿宋_GB2312"/>
          <w:sz w:val="28"/>
          <w:szCs w:val="28"/>
        </w:rPr>
        <w:t>%；资源勘探工业信息等支出9,025.00元，占本年财政拨款支出0.1%。</w:t>
      </w:r>
    </w:p>
    <w:p w14:paraId="7CCD84BB">
      <w:pPr>
        <w:autoSpaceDE w:val="0"/>
        <w:autoSpaceDN w:val="0"/>
        <w:adjustRightInd w:val="0"/>
        <w:spacing w:line="580" w:lineRule="exact"/>
        <w:ind w:firstLine="560" w:firstLineChars="200"/>
        <w:jc w:val="left"/>
        <w:rPr>
          <w:rFonts w:ascii="仿宋_GB2312" w:eastAsia="仿宋_GB2312"/>
          <w:sz w:val="28"/>
          <w:szCs w:val="28"/>
        </w:rPr>
      </w:pPr>
      <w:r>
        <w:rPr>
          <w:rFonts w:hint="eastAsia" w:ascii="仿宋_GB2312" w:eastAsia="仿宋_GB2312"/>
          <w:sz w:val="28"/>
          <w:szCs w:val="28"/>
        </w:rPr>
        <w:t>（二）一般公共预算财政拨款支出决算具体情况</w:t>
      </w:r>
    </w:p>
    <w:p w14:paraId="5E4AA7E2">
      <w:pPr>
        <w:spacing w:line="580" w:lineRule="exact"/>
        <w:ind w:firstLine="560" w:firstLineChars="200"/>
        <w:rPr>
          <w:rFonts w:hint="eastAsia" w:ascii="仿宋_GB2312" w:eastAsia="仿宋_GB2312"/>
          <w:sz w:val="28"/>
          <w:szCs w:val="28"/>
        </w:rPr>
      </w:pPr>
      <w:r>
        <w:rPr>
          <w:rFonts w:hint="eastAsia" w:ascii="仿宋_GB2312" w:eastAsia="仿宋_GB2312"/>
          <w:sz w:val="28"/>
          <w:szCs w:val="28"/>
        </w:rPr>
        <w:t>1、“社会保障和就业支出”（类）2025年度年初预算0.00元，2025年度决算6,078.00元，比2025年度年初预算增加6,078.00元。其中：</w:t>
      </w:r>
    </w:p>
    <w:p w14:paraId="5E2B115C">
      <w:pPr>
        <w:spacing w:line="580" w:lineRule="exact"/>
        <w:ind w:firstLine="560" w:firstLineChars="200"/>
        <w:rPr>
          <w:rFonts w:hint="eastAsia" w:ascii="仿宋_GB2312" w:eastAsia="仿宋_GB2312"/>
          <w:sz w:val="28"/>
          <w:szCs w:val="28"/>
        </w:rPr>
      </w:pPr>
      <w:r>
        <w:rPr>
          <w:rFonts w:hint="eastAsia" w:ascii="仿宋_GB2312" w:eastAsia="仿宋_GB2312"/>
          <w:sz w:val="28"/>
          <w:szCs w:val="28"/>
        </w:rPr>
        <w:t>“行政事业单位养老支出”（款）2025年度年初预算0.00元，2025年度决算6,078.00元，比2025年度年初预算增加6,078.00元。主要原因：2025年10月新增一名事业退休人员。</w:t>
      </w:r>
    </w:p>
    <w:p w14:paraId="7B812C9E">
      <w:pPr>
        <w:spacing w:line="580" w:lineRule="exact"/>
        <w:ind w:firstLine="560" w:firstLineChars="200"/>
        <w:rPr>
          <w:rFonts w:hint="eastAsia" w:ascii="仿宋_GB2312" w:eastAsia="仿宋_GB2312"/>
          <w:sz w:val="28"/>
          <w:szCs w:val="28"/>
        </w:rPr>
      </w:pPr>
      <w:r>
        <w:rPr>
          <w:rFonts w:hint="eastAsia" w:ascii="仿宋_GB2312" w:eastAsia="仿宋_GB2312"/>
          <w:sz w:val="28"/>
          <w:szCs w:val="28"/>
        </w:rPr>
        <w:t>2、“城乡社区支出”(类)2025年度年初预算9,138,380.11元，2025年度决算8,922,863.27元，完成年初预算的97.</w:t>
      </w:r>
      <w:r>
        <w:rPr>
          <w:rFonts w:hint="eastAsia" w:ascii="仿宋_GB2312" w:eastAsia="仿宋_GB2312"/>
          <w:sz w:val="28"/>
          <w:szCs w:val="28"/>
          <w:lang w:val="en-US" w:eastAsia="zh-CN"/>
        </w:rPr>
        <w:t>6</w:t>
      </w:r>
      <w:r>
        <w:rPr>
          <w:rFonts w:hint="eastAsia" w:ascii="仿宋_GB2312" w:eastAsia="仿宋_GB2312"/>
          <w:sz w:val="28"/>
          <w:szCs w:val="28"/>
        </w:rPr>
        <w:t>%；其中：</w:t>
      </w:r>
    </w:p>
    <w:p w14:paraId="0E36B83F">
      <w:pPr>
        <w:spacing w:line="580" w:lineRule="exact"/>
        <w:ind w:firstLine="560" w:firstLineChars="200"/>
        <w:rPr>
          <w:rFonts w:hint="eastAsia" w:ascii="仿宋_GB2312" w:eastAsia="仿宋_GB2312"/>
          <w:sz w:val="28"/>
          <w:szCs w:val="28"/>
        </w:rPr>
      </w:pPr>
      <w:r>
        <w:rPr>
          <w:rFonts w:hint="eastAsia" w:ascii="仿宋_GB2312" w:eastAsia="仿宋_GB2312"/>
          <w:sz w:val="28"/>
          <w:szCs w:val="28"/>
        </w:rPr>
        <w:t>“城乡社区管理事务”（款）2025年度年初预算9,138,380.11元，2025年度决算8,922,863.27元，完成年初预算的97.6%；主要原因：基本支出减少。</w:t>
      </w:r>
    </w:p>
    <w:p w14:paraId="78DD2180">
      <w:pPr>
        <w:spacing w:line="580" w:lineRule="exact"/>
        <w:ind w:firstLine="560" w:firstLineChars="200"/>
        <w:rPr>
          <w:rFonts w:hint="eastAsia" w:ascii="仿宋_GB2312" w:eastAsia="仿宋_GB2312"/>
          <w:sz w:val="28"/>
          <w:szCs w:val="28"/>
        </w:rPr>
      </w:pPr>
      <w:r>
        <w:rPr>
          <w:rFonts w:hint="eastAsia" w:ascii="仿宋_GB2312" w:eastAsia="仿宋_GB2312"/>
          <w:sz w:val="28"/>
          <w:szCs w:val="28"/>
        </w:rPr>
        <w:t>3、“资源勘探工业信息等支出”（类）2025年度年初预算0.00元，2025年度决算9,025.00元，比2025年度年初预算增加9,025.00元。其中：</w:t>
      </w:r>
    </w:p>
    <w:p w14:paraId="0E9091EB">
      <w:pPr>
        <w:spacing w:line="580" w:lineRule="exact"/>
        <w:ind w:firstLine="560" w:firstLineChars="200"/>
        <w:rPr>
          <w:rFonts w:ascii="仿宋_GB2312" w:eastAsia="仿宋_GB2312"/>
          <w:sz w:val="28"/>
          <w:szCs w:val="28"/>
        </w:rPr>
      </w:pPr>
      <w:r>
        <w:rPr>
          <w:rFonts w:hint="eastAsia" w:ascii="仿宋_GB2312" w:eastAsia="仿宋_GB2312"/>
          <w:sz w:val="28"/>
          <w:szCs w:val="28"/>
        </w:rPr>
        <w:t>“制造业”（款）2025年度年初预算0.00元，2025年度决算9,025.00元，比2025年度年初预算增加9,025.00元。主要原因：购买资产。</w:t>
      </w:r>
    </w:p>
    <w:p w14:paraId="71E426EA">
      <w:pPr>
        <w:spacing w:line="580" w:lineRule="exact"/>
        <w:ind w:firstLine="560" w:firstLineChars="200"/>
        <w:rPr>
          <w:rFonts w:ascii="仿宋_GB2312" w:eastAsia="仿宋_GB2312"/>
          <w:sz w:val="28"/>
          <w:szCs w:val="28"/>
        </w:rPr>
      </w:pPr>
      <w:r>
        <w:rPr>
          <w:rFonts w:hint="eastAsia" w:ascii="黑体" w:eastAsia="黑体"/>
          <w:b/>
          <w:sz w:val="28"/>
          <w:szCs w:val="28"/>
        </w:rPr>
        <w:t>五、政府性基金预算财政拨款支出决算情况说明</w:t>
      </w:r>
    </w:p>
    <w:p w14:paraId="230BAD84">
      <w:pPr>
        <w:autoSpaceDE w:val="0"/>
        <w:autoSpaceDN w:val="0"/>
        <w:adjustRightInd w:val="0"/>
        <w:spacing w:line="580" w:lineRule="exact"/>
        <w:ind w:firstLine="560" w:firstLineChars="200"/>
        <w:jc w:val="left"/>
        <w:rPr>
          <w:rFonts w:ascii="仿宋_GB2312" w:eastAsia="仿宋_GB2312"/>
          <w:sz w:val="28"/>
          <w:szCs w:val="28"/>
        </w:rPr>
      </w:pPr>
      <w:r>
        <w:rPr>
          <w:rFonts w:hint="eastAsia" w:ascii="仿宋_GB2312" w:eastAsia="仿宋_GB2312"/>
          <w:sz w:val="28"/>
          <w:szCs w:val="28"/>
        </w:rPr>
        <w:t>（一）政府性基金预算财政拨款支出决算总体情况</w:t>
      </w:r>
    </w:p>
    <w:p w14:paraId="1730701D">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2025年度政府性基金预算财政拨款支出</w:t>
      </w:r>
      <w:r>
        <w:rPr>
          <w:rFonts w:ascii="仿宋_GB2312" w:eastAsia="仿宋_GB2312"/>
          <w:sz w:val="28"/>
          <w:szCs w:val="28"/>
        </w:rPr>
        <w:t>16</w:t>
      </w:r>
      <w:r>
        <w:rPr>
          <w:rFonts w:hint="eastAsia" w:ascii="仿宋_GB2312" w:eastAsia="仿宋_GB2312"/>
          <w:sz w:val="28"/>
          <w:szCs w:val="28"/>
          <w:lang w:val="en-US" w:eastAsia="zh-CN"/>
        </w:rPr>
        <w:t>,</w:t>
      </w:r>
      <w:r>
        <w:rPr>
          <w:rFonts w:ascii="仿宋_GB2312" w:eastAsia="仿宋_GB2312"/>
          <w:sz w:val="28"/>
          <w:szCs w:val="28"/>
        </w:rPr>
        <w:t>200</w:t>
      </w:r>
      <w:r>
        <w:rPr>
          <w:rFonts w:hint="eastAsia" w:ascii="仿宋_GB2312" w:eastAsia="仿宋_GB2312"/>
          <w:sz w:val="28"/>
          <w:szCs w:val="28"/>
          <w:lang w:val="en-US" w:eastAsia="zh-CN"/>
        </w:rPr>
        <w:t>.00</w:t>
      </w:r>
      <w:r>
        <w:rPr>
          <w:rFonts w:hint="eastAsia" w:ascii="仿宋_GB2312" w:eastAsia="仿宋_GB2312"/>
          <w:sz w:val="28"/>
          <w:szCs w:val="28"/>
        </w:rPr>
        <w:t>元，主要用于以下方面（按大类）：城乡社区支出</w:t>
      </w:r>
      <w:r>
        <w:rPr>
          <w:rFonts w:ascii="仿宋_GB2312" w:eastAsia="仿宋_GB2312"/>
          <w:sz w:val="28"/>
          <w:szCs w:val="28"/>
        </w:rPr>
        <w:t>16</w:t>
      </w:r>
      <w:r>
        <w:rPr>
          <w:rFonts w:hint="eastAsia" w:ascii="仿宋_GB2312" w:eastAsia="仿宋_GB2312"/>
          <w:sz w:val="28"/>
          <w:szCs w:val="28"/>
          <w:lang w:val="en-US" w:eastAsia="zh-CN"/>
        </w:rPr>
        <w:t>,</w:t>
      </w:r>
      <w:r>
        <w:rPr>
          <w:rFonts w:ascii="仿宋_GB2312" w:eastAsia="仿宋_GB2312"/>
          <w:sz w:val="28"/>
          <w:szCs w:val="28"/>
        </w:rPr>
        <w:t>200</w:t>
      </w:r>
      <w:r>
        <w:rPr>
          <w:rFonts w:hint="eastAsia" w:ascii="仿宋_GB2312" w:eastAsia="仿宋_GB2312"/>
          <w:sz w:val="28"/>
          <w:szCs w:val="28"/>
          <w:lang w:val="en-US" w:eastAsia="zh-CN"/>
        </w:rPr>
        <w:t>.00</w:t>
      </w:r>
      <w:r>
        <w:rPr>
          <w:rFonts w:hint="eastAsia" w:ascii="仿宋_GB2312" w:eastAsia="仿宋_GB2312"/>
          <w:sz w:val="28"/>
          <w:szCs w:val="28"/>
        </w:rPr>
        <w:t>元，占本年财政拨款支出</w:t>
      </w:r>
      <w:r>
        <w:rPr>
          <w:rFonts w:hint="eastAsia" w:ascii="仿宋_GB2312" w:eastAsia="仿宋_GB2312"/>
          <w:sz w:val="28"/>
          <w:szCs w:val="28"/>
          <w:lang w:val="en-US" w:eastAsia="zh-CN"/>
        </w:rPr>
        <w:t>0.2</w:t>
      </w:r>
      <w:r>
        <w:rPr>
          <w:rFonts w:hint="eastAsia" w:ascii="仿宋_GB2312" w:eastAsia="仿宋_GB2312"/>
          <w:sz w:val="28"/>
          <w:szCs w:val="28"/>
        </w:rPr>
        <w:t>%。</w:t>
      </w:r>
    </w:p>
    <w:p w14:paraId="364C9864">
      <w:pPr>
        <w:autoSpaceDE w:val="0"/>
        <w:autoSpaceDN w:val="0"/>
        <w:adjustRightInd w:val="0"/>
        <w:spacing w:line="580" w:lineRule="exact"/>
        <w:ind w:firstLine="560" w:firstLineChars="200"/>
        <w:jc w:val="left"/>
        <w:rPr>
          <w:rFonts w:ascii="仿宋_GB2312" w:eastAsia="仿宋_GB2312"/>
          <w:sz w:val="28"/>
          <w:szCs w:val="28"/>
        </w:rPr>
      </w:pPr>
      <w:r>
        <w:rPr>
          <w:rFonts w:hint="eastAsia" w:ascii="仿宋_GB2312" w:eastAsia="仿宋_GB2312"/>
          <w:sz w:val="28"/>
          <w:szCs w:val="28"/>
        </w:rPr>
        <w:t>（二）政府性基金预算财政拨款支出决算具体情况</w:t>
      </w:r>
    </w:p>
    <w:p w14:paraId="26C3B5D8">
      <w:pPr>
        <w:spacing w:line="580" w:lineRule="exact"/>
        <w:ind w:firstLine="560" w:firstLineChars="200"/>
        <w:rPr>
          <w:rFonts w:hint="eastAsia" w:ascii="仿宋_GB2312" w:eastAsia="仿宋_GB2312"/>
          <w:sz w:val="28"/>
          <w:szCs w:val="28"/>
        </w:rPr>
      </w:pPr>
      <w:r>
        <w:rPr>
          <w:rFonts w:hint="eastAsia" w:ascii="仿宋_GB2312" w:eastAsia="仿宋_GB2312"/>
          <w:sz w:val="28"/>
          <w:szCs w:val="28"/>
        </w:rPr>
        <w:t>1、“城乡社区支出”（类）2025年度年初预算0.00元，2025年度决算</w:t>
      </w:r>
      <w:r>
        <w:rPr>
          <w:rFonts w:ascii="仿宋_GB2312" w:eastAsia="仿宋_GB2312"/>
          <w:sz w:val="28"/>
          <w:szCs w:val="28"/>
        </w:rPr>
        <w:t>16</w:t>
      </w:r>
      <w:r>
        <w:rPr>
          <w:rFonts w:hint="eastAsia" w:ascii="仿宋_GB2312" w:eastAsia="仿宋_GB2312"/>
          <w:sz w:val="28"/>
          <w:szCs w:val="28"/>
          <w:lang w:val="en-US" w:eastAsia="zh-CN"/>
        </w:rPr>
        <w:t>,</w:t>
      </w:r>
      <w:r>
        <w:rPr>
          <w:rFonts w:ascii="仿宋_GB2312" w:eastAsia="仿宋_GB2312"/>
          <w:sz w:val="28"/>
          <w:szCs w:val="28"/>
        </w:rPr>
        <w:t>200</w:t>
      </w:r>
      <w:r>
        <w:rPr>
          <w:rFonts w:hint="eastAsia" w:ascii="仿宋_GB2312" w:eastAsia="仿宋_GB2312"/>
          <w:sz w:val="28"/>
          <w:szCs w:val="28"/>
          <w:lang w:val="en-US" w:eastAsia="zh-CN"/>
        </w:rPr>
        <w:t>.00</w:t>
      </w:r>
      <w:r>
        <w:rPr>
          <w:rFonts w:hint="eastAsia" w:ascii="仿宋_GB2312" w:eastAsia="仿宋_GB2312"/>
          <w:sz w:val="28"/>
          <w:szCs w:val="28"/>
        </w:rPr>
        <w:t>元，比2025年度年初预算增加</w:t>
      </w:r>
      <w:r>
        <w:rPr>
          <w:rFonts w:ascii="仿宋_GB2312" w:eastAsia="仿宋_GB2312"/>
          <w:sz w:val="28"/>
          <w:szCs w:val="28"/>
        </w:rPr>
        <w:t>16</w:t>
      </w:r>
      <w:r>
        <w:rPr>
          <w:rFonts w:hint="eastAsia" w:ascii="仿宋_GB2312" w:eastAsia="仿宋_GB2312"/>
          <w:sz w:val="28"/>
          <w:szCs w:val="28"/>
          <w:lang w:val="en-US" w:eastAsia="zh-CN"/>
        </w:rPr>
        <w:t>,</w:t>
      </w:r>
      <w:r>
        <w:rPr>
          <w:rFonts w:ascii="仿宋_GB2312" w:eastAsia="仿宋_GB2312"/>
          <w:sz w:val="28"/>
          <w:szCs w:val="28"/>
        </w:rPr>
        <w:t>200</w:t>
      </w:r>
      <w:r>
        <w:rPr>
          <w:rFonts w:hint="eastAsia" w:ascii="仿宋_GB2312" w:eastAsia="仿宋_GB2312"/>
          <w:sz w:val="28"/>
          <w:szCs w:val="28"/>
          <w:lang w:val="en-US" w:eastAsia="zh-CN"/>
        </w:rPr>
        <w:t>.00</w:t>
      </w:r>
      <w:r>
        <w:rPr>
          <w:rFonts w:hint="eastAsia" w:ascii="仿宋_GB2312" w:eastAsia="仿宋_GB2312"/>
          <w:sz w:val="28"/>
          <w:szCs w:val="28"/>
        </w:rPr>
        <w:t>元。其中：</w:t>
      </w:r>
    </w:p>
    <w:p w14:paraId="009F339A">
      <w:pPr>
        <w:spacing w:line="580" w:lineRule="exact"/>
        <w:ind w:firstLine="560" w:firstLineChars="200"/>
        <w:rPr>
          <w:rFonts w:ascii="仿宋_GB2312" w:eastAsia="仿宋_GB2312"/>
          <w:sz w:val="28"/>
          <w:szCs w:val="28"/>
        </w:rPr>
      </w:pPr>
      <w:r>
        <w:rPr>
          <w:rFonts w:hint="eastAsia" w:ascii="仿宋_GB2312" w:eastAsia="仿宋_GB2312"/>
          <w:sz w:val="28"/>
          <w:szCs w:val="28"/>
        </w:rPr>
        <w:t>“国有土地使用权出让收入安排的支出”（款）2025年度年初预算0.00元，2025年度决算</w:t>
      </w:r>
      <w:r>
        <w:rPr>
          <w:rFonts w:ascii="仿宋_GB2312" w:eastAsia="仿宋_GB2312"/>
          <w:sz w:val="28"/>
          <w:szCs w:val="28"/>
        </w:rPr>
        <w:t>16</w:t>
      </w:r>
      <w:r>
        <w:rPr>
          <w:rFonts w:hint="eastAsia" w:ascii="仿宋_GB2312" w:eastAsia="仿宋_GB2312"/>
          <w:sz w:val="28"/>
          <w:szCs w:val="28"/>
          <w:lang w:val="en-US" w:eastAsia="zh-CN"/>
        </w:rPr>
        <w:t>,</w:t>
      </w:r>
      <w:r>
        <w:rPr>
          <w:rFonts w:ascii="仿宋_GB2312" w:eastAsia="仿宋_GB2312"/>
          <w:sz w:val="28"/>
          <w:szCs w:val="28"/>
        </w:rPr>
        <w:t>200</w:t>
      </w:r>
      <w:r>
        <w:rPr>
          <w:rFonts w:hint="eastAsia" w:ascii="仿宋_GB2312" w:eastAsia="仿宋_GB2312"/>
          <w:sz w:val="28"/>
          <w:szCs w:val="28"/>
          <w:lang w:val="en-US" w:eastAsia="zh-CN"/>
        </w:rPr>
        <w:t>.00</w:t>
      </w:r>
      <w:r>
        <w:rPr>
          <w:rFonts w:hint="eastAsia" w:ascii="仿宋_GB2312" w:eastAsia="仿宋_GB2312"/>
          <w:sz w:val="28"/>
          <w:szCs w:val="28"/>
        </w:rPr>
        <w:t>元，比2025年度年初预算增加</w:t>
      </w:r>
      <w:r>
        <w:rPr>
          <w:rFonts w:ascii="仿宋_GB2312" w:eastAsia="仿宋_GB2312"/>
          <w:sz w:val="28"/>
          <w:szCs w:val="28"/>
        </w:rPr>
        <w:t>16</w:t>
      </w:r>
      <w:r>
        <w:rPr>
          <w:rFonts w:hint="eastAsia" w:ascii="仿宋_GB2312" w:eastAsia="仿宋_GB2312"/>
          <w:sz w:val="28"/>
          <w:szCs w:val="28"/>
          <w:lang w:val="en-US" w:eastAsia="zh-CN"/>
        </w:rPr>
        <w:t>,</w:t>
      </w:r>
      <w:r>
        <w:rPr>
          <w:rFonts w:ascii="仿宋_GB2312" w:eastAsia="仿宋_GB2312"/>
          <w:sz w:val="28"/>
          <w:szCs w:val="28"/>
        </w:rPr>
        <w:t>200</w:t>
      </w:r>
      <w:r>
        <w:rPr>
          <w:rFonts w:hint="eastAsia" w:ascii="仿宋_GB2312" w:eastAsia="仿宋_GB2312"/>
          <w:sz w:val="28"/>
          <w:szCs w:val="28"/>
          <w:lang w:val="en-US" w:eastAsia="zh-CN"/>
        </w:rPr>
        <w:t>.00</w:t>
      </w:r>
      <w:r>
        <w:rPr>
          <w:rFonts w:hint="eastAsia" w:ascii="仿宋_GB2312" w:eastAsia="仿宋_GB2312"/>
          <w:sz w:val="28"/>
          <w:szCs w:val="28"/>
        </w:rPr>
        <w:t>元。主要原因：支付安置补助。</w:t>
      </w:r>
    </w:p>
    <w:p w14:paraId="77C3E064">
      <w:pPr>
        <w:spacing w:line="580" w:lineRule="exact"/>
        <w:ind w:firstLine="560" w:firstLineChars="200"/>
        <w:rPr>
          <w:rFonts w:ascii="黑体" w:eastAsia="黑体"/>
          <w:b/>
          <w:sz w:val="28"/>
          <w:szCs w:val="28"/>
        </w:rPr>
      </w:pPr>
      <w:r>
        <w:rPr>
          <w:rFonts w:hint="eastAsia" w:ascii="黑体" w:eastAsia="黑体"/>
          <w:b/>
          <w:sz w:val="28"/>
          <w:szCs w:val="28"/>
        </w:rPr>
        <w:t>六、国有资本经营预算财</w:t>
      </w:r>
      <w:r>
        <w:rPr>
          <w:rFonts w:ascii="黑体" w:eastAsia="黑体"/>
          <w:b/>
          <w:sz w:val="28"/>
          <w:szCs w:val="28"/>
        </w:rPr>
        <w:t>政拨款</w:t>
      </w:r>
      <w:r>
        <w:rPr>
          <w:rFonts w:hint="eastAsia" w:ascii="黑体" w:eastAsia="黑体"/>
          <w:b/>
          <w:sz w:val="28"/>
          <w:szCs w:val="28"/>
        </w:rPr>
        <w:t>收支情况</w:t>
      </w:r>
    </w:p>
    <w:p w14:paraId="3B580459">
      <w:pPr>
        <w:ind w:firstLine="537" w:firstLineChars="192"/>
        <w:rPr>
          <w:rFonts w:ascii="仿宋_GB2312" w:eastAsia="仿宋_GB2312"/>
          <w:sz w:val="28"/>
          <w:szCs w:val="28"/>
        </w:rPr>
      </w:pPr>
      <w:r>
        <w:rPr>
          <w:rFonts w:hint="eastAsia" w:ascii="仿宋_GB2312" w:eastAsia="仿宋_GB2312"/>
          <w:sz w:val="28"/>
          <w:szCs w:val="28"/>
        </w:rPr>
        <w:t>2025年度国有资本经营预算财政</w:t>
      </w:r>
      <w:r>
        <w:rPr>
          <w:rFonts w:ascii="仿宋_GB2312" w:eastAsia="仿宋_GB2312"/>
          <w:sz w:val="28"/>
          <w:szCs w:val="28"/>
        </w:rPr>
        <w:t>拨款</w:t>
      </w:r>
      <w:r>
        <w:rPr>
          <w:rFonts w:hint="eastAsia" w:ascii="仿宋_GB2312" w:eastAsia="仿宋_GB2312"/>
          <w:sz w:val="28"/>
          <w:szCs w:val="28"/>
        </w:rPr>
        <w:t>收入总</w:t>
      </w:r>
      <w:r>
        <w:rPr>
          <w:rFonts w:ascii="仿宋_GB2312" w:eastAsia="仿宋_GB2312"/>
          <w:sz w:val="28"/>
          <w:szCs w:val="28"/>
        </w:rPr>
        <w:t>计0</w:t>
      </w:r>
      <w:r>
        <w:rPr>
          <w:rFonts w:hint="eastAsia" w:ascii="仿宋_GB2312" w:eastAsia="仿宋_GB2312"/>
          <w:sz w:val="28"/>
          <w:szCs w:val="28"/>
        </w:rPr>
        <w:t>元，国有资本经营预算财政</w:t>
      </w:r>
      <w:r>
        <w:rPr>
          <w:rFonts w:ascii="仿宋_GB2312" w:eastAsia="仿宋_GB2312"/>
          <w:sz w:val="28"/>
          <w:szCs w:val="28"/>
        </w:rPr>
        <w:t>拨款</w:t>
      </w:r>
      <w:r>
        <w:rPr>
          <w:rFonts w:hint="eastAsia" w:ascii="仿宋_GB2312" w:eastAsia="仿宋_GB2312"/>
          <w:sz w:val="28"/>
          <w:szCs w:val="28"/>
        </w:rPr>
        <w:t>支出总</w:t>
      </w:r>
      <w:r>
        <w:rPr>
          <w:rFonts w:ascii="仿宋_GB2312" w:eastAsia="仿宋_GB2312"/>
          <w:sz w:val="28"/>
          <w:szCs w:val="28"/>
        </w:rPr>
        <w:t>计0</w:t>
      </w:r>
      <w:r>
        <w:rPr>
          <w:rFonts w:hint="eastAsia" w:ascii="仿宋_GB2312" w:eastAsia="仿宋_GB2312"/>
          <w:sz w:val="28"/>
          <w:szCs w:val="28"/>
        </w:rPr>
        <w:t>元。</w:t>
      </w:r>
    </w:p>
    <w:p w14:paraId="022082D9">
      <w:pPr>
        <w:spacing w:line="580" w:lineRule="exact"/>
        <w:ind w:firstLine="548" w:firstLineChars="196"/>
        <w:rPr>
          <w:rFonts w:ascii="黑体" w:eastAsia="黑体"/>
          <w:sz w:val="28"/>
          <w:szCs w:val="28"/>
        </w:rPr>
      </w:pPr>
      <w:r>
        <w:rPr>
          <w:rFonts w:hint="eastAsia" w:ascii="黑体" w:eastAsia="黑体"/>
          <w:b/>
          <w:sz w:val="28"/>
          <w:szCs w:val="28"/>
        </w:rPr>
        <w:t>七、财政拨款基本支出决算情况说明</w:t>
      </w:r>
    </w:p>
    <w:p w14:paraId="3503EB2A">
      <w:pPr>
        <w:tabs>
          <w:tab w:val="center" w:pos="6979"/>
        </w:tabs>
        <w:spacing w:line="580" w:lineRule="exact"/>
        <w:ind w:firstLine="548" w:firstLineChars="196"/>
        <w:rPr>
          <w:rFonts w:ascii="黑体" w:eastAsia="黑体"/>
          <w:b/>
          <w:sz w:val="28"/>
          <w:szCs w:val="28"/>
        </w:rPr>
      </w:pPr>
      <w:r>
        <w:rPr>
          <w:rFonts w:hint="eastAsia" w:ascii="仿宋_GB2312" w:eastAsia="仿宋_GB2312"/>
          <w:sz w:val="28"/>
          <w:szCs w:val="28"/>
        </w:rPr>
        <w:t>2025年度使用一般公共预算财政拨款安排基本支出</w:t>
      </w:r>
      <w:r>
        <w:rPr>
          <w:rFonts w:ascii="仿宋_GB2312" w:eastAsia="仿宋_GB2312"/>
          <w:sz w:val="28"/>
          <w:szCs w:val="28"/>
        </w:rPr>
        <w:t>8</w:t>
      </w:r>
      <w:r>
        <w:rPr>
          <w:rFonts w:hint="eastAsia" w:ascii="仿宋_GB2312" w:eastAsia="仿宋_GB2312"/>
          <w:sz w:val="28"/>
          <w:szCs w:val="28"/>
          <w:lang w:val="en-US" w:eastAsia="zh-CN"/>
        </w:rPr>
        <w:t>,</w:t>
      </w:r>
      <w:r>
        <w:rPr>
          <w:rFonts w:ascii="仿宋_GB2312" w:eastAsia="仿宋_GB2312"/>
          <w:sz w:val="28"/>
          <w:szCs w:val="28"/>
        </w:rPr>
        <w:t>546</w:t>
      </w:r>
      <w:r>
        <w:rPr>
          <w:rFonts w:hint="eastAsia" w:ascii="仿宋_GB2312" w:eastAsia="仿宋_GB2312"/>
          <w:sz w:val="28"/>
          <w:szCs w:val="28"/>
          <w:lang w:val="en-US" w:eastAsia="zh-CN"/>
        </w:rPr>
        <w:t>,</w:t>
      </w:r>
      <w:r>
        <w:rPr>
          <w:rFonts w:ascii="仿宋_GB2312" w:eastAsia="仿宋_GB2312"/>
          <w:sz w:val="28"/>
          <w:szCs w:val="28"/>
        </w:rPr>
        <w:t>766.2</w:t>
      </w:r>
      <w:r>
        <w:rPr>
          <w:rFonts w:hint="eastAsia" w:ascii="仿宋_GB2312" w:eastAsia="仿宋_GB2312"/>
          <w:sz w:val="28"/>
          <w:szCs w:val="28"/>
          <w:lang w:val="en-US" w:eastAsia="zh-CN"/>
        </w:rPr>
        <w:t>0</w:t>
      </w:r>
      <w:r>
        <w:rPr>
          <w:rFonts w:hint="eastAsia" w:ascii="仿宋_GB2312" w:eastAsia="仿宋_GB2312"/>
          <w:sz w:val="28"/>
          <w:szCs w:val="28"/>
        </w:rPr>
        <w:t>元，使用政府性基金财政拨款安排基本支出</w:t>
      </w:r>
      <w:r>
        <w:rPr>
          <w:rFonts w:ascii="仿宋_GB2312" w:eastAsia="仿宋_GB2312"/>
          <w:sz w:val="28"/>
          <w:szCs w:val="28"/>
        </w:rPr>
        <w:t>0</w:t>
      </w:r>
      <w:r>
        <w:rPr>
          <w:rFonts w:hint="eastAsia" w:ascii="仿宋_GB2312" w:eastAsia="仿宋_GB2312"/>
          <w:sz w:val="28"/>
          <w:szCs w:val="28"/>
        </w:rPr>
        <w:t>元，（1）工资福利支出包括基本工资</w:t>
      </w:r>
      <w:r>
        <w:rPr>
          <w:rFonts w:ascii="仿宋_GB2312" w:eastAsia="仿宋_GB2312"/>
          <w:sz w:val="28"/>
          <w:szCs w:val="28"/>
        </w:rPr>
        <w:t>、津贴补贴、奖金、伙食补助费、绩效工资、</w:t>
      </w:r>
      <w:r>
        <w:rPr>
          <w:rFonts w:hint="eastAsia" w:ascii="仿宋_GB2312" w:eastAsia="仿宋_GB2312"/>
          <w:sz w:val="28"/>
          <w:szCs w:val="28"/>
        </w:rPr>
        <w:t>其他</w:t>
      </w:r>
      <w:r>
        <w:rPr>
          <w:rFonts w:ascii="仿宋_GB2312" w:eastAsia="仿宋_GB2312"/>
          <w:sz w:val="28"/>
          <w:szCs w:val="28"/>
        </w:rPr>
        <w:t>社会保障缴费、其他工资福利</w:t>
      </w:r>
      <w:r>
        <w:rPr>
          <w:rFonts w:hint="eastAsia" w:ascii="仿宋_GB2312" w:eastAsia="仿宋_GB2312"/>
          <w:sz w:val="28"/>
          <w:szCs w:val="28"/>
        </w:rPr>
        <w:t>等</w:t>
      </w:r>
      <w:r>
        <w:rPr>
          <w:rFonts w:ascii="仿宋_GB2312" w:eastAsia="仿宋_GB2312"/>
          <w:sz w:val="28"/>
          <w:szCs w:val="28"/>
        </w:rPr>
        <w:t>支出</w:t>
      </w:r>
      <w:r>
        <w:rPr>
          <w:rFonts w:hint="eastAsia" w:ascii="仿宋_GB2312" w:eastAsia="仿宋_GB2312"/>
          <w:sz w:val="28"/>
          <w:szCs w:val="28"/>
        </w:rPr>
        <w:t>8,170,061.66</w:t>
      </w:r>
      <w:r>
        <w:rPr>
          <w:rFonts w:hint="eastAsia" w:ascii="仿宋_GB2312" w:eastAsia="仿宋_GB2312"/>
          <w:sz w:val="28"/>
          <w:szCs w:val="28"/>
          <w:lang w:eastAsia="zh-CN"/>
        </w:rPr>
        <w:t>元</w:t>
      </w:r>
      <w:r>
        <w:rPr>
          <w:rFonts w:hint="eastAsia" w:ascii="仿宋_GB2312" w:eastAsia="仿宋_GB2312"/>
          <w:sz w:val="28"/>
          <w:szCs w:val="28"/>
        </w:rPr>
        <w:t>；（2）商品和服务支出包括</w:t>
      </w:r>
      <w:r>
        <w:rPr>
          <w:rFonts w:ascii="仿宋_GB2312" w:eastAsia="仿宋_GB2312"/>
          <w:sz w:val="28"/>
          <w:szCs w:val="28"/>
        </w:rPr>
        <w:t>办公费、印刷费、手续费、水费、电费、邮电费、取暖费、物业管理费、差旅费、因公出国（境）费、维修（护）费、租赁费、会议费、培训费、公务接待费、专用材料费、劳务费、委托业务费、工会经费、福利费、公务用车运行维护费、其他交通费</w:t>
      </w:r>
      <w:r>
        <w:rPr>
          <w:rFonts w:hint="eastAsia" w:ascii="仿宋_GB2312" w:eastAsia="仿宋_GB2312"/>
          <w:sz w:val="28"/>
          <w:szCs w:val="28"/>
        </w:rPr>
        <w:t>用</w:t>
      </w:r>
      <w:r>
        <w:rPr>
          <w:rFonts w:ascii="仿宋_GB2312" w:eastAsia="仿宋_GB2312"/>
          <w:sz w:val="28"/>
          <w:szCs w:val="28"/>
        </w:rPr>
        <w:t>、其他商品和服务</w:t>
      </w:r>
      <w:r>
        <w:rPr>
          <w:rFonts w:hint="eastAsia" w:ascii="仿宋_GB2312" w:eastAsia="仿宋_GB2312"/>
          <w:sz w:val="28"/>
          <w:szCs w:val="28"/>
        </w:rPr>
        <w:t>等</w:t>
      </w:r>
      <w:r>
        <w:rPr>
          <w:rFonts w:ascii="仿宋_GB2312" w:eastAsia="仿宋_GB2312"/>
          <w:sz w:val="28"/>
          <w:szCs w:val="28"/>
        </w:rPr>
        <w:t>支出</w:t>
      </w:r>
      <w:r>
        <w:rPr>
          <w:rFonts w:hint="eastAsia" w:ascii="仿宋_GB2312" w:eastAsia="仿宋_GB2312"/>
          <w:sz w:val="28"/>
          <w:szCs w:val="28"/>
        </w:rPr>
        <w:t>370,661.54</w:t>
      </w:r>
      <w:r>
        <w:rPr>
          <w:rFonts w:hint="eastAsia" w:ascii="仿宋_GB2312" w:eastAsia="仿宋_GB2312"/>
          <w:sz w:val="28"/>
          <w:szCs w:val="28"/>
          <w:lang w:eastAsia="zh-CN"/>
        </w:rPr>
        <w:t>元</w:t>
      </w:r>
      <w:r>
        <w:rPr>
          <w:rFonts w:hint="eastAsia" w:ascii="仿宋_GB2312" w:eastAsia="仿宋_GB2312"/>
          <w:sz w:val="28"/>
          <w:szCs w:val="28"/>
        </w:rPr>
        <w:t>；（3）对个人和家庭补助支出包括</w:t>
      </w:r>
      <w:r>
        <w:rPr>
          <w:rFonts w:ascii="仿宋_GB2312" w:eastAsia="仿宋_GB2312"/>
          <w:sz w:val="28"/>
          <w:szCs w:val="28"/>
        </w:rPr>
        <w:t>离休费、退休费、抚恤金、生活补助、</w:t>
      </w:r>
      <w:r>
        <w:rPr>
          <w:rFonts w:hint="eastAsia" w:ascii="仿宋_GB2312" w:eastAsia="仿宋_GB2312"/>
          <w:sz w:val="28"/>
          <w:szCs w:val="28"/>
        </w:rPr>
        <w:t>救济费</w:t>
      </w:r>
      <w:r>
        <w:rPr>
          <w:rFonts w:ascii="仿宋_GB2312" w:eastAsia="仿宋_GB2312"/>
          <w:sz w:val="28"/>
          <w:szCs w:val="28"/>
        </w:rPr>
        <w:t>、医疗费</w:t>
      </w:r>
      <w:r>
        <w:rPr>
          <w:rFonts w:hint="eastAsia" w:ascii="仿宋_GB2312" w:eastAsia="仿宋_GB2312"/>
          <w:sz w:val="28"/>
          <w:szCs w:val="28"/>
        </w:rPr>
        <w:t>补助</w:t>
      </w:r>
      <w:r>
        <w:rPr>
          <w:rFonts w:ascii="仿宋_GB2312" w:eastAsia="仿宋_GB2312"/>
          <w:sz w:val="28"/>
          <w:szCs w:val="28"/>
        </w:rPr>
        <w:t>、助学金、奖励金</w:t>
      </w:r>
      <w:r>
        <w:rPr>
          <w:rFonts w:hint="eastAsia" w:ascii="仿宋_GB2312" w:eastAsia="仿宋_GB2312"/>
          <w:sz w:val="28"/>
          <w:szCs w:val="28"/>
        </w:rPr>
        <w:t>、</w:t>
      </w:r>
      <w:r>
        <w:rPr>
          <w:rFonts w:ascii="仿宋_GB2312" w:eastAsia="仿宋_GB2312"/>
          <w:sz w:val="28"/>
          <w:szCs w:val="28"/>
        </w:rPr>
        <w:t>其他对个人和家庭的补助</w:t>
      </w:r>
      <w:r>
        <w:rPr>
          <w:rFonts w:hint="eastAsia" w:ascii="仿宋_GB2312" w:eastAsia="仿宋_GB2312"/>
          <w:sz w:val="28"/>
          <w:szCs w:val="28"/>
        </w:rPr>
        <w:t>等</w:t>
      </w:r>
      <w:r>
        <w:rPr>
          <w:rFonts w:ascii="仿宋_GB2312" w:eastAsia="仿宋_GB2312"/>
          <w:sz w:val="28"/>
          <w:szCs w:val="28"/>
        </w:rPr>
        <w:t>支出</w:t>
      </w:r>
      <w:r>
        <w:rPr>
          <w:rFonts w:hint="eastAsia" w:ascii="仿宋_GB2312" w:eastAsia="仿宋_GB2312"/>
          <w:sz w:val="28"/>
          <w:szCs w:val="28"/>
        </w:rPr>
        <w:t>6,043.00</w:t>
      </w:r>
      <w:r>
        <w:rPr>
          <w:rFonts w:hint="eastAsia" w:ascii="仿宋_GB2312" w:eastAsia="仿宋_GB2312"/>
          <w:sz w:val="28"/>
          <w:szCs w:val="28"/>
          <w:lang w:eastAsia="zh-CN"/>
        </w:rPr>
        <w:t>元</w:t>
      </w:r>
      <w:r>
        <w:rPr>
          <w:rFonts w:hint="eastAsia" w:ascii="仿宋_GB2312" w:eastAsia="仿宋_GB2312"/>
          <w:sz w:val="28"/>
          <w:szCs w:val="28"/>
        </w:rPr>
        <w:t>。（4）其他资本性支出包括</w:t>
      </w:r>
      <w:r>
        <w:rPr>
          <w:rFonts w:ascii="仿宋_GB2312" w:eastAsia="仿宋_GB2312"/>
          <w:sz w:val="28"/>
          <w:szCs w:val="28"/>
        </w:rPr>
        <w:t>办公设备购置、专用设备购置</w:t>
      </w:r>
      <w:r>
        <w:rPr>
          <w:rFonts w:hint="eastAsia" w:ascii="仿宋_GB2312" w:eastAsia="仿宋_GB2312"/>
          <w:sz w:val="28"/>
          <w:szCs w:val="28"/>
        </w:rPr>
        <w:t>等</w:t>
      </w:r>
      <w:r>
        <w:rPr>
          <w:rFonts w:hint="eastAsia" w:ascii="仿宋_GB2312" w:eastAsia="仿宋_GB2312"/>
          <w:sz w:val="28"/>
          <w:szCs w:val="28"/>
          <w:lang w:val="en-US" w:eastAsia="zh-CN"/>
        </w:rPr>
        <w:t>0.00元</w:t>
      </w:r>
      <w:r>
        <w:rPr>
          <w:rFonts w:ascii="仿宋_GB2312" w:eastAsia="仿宋_GB2312"/>
          <w:sz w:val="28"/>
          <w:szCs w:val="28"/>
        </w:rPr>
        <w:t>。</w:t>
      </w:r>
    </w:p>
    <w:p w14:paraId="03DF050E">
      <w:pPr>
        <w:autoSpaceDE w:val="0"/>
        <w:autoSpaceDN w:val="0"/>
        <w:adjustRightInd w:val="0"/>
        <w:spacing w:line="580" w:lineRule="exact"/>
        <w:rPr>
          <w:rFonts w:ascii="宋体" w:hAnsi="宋体"/>
          <w:b/>
          <w:spacing w:val="40"/>
          <w:sz w:val="32"/>
          <w:szCs w:val="32"/>
        </w:rPr>
      </w:pPr>
      <w:r>
        <w:rPr>
          <w:rFonts w:ascii="仿宋_GB2312" w:eastAsia="仿宋_GB2312"/>
          <w:b/>
          <w:sz w:val="32"/>
          <w:szCs w:val="32"/>
        </w:rPr>
        <w:tab/>
      </w:r>
    </w:p>
    <w:p w14:paraId="43E72C79">
      <w:pPr>
        <w:tabs>
          <w:tab w:val="center" w:pos="6979"/>
        </w:tabs>
        <w:jc w:val="center"/>
        <w:rPr>
          <w:rFonts w:ascii="宋体" w:hAnsi="宋体" w:cs="宋体"/>
          <w:b/>
          <w:spacing w:val="40"/>
          <w:kern w:val="0"/>
          <w:sz w:val="32"/>
          <w:szCs w:val="32"/>
        </w:rPr>
      </w:pPr>
      <w:r>
        <w:rPr>
          <w:rFonts w:hint="eastAsia" w:ascii="宋体" w:hAnsi="宋体" w:cs="宋体"/>
          <w:b/>
          <w:bCs/>
          <w:spacing w:val="40"/>
          <w:kern w:val="0"/>
          <w:sz w:val="32"/>
          <w:szCs w:val="32"/>
        </w:rPr>
        <w:t>第三部分</w:t>
      </w:r>
      <w:r>
        <w:rPr>
          <w:rFonts w:hint="eastAsia" w:ascii="宋体" w:hAnsi="宋体"/>
          <w:b/>
          <w:spacing w:val="40"/>
          <w:sz w:val="32"/>
          <w:szCs w:val="32"/>
        </w:rPr>
        <w:t>2025年度</w:t>
      </w:r>
      <w:r>
        <w:rPr>
          <w:rFonts w:hint="eastAsia" w:ascii="宋体" w:hAnsi="宋体" w:cs="宋体"/>
          <w:b/>
          <w:spacing w:val="40"/>
          <w:kern w:val="0"/>
          <w:sz w:val="32"/>
          <w:szCs w:val="32"/>
        </w:rPr>
        <w:t>其他重要事项的情况说明</w:t>
      </w:r>
    </w:p>
    <w:p w14:paraId="5411892A">
      <w:pPr>
        <w:spacing w:line="560" w:lineRule="exact"/>
        <w:ind w:firstLine="560" w:firstLineChars="200"/>
        <w:rPr>
          <w:rFonts w:ascii="黑体" w:eastAsia="黑体"/>
          <w:sz w:val="28"/>
          <w:szCs w:val="28"/>
        </w:rPr>
      </w:pPr>
      <w:r>
        <w:rPr>
          <w:rFonts w:hint="eastAsia" w:ascii="黑体" w:eastAsia="黑体"/>
          <w:sz w:val="28"/>
          <w:szCs w:val="28"/>
        </w:rPr>
        <w:t>一、“三公”经费财政拨款决算情况</w:t>
      </w:r>
    </w:p>
    <w:p w14:paraId="4E2C3B97">
      <w:pPr>
        <w:spacing w:line="560" w:lineRule="exact"/>
        <w:ind w:firstLine="600"/>
        <w:rPr>
          <w:rFonts w:ascii="仿宋_GB2312" w:eastAsia="仿宋_GB2312"/>
          <w:sz w:val="28"/>
          <w:szCs w:val="28"/>
        </w:rPr>
      </w:pPr>
      <w:r>
        <w:rPr>
          <w:rFonts w:hint="eastAsia" w:ascii="仿宋_GB2312" w:eastAsia="仿宋_GB2312"/>
          <w:sz w:val="28"/>
          <w:szCs w:val="28"/>
        </w:rPr>
        <w:t>2025年度“三公”经费财政拨款决算数</w:t>
      </w:r>
      <w:r>
        <w:rPr>
          <w:rFonts w:ascii="仿宋_GB2312" w:eastAsia="仿宋_GB2312"/>
          <w:sz w:val="28"/>
          <w:szCs w:val="28"/>
        </w:rPr>
        <w:t>21</w:t>
      </w:r>
      <w:r>
        <w:rPr>
          <w:rFonts w:hint="eastAsia" w:ascii="仿宋_GB2312" w:eastAsia="仿宋_GB2312"/>
          <w:sz w:val="28"/>
          <w:szCs w:val="28"/>
          <w:lang w:val="en-US" w:eastAsia="zh-CN"/>
        </w:rPr>
        <w:t>,</w:t>
      </w:r>
      <w:r>
        <w:rPr>
          <w:rFonts w:ascii="仿宋_GB2312" w:eastAsia="仿宋_GB2312"/>
          <w:sz w:val="28"/>
          <w:szCs w:val="28"/>
        </w:rPr>
        <w:t>545.47</w:t>
      </w:r>
      <w:r>
        <w:rPr>
          <w:rFonts w:hint="eastAsia" w:ascii="仿宋_GB2312" w:eastAsia="仿宋_GB2312"/>
          <w:sz w:val="28"/>
          <w:szCs w:val="28"/>
        </w:rPr>
        <w:t>元，比2025年度“三公”经费财政拨款年初预算</w:t>
      </w:r>
      <w:r>
        <w:rPr>
          <w:rFonts w:ascii="仿宋_GB2312" w:eastAsia="仿宋_GB2312"/>
          <w:sz w:val="28"/>
          <w:szCs w:val="28"/>
        </w:rPr>
        <w:t>40</w:t>
      </w:r>
      <w:r>
        <w:rPr>
          <w:rFonts w:hint="eastAsia" w:ascii="仿宋_GB2312" w:eastAsia="仿宋_GB2312"/>
          <w:sz w:val="28"/>
          <w:szCs w:val="28"/>
          <w:lang w:val="en-US" w:eastAsia="zh-CN"/>
        </w:rPr>
        <w:t>,</w:t>
      </w:r>
      <w:r>
        <w:rPr>
          <w:rFonts w:ascii="仿宋_GB2312" w:eastAsia="仿宋_GB2312"/>
          <w:sz w:val="28"/>
          <w:szCs w:val="28"/>
        </w:rPr>
        <w:t>350</w:t>
      </w:r>
      <w:r>
        <w:rPr>
          <w:rFonts w:hint="eastAsia" w:ascii="仿宋_GB2312" w:eastAsia="仿宋_GB2312"/>
          <w:sz w:val="28"/>
          <w:szCs w:val="28"/>
        </w:rPr>
        <w:t>元减少</w:t>
      </w:r>
      <w:r>
        <w:rPr>
          <w:rFonts w:ascii="仿宋_GB2312" w:eastAsia="仿宋_GB2312"/>
          <w:sz w:val="28"/>
          <w:szCs w:val="28"/>
        </w:rPr>
        <w:t>18</w:t>
      </w:r>
      <w:r>
        <w:rPr>
          <w:rFonts w:hint="eastAsia" w:ascii="仿宋_GB2312" w:eastAsia="仿宋_GB2312"/>
          <w:sz w:val="28"/>
          <w:szCs w:val="28"/>
          <w:lang w:val="en-US" w:eastAsia="zh-CN"/>
        </w:rPr>
        <w:t>,</w:t>
      </w:r>
      <w:r>
        <w:rPr>
          <w:rFonts w:ascii="仿宋_GB2312" w:eastAsia="仿宋_GB2312"/>
          <w:sz w:val="28"/>
          <w:szCs w:val="28"/>
        </w:rPr>
        <w:t>804.53</w:t>
      </w:r>
      <w:r>
        <w:rPr>
          <w:rFonts w:hint="eastAsia" w:ascii="仿宋_GB2312" w:eastAsia="仿宋_GB2312"/>
          <w:sz w:val="28"/>
          <w:szCs w:val="28"/>
        </w:rPr>
        <w:t>元。其中：</w:t>
      </w:r>
    </w:p>
    <w:p w14:paraId="5A29591D">
      <w:pPr>
        <w:spacing w:line="560" w:lineRule="exact"/>
        <w:ind w:firstLine="600"/>
        <w:rPr>
          <w:rFonts w:ascii="仿宋_GB2312" w:eastAsia="仿宋_GB2312"/>
          <w:sz w:val="28"/>
          <w:szCs w:val="28"/>
        </w:rPr>
      </w:pPr>
      <w:r>
        <w:rPr>
          <w:rFonts w:hint="eastAsia" w:ascii="仿宋_GB2312" w:eastAsia="仿宋_GB2312"/>
          <w:sz w:val="28"/>
          <w:szCs w:val="28"/>
        </w:rPr>
        <w:t>1.因公出国（境）费用。2025年度决算数</w:t>
      </w:r>
      <w:r>
        <w:rPr>
          <w:rFonts w:ascii="仿宋_GB2312" w:eastAsia="仿宋_GB2312"/>
          <w:sz w:val="28"/>
          <w:szCs w:val="28"/>
        </w:rPr>
        <w:t>0</w:t>
      </w:r>
      <w:r>
        <w:rPr>
          <w:rFonts w:hint="eastAsia" w:ascii="仿宋_GB2312" w:eastAsia="仿宋_GB2312"/>
          <w:sz w:val="28"/>
          <w:szCs w:val="28"/>
          <w:lang w:val="en-US" w:eastAsia="zh-CN"/>
        </w:rPr>
        <w:t>.00</w:t>
      </w:r>
      <w:r>
        <w:rPr>
          <w:rFonts w:hint="eastAsia" w:ascii="仿宋_GB2312" w:eastAsia="仿宋_GB2312"/>
          <w:sz w:val="28"/>
          <w:szCs w:val="28"/>
        </w:rPr>
        <w:t>元，比2025年度年初预算数</w:t>
      </w:r>
      <w:r>
        <w:rPr>
          <w:rFonts w:ascii="仿宋_GB2312" w:eastAsia="仿宋_GB2312"/>
          <w:sz w:val="28"/>
          <w:szCs w:val="28"/>
        </w:rPr>
        <w:t>0</w:t>
      </w:r>
      <w:r>
        <w:rPr>
          <w:rFonts w:hint="eastAsia" w:ascii="仿宋_GB2312" w:eastAsia="仿宋_GB2312"/>
          <w:sz w:val="28"/>
          <w:szCs w:val="28"/>
          <w:lang w:val="en-US" w:eastAsia="zh-CN"/>
        </w:rPr>
        <w:t>.00</w:t>
      </w:r>
      <w:r>
        <w:rPr>
          <w:rFonts w:hint="eastAsia" w:ascii="仿宋_GB2312" w:eastAsia="仿宋_GB2312"/>
          <w:sz w:val="28"/>
          <w:szCs w:val="28"/>
        </w:rPr>
        <w:t>元增加</w:t>
      </w:r>
      <w:r>
        <w:rPr>
          <w:rFonts w:ascii="仿宋_GB2312" w:eastAsia="仿宋_GB2312"/>
          <w:sz w:val="28"/>
          <w:szCs w:val="28"/>
        </w:rPr>
        <w:t>0</w:t>
      </w:r>
      <w:r>
        <w:rPr>
          <w:rFonts w:hint="eastAsia" w:ascii="仿宋_GB2312" w:eastAsia="仿宋_GB2312"/>
          <w:sz w:val="28"/>
          <w:szCs w:val="28"/>
          <w:lang w:val="en-US" w:eastAsia="zh-CN"/>
        </w:rPr>
        <w:t>.00</w:t>
      </w:r>
      <w:r>
        <w:rPr>
          <w:rFonts w:hint="eastAsia" w:ascii="仿宋_GB2312" w:eastAsia="仿宋_GB2312"/>
          <w:sz w:val="28"/>
          <w:szCs w:val="28"/>
        </w:rPr>
        <w:t>元。主要原因：</w:t>
      </w:r>
      <w:r>
        <w:rPr>
          <w:rFonts w:hint="eastAsia" w:ascii="仿宋_GB2312" w:eastAsia="仿宋_GB2312"/>
          <w:sz w:val="28"/>
          <w:szCs w:val="28"/>
          <w:lang w:eastAsia="zh-CN"/>
        </w:rPr>
        <w:t>本年度无此项支出</w:t>
      </w:r>
      <w:r>
        <w:rPr>
          <w:rFonts w:hint="eastAsia" w:ascii="仿宋_GB2312" w:eastAsia="仿宋_GB2312"/>
          <w:sz w:val="28"/>
          <w:szCs w:val="28"/>
        </w:rPr>
        <w:t>。</w:t>
      </w:r>
    </w:p>
    <w:p w14:paraId="30CF3D19">
      <w:pPr>
        <w:spacing w:line="560" w:lineRule="exact"/>
        <w:ind w:firstLine="600"/>
        <w:rPr>
          <w:rFonts w:ascii="仿宋_GB2312" w:eastAsia="仿宋_GB2312"/>
          <w:sz w:val="28"/>
          <w:szCs w:val="28"/>
        </w:rPr>
      </w:pPr>
      <w:r>
        <w:rPr>
          <w:rFonts w:hint="eastAsia" w:ascii="仿宋_GB2312" w:eastAsia="仿宋_GB2312"/>
          <w:sz w:val="28"/>
          <w:szCs w:val="28"/>
        </w:rPr>
        <w:t>2.公务接待费。2025年度决算数</w:t>
      </w:r>
      <w:r>
        <w:rPr>
          <w:rFonts w:ascii="仿宋_GB2312" w:eastAsia="仿宋_GB2312"/>
          <w:sz w:val="28"/>
          <w:szCs w:val="28"/>
        </w:rPr>
        <w:t>0</w:t>
      </w:r>
      <w:r>
        <w:rPr>
          <w:rFonts w:hint="eastAsia" w:ascii="仿宋_GB2312" w:eastAsia="仿宋_GB2312"/>
          <w:sz w:val="28"/>
          <w:szCs w:val="28"/>
          <w:lang w:val="en-US" w:eastAsia="zh-CN"/>
        </w:rPr>
        <w:t>.00</w:t>
      </w:r>
      <w:r>
        <w:rPr>
          <w:rFonts w:hint="eastAsia" w:ascii="仿宋_GB2312" w:eastAsia="仿宋_GB2312"/>
          <w:sz w:val="28"/>
          <w:szCs w:val="28"/>
        </w:rPr>
        <w:t>元，比2025年度年初预算数</w:t>
      </w:r>
      <w:r>
        <w:rPr>
          <w:rFonts w:ascii="仿宋_GB2312" w:eastAsia="仿宋_GB2312"/>
          <w:sz w:val="28"/>
          <w:szCs w:val="28"/>
        </w:rPr>
        <w:t>4</w:t>
      </w:r>
      <w:r>
        <w:rPr>
          <w:rFonts w:hint="eastAsia" w:ascii="仿宋_GB2312" w:eastAsia="仿宋_GB2312"/>
          <w:sz w:val="28"/>
          <w:szCs w:val="28"/>
          <w:lang w:val="en-US" w:eastAsia="zh-CN"/>
        </w:rPr>
        <w:t>,</w:t>
      </w:r>
      <w:r>
        <w:rPr>
          <w:rFonts w:ascii="仿宋_GB2312" w:eastAsia="仿宋_GB2312"/>
          <w:sz w:val="28"/>
          <w:szCs w:val="28"/>
        </w:rPr>
        <w:t>350</w:t>
      </w:r>
      <w:r>
        <w:rPr>
          <w:rFonts w:hint="eastAsia" w:ascii="仿宋_GB2312" w:eastAsia="仿宋_GB2312"/>
          <w:sz w:val="28"/>
          <w:szCs w:val="28"/>
        </w:rPr>
        <w:t>元减少</w:t>
      </w:r>
      <w:r>
        <w:rPr>
          <w:rFonts w:ascii="仿宋_GB2312" w:eastAsia="仿宋_GB2312"/>
          <w:sz w:val="28"/>
          <w:szCs w:val="28"/>
        </w:rPr>
        <w:t>4</w:t>
      </w:r>
      <w:r>
        <w:rPr>
          <w:rFonts w:hint="eastAsia" w:ascii="仿宋_GB2312" w:eastAsia="仿宋_GB2312"/>
          <w:sz w:val="28"/>
          <w:szCs w:val="28"/>
          <w:lang w:val="en-US" w:eastAsia="zh-CN"/>
        </w:rPr>
        <w:t>,</w:t>
      </w:r>
      <w:r>
        <w:rPr>
          <w:rFonts w:ascii="仿宋_GB2312" w:eastAsia="仿宋_GB2312"/>
          <w:sz w:val="28"/>
          <w:szCs w:val="28"/>
        </w:rPr>
        <w:t>350</w:t>
      </w:r>
      <w:r>
        <w:rPr>
          <w:rFonts w:hint="eastAsia" w:ascii="仿宋_GB2312" w:eastAsia="仿宋_GB2312"/>
          <w:sz w:val="28"/>
          <w:szCs w:val="28"/>
        </w:rPr>
        <w:t>元。主要原因：</w:t>
      </w:r>
      <w:r>
        <w:rPr>
          <w:rFonts w:hint="eastAsia" w:ascii="仿宋_GB2312" w:eastAsia="仿宋_GB2312"/>
          <w:sz w:val="28"/>
          <w:szCs w:val="28"/>
          <w:lang w:eastAsia="zh-CN"/>
        </w:rPr>
        <w:t>本年度无此项支出</w:t>
      </w:r>
      <w:r>
        <w:rPr>
          <w:rFonts w:hint="eastAsia" w:ascii="仿宋_GB2312" w:eastAsia="仿宋_GB2312"/>
          <w:sz w:val="28"/>
          <w:szCs w:val="28"/>
        </w:rPr>
        <w:t>。</w:t>
      </w:r>
    </w:p>
    <w:p w14:paraId="749906FA">
      <w:pPr>
        <w:spacing w:line="560" w:lineRule="exact"/>
        <w:ind w:firstLine="560" w:firstLineChars="200"/>
        <w:rPr>
          <w:rFonts w:ascii="仿宋_GB2312" w:eastAsia="仿宋_GB2312"/>
          <w:sz w:val="28"/>
          <w:szCs w:val="28"/>
        </w:rPr>
      </w:pPr>
      <w:r>
        <w:rPr>
          <w:rFonts w:hint="eastAsia" w:ascii="仿宋_GB2312" w:eastAsia="仿宋_GB2312"/>
          <w:sz w:val="28"/>
          <w:szCs w:val="28"/>
        </w:rPr>
        <w:t>3.公务用车购置及运行维护费。2025年度决算数</w:t>
      </w:r>
      <w:r>
        <w:rPr>
          <w:rFonts w:ascii="仿宋_GB2312" w:eastAsia="仿宋_GB2312"/>
          <w:sz w:val="28"/>
          <w:szCs w:val="28"/>
        </w:rPr>
        <w:t>21</w:t>
      </w:r>
      <w:r>
        <w:rPr>
          <w:rFonts w:hint="eastAsia" w:ascii="仿宋_GB2312" w:eastAsia="仿宋_GB2312"/>
          <w:sz w:val="28"/>
          <w:szCs w:val="28"/>
          <w:lang w:val="en-US" w:eastAsia="zh-CN"/>
        </w:rPr>
        <w:t>,</w:t>
      </w:r>
      <w:r>
        <w:rPr>
          <w:rFonts w:ascii="仿宋_GB2312" w:eastAsia="仿宋_GB2312"/>
          <w:sz w:val="28"/>
          <w:szCs w:val="28"/>
        </w:rPr>
        <w:t>545.47</w:t>
      </w:r>
      <w:r>
        <w:rPr>
          <w:rFonts w:hint="eastAsia" w:ascii="仿宋_GB2312" w:eastAsia="仿宋_GB2312"/>
          <w:sz w:val="28"/>
          <w:szCs w:val="28"/>
        </w:rPr>
        <w:t>元，比2025年度年初预算数</w:t>
      </w:r>
      <w:r>
        <w:rPr>
          <w:rFonts w:ascii="仿宋_GB2312" w:eastAsia="仿宋_GB2312"/>
          <w:sz w:val="28"/>
          <w:szCs w:val="28"/>
        </w:rPr>
        <w:t>36</w:t>
      </w:r>
      <w:r>
        <w:rPr>
          <w:rFonts w:hint="eastAsia" w:ascii="仿宋_GB2312" w:eastAsia="仿宋_GB2312"/>
          <w:sz w:val="28"/>
          <w:szCs w:val="28"/>
          <w:lang w:val="en-US" w:eastAsia="zh-CN"/>
        </w:rPr>
        <w:t>,</w:t>
      </w:r>
      <w:r>
        <w:rPr>
          <w:rFonts w:ascii="仿宋_GB2312" w:eastAsia="仿宋_GB2312"/>
          <w:sz w:val="28"/>
          <w:szCs w:val="28"/>
        </w:rPr>
        <w:t>000</w:t>
      </w:r>
      <w:r>
        <w:rPr>
          <w:rFonts w:hint="eastAsia" w:ascii="仿宋_GB2312" w:eastAsia="仿宋_GB2312"/>
          <w:sz w:val="28"/>
          <w:szCs w:val="28"/>
        </w:rPr>
        <w:t>元减少</w:t>
      </w:r>
      <w:r>
        <w:rPr>
          <w:rFonts w:ascii="仿宋_GB2312" w:eastAsia="仿宋_GB2312"/>
          <w:sz w:val="28"/>
          <w:szCs w:val="28"/>
        </w:rPr>
        <w:t>14</w:t>
      </w:r>
      <w:r>
        <w:rPr>
          <w:rFonts w:hint="eastAsia" w:ascii="仿宋_GB2312" w:eastAsia="仿宋_GB2312"/>
          <w:sz w:val="28"/>
          <w:szCs w:val="28"/>
          <w:lang w:val="en-US" w:eastAsia="zh-CN"/>
        </w:rPr>
        <w:t>,</w:t>
      </w:r>
      <w:r>
        <w:rPr>
          <w:rFonts w:ascii="仿宋_GB2312" w:eastAsia="仿宋_GB2312"/>
          <w:sz w:val="28"/>
          <w:szCs w:val="28"/>
        </w:rPr>
        <w:t>454.53</w:t>
      </w:r>
      <w:r>
        <w:rPr>
          <w:rFonts w:hint="eastAsia" w:ascii="仿宋_GB2312" w:eastAsia="仿宋_GB2312"/>
          <w:sz w:val="28"/>
          <w:szCs w:val="28"/>
        </w:rPr>
        <w:t>元。其中，公务用车购置费2025年度决算数0元，主要原因：</w:t>
      </w:r>
      <w:r>
        <w:rPr>
          <w:rFonts w:hint="eastAsia" w:ascii="仿宋_GB2312" w:eastAsia="仿宋_GB2312"/>
          <w:sz w:val="28"/>
          <w:szCs w:val="28"/>
          <w:lang w:eastAsia="zh-CN"/>
        </w:rPr>
        <w:t>本年度无此项支出</w:t>
      </w:r>
      <w:r>
        <w:rPr>
          <w:rFonts w:hint="eastAsia" w:ascii="仿宋_GB2312" w:eastAsia="仿宋_GB2312"/>
          <w:sz w:val="28"/>
          <w:szCs w:val="28"/>
        </w:rPr>
        <w:t>，2025年度购置（更新）0辆。公务用车运行维护费2025年度决算数21</w:t>
      </w:r>
      <w:r>
        <w:rPr>
          <w:rFonts w:hint="eastAsia" w:ascii="仿宋_GB2312" w:eastAsia="仿宋_GB2312"/>
          <w:sz w:val="28"/>
          <w:szCs w:val="28"/>
          <w:lang w:val="en-US" w:eastAsia="zh-CN"/>
        </w:rPr>
        <w:t>,</w:t>
      </w:r>
      <w:r>
        <w:rPr>
          <w:rFonts w:hint="eastAsia" w:ascii="仿宋_GB2312" w:eastAsia="仿宋_GB2312"/>
          <w:sz w:val="28"/>
          <w:szCs w:val="28"/>
        </w:rPr>
        <w:t>545.47元，主要原因：</w:t>
      </w:r>
      <w:r>
        <w:rPr>
          <w:rFonts w:hint="eastAsia" w:ascii="仿宋_GB2312" w:eastAsia="仿宋_GB2312"/>
          <w:sz w:val="28"/>
          <w:szCs w:val="28"/>
          <w:lang w:eastAsia="zh-CN"/>
        </w:rPr>
        <w:t>本年度公车运行维护相关费用降低</w:t>
      </w:r>
      <w:r>
        <w:rPr>
          <w:rFonts w:hint="eastAsia" w:ascii="仿宋_GB2312" w:eastAsia="仿宋_GB2312"/>
          <w:sz w:val="28"/>
          <w:szCs w:val="28"/>
        </w:rPr>
        <w:t>。2025年度公务用车保有量</w:t>
      </w:r>
      <w:r>
        <w:rPr>
          <w:rFonts w:ascii="仿宋_GB2312" w:eastAsia="仿宋_GB2312"/>
          <w:sz w:val="28"/>
          <w:szCs w:val="28"/>
        </w:rPr>
        <w:t>2</w:t>
      </w:r>
      <w:r>
        <w:rPr>
          <w:rFonts w:hint="eastAsia" w:ascii="仿宋_GB2312" w:eastAsia="仿宋_GB2312"/>
          <w:sz w:val="28"/>
          <w:szCs w:val="28"/>
        </w:rPr>
        <w:t>辆。</w:t>
      </w:r>
    </w:p>
    <w:p w14:paraId="0DE7645F">
      <w:pPr>
        <w:tabs>
          <w:tab w:val="center" w:pos="6979"/>
        </w:tabs>
        <w:ind w:firstLine="554" w:firstLineChars="198"/>
        <w:rPr>
          <w:rFonts w:ascii="黑体" w:eastAsia="黑体"/>
          <w:sz w:val="28"/>
          <w:szCs w:val="28"/>
        </w:rPr>
      </w:pPr>
      <w:r>
        <w:rPr>
          <w:rFonts w:hint="eastAsia" w:ascii="黑体" w:eastAsia="黑体"/>
          <w:sz w:val="28"/>
          <w:szCs w:val="28"/>
        </w:rPr>
        <w:t>二、机关运行经费支出情况</w:t>
      </w:r>
    </w:p>
    <w:p w14:paraId="29134040">
      <w:pPr>
        <w:ind w:firstLine="537" w:firstLineChars="192"/>
        <w:rPr>
          <w:rFonts w:hint="eastAsia" w:ascii="仿宋_GB2312" w:eastAsia="仿宋_GB2312"/>
          <w:sz w:val="28"/>
          <w:szCs w:val="28"/>
          <w:lang w:val="en-US" w:eastAsia="zh-CN"/>
        </w:rPr>
      </w:pPr>
      <w:r>
        <w:rPr>
          <w:rFonts w:hint="eastAsia" w:ascii="仿宋_GB2312" w:eastAsia="仿宋_GB2312"/>
          <w:sz w:val="28"/>
          <w:szCs w:val="28"/>
        </w:rPr>
        <w:t>本部门2025年无机关运行经费</w:t>
      </w:r>
      <w:r>
        <w:rPr>
          <w:rFonts w:hint="eastAsia" w:ascii="仿宋_GB2312" w:eastAsia="仿宋_GB2312"/>
          <w:sz w:val="28"/>
          <w:szCs w:val="28"/>
          <w:lang w:eastAsia="zh-CN"/>
        </w:rPr>
        <w:t>。</w:t>
      </w:r>
    </w:p>
    <w:p w14:paraId="0E898E37">
      <w:pPr>
        <w:ind w:left="540"/>
        <w:rPr>
          <w:rFonts w:ascii="黑体" w:eastAsia="黑体"/>
          <w:sz w:val="28"/>
          <w:szCs w:val="28"/>
        </w:rPr>
      </w:pPr>
      <w:r>
        <w:rPr>
          <w:rFonts w:hint="eastAsia" w:ascii="黑体" w:eastAsia="黑体"/>
          <w:sz w:val="28"/>
          <w:szCs w:val="28"/>
        </w:rPr>
        <w:t>三、政府采购支出情况</w:t>
      </w:r>
    </w:p>
    <w:p w14:paraId="51B7CAE8">
      <w:pPr>
        <w:ind w:firstLine="537" w:firstLineChars="192"/>
        <w:rPr>
          <w:rFonts w:ascii="仿宋_GB2312" w:eastAsia="仿宋_GB2312"/>
          <w:sz w:val="28"/>
          <w:szCs w:val="28"/>
        </w:rPr>
      </w:pPr>
      <w:r>
        <w:rPr>
          <w:rFonts w:hint="eastAsia" w:ascii="仿宋_GB2312" w:eastAsia="仿宋_GB2312"/>
          <w:sz w:val="28"/>
          <w:szCs w:val="28"/>
        </w:rPr>
        <w:t>2025年度政府采购支出总额</w:t>
      </w:r>
      <w:r>
        <w:rPr>
          <w:rFonts w:ascii="仿宋_GB2312" w:eastAsia="仿宋_GB2312"/>
          <w:sz w:val="28"/>
          <w:szCs w:val="28"/>
        </w:rPr>
        <w:t>72</w:t>
      </w:r>
      <w:r>
        <w:rPr>
          <w:rFonts w:hint="eastAsia" w:ascii="仿宋_GB2312" w:eastAsia="仿宋_GB2312"/>
          <w:sz w:val="28"/>
          <w:szCs w:val="28"/>
          <w:lang w:val="en-US" w:eastAsia="zh-CN"/>
        </w:rPr>
        <w:t>,</w:t>
      </w:r>
      <w:r>
        <w:rPr>
          <w:rFonts w:ascii="仿宋_GB2312" w:eastAsia="仿宋_GB2312"/>
          <w:sz w:val="28"/>
          <w:szCs w:val="28"/>
        </w:rPr>
        <w:t>291.97</w:t>
      </w:r>
      <w:r>
        <w:rPr>
          <w:rFonts w:hint="eastAsia" w:ascii="仿宋_GB2312" w:eastAsia="仿宋_GB2312"/>
          <w:sz w:val="28"/>
          <w:szCs w:val="28"/>
        </w:rPr>
        <w:t>元，其中：政府采购货物支出</w:t>
      </w:r>
      <w:r>
        <w:rPr>
          <w:rFonts w:ascii="仿宋_GB2312" w:eastAsia="仿宋_GB2312"/>
          <w:sz w:val="28"/>
          <w:szCs w:val="28"/>
        </w:rPr>
        <w:t>32</w:t>
      </w:r>
      <w:r>
        <w:rPr>
          <w:rFonts w:hint="eastAsia" w:ascii="仿宋_GB2312" w:eastAsia="仿宋_GB2312"/>
          <w:sz w:val="28"/>
          <w:szCs w:val="28"/>
          <w:lang w:val="en-US" w:eastAsia="zh-CN"/>
        </w:rPr>
        <w:t>,</w:t>
      </w:r>
      <w:r>
        <w:rPr>
          <w:rFonts w:ascii="仿宋_GB2312" w:eastAsia="仿宋_GB2312"/>
          <w:sz w:val="28"/>
          <w:szCs w:val="28"/>
        </w:rPr>
        <w:t>326.5</w:t>
      </w:r>
      <w:r>
        <w:rPr>
          <w:rFonts w:hint="eastAsia" w:ascii="仿宋_GB2312" w:eastAsia="仿宋_GB2312"/>
          <w:sz w:val="28"/>
          <w:szCs w:val="28"/>
          <w:lang w:val="en-US" w:eastAsia="zh-CN"/>
        </w:rPr>
        <w:t>0</w:t>
      </w:r>
      <w:r>
        <w:rPr>
          <w:rFonts w:hint="eastAsia" w:ascii="仿宋_GB2312" w:eastAsia="仿宋_GB2312"/>
          <w:sz w:val="28"/>
          <w:szCs w:val="28"/>
        </w:rPr>
        <w:t>元，政府采购工程支出</w:t>
      </w:r>
      <w:r>
        <w:rPr>
          <w:rFonts w:ascii="仿宋_GB2312" w:eastAsia="仿宋_GB2312"/>
          <w:sz w:val="28"/>
          <w:szCs w:val="28"/>
        </w:rPr>
        <w:t>0</w:t>
      </w:r>
      <w:r>
        <w:rPr>
          <w:rFonts w:hint="eastAsia" w:ascii="仿宋_GB2312" w:eastAsia="仿宋_GB2312"/>
          <w:sz w:val="28"/>
          <w:szCs w:val="28"/>
        </w:rPr>
        <w:t>元，政府采购服务支出</w:t>
      </w:r>
      <w:r>
        <w:rPr>
          <w:rFonts w:ascii="仿宋_GB2312" w:eastAsia="仿宋_GB2312"/>
          <w:sz w:val="28"/>
          <w:szCs w:val="28"/>
        </w:rPr>
        <w:t>39</w:t>
      </w:r>
      <w:r>
        <w:rPr>
          <w:rFonts w:hint="eastAsia" w:ascii="仿宋_GB2312" w:eastAsia="仿宋_GB2312"/>
          <w:sz w:val="28"/>
          <w:szCs w:val="28"/>
          <w:lang w:val="en-US" w:eastAsia="zh-CN"/>
        </w:rPr>
        <w:t>,</w:t>
      </w:r>
      <w:r>
        <w:rPr>
          <w:rFonts w:ascii="仿宋_GB2312" w:eastAsia="仿宋_GB2312"/>
          <w:sz w:val="28"/>
          <w:szCs w:val="28"/>
        </w:rPr>
        <w:t>965.47</w:t>
      </w:r>
      <w:r>
        <w:rPr>
          <w:rFonts w:hint="eastAsia" w:ascii="仿宋_GB2312" w:eastAsia="仿宋_GB2312"/>
          <w:sz w:val="28"/>
          <w:szCs w:val="28"/>
        </w:rPr>
        <w:t>元。授予中小企业合同金额</w:t>
      </w:r>
      <w:r>
        <w:rPr>
          <w:rFonts w:ascii="仿宋_GB2312" w:eastAsia="仿宋_GB2312"/>
          <w:sz w:val="28"/>
          <w:szCs w:val="28"/>
        </w:rPr>
        <w:t>48</w:t>
      </w:r>
      <w:r>
        <w:rPr>
          <w:rFonts w:hint="eastAsia" w:ascii="仿宋_GB2312" w:eastAsia="仿宋_GB2312"/>
          <w:sz w:val="28"/>
          <w:szCs w:val="28"/>
          <w:lang w:val="en-US" w:eastAsia="zh-CN"/>
        </w:rPr>
        <w:t>,</w:t>
      </w:r>
      <w:r>
        <w:rPr>
          <w:rFonts w:ascii="仿宋_GB2312" w:eastAsia="仿宋_GB2312"/>
          <w:sz w:val="28"/>
          <w:szCs w:val="28"/>
        </w:rPr>
        <w:t>362.95</w:t>
      </w:r>
      <w:r>
        <w:rPr>
          <w:rFonts w:hint="eastAsia" w:ascii="仿宋_GB2312" w:eastAsia="仿宋_GB2312"/>
          <w:sz w:val="28"/>
          <w:szCs w:val="28"/>
        </w:rPr>
        <w:t>元，占政府采购支出总额的66.9%，其中：授予小微企业合同金额</w:t>
      </w:r>
      <w:r>
        <w:rPr>
          <w:rFonts w:ascii="仿宋_GB2312" w:eastAsia="仿宋_GB2312"/>
          <w:sz w:val="28"/>
          <w:szCs w:val="28"/>
        </w:rPr>
        <w:t>48</w:t>
      </w:r>
      <w:r>
        <w:rPr>
          <w:rFonts w:hint="eastAsia" w:ascii="仿宋_GB2312" w:eastAsia="仿宋_GB2312"/>
          <w:sz w:val="28"/>
          <w:szCs w:val="28"/>
          <w:lang w:val="en-US" w:eastAsia="zh-CN"/>
        </w:rPr>
        <w:t>,</w:t>
      </w:r>
      <w:r>
        <w:rPr>
          <w:rFonts w:ascii="仿宋_GB2312" w:eastAsia="仿宋_GB2312"/>
          <w:sz w:val="28"/>
          <w:szCs w:val="28"/>
        </w:rPr>
        <w:t>362.95</w:t>
      </w:r>
      <w:r>
        <w:rPr>
          <w:rFonts w:hint="eastAsia" w:ascii="仿宋_GB2312" w:eastAsia="仿宋_GB2312"/>
          <w:sz w:val="28"/>
          <w:szCs w:val="28"/>
        </w:rPr>
        <w:t>元，占政府采购支出总额的</w:t>
      </w:r>
      <w:r>
        <w:rPr>
          <w:rFonts w:ascii="仿宋_GB2312" w:eastAsia="仿宋_GB2312"/>
          <w:sz w:val="28"/>
          <w:szCs w:val="28"/>
        </w:rPr>
        <w:t>66.9</w:t>
      </w:r>
      <w:r>
        <w:rPr>
          <w:rFonts w:hint="eastAsia" w:ascii="仿宋_GB2312" w:eastAsia="仿宋_GB2312"/>
          <w:sz w:val="28"/>
          <w:szCs w:val="28"/>
        </w:rPr>
        <w:t>%。</w:t>
      </w:r>
    </w:p>
    <w:p w14:paraId="7F2AB9AC">
      <w:pPr>
        <w:ind w:firstLine="560" w:firstLineChars="200"/>
        <w:rPr>
          <w:rFonts w:ascii="黑体" w:eastAsia="黑体"/>
          <w:sz w:val="28"/>
          <w:szCs w:val="28"/>
          <w:highlight w:val="yellow"/>
        </w:rPr>
      </w:pPr>
      <w:r>
        <w:rPr>
          <w:rFonts w:hint="eastAsia" w:ascii="黑体" w:eastAsia="黑体"/>
          <w:sz w:val="28"/>
          <w:szCs w:val="28"/>
        </w:rPr>
        <w:t>四、国有资产占用情况</w:t>
      </w:r>
    </w:p>
    <w:p w14:paraId="39EE770B">
      <w:pPr>
        <w:ind w:firstLine="560" w:firstLineChars="200"/>
        <w:rPr>
          <w:rFonts w:ascii="仿宋_GB2312" w:eastAsia="仿宋_GB2312"/>
          <w:sz w:val="32"/>
          <w:szCs w:val="32"/>
        </w:rPr>
      </w:pPr>
      <w:r>
        <w:rPr>
          <w:rFonts w:hint="eastAsia" w:ascii="仿宋_GB2312" w:eastAsia="仿宋_GB2312"/>
          <w:sz w:val="28"/>
          <w:szCs w:val="28"/>
        </w:rPr>
        <w:t>截至12月31日，北京市门头沟区房屋征收事务中心</w:t>
      </w:r>
      <w:r>
        <w:rPr>
          <w:rFonts w:hint="eastAsia" w:ascii="仿宋_GB2312" w:eastAsia="仿宋_GB2312"/>
          <w:sz w:val="28"/>
          <w:szCs w:val="28"/>
          <w:lang w:eastAsia="zh-CN"/>
        </w:rPr>
        <w:t>（部门）</w:t>
      </w:r>
      <w:r>
        <w:rPr>
          <w:rFonts w:hint="eastAsia" w:ascii="仿宋_GB2312" w:eastAsia="仿宋_GB2312"/>
          <w:sz w:val="28"/>
          <w:szCs w:val="28"/>
        </w:rPr>
        <w:t>共有车辆2台；单位价值100</w:t>
      </w:r>
      <w:r>
        <w:rPr>
          <w:rFonts w:hint="eastAsia" w:ascii="仿宋_GB2312" w:eastAsia="仿宋_GB2312"/>
          <w:sz w:val="28"/>
          <w:szCs w:val="28"/>
          <w:lang w:eastAsia="zh-CN"/>
        </w:rPr>
        <w:t>万</w:t>
      </w:r>
      <w:r>
        <w:rPr>
          <w:rFonts w:hint="eastAsia" w:ascii="仿宋_GB2312" w:eastAsia="仿宋_GB2312"/>
          <w:sz w:val="28"/>
          <w:szCs w:val="28"/>
        </w:rPr>
        <w:t>元（含）以上的设备0台（套）。</w:t>
      </w:r>
    </w:p>
    <w:p w14:paraId="721C005F">
      <w:pPr>
        <w:ind w:firstLine="560" w:firstLineChars="200"/>
        <w:jc w:val="left"/>
        <w:rPr>
          <w:rFonts w:ascii="仿宋_GB2312" w:eastAsia="仿宋_GB2312"/>
          <w:color w:val="000000"/>
          <w:sz w:val="32"/>
          <w:szCs w:val="32"/>
        </w:rPr>
      </w:pPr>
      <w:r>
        <w:rPr>
          <w:rFonts w:hint="eastAsia" w:ascii="黑体" w:eastAsia="黑体"/>
          <w:sz w:val="28"/>
          <w:szCs w:val="28"/>
        </w:rPr>
        <w:t>五、</w:t>
      </w:r>
      <w:r>
        <w:rPr>
          <w:rFonts w:ascii="黑体" w:eastAsia="黑体"/>
          <w:sz w:val="28"/>
          <w:szCs w:val="28"/>
        </w:rPr>
        <w:t>专业名词解释</w:t>
      </w:r>
    </w:p>
    <w:p w14:paraId="5570EFE6">
      <w:pPr>
        <w:ind w:firstLine="560" w:firstLineChars="200"/>
        <w:rPr>
          <w:rFonts w:ascii="仿宋_GB2312" w:eastAsia="仿宋_GB2312"/>
          <w:sz w:val="28"/>
          <w:szCs w:val="28"/>
        </w:rPr>
      </w:pPr>
      <w:r>
        <w:rPr>
          <w:rFonts w:hint="eastAsia" w:ascii="仿宋_GB2312" w:eastAsia="仿宋_GB2312"/>
          <w:sz w:val="28"/>
          <w:szCs w:val="28"/>
        </w:rPr>
        <w:t>1.基本支出：指为保障机构正常运转、完成日常工作任务而发生的人员支出和公用支出。</w:t>
      </w:r>
    </w:p>
    <w:p w14:paraId="3CC3EC6E">
      <w:pPr>
        <w:ind w:firstLine="560" w:firstLineChars="200"/>
        <w:rPr>
          <w:rFonts w:ascii="仿宋_GB2312" w:eastAsia="仿宋_GB2312"/>
          <w:sz w:val="28"/>
          <w:szCs w:val="28"/>
        </w:rPr>
      </w:pPr>
      <w:r>
        <w:rPr>
          <w:rFonts w:hint="eastAsia" w:ascii="仿宋_GB2312" w:eastAsia="仿宋_GB2312"/>
          <w:sz w:val="28"/>
          <w:szCs w:val="28"/>
        </w:rPr>
        <w:t>2.项目支出：指在基本支出之外为完成特定行政任务或事业发展目标所发生的支出。</w:t>
      </w:r>
    </w:p>
    <w:p w14:paraId="3E0B0C5A">
      <w:pPr>
        <w:ind w:firstLine="560" w:firstLineChars="200"/>
        <w:rPr>
          <w:rFonts w:ascii="仿宋_GB2312" w:eastAsia="仿宋_GB2312"/>
          <w:sz w:val="28"/>
          <w:szCs w:val="28"/>
        </w:rPr>
      </w:pPr>
      <w:r>
        <w:rPr>
          <w:rFonts w:hint="eastAsia" w:ascii="仿宋_GB2312" w:eastAsia="仿宋_GB2312"/>
          <w:sz w:val="28"/>
          <w:szCs w:val="28"/>
        </w:rPr>
        <w:t>3.“三公”经费：是指单位通过财政拨款资金安排的因公出国（境）费、公务用车购置及运行费和公务接待费。</w:t>
      </w:r>
    </w:p>
    <w:p w14:paraId="388D645E">
      <w:pPr>
        <w:ind w:firstLine="560" w:firstLineChars="200"/>
      </w:pPr>
      <w:r>
        <w:rPr>
          <w:rFonts w:hint="eastAsia" w:ascii="仿宋_GB2312" w:eastAsia="仿宋_GB2312"/>
          <w:sz w:val="28"/>
          <w:szCs w:val="28"/>
        </w:rPr>
        <w:t>4.机关运行经费：反映为保障行政单位（包括参照公务员法管理的事业单位）运行用于购买货物和服务的各项资金，包括办公费、会议费、培训费、委托业务费、公务接待费、公务用车运行维护费、维修（护）费及其他费用。</w:t>
      </w:r>
    </w:p>
    <w:p w14:paraId="225E6B2D">
      <w:pPr>
        <w:ind w:firstLine="560" w:firstLineChars="200"/>
        <w:rPr>
          <w:rFonts w:ascii="仿宋_GB2312" w:eastAsia="仿宋_GB2312"/>
          <w:sz w:val="28"/>
          <w:szCs w:val="28"/>
        </w:rPr>
      </w:pPr>
      <w:r>
        <w:rPr>
          <w:rFonts w:hint="eastAsia" w:ascii="仿宋_GB2312" w:eastAsia="仿宋_GB2312"/>
          <w:sz w:val="28"/>
          <w:szCs w:val="28"/>
        </w:rPr>
        <w:t>5.政府采购：指各级国家机关、事业单位和团体组织，使用财政性资金采购依法制定的集中目录以内的或者采购限额标准以上的货物、工程和服务的行为，是规范财政支出管理和强化预算约束的有效措施。</w:t>
      </w:r>
    </w:p>
    <w:p w14:paraId="59A22630">
      <w:pPr>
        <w:spacing w:line="520" w:lineRule="exact"/>
        <w:ind w:firstLine="420" w:firstLineChars="150"/>
        <w:rPr>
          <w:rFonts w:hint="eastAsia" w:ascii="黑体" w:eastAsia="黑体"/>
          <w:b/>
          <w:sz w:val="28"/>
          <w:szCs w:val="28"/>
        </w:rPr>
      </w:pPr>
      <w:r>
        <w:rPr>
          <w:rFonts w:hint="eastAsia" w:ascii="仿宋_GB2312" w:hAnsi="Times New Roman" w:eastAsia="仿宋_GB2312" w:cs="Times New Roman"/>
          <w:sz w:val="28"/>
          <w:szCs w:val="28"/>
        </w:rPr>
        <w:t>7．政府性基金预算：政府性基金收入是指各级政府及其所属部门根据法律、行政法规及有关文件规定，为支持公共事业发展，向公民、法人和其他组织无偿征收的具有专项用途的财政资金。是国家通过向社会征收以及出让土地、发行彩票等方式取得收入。本单位政府性基金预算主要用于门头沟区采空棚户区改造项目、土地一级开发项目拆迁资金支出、征地补偿支出及周转费及补贴支出等。</w:t>
      </w:r>
    </w:p>
    <w:p w14:paraId="2E9A68F1">
      <w:pPr>
        <w:rPr>
          <w:rFonts w:ascii="黑体" w:eastAsia="黑体"/>
          <w:sz w:val="32"/>
          <w:szCs w:val="32"/>
        </w:rPr>
      </w:pPr>
      <w:r>
        <w:rPr>
          <w:rFonts w:ascii="黑体" w:eastAsia="黑体"/>
          <w:sz w:val="32"/>
          <w:szCs w:val="32"/>
        </w:rPr>
        <w:br w:type="page"/>
      </w:r>
    </w:p>
    <w:p w14:paraId="6A776D37">
      <w:pPr>
        <w:tabs>
          <w:tab w:val="center" w:pos="6979"/>
        </w:tabs>
        <w:spacing w:line="580" w:lineRule="exact"/>
        <w:ind w:firstLine="720" w:firstLineChars="200"/>
        <w:jc w:val="center"/>
        <w:rPr>
          <w:rFonts w:asciiTheme="minorEastAsia" w:hAnsiTheme="minorEastAsia" w:eastAsiaTheme="minorEastAsia"/>
          <w:b/>
          <w:sz w:val="36"/>
          <w:szCs w:val="36"/>
        </w:rPr>
      </w:pPr>
      <w:r>
        <w:rPr>
          <w:rFonts w:hint="eastAsia" w:asciiTheme="minorEastAsia" w:hAnsiTheme="minorEastAsia" w:eastAsiaTheme="minorEastAsia"/>
          <w:b/>
          <w:sz w:val="36"/>
          <w:szCs w:val="36"/>
        </w:rPr>
        <w:t>第四部分2025年度部门绩效评价情况</w:t>
      </w:r>
    </w:p>
    <w:p w14:paraId="07C63328">
      <w:pPr>
        <w:tabs>
          <w:tab w:val="center" w:pos="6979"/>
        </w:tabs>
        <w:spacing w:line="580" w:lineRule="exact"/>
        <w:ind w:firstLine="560" w:firstLineChars="200"/>
        <w:jc w:val="center"/>
        <w:rPr>
          <w:rFonts w:hint="eastAsia" w:ascii="华文中宋" w:hAnsi="华文中宋" w:eastAsia="华文中宋"/>
          <w:sz w:val="28"/>
          <w:szCs w:val="28"/>
        </w:rPr>
      </w:pPr>
    </w:p>
    <w:p w14:paraId="14E8E27D">
      <w:pPr>
        <w:spacing w:line="580" w:lineRule="exact"/>
        <w:ind w:firstLine="640" w:firstLineChars="200"/>
        <w:rPr>
          <w:rFonts w:hint="eastAsia" w:ascii="黑体" w:hAnsi="黑体" w:eastAsia="黑体"/>
          <w:sz w:val="32"/>
          <w:szCs w:val="32"/>
        </w:rPr>
      </w:pPr>
      <w:r>
        <w:rPr>
          <w:rFonts w:hint="eastAsia" w:ascii="黑体" w:hAnsi="黑体" w:eastAsia="黑体"/>
          <w:sz w:val="32"/>
          <w:szCs w:val="32"/>
        </w:rPr>
        <w:t>一、部门整体绩效评价报告</w:t>
      </w:r>
    </w:p>
    <w:p w14:paraId="6E73E6D8">
      <w:pPr>
        <w:spacing w:line="580" w:lineRule="exact"/>
        <w:ind w:firstLine="640"/>
        <w:rPr>
          <w:rFonts w:hint="eastAsia" w:ascii="楷体_GB2312" w:hAnsi="Calibri" w:eastAsia="楷体_GB2312"/>
          <w:b/>
          <w:sz w:val="32"/>
          <w:szCs w:val="32"/>
        </w:rPr>
      </w:pPr>
      <w:r>
        <w:rPr>
          <w:rFonts w:hint="eastAsia" w:ascii="楷体_GB2312" w:eastAsia="楷体_GB2312"/>
          <w:b/>
          <w:sz w:val="32"/>
          <w:szCs w:val="32"/>
        </w:rPr>
        <w:t>（一）部门概况</w:t>
      </w:r>
    </w:p>
    <w:p w14:paraId="0F0D039D">
      <w:pPr>
        <w:spacing w:line="580" w:lineRule="exact"/>
        <w:ind w:firstLine="640"/>
        <w:rPr>
          <w:rFonts w:hint="eastAsia" w:ascii="仿宋_GB2312" w:eastAsia="仿宋_GB2312"/>
          <w:sz w:val="32"/>
          <w:szCs w:val="32"/>
        </w:rPr>
      </w:pPr>
      <w:bookmarkStart w:id="0" w:name="_Toc268005755"/>
      <w:r>
        <w:rPr>
          <w:rFonts w:hint="eastAsia" w:ascii="仿宋_GB2312" w:eastAsia="仿宋_GB2312"/>
          <w:sz w:val="32"/>
          <w:szCs w:val="32"/>
        </w:rPr>
        <w:t>1.部门职责情况</w:t>
      </w:r>
    </w:p>
    <w:p w14:paraId="147D0D1F">
      <w:pPr>
        <w:spacing w:line="580" w:lineRule="exact"/>
        <w:ind w:firstLine="640"/>
        <w:rPr>
          <w:rFonts w:hint="eastAsia" w:ascii="仿宋_GB2312" w:eastAsia="仿宋_GB2312"/>
          <w:sz w:val="32"/>
          <w:szCs w:val="32"/>
        </w:rPr>
      </w:pPr>
      <w:r>
        <w:rPr>
          <w:rFonts w:hint="eastAsia" w:ascii="仿宋_GB2312" w:hAnsi="宋体" w:eastAsia="仿宋_GB2312" w:cs="宋体"/>
          <w:kern w:val="0"/>
          <w:sz w:val="32"/>
          <w:szCs w:val="32"/>
        </w:rPr>
        <w:t>我中心受区房屋征收办的委托，负责落实本区房屋征收与补偿安置方案，负责做好房屋征收与补偿的宣传、讲解工作，负责对房屋征收范围内房屋的权属、区位、用途、建筑面积等情况组织调查登记，负责补偿资金管理、安置以及周转房源分配管理工作，负责依法确定评估、征收、拆除、安置等服务中介机构工作，负责拆迁档案的收集、整理、保管工作及其他委托事项工作</w:t>
      </w:r>
      <w:r>
        <w:rPr>
          <w:rFonts w:hint="eastAsia" w:ascii="仿宋_GB2312" w:hAnsi="仿宋" w:eastAsia="仿宋_GB2312" w:cs="Times New Roman"/>
          <w:sz w:val="32"/>
          <w:szCs w:val="32"/>
        </w:rPr>
        <w:t>。</w:t>
      </w:r>
    </w:p>
    <w:p w14:paraId="61ACD488">
      <w:pPr>
        <w:spacing w:line="580" w:lineRule="exact"/>
        <w:ind w:firstLine="640"/>
        <w:rPr>
          <w:rFonts w:hint="eastAsia" w:ascii="仿宋_GB2312" w:eastAsia="仿宋_GB2312"/>
          <w:sz w:val="32"/>
          <w:szCs w:val="32"/>
        </w:rPr>
      </w:pPr>
      <w:r>
        <w:rPr>
          <w:rFonts w:hint="eastAsia" w:ascii="仿宋_GB2312" w:eastAsia="仿宋_GB2312"/>
          <w:sz w:val="32"/>
          <w:szCs w:val="32"/>
        </w:rPr>
        <w:t>2.部门机构设置情况</w:t>
      </w:r>
    </w:p>
    <w:p w14:paraId="2819636C">
      <w:pPr>
        <w:spacing w:line="580" w:lineRule="exact"/>
        <w:ind w:firstLine="640"/>
        <w:rPr>
          <w:rFonts w:hint="eastAsia" w:ascii="仿宋_GB2312" w:eastAsia="仿宋_GB2312"/>
          <w:sz w:val="32"/>
          <w:szCs w:val="32"/>
        </w:rPr>
      </w:pPr>
      <w:r>
        <w:rPr>
          <w:rFonts w:hint="eastAsia" w:ascii="仿宋_GB2312" w:eastAsia="仿宋_GB2312"/>
          <w:sz w:val="32"/>
          <w:szCs w:val="32"/>
        </w:rPr>
        <w:t>中心共设5个科室。包括综合部、征收拆除部、财务部、法务部、安置管理部。</w:t>
      </w:r>
    </w:p>
    <w:p w14:paraId="192B427A">
      <w:pPr>
        <w:spacing w:line="580" w:lineRule="exact"/>
        <w:ind w:firstLine="640"/>
        <w:rPr>
          <w:rFonts w:hint="eastAsia" w:ascii="仿宋_GB2312" w:eastAsia="仿宋_GB2312"/>
          <w:sz w:val="32"/>
          <w:szCs w:val="32"/>
        </w:rPr>
      </w:pPr>
      <w:r>
        <w:rPr>
          <w:rFonts w:hint="eastAsia" w:ascii="仿宋_GB2312" w:eastAsia="仿宋_GB2312"/>
          <w:sz w:val="32"/>
          <w:szCs w:val="32"/>
        </w:rPr>
        <w:t>核定事业编制24人，2025年末在编人员实有23人，聘用制工作人员17人。</w:t>
      </w:r>
    </w:p>
    <w:p w14:paraId="17C193EF">
      <w:pPr>
        <w:spacing w:line="580" w:lineRule="exact"/>
        <w:ind w:firstLine="640"/>
        <w:rPr>
          <w:rFonts w:hint="eastAsia" w:ascii="仿宋_GB2312" w:eastAsia="仿宋_GB2312"/>
          <w:sz w:val="32"/>
          <w:szCs w:val="32"/>
        </w:rPr>
      </w:pPr>
      <w:r>
        <w:rPr>
          <w:rFonts w:hint="eastAsia" w:ascii="仿宋_GB2312" w:eastAsia="仿宋_GB2312"/>
          <w:sz w:val="32"/>
          <w:szCs w:val="32"/>
        </w:rPr>
        <w:t>3.2025年主要工作任务</w:t>
      </w:r>
    </w:p>
    <w:p w14:paraId="5A45432D">
      <w:pPr>
        <w:spacing w:line="580" w:lineRule="exact"/>
        <w:ind w:firstLine="640"/>
        <w:rPr>
          <w:rFonts w:hint="eastAsia" w:ascii="仿宋_GB2312" w:eastAsia="仿宋_GB2312"/>
          <w:sz w:val="32"/>
          <w:szCs w:val="32"/>
        </w:rPr>
      </w:pPr>
      <w:r>
        <w:rPr>
          <w:rFonts w:hint="eastAsia" w:ascii="仿宋_GB2312" w:hAnsi="宋体" w:eastAsia="仿宋_GB2312" w:cs="宋体"/>
          <w:kern w:val="0"/>
          <w:sz w:val="32"/>
          <w:szCs w:val="32"/>
        </w:rPr>
        <w:t>202</w:t>
      </w:r>
      <w:r>
        <w:rPr>
          <w:rFonts w:hint="eastAsia" w:ascii="仿宋_GB2312" w:hAnsi="宋体" w:eastAsia="仿宋_GB2312" w:cs="宋体"/>
          <w:kern w:val="0"/>
          <w:sz w:val="32"/>
          <w:szCs w:val="32"/>
          <w:lang w:val="en-US" w:eastAsia="zh-CN"/>
        </w:rPr>
        <w:t>5</w:t>
      </w:r>
      <w:r>
        <w:rPr>
          <w:rFonts w:hint="eastAsia" w:ascii="仿宋_GB2312" w:hAnsi="宋体" w:eastAsia="仿宋_GB2312" w:cs="宋体"/>
          <w:kern w:val="0"/>
          <w:sz w:val="32"/>
          <w:szCs w:val="32"/>
        </w:rPr>
        <w:t>年，门头沟区房屋征收事务中心将紧密围绕区委、区政府的工作要求，坚持问题导向，切实弥补短板，围绕重点民生问题，加快推进历史遗留问题的解决，确保各项工作稳步推进，并提高工作质量和效益</w:t>
      </w:r>
      <w:r>
        <w:rPr>
          <w:rFonts w:hint="eastAsia" w:ascii="仿宋_GB2312" w:hAnsi="仿宋" w:eastAsia="仿宋_GB2312" w:cs="Times New Roman"/>
          <w:sz w:val="32"/>
          <w:szCs w:val="32"/>
        </w:rPr>
        <w:t>，秉承“不忘初心 砥砺前行”精神服务于人民，进一步强化信访维稳工作。</w:t>
      </w:r>
    </w:p>
    <w:bookmarkEnd w:id="0"/>
    <w:p w14:paraId="0B814480">
      <w:pPr>
        <w:spacing w:line="580" w:lineRule="exact"/>
        <w:ind w:firstLine="640"/>
        <w:rPr>
          <w:rFonts w:hint="eastAsia" w:ascii="仿宋_GB2312" w:eastAsia="仿宋_GB2312"/>
          <w:sz w:val="32"/>
          <w:szCs w:val="32"/>
        </w:rPr>
      </w:pPr>
      <w:bookmarkStart w:id="1" w:name="_Toc268005759"/>
      <w:bookmarkStart w:id="2" w:name="_Toc263686375"/>
      <w:r>
        <w:rPr>
          <w:rFonts w:hint="eastAsia" w:ascii="仿宋_GB2312" w:eastAsia="仿宋_GB2312"/>
          <w:sz w:val="32"/>
          <w:szCs w:val="32"/>
        </w:rPr>
        <w:t>4.部门</w:t>
      </w:r>
      <w:bookmarkEnd w:id="1"/>
      <w:r>
        <w:rPr>
          <w:rFonts w:hint="eastAsia" w:ascii="仿宋_GB2312" w:eastAsia="仿宋_GB2312"/>
          <w:sz w:val="32"/>
          <w:szCs w:val="32"/>
        </w:rPr>
        <w:t>整体绩效目标设立情况</w:t>
      </w:r>
    </w:p>
    <w:tbl>
      <w:tblPr>
        <w:tblStyle w:val="10"/>
        <w:tblW w:w="5000" w:type="pct"/>
        <w:tblInd w:w="0" w:type="dxa"/>
        <w:tblLayout w:type="fixed"/>
        <w:tblCellMar>
          <w:top w:w="0" w:type="dxa"/>
          <w:left w:w="108" w:type="dxa"/>
          <w:bottom w:w="0" w:type="dxa"/>
          <w:right w:w="108" w:type="dxa"/>
        </w:tblCellMar>
      </w:tblPr>
      <w:tblGrid>
        <w:gridCol w:w="616"/>
        <w:gridCol w:w="2508"/>
        <w:gridCol w:w="1582"/>
        <w:gridCol w:w="4537"/>
        <w:gridCol w:w="2721"/>
        <w:gridCol w:w="2822"/>
      </w:tblGrid>
      <w:tr w14:paraId="6A4949C6">
        <w:tblPrEx>
          <w:tblCellMar>
            <w:top w:w="0" w:type="dxa"/>
            <w:left w:w="108" w:type="dxa"/>
            <w:bottom w:w="0" w:type="dxa"/>
            <w:right w:w="108" w:type="dxa"/>
          </w:tblCellMar>
        </w:tblPrEx>
        <w:trPr>
          <w:trHeight w:val="275" w:hRule="atLeast"/>
        </w:trPr>
        <w:tc>
          <w:tcPr>
            <w:tcW w:w="208" w:type="pct"/>
            <w:tcBorders>
              <w:top w:val="single" w:color="auto" w:sz="4" w:space="0"/>
              <w:left w:val="single" w:color="auto" w:sz="4" w:space="0"/>
              <w:bottom w:val="single" w:color="auto" w:sz="4" w:space="0"/>
              <w:right w:val="single" w:color="auto" w:sz="4" w:space="0"/>
            </w:tcBorders>
            <w:noWrap/>
            <w:vAlign w:val="center"/>
          </w:tcPr>
          <w:p w14:paraId="76E4500B">
            <w:pPr>
              <w:widowControl/>
              <w:jc w:val="center"/>
              <w:rPr>
                <w:rFonts w:ascii="仿宋_GB2312" w:hAnsi="仿宋" w:eastAsia="仿宋_GB2312" w:cs="Times New Roman"/>
                <w:sz w:val="28"/>
                <w:szCs w:val="28"/>
              </w:rPr>
            </w:pPr>
            <w:r>
              <w:rPr>
                <w:rFonts w:hint="eastAsia" w:ascii="仿宋_GB2312" w:hAnsi="仿宋" w:eastAsia="仿宋_GB2312" w:cs="Times New Roman"/>
                <w:sz w:val="28"/>
                <w:szCs w:val="28"/>
              </w:rPr>
              <w:t>序号</w:t>
            </w:r>
          </w:p>
        </w:tc>
        <w:tc>
          <w:tcPr>
            <w:tcW w:w="848" w:type="pct"/>
            <w:tcBorders>
              <w:top w:val="single" w:color="auto" w:sz="4" w:space="0"/>
              <w:left w:val="nil"/>
              <w:bottom w:val="single" w:color="auto" w:sz="4" w:space="0"/>
              <w:right w:val="single" w:color="auto" w:sz="4" w:space="0"/>
            </w:tcBorders>
            <w:noWrap/>
            <w:vAlign w:val="center"/>
          </w:tcPr>
          <w:p w14:paraId="0FCD3118">
            <w:pPr>
              <w:widowControl/>
              <w:jc w:val="center"/>
              <w:rPr>
                <w:rFonts w:ascii="仿宋_GB2312" w:hAnsi="仿宋" w:eastAsia="仿宋_GB2312" w:cs="Times New Roman"/>
                <w:sz w:val="28"/>
                <w:szCs w:val="28"/>
              </w:rPr>
            </w:pPr>
            <w:r>
              <w:rPr>
                <w:rFonts w:hint="eastAsia" w:ascii="仿宋_GB2312" w:hAnsi="仿宋" w:eastAsia="仿宋_GB2312" w:cs="Times New Roman"/>
                <w:sz w:val="28"/>
                <w:szCs w:val="28"/>
              </w:rPr>
              <w:t>三级指标</w:t>
            </w:r>
          </w:p>
        </w:tc>
        <w:tc>
          <w:tcPr>
            <w:tcW w:w="534" w:type="pct"/>
            <w:tcBorders>
              <w:top w:val="single" w:color="auto" w:sz="4" w:space="0"/>
              <w:left w:val="nil"/>
              <w:bottom w:val="single" w:color="auto" w:sz="4" w:space="0"/>
              <w:right w:val="single" w:color="auto" w:sz="4" w:space="0"/>
            </w:tcBorders>
            <w:noWrap/>
            <w:vAlign w:val="center"/>
          </w:tcPr>
          <w:p w14:paraId="297E089A">
            <w:pPr>
              <w:widowControl/>
              <w:jc w:val="center"/>
              <w:rPr>
                <w:rFonts w:ascii="仿宋_GB2312" w:hAnsi="仿宋" w:eastAsia="仿宋_GB2312" w:cs="Times New Roman"/>
                <w:sz w:val="28"/>
                <w:szCs w:val="28"/>
              </w:rPr>
            </w:pPr>
            <w:r>
              <w:rPr>
                <w:rFonts w:hint="eastAsia" w:ascii="仿宋_GB2312" w:hAnsi="仿宋" w:eastAsia="仿宋_GB2312" w:cs="Times New Roman"/>
                <w:sz w:val="28"/>
                <w:szCs w:val="28"/>
              </w:rPr>
              <w:t>指标性质</w:t>
            </w:r>
          </w:p>
        </w:tc>
        <w:tc>
          <w:tcPr>
            <w:tcW w:w="1534" w:type="pct"/>
            <w:tcBorders>
              <w:top w:val="single" w:color="auto" w:sz="4" w:space="0"/>
              <w:left w:val="nil"/>
              <w:bottom w:val="single" w:color="auto" w:sz="4" w:space="0"/>
              <w:right w:val="single" w:color="auto" w:sz="4" w:space="0"/>
            </w:tcBorders>
            <w:noWrap/>
            <w:vAlign w:val="center"/>
          </w:tcPr>
          <w:p w14:paraId="3F42B3E6">
            <w:pPr>
              <w:widowControl/>
              <w:jc w:val="center"/>
              <w:rPr>
                <w:rFonts w:ascii="仿宋_GB2312" w:hAnsi="仿宋" w:eastAsia="仿宋_GB2312" w:cs="Times New Roman"/>
                <w:sz w:val="28"/>
                <w:szCs w:val="28"/>
              </w:rPr>
            </w:pPr>
            <w:r>
              <w:rPr>
                <w:rFonts w:hint="eastAsia" w:ascii="仿宋_GB2312" w:hAnsi="仿宋" w:eastAsia="仿宋_GB2312" w:cs="Times New Roman"/>
                <w:sz w:val="28"/>
                <w:szCs w:val="28"/>
              </w:rPr>
              <w:t>指标值</w:t>
            </w:r>
          </w:p>
        </w:tc>
        <w:tc>
          <w:tcPr>
            <w:tcW w:w="920" w:type="pct"/>
            <w:tcBorders>
              <w:top w:val="single" w:color="auto" w:sz="4" w:space="0"/>
              <w:left w:val="nil"/>
              <w:bottom w:val="single" w:color="auto" w:sz="4" w:space="0"/>
              <w:right w:val="single" w:color="auto" w:sz="4" w:space="0"/>
            </w:tcBorders>
            <w:vAlign w:val="center"/>
          </w:tcPr>
          <w:p w14:paraId="5C33B363">
            <w:pPr>
              <w:widowControl/>
              <w:jc w:val="center"/>
              <w:rPr>
                <w:rFonts w:ascii="仿宋_GB2312" w:hAnsi="仿宋" w:eastAsia="仿宋_GB2312" w:cs="Times New Roman"/>
                <w:sz w:val="28"/>
                <w:szCs w:val="28"/>
              </w:rPr>
            </w:pPr>
            <w:r>
              <w:rPr>
                <w:rFonts w:hint="eastAsia" w:ascii="仿宋_GB2312" w:hAnsi="仿宋" w:eastAsia="仿宋_GB2312" w:cs="Times New Roman"/>
                <w:sz w:val="28"/>
                <w:szCs w:val="28"/>
              </w:rPr>
              <w:t>度量单位</w:t>
            </w:r>
          </w:p>
        </w:tc>
        <w:tc>
          <w:tcPr>
            <w:tcW w:w="954" w:type="pct"/>
            <w:tcBorders>
              <w:top w:val="single" w:color="auto" w:sz="4" w:space="0"/>
              <w:left w:val="nil"/>
              <w:bottom w:val="single" w:color="auto" w:sz="4" w:space="0"/>
              <w:right w:val="single" w:color="auto" w:sz="4" w:space="0"/>
            </w:tcBorders>
            <w:vAlign w:val="center"/>
          </w:tcPr>
          <w:p w14:paraId="66B5A8FD">
            <w:pPr>
              <w:widowControl/>
              <w:jc w:val="center"/>
              <w:rPr>
                <w:rFonts w:ascii="仿宋_GB2312" w:hAnsi="仿宋" w:eastAsia="仿宋_GB2312" w:cs="Times New Roman"/>
                <w:sz w:val="28"/>
                <w:szCs w:val="28"/>
              </w:rPr>
            </w:pPr>
            <w:r>
              <w:rPr>
                <w:rFonts w:hint="eastAsia" w:ascii="仿宋_GB2312" w:hAnsi="仿宋" w:eastAsia="仿宋_GB2312" w:cs="Times New Roman"/>
                <w:sz w:val="28"/>
                <w:szCs w:val="28"/>
              </w:rPr>
              <w:t>指标权重</w:t>
            </w:r>
          </w:p>
        </w:tc>
      </w:tr>
      <w:tr w14:paraId="47B81A6F">
        <w:tblPrEx>
          <w:tblCellMar>
            <w:top w:w="0" w:type="dxa"/>
            <w:left w:w="108" w:type="dxa"/>
            <w:bottom w:w="0" w:type="dxa"/>
            <w:right w:w="108" w:type="dxa"/>
          </w:tblCellMar>
        </w:tblPrEx>
        <w:trPr>
          <w:trHeight w:val="1021" w:hRule="atLeast"/>
        </w:trPr>
        <w:tc>
          <w:tcPr>
            <w:tcW w:w="208" w:type="pct"/>
            <w:tcBorders>
              <w:top w:val="nil"/>
              <w:left w:val="single" w:color="auto" w:sz="4" w:space="0"/>
              <w:bottom w:val="single" w:color="auto" w:sz="4" w:space="0"/>
              <w:right w:val="single" w:color="auto" w:sz="4" w:space="0"/>
            </w:tcBorders>
            <w:noWrap/>
            <w:vAlign w:val="center"/>
          </w:tcPr>
          <w:p w14:paraId="0B939479">
            <w:pPr>
              <w:widowControl/>
              <w:jc w:val="center"/>
              <w:rPr>
                <w:rFonts w:ascii="仿宋_GB2312" w:hAnsi="仿宋" w:eastAsia="仿宋_GB2312" w:cs="Times New Roman"/>
                <w:sz w:val="32"/>
                <w:szCs w:val="32"/>
              </w:rPr>
            </w:pPr>
            <w:r>
              <w:rPr>
                <w:rFonts w:ascii="仿宋_GB2312" w:hAnsi="仿宋" w:eastAsia="仿宋_GB2312" w:cs="Times New Roman"/>
                <w:sz w:val="32"/>
                <w:szCs w:val="32"/>
              </w:rPr>
              <w:t>1</w:t>
            </w:r>
          </w:p>
        </w:tc>
        <w:tc>
          <w:tcPr>
            <w:tcW w:w="848" w:type="pct"/>
            <w:tcBorders>
              <w:top w:val="nil"/>
              <w:left w:val="nil"/>
              <w:bottom w:val="single" w:color="auto" w:sz="4" w:space="0"/>
              <w:right w:val="single" w:color="auto" w:sz="4" w:space="0"/>
            </w:tcBorders>
            <w:noWrap/>
            <w:vAlign w:val="center"/>
          </w:tcPr>
          <w:p w14:paraId="5B12A551">
            <w:pPr>
              <w:rPr>
                <w:rFonts w:ascii="仿宋_GB2312" w:hAnsi="仿宋" w:eastAsia="仿宋_GB2312" w:cs="Times New Roman"/>
                <w:sz w:val="32"/>
                <w:szCs w:val="32"/>
              </w:rPr>
            </w:pPr>
            <w:r>
              <w:rPr>
                <w:rFonts w:hint="eastAsia" w:ascii="仿宋_GB2312" w:hAnsi="仿宋" w:eastAsia="仿宋_GB2312" w:cs="Times New Roman"/>
                <w:sz w:val="32"/>
                <w:szCs w:val="32"/>
              </w:rPr>
              <w:t>数量指标</w:t>
            </w:r>
          </w:p>
        </w:tc>
        <w:tc>
          <w:tcPr>
            <w:tcW w:w="534" w:type="pct"/>
            <w:tcBorders>
              <w:top w:val="nil"/>
              <w:left w:val="nil"/>
              <w:bottom w:val="single" w:color="auto" w:sz="4" w:space="0"/>
              <w:right w:val="single" w:color="auto" w:sz="4" w:space="0"/>
            </w:tcBorders>
            <w:noWrap/>
            <w:vAlign w:val="center"/>
          </w:tcPr>
          <w:p w14:paraId="0E6F92AC">
            <w:pPr>
              <w:widowControl/>
              <w:jc w:val="left"/>
              <w:rPr>
                <w:rFonts w:ascii="仿宋_GB2312" w:hAnsi="仿宋" w:eastAsia="仿宋_GB2312" w:cs="Times New Roman"/>
                <w:sz w:val="32"/>
                <w:szCs w:val="32"/>
              </w:rPr>
            </w:pPr>
            <w:r>
              <w:rPr>
                <w:rFonts w:hint="eastAsia" w:ascii="仿宋_GB2312" w:hAnsi="仿宋" w:eastAsia="仿宋_GB2312" w:cs="Times New Roman"/>
                <w:sz w:val="32"/>
                <w:szCs w:val="32"/>
              </w:rPr>
              <w:t>=</w:t>
            </w:r>
          </w:p>
        </w:tc>
        <w:tc>
          <w:tcPr>
            <w:tcW w:w="1534" w:type="pct"/>
            <w:tcBorders>
              <w:top w:val="nil"/>
              <w:left w:val="nil"/>
              <w:bottom w:val="single" w:color="auto" w:sz="4" w:space="0"/>
              <w:right w:val="single" w:color="auto" w:sz="4" w:space="0"/>
            </w:tcBorders>
            <w:noWrap/>
            <w:vAlign w:val="center"/>
          </w:tcPr>
          <w:p w14:paraId="1D042BEB">
            <w:pPr>
              <w:jc w:val="left"/>
              <w:rPr>
                <w:rFonts w:ascii="仿宋_GB2312" w:hAnsi="仿宋" w:eastAsia="仿宋_GB2312" w:cs="Times New Roman"/>
                <w:sz w:val="32"/>
                <w:szCs w:val="32"/>
              </w:rPr>
            </w:pPr>
            <w:r>
              <w:rPr>
                <w:rFonts w:hint="eastAsia" w:ascii="仿宋_GB2312" w:hAnsi="仿宋" w:eastAsia="仿宋_GB2312" w:cs="Times New Roman"/>
                <w:sz w:val="32"/>
                <w:szCs w:val="32"/>
              </w:rPr>
              <w:t>完成腾退户2户；诉讼案件35件；发放公证费2户；</w:t>
            </w:r>
          </w:p>
        </w:tc>
        <w:tc>
          <w:tcPr>
            <w:tcW w:w="920" w:type="pct"/>
            <w:tcBorders>
              <w:top w:val="nil"/>
              <w:left w:val="nil"/>
              <w:bottom w:val="single" w:color="auto" w:sz="4" w:space="0"/>
              <w:right w:val="single" w:color="auto" w:sz="4" w:space="0"/>
            </w:tcBorders>
            <w:vAlign w:val="center"/>
          </w:tcPr>
          <w:p w14:paraId="2EFD5580">
            <w:pPr>
              <w:widowControl/>
              <w:jc w:val="left"/>
              <w:rPr>
                <w:rFonts w:hint="eastAsia" w:ascii="仿宋_GB2312" w:hAnsi="仿宋" w:eastAsia="仿宋_GB2312" w:cs="Times New Roman"/>
                <w:sz w:val="32"/>
                <w:szCs w:val="32"/>
                <w:lang w:eastAsia="zh-CN"/>
              </w:rPr>
            </w:pPr>
            <w:r>
              <w:rPr>
                <w:rFonts w:hint="eastAsia" w:ascii="仿宋_GB2312" w:hAnsi="仿宋" w:eastAsia="仿宋_GB2312" w:cs="Times New Roman"/>
                <w:sz w:val="32"/>
                <w:szCs w:val="32"/>
              </w:rPr>
              <w:t>户；件；</w:t>
            </w:r>
            <w:r>
              <w:rPr>
                <w:rFonts w:hint="eastAsia" w:ascii="仿宋_GB2312" w:hAnsi="仿宋" w:eastAsia="仿宋_GB2312" w:cs="Times New Roman"/>
                <w:sz w:val="32"/>
                <w:szCs w:val="32"/>
                <w:lang w:eastAsia="zh-CN"/>
              </w:rPr>
              <w:t>户</w:t>
            </w:r>
          </w:p>
        </w:tc>
        <w:tc>
          <w:tcPr>
            <w:tcW w:w="954" w:type="pct"/>
            <w:tcBorders>
              <w:top w:val="nil"/>
              <w:left w:val="nil"/>
              <w:bottom w:val="single" w:color="auto" w:sz="4" w:space="0"/>
              <w:right w:val="single" w:color="auto" w:sz="4" w:space="0"/>
            </w:tcBorders>
            <w:vAlign w:val="center"/>
          </w:tcPr>
          <w:p w14:paraId="34846028">
            <w:pPr>
              <w:widowControl/>
              <w:jc w:val="left"/>
              <w:rPr>
                <w:rFonts w:hint="default" w:ascii="仿宋_GB2312" w:hAnsi="仿宋" w:eastAsia="仿宋_GB2312" w:cs="Times New Roman"/>
                <w:sz w:val="32"/>
                <w:szCs w:val="32"/>
                <w:lang w:val="en-US" w:eastAsia="zh-CN"/>
              </w:rPr>
            </w:pPr>
            <w:r>
              <w:rPr>
                <w:rFonts w:hint="eastAsia" w:ascii="仿宋_GB2312" w:hAnsi="仿宋" w:eastAsia="仿宋_GB2312" w:cs="Times New Roman"/>
                <w:sz w:val="32"/>
                <w:szCs w:val="32"/>
                <w:lang w:val="en-US" w:eastAsia="zh-CN"/>
              </w:rPr>
              <w:t>5</w:t>
            </w:r>
          </w:p>
        </w:tc>
      </w:tr>
      <w:tr w14:paraId="171BDF3B">
        <w:tblPrEx>
          <w:tblCellMar>
            <w:top w:w="0" w:type="dxa"/>
            <w:left w:w="108" w:type="dxa"/>
            <w:bottom w:w="0" w:type="dxa"/>
            <w:right w:w="108" w:type="dxa"/>
          </w:tblCellMar>
        </w:tblPrEx>
        <w:trPr>
          <w:trHeight w:val="1021" w:hRule="atLeast"/>
        </w:trPr>
        <w:tc>
          <w:tcPr>
            <w:tcW w:w="208" w:type="pct"/>
            <w:tcBorders>
              <w:top w:val="nil"/>
              <w:left w:val="single" w:color="auto" w:sz="4" w:space="0"/>
              <w:bottom w:val="single" w:color="auto" w:sz="4" w:space="0"/>
              <w:right w:val="single" w:color="auto" w:sz="4" w:space="0"/>
            </w:tcBorders>
            <w:noWrap/>
            <w:vAlign w:val="center"/>
          </w:tcPr>
          <w:p w14:paraId="5FB03248">
            <w:pPr>
              <w:widowControl/>
              <w:jc w:val="center"/>
              <w:rPr>
                <w:rFonts w:ascii="仿宋_GB2312" w:hAnsi="仿宋" w:eastAsia="仿宋_GB2312" w:cs="Times New Roman"/>
                <w:sz w:val="32"/>
                <w:szCs w:val="32"/>
              </w:rPr>
            </w:pPr>
            <w:r>
              <w:rPr>
                <w:rFonts w:ascii="仿宋_GB2312" w:hAnsi="仿宋" w:eastAsia="仿宋_GB2312" w:cs="Times New Roman"/>
                <w:sz w:val="32"/>
                <w:szCs w:val="32"/>
              </w:rPr>
              <w:t>2</w:t>
            </w:r>
          </w:p>
        </w:tc>
        <w:tc>
          <w:tcPr>
            <w:tcW w:w="848" w:type="pct"/>
            <w:tcBorders>
              <w:top w:val="nil"/>
              <w:left w:val="nil"/>
              <w:bottom w:val="single" w:color="auto" w:sz="4" w:space="0"/>
              <w:right w:val="single" w:color="auto" w:sz="4" w:space="0"/>
            </w:tcBorders>
            <w:noWrap/>
            <w:vAlign w:val="center"/>
          </w:tcPr>
          <w:p w14:paraId="36A954F4">
            <w:pPr>
              <w:rPr>
                <w:rFonts w:ascii="仿宋_GB2312" w:hAnsi="仿宋" w:eastAsia="仿宋_GB2312" w:cs="Times New Roman"/>
                <w:sz w:val="32"/>
                <w:szCs w:val="32"/>
              </w:rPr>
            </w:pPr>
            <w:r>
              <w:rPr>
                <w:rFonts w:hint="eastAsia" w:ascii="仿宋_GB2312" w:hAnsi="仿宋" w:eastAsia="仿宋_GB2312" w:cs="Times New Roman"/>
                <w:sz w:val="32"/>
                <w:szCs w:val="32"/>
              </w:rPr>
              <w:t>质量指标</w:t>
            </w:r>
          </w:p>
        </w:tc>
        <w:tc>
          <w:tcPr>
            <w:tcW w:w="534" w:type="pct"/>
            <w:tcBorders>
              <w:top w:val="nil"/>
              <w:left w:val="nil"/>
              <w:bottom w:val="single" w:color="auto" w:sz="4" w:space="0"/>
              <w:right w:val="single" w:color="auto" w:sz="4" w:space="0"/>
            </w:tcBorders>
            <w:noWrap/>
            <w:vAlign w:val="center"/>
          </w:tcPr>
          <w:p w14:paraId="0A7B6378">
            <w:pPr>
              <w:widowControl/>
              <w:jc w:val="left"/>
              <w:rPr>
                <w:rFonts w:ascii="仿宋_GB2312" w:hAnsi="仿宋" w:eastAsia="仿宋_GB2312" w:cs="Times New Roman"/>
                <w:sz w:val="32"/>
                <w:szCs w:val="32"/>
              </w:rPr>
            </w:pPr>
            <w:r>
              <w:rPr>
                <w:rFonts w:hint="eastAsia" w:ascii="仿宋_GB2312" w:hAnsi="仿宋" w:eastAsia="仿宋_GB2312" w:cs="Times New Roman"/>
                <w:sz w:val="32"/>
                <w:szCs w:val="32"/>
              </w:rPr>
              <w:t>定性</w:t>
            </w:r>
          </w:p>
        </w:tc>
        <w:tc>
          <w:tcPr>
            <w:tcW w:w="1534" w:type="pct"/>
            <w:tcBorders>
              <w:top w:val="nil"/>
              <w:left w:val="nil"/>
              <w:bottom w:val="single" w:color="auto" w:sz="4" w:space="0"/>
              <w:right w:val="single" w:color="auto" w:sz="4" w:space="0"/>
            </w:tcBorders>
            <w:noWrap/>
            <w:vAlign w:val="center"/>
          </w:tcPr>
          <w:p w14:paraId="53024AB1">
            <w:pPr>
              <w:jc w:val="left"/>
              <w:rPr>
                <w:rFonts w:ascii="仿宋_GB2312" w:hAnsi="仿宋" w:eastAsia="仿宋_GB2312" w:cs="Times New Roman"/>
                <w:sz w:val="32"/>
                <w:szCs w:val="32"/>
              </w:rPr>
            </w:pPr>
            <w:r>
              <w:rPr>
                <w:rFonts w:hint="eastAsia" w:ascii="仿宋_GB2312" w:hAnsi="仿宋" w:eastAsia="仿宋_GB2312" w:cs="Times New Roman"/>
                <w:sz w:val="32"/>
                <w:szCs w:val="32"/>
              </w:rPr>
              <w:t>保证我中心办公机构正常运转，保障工作有序推进。保障采空棚户区改造及重点工程征收改造顺利进行，满足入住条件，及时应诉。</w:t>
            </w:r>
          </w:p>
        </w:tc>
        <w:tc>
          <w:tcPr>
            <w:tcW w:w="920" w:type="pct"/>
            <w:tcBorders>
              <w:top w:val="nil"/>
              <w:left w:val="nil"/>
              <w:bottom w:val="single" w:color="auto" w:sz="4" w:space="0"/>
              <w:right w:val="single" w:color="auto" w:sz="4" w:space="0"/>
            </w:tcBorders>
            <w:vAlign w:val="center"/>
          </w:tcPr>
          <w:p w14:paraId="318DC4DB">
            <w:pPr>
              <w:widowControl/>
              <w:jc w:val="left"/>
              <w:rPr>
                <w:rFonts w:ascii="仿宋_GB2312" w:hAnsi="仿宋" w:eastAsia="仿宋_GB2312" w:cs="Times New Roman"/>
                <w:sz w:val="32"/>
                <w:szCs w:val="32"/>
              </w:rPr>
            </w:pPr>
            <w:r>
              <w:rPr>
                <w:rFonts w:hint="eastAsia" w:ascii="仿宋_GB2312" w:hAnsi="仿宋" w:eastAsia="仿宋_GB2312" w:cs="Times New Roman"/>
                <w:sz w:val="32"/>
                <w:szCs w:val="32"/>
              </w:rPr>
              <w:t>优良中低差</w:t>
            </w:r>
          </w:p>
        </w:tc>
        <w:tc>
          <w:tcPr>
            <w:tcW w:w="954" w:type="pct"/>
            <w:tcBorders>
              <w:top w:val="nil"/>
              <w:left w:val="nil"/>
              <w:bottom w:val="single" w:color="auto" w:sz="4" w:space="0"/>
              <w:right w:val="single" w:color="auto" w:sz="4" w:space="0"/>
            </w:tcBorders>
            <w:vAlign w:val="center"/>
          </w:tcPr>
          <w:p w14:paraId="4ACBAA9C">
            <w:pPr>
              <w:widowControl/>
              <w:jc w:val="left"/>
              <w:rPr>
                <w:rFonts w:ascii="仿宋_GB2312" w:hAnsi="仿宋" w:eastAsia="仿宋_GB2312" w:cs="Times New Roman"/>
                <w:sz w:val="32"/>
                <w:szCs w:val="32"/>
              </w:rPr>
            </w:pPr>
            <w:r>
              <w:rPr>
                <w:rFonts w:hint="eastAsia" w:ascii="仿宋_GB2312" w:hAnsi="仿宋" w:eastAsia="仿宋_GB2312" w:cs="Times New Roman"/>
                <w:sz w:val="32"/>
                <w:szCs w:val="32"/>
              </w:rPr>
              <w:t>10</w:t>
            </w:r>
          </w:p>
        </w:tc>
      </w:tr>
      <w:tr w14:paraId="73FC2D1B">
        <w:tblPrEx>
          <w:tblCellMar>
            <w:top w:w="0" w:type="dxa"/>
            <w:left w:w="108" w:type="dxa"/>
            <w:bottom w:w="0" w:type="dxa"/>
            <w:right w:w="108" w:type="dxa"/>
          </w:tblCellMar>
        </w:tblPrEx>
        <w:trPr>
          <w:trHeight w:val="1021" w:hRule="atLeast"/>
        </w:trPr>
        <w:tc>
          <w:tcPr>
            <w:tcW w:w="208" w:type="pct"/>
            <w:tcBorders>
              <w:top w:val="nil"/>
              <w:left w:val="single" w:color="auto" w:sz="4" w:space="0"/>
              <w:bottom w:val="single" w:color="auto" w:sz="4" w:space="0"/>
              <w:right w:val="single" w:color="auto" w:sz="4" w:space="0"/>
            </w:tcBorders>
            <w:noWrap/>
            <w:vAlign w:val="center"/>
          </w:tcPr>
          <w:p w14:paraId="2CC38C3B">
            <w:pPr>
              <w:widowControl/>
              <w:jc w:val="center"/>
              <w:rPr>
                <w:rFonts w:ascii="仿宋_GB2312" w:hAnsi="仿宋" w:eastAsia="仿宋_GB2312" w:cs="Times New Roman"/>
                <w:sz w:val="32"/>
                <w:szCs w:val="32"/>
              </w:rPr>
            </w:pPr>
            <w:r>
              <w:rPr>
                <w:rFonts w:ascii="仿宋_GB2312" w:hAnsi="仿宋" w:eastAsia="仿宋_GB2312" w:cs="Times New Roman"/>
                <w:sz w:val="32"/>
                <w:szCs w:val="32"/>
              </w:rPr>
              <w:t>3</w:t>
            </w:r>
          </w:p>
        </w:tc>
        <w:tc>
          <w:tcPr>
            <w:tcW w:w="848" w:type="pct"/>
            <w:tcBorders>
              <w:top w:val="nil"/>
              <w:left w:val="nil"/>
              <w:bottom w:val="single" w:color="auto" w:sz="4" w:space="0"/>
              <w:right w:val="single" w:color="auto" w:sz="4" w:space="0"/>
            </w:tcBorders>
            <w:noWrap/>
            <w:vAlign w:val="center"/>
          </w:tcPr>
          <w:p w14:paraId="490B8134">
            <w:pPr>
              <w:rPr>
                <w:rFonts w:ascii="仿宋_GB2312" w:hAnsi="仿宋" w:eastAsia="仿宋_GB2312" w:cs="Times New Roman"/>
                <w:sz w:val="32"/>
                <w:szCs w:val="32"/>
              </w:rPr>
            </w:pPr>
            <w:r>
              <w:rPr>
                <w:rFonts w:hint="eastAsia" w:ascii="仿宋_GB2312" w:hAnsi="仿宋" w:eastAsia="仿宋_GB2312" w:cs="Times New Roman"/>
                <w:sz w:val="32"/>
                <w:szCs w:val="32"/>
              </w:rPr>
              <w:t>时效指标</w:t>
            </w:r>
          </w:p>
        </w:tc>
        <w:tc>
          <w:tcPr>
            <w:tcW w:w="534" w:type="pct"/>
            <w:tcBorders>
              <w:top w:val="nil"/>
              <w:left w:val="nil"/>
              <w:bottom w:val="single" w:color="auto" w:sz="4" w:space="0"/>
              <w:right w:val="single" w:color="auto" w:sz="4" w:space="0"/>
            </w:tcBorders>
            <w:noWrap/>
            <w:vAlign w:val="center"/>
          </w:tcPr>
          <w:p w14:paraId="3BAE4232">
            <w:pPr>
              <w:widowControl/>
              <w:jc w:val="left"/>
              <w:rPr>
                <w:rFonts w:ascii="仿宋_GB2312" w:hAnsi="仿宋" w:eastAsia="仿宋_GB2312" w:cs="Times New Roman"/>
                <w:sz w:val="32"/>
                <w:szCs w:val="32"/>
              </w:rPr>
            </w:pPr>
            <w:r>
              <w:rPr>
                <w:rFonts w:hint="eastAsia" w:ascii="仿宋_GB2312" w:hAnsi="仿宋" w:eastAsia="仿宋_GB2312" w:cs="Times New Roman"/>
                <w:sz w:val="32"/>
                <w:szCs w:val="32"/>
              </w:rPr>
              <w:t>=</w:t>
            </w:r>
          </w:p>
        </w:tc>
        <w:tc>
          <w:tcPr>
            <w:tcW w:w="1534" w:type="pct"/>
            <w:tcBorders>
              <w:top w:val="nil"/>
              <w:left w:val="nil"/>
              <w:bottom w:val="single" w:color="auto" w:sz="4" w:space="0"/>
              <w:right w:val="single" w:color="auto" w:sz="4" w:space="0"/>
            </w:tcBorders>
            <w:noWrap/>
            <w:vAlign w:val="center"/>
          </w:tcPr>
          <w:p w14:paraId="5784D30D">
            <w:pPr>
              <w:jc w:val="left"/>
              <w:rPr>
                <w:rFonts w:ascii="仿宋_GB2312" w:hAnsi="仿宋" w:eastAsia="仿宋_GB2312" w:cs="Times New Roman"/>
                <w:sz w:val="32"/>
                <w:szCs w:val="32"/>
              </w:rPr>
            </w:pPr>
            <w:r>
              <w:rPr>
                <w:rFonts w:hint="eastAsia" w:ascii="仿宋_GB2312" w:hAnsi="仿宋" w:eastAsia="仿宋_GB2312" w:cs="Times New Roman"/>
                <w:sz w:val="32"/>
                <w:szCs w:val="32"/>
              </w:rPr>
              <w:t>在202</w:t>
            </w:r>
            <w:r>
              <w:rPr>
                <w:rFonts w:hint="eastAsia" w:ascii="仿宋_GB2312" w:hAnsi="仿宋" w:eastAsia="仿宋_GB2312" w:cs="Times New Roman"/>
                <w:sz w:val="32"/>
                <w:szCs w:val="32"/>
                <w:lang w:val="en-US" w:eastAsia="zh-CN"/>
              </w:rPr>
              <w:t>5</w:t>
            </w:r>
            <w:r>
              <w:rPr>
                <w:rFonts w:hint="eastAsia" w:ascii="仿宋_GB2312" w:hAnsi="仿宋" w:eastAsia="仿宋_GB2312" w:cs="Times New Roman"/>
                <w:sz w:val="32"/>
                <w:szCs w:val="32"/>
              </w:rPr>
              <w:t>年完成</w:t>
            </w:r>
          </w:p>
        </w:tc>
        <w:tc>
          <w:tcPr>
            <w:tcW w:w="920" w:type="pct"/>
            <w:tcBorders>
              <w:top w:val="nil"/>
              <w:left w:val="nil"/>
              <w:bottom w:val="single" w:color="auto" w:sz="4" w:space="0"/>
              <w:right w:val="single" w:color="auto" w:sz="4" w:space="0"/>
            </w:tcBorders>
            <w:vAlign w:val="center"/>
          </w:tcPr>
          <w:p w14:paraId="1F56BE84">
            <w:pPr>
              <w:widowControl/>
              <w:jc w:val="left"/>
              <w:rPr>
                <w:rFonts w:ascii="仿宋_GB2312" w:hAnsi="仿宋" w:eastAsia="仿宋_GB2312" w:cs="Times New Roman"/>
                <w:sz w:val="32"/>
                <w:szCs w:val="32"/>
              </w:rPr>
            </w:pPr>
            <w:r>
              <w:rPr>
                <w:rFonts w:hint="eastAsia" w:ascii="仿宋_GB2312" w:hAnsi="仿宋" w:eastAsia="仿宋_GB2312" w:cs="Times New Roman"/>
                <w:sz w:val="32"/>
                <w:szCs w:val="32"/>
              </w:rPr>
              <w:t>年</w:t>
            </w:r>
          </w:p>
        </w:tc>
        <w:tc>
          <w:tcPr>
            <w:tcW w:w="954" w:type="pct"/>
            <w:tcBorders>
              <w:top w:val="nil"/>
              <w:left w:val="nil"/>
              <w:bottom w:val="single" w:color="auto" w:sz="4" w:space="0"/>
              <w:right w:val="single" w:color="auto" w:sz="4" w:space="0"/>
            </w:tcBorders>
            <w:vAlign w:val="center"/>
          </w:tcPr>
          <w:p w14:paraId="338F2A21">
            <w:pPr>
              <w:widowControl/>
              <w:jc w:val="left"/>
              <w:rPr>
                <w:rFonts w:ascii="仿宋_GB2312" w:hAnsi="仿宋" w:eastAsia="仿宋_GB2312" w:cs="Times New Roman"/>
                <w:sz w:val="32"/>
                <w:szCs w:val="32"/>
              </w:rPr>
            </w:pPr>
            <w:r>
              <w:rPr>
                <w:rFonts w:hint="eastAsia" w:ascii="仿宋_GB2312" w:hAnsi="仿宋" w:eastAsia="仿宋_GB2312" w:cs="Times New Roman"/>
                <w:sz w:val="32"/>
                <w:szCs w:val="32"/>
              </w:rPr>
              <w:t>10</w:t>
            </w:r>
          </w:p>
        </w:tc>
      </w:tr>
      <w:tr w14:paraId="1AE69B2E">
        <w:tblPrEx>
          <w:tblCellMar>
            <w:top w:w="0" w:type="dxa"/>
            <w:left w:w="108" w:type="dxa"/>
            <w:bottom w:w="0" w:type="dxa"/>
            <w:right w:w="108" w:type="dxa"/>
          </w:tblCellMar>
        </w:tblPrEx>
        <w:trPr>
          <w:trHeight w:val="1021" w:hRule="atLeast"/>
        </w:trPr>
        <w:tc>
          <w:tcPr>
            <w:tcW w:w="208" w:type="pct"/>
            <w:tcBorders>
              <w:top w:val="single" w:color="auto" w:sz="4" w:space="0"/>
              <w:left w:val="single" w:color="auto" w:sz="4" w:space="0"/>
              <w:bottom w:val="single" w:color="auto" w:sz="4" w:space="0"/>
              <w:right w:val="single" w:color="auto" w:sz="4" w:space="0"/>
            </w:tcBorders>
            <w:noWrap/>
            <w:vAlign w:val="center"/>
          </w:tcPr>
          <w:p w14:paraId="5A188CD0">
            <w:pPr>
              <w:widowControl/>
              <w:jc w:val="center"/>
              <w:rPr>
                <w:rFonts w:ascii="仿宋_GB2312" w:hAnsi="仿宋" w:eastAsia="仿宋_GB2312" w:cs="Times New Roman"/>
                <w:sz w:val="32"/>
                <w:szCs w:val="32"/>
              </w:rPr>
            </w:pPr>
            <w:r>
              <w:rPr>
                <w:rFonts w:hint="eastAsia" w:ascii="仿宋_GB2312" w:hAnsi="仿宋" w:eastAsia="仿宋_GB2312" w:cs="Times New Roman"/>
                <w:sz w:val="32"/>
                <w:szCs w:val="32"/>
              </w:rPr>
              <w:t>4</w:t>
            </w:r>
          </w:p>
        </w:tc>
        <w:tc>
          <w:tcPr>
            <w:tcW w:w="848" w:type="pct"/>
            <w:tcBorders>
              <w:top w:val="single" w:color="auto" w:sz="4" w:space="0"/>
              <w:left w:val="single" w:color="auto" w:sz="4" w:space="0"/>
              <w:bottom w:val="single" w:color="auto" w:sz="4" w:space="0"/>
              <w:right w:val="single" w:color="auto" w:sz="4" w:space="0"/>
            </w:tcBorders>
            <w:noWrap/>
            <w:vAlign w:val="center"/>
          </w:tcPr>
          <w:p w14:paraId="5DCCEE31">
            <w:pPr>
              <w:rPr>
                <w:rFonts w:ascii="仿宋_GB2312" w:hAnsi="仿宋" w:eastAsia="仿宋_GB2312" w:cs="Times New Roman"/>
                <w:sz w:val="32"/>
                <w:szCs w:val="32"/>
              </w:rPr>
            </w:pPr>
            <w:r>
              <w:rPr>
                <w:rFonts w:hint="eastAsia" w:ascii="仿宋_GB2312" w:hAnsi="仿宋" w:eastAsia="仿宋_GB2312" w:cs="Times New Roman"/>
                <w:sz w:val="32"/>
                <w:szCs w:val="32"/>
              </w:rPr>
              <w:t>成本指标</w:t>
            </w:r>
          </w:p>
        </w:tc>
        <w:tc>
          <w:tcPr>
            <w:tcW w:w="534" w:type="pct"/>
            <w:tcBorders>
              <w:top w:val="single" w:color="auto" w:sz="4" w:space="0"/>
              <w:left w:val="single" w:color="auto" w:sz="4" w:space="0"/>
              <w:bottom w:val="single" w:color="auto" w:sz="4" w:space="0"/>
              <w:right w:val="single" w:color="auto" w:sz="4" w:space="0"/>
            </w:tcBorders>
            <w:noWrap/>
            <w:vAlign w:val="center"/>
          </w:tcPr>
          <w:p w14:paraId="3FD5A2FF">
            <w:pPr>
              <w:widowControl/>
              <w:jc w:val="left"/>
              <w:rPr>
                <w:rFonts w:ascii="仿宋_GB2312" w:hAnsi="仿宋" w:eastAsia="仿宋_GB2312" w:cs="Times New Roman"/>
                <w:sz w:val="32"/>
                <w:szCs w:val="32"/>
              </w:rPr>
            </w:pPr>
            <w:r>
              <w:rPr>
                <w:rFonts w:hint="eastAsia" w:ascii="仿宋_GB2312" w:hAnsi="仿宋" w:eastAsia="仿宋_GB2312" w:cs="Times New Roman"/>
                <w:sz w:val="32"/>
                <w:szCs w:val="32"/>
              </w:rPr>
              <w:t>=</w:t>
            </w:r>
          </w:p>
        </w:tc>
        <w:tc>
          <w:tcPr>
            <w:tcW w:w="1534" w:type="pct"/>
            <w:tcBorders>
              <w:top w:val="single" w:color="auto" w:sz="4" w:space="0"/>
              <w:left w:val="single" w:color="auto" w:sz="4" w:space="0"/>
              <w:bottom w:val="single" w:color="auto" w:sz="4" w:space="0"/>
              <w:right w:val="single" w:color="auto" w:sz="4" w:space="0"/>
            </w:tcBorders>
            <w:noWrap/>
            <w:vAlign w:val="center"/>
          </w:tcPr>
          <w:p w14:paraId="587D574A">
            <w:pPr>
              <w:jc w:val="left"/>
              <w:rPr>
                <w:rFonts w:ascii="仿宋_GB2312" w:hAnsi="仿宋" w:eastAsia="仿宋_GB2312" w:cs="Times New Roman"/>
                <w:sz w:val="32"/>
                <w:szCs w:val="32"/>
              </w:rPr>
            </w:pPr>
            <w:r>
              <w:rPr>
                <w:rFonts w:hint="eastAsia" w:ascii="仿宋_GB2312" w:hAnsi="仿宋" w:eastAsia="仿宋_GB2312" w:cs="Times New Roman"/>
                <w:sz w:val="32"/>
                <w:szCs w:val="32"/>
              </w:rPr>
              <w:t>年度资金预算总成本913.84万元，其中办公用房租赁、水电费、运行费总成本38.61万元；房屋征收工作经费33.62万元；支付人员、公用支出878.51万元；聘请律师费20.25万元；强腾工作经费5.23万元。</w:t>
            </w:r>
          </w:p>
        </w:tc>
        <w:tc>
          <w:tcPr>
            <w:tcW w:w="920" w:type="pct"/>
            <w:tcBorders>
              <w:top w:val="single" w:color="auto" w:sz="4" w:space="0"/>
              <w:left w:val="single" w:color="auto" w:sz="4" w:space="0"/>
              <w:bottom w:val="single" w:color="auto" w:sz="4" w:space="0"/>
              <w:right w:val="single" w:color="auto" w:sz="4" w:space="0"/>
            </w:tcBorders>
            <w:vAlign w:val="center"/>
          </w:tcPr>
          <w:p w14:paraId="1EC7884F">
            <w:pPr>
              <w:widowControl/>
              <w:jc w:val="left"/>
              <w:rPr>
                <w:rFonts w:ascii="仿宋_GB2312" w:hAnsi="仿宋" w:eastAsia="仿宋_GB2312" w:cs="Times New Roman"/>
                <w:sz w:val="32"/>
                <w:szCs w:val="32"/>
              </w:rPr>
            </w:pPr>
            <w:r>
              <w:rPr>
                <w:rFonts w:hint="eastAsia" w:ascii="仿宋_GB2312" w:hAnsi="仿宋" w:eastAsia="仿宋_GB2312" w:cs="Times New Roman"/>
                <w:sz w:val="32"/>
                <w:szCs w:val="32"/>
              </w:rPr>
              <w:t>万元</w:t>
            </w:r>
          </w:p>
        </w:tc>
        <w:tc>
          <w:tcPr>
            <w:tcW w:w="954" w:type="pct"/>
            <w:tcBorders>
              <w:top w:val="single" w:color="auto" w:sz="4" w:space="0"/>
              <w:left w:val="single" w:color="auto" w:sz="4" w:space="0"/>
              <w:bottom w:val="single" w:color="auto" w:sz="4" w:space="0"/>
              <w:right w:val="single" w:color="auto" w:sz="4" w:space="0"/>
            </w:tcBorders>
            <w:vAlign w:val="center"/>
          </w:tcPr>
          <w:p w14:paraId="7094DD00">
            <w:pPr>
              <w:widowControl/>
              <w:jc w:val="left"/>
              <w:rPr>
                <w:rFonts w:ascii="仿宋_GB2312" w:hAnsi="仿宋" w:eastAsia="仿宋_GB2312" w:cs="Times New Roman"/>
                <w:sz w:val="32"/>
                <w:szCs w:val="32"/>
              </w:rPr>
            </w:pPr>
            <w:r>
              <w:rPr>
                <w:rFonts w:hint="eastAsia" w:ascii="仿宋_GB2312" w:hAnsi="仿宋" w:eastAsia="仿宋_GB2312" w:cs="Times New Roman"/>
                <w:sz w:val="32"/>
                <w:szCs w:val="32"/>
              </w:rPr>
              <w:t>5</w:t>
            </w:r>
          </w:p>
        </w:tc>
      </w:tr>
      <w:tr w14:paraId="10577179">
        <w:tblPrEx>
          <w:tblCellMar>
            <w:top w:w="0" w:type="dxa"/>
            <w:left w:w="108" w:type="dxa"/>
            <w:bottom w:w="0" w:type="dxa"/>
            <w:right w:w="108" w:type="dxa"/>
          </w:tblCellMar>
        </w:tblPrEx>
        <w:trPr>
          <w:trHeight w:val="1021" w:hRule="atLeast"/>
        </w:trPr>
        <w:tc>
          <w:tcPr>
            <w:tcW w:w="208" w:type="pct"/>
            <w:tcBorders>
              <w:top w:val="nil"/>
              <w:left w:val="single" w:color="auto" w:sz="4" w:space="0"/>
              <w:bottom w:val="single" w:color="auto" w:sz="4" w:space="0"/>
              <w:right w:val="single" w:color="auto" w:sz="4" w:space="0"/>
            </w:tcBorders>
            <w:noWrap/>
            <w:vAlign w:val="center"/>
          </w:tcPr>
          <w:p w14:paraId="425A6E4B">
            <w:pPr>
              <w:rPr>
                <w:rFonts w:ascii="仿宋_GB2312" w:hAnsi="仿宋" w:eastAsia="仿宋_GB2312" w:cs="Times New Roman"/>
                <w:sz w:val="32"/>
                <w:szCs w:val="32"/>
              </w:rPr>
            </w:pPr>
            <w:r>
              <w:rPr>
                <w:rFonts w:hint="eastAsia" w:ascii="仿宋_GB2312" w:hAnsi="仿宋" w:eastAsia="仿宋_GB2312" w:cs="Times New Roman"/>
                <w:sz w:val="32"/>
                <w:szCs w:val="32"/>
              </w:rPr>
              <w:t>5</w:t>
            </w:r>
          </w:p>
        </w:tc>
        <w:tc>
          <w:tcPr>
            <w:tcW w:w="848" w:type="pct"/>
            <w:tcBorders>
              <w:top w:val="nil"/>
              <w:left w:val="nil"/>
              <w:bottom w:val="single" w:color="auto" w:sz="4" w:space="0"/>
              <w:right w:val="single" w:color="auto" w:sz="4" w:space="0"/>
            </w:tcBorders>
            <w:noWrap/>
            <w:vAlign w:val="center"/>
          </w:tcPr>
          <w:p w14:paraId="0A72A403">
            <w:pPr>
              <w:rPr>
                <w:rFonts w:ascii="仿宋_GB2312" w:hAnsi="仿宋" w:eastAsia="仿宋_GB2312" w:cs="Times New Roman"/>
                <w:sz w:val="32"/>
                <w:szCs w:val="32"/>
              </w:rPr>
            </w:pPr>
            <w:r>
              <w:rPr>
                <w:rFonts w:hint="eastAsia" w:ascii="仿宋_GB2312" w:hAnsi="仿宋" w:eastAsia="仿宋_GB2312" w:cs="Times New Roman"/>
                <w:sz w:val="32"/>
                <w:szCs w:val="32"/>
              </w:rPr>
              <w:t>社会效益指标</w:t>
            </w:r>
          </w:p>
        </w:tc>
        <w:tc>
          <w:tcPr>
            <w:tcW w:w="534" w:type="pct"/>
            <w:tcBorders>
              <w:top w:val="nil"/>
              <w:left w:val="nil"/>
              <w:bottom w:val="single" w:color="auto" w:sz="4" w:space="0"/>
              <w:right w:val="single" w:color="auto" w:sz="4" w:space="0"/>
            </w:tcBorders>
            <w:noWrap/>
            <w:vAlign w:val="center"/>
          </w:tcPr>
          <w:p w14:paraId="09DB4862">
            <w:pPr>
              <w:rPr>
                <w:rFonts w:ascii="仿宋_GB2312" w:hAnsi="仿宋" w:eastAsia="仿宋_GB2312" w:cs="Times New Roman"/>
                <w:sz w:val="32"/>
                <w:szCs w:val="32"/>
              </w:rPr>
            </w:pPr>
            <w:r>
              <w:rPr>
                <w:rFonts w:hint="eastAsia" w:ascii="仿宋_GB2312" w:hAnsi="仿宋" w:eastAsia="仿宋_GB2312" w:cs="Times New Roman"/>
                <w:sz w:val="32"/>
                <w:szCs w:val="32"/>
              </w:rPr>
              <w:t>定性</w:t>
            </w:r>
          </w:p>
        </w:tc>
        <w:tc>
          <w:tcPr>
            <w:tcW w:w="1534" w:type="pct"/>
            <w:tcBorders>
              <w:top w:val="nil"/>
              <w:left w:val="nil"/>
              <w:bottom w:val="single" w:color="auto" w:sz="4" w:space="0"/>
              <w:right w:val="single" w:color="auto" w:sz="4" w:space="0"/>
            </w:tcBorders>
            <w:noWrap/>
            <w:vAlign w:val="center"/>
          </w:tcPr>
          <w:p w14:paraId="1A546360">
            <w:pPr>
              <w:jc w:val="left"/>
              <w:rPr>
                <w:rFonts w:ascii="仿宋_GB2312" w:hAnsi="仿宋" w:eastAsia="仿宋_GB2312" w:cs="Times New Roman"/>
                <w:sz w:val="32"/>
                <w:szCs w:val="32"/>
              </w:rPr>
            </w:pPr>
            <w:r>
              <w:rPr>
                <w:rFonts w:hint="eastAsia" w:ascii="仿宋_GB2312" w:hAnsi="仿宋" w:eastAsia="仿宋_GB2312" w:cs="Times New Roman"/>
                <w:sz w:val="32"/>
                <w:szCs w:val="32"/>
              </w:rPr>
              <w:t>保障征收中心运转，保障被安置居民顺利上楼。</w:t>
            </w:r>
          </w:p>
        </w:tc>
        <w:tc>
          <w:tcPr>
            <w:tcW w:w="920" w:type="pct"/>
            <w:tcBorders>
              <w:top w:val="nil"/>
              <w:left w:val="nil"/>
              <w:bottom w:val="single" w:color="auto" w:sz="4" w:space="0"/>
              <w:right w:val="single" w:color="auto" w:sz="4" w:space="0"/>
            </w:tcBorders>
            <w:vAlign w:val="center"/>
          </w:tcPr>
          <w:p w14:paraId="664B9A1F">
            <w:pPr>
              <w:rPr>
                <w:rFonts w:ascii="仿宋_GB2312" w:hAnsi="仿宋" w:eastAsia="仿宋_GB2312" w:cs="Times New Roman"/>
                <w:sz w:val="32"/>
                <w:szCs w:val="32"/>
              </w:rPr>
            </w:pPr>
            <w:r>
              <w:rPr>
                <w:rFonts w:hint="eastAsia" w:ascii="仿宋_GB2312" w:hAnsi="仿宋" w:eastAsia="仿宋_GB2312" w:cs="Times New Roman"/>
                <w:sz w:val="32"/>
                <w:szCs w:val="32"/>
              </w:rPr>
              <w:t>优良中低差</w:t>
            </w:r>
          </w:p>
        </w:tc>
        <w:tc>
          <w:tcPr>
            <w:tcW w:w="954" w:type="pct"/>
            <w:tcBorders>
              <w:top w:val="nil"/>
              <w:left w:val="nil"/>
              <w:bottom w:val="single" w:color="auto" w:sz="4" w:space="0"/>
              <w:right w:val="single" w:color="auto" w:sz="4" w:space="0"/>
            </w:tcBorders>
            <w:vAlign w:val="center"/>
          </w:tcPr>
          <w:p w14:paraId="1D0A2DB6">
            <w:pPr>
              <w:rPr>
                <w:rFonts w:ascii="仿宋_GB2312" w:hAnsi="仿宋" w:eastAsia="仿宋_GB2312" w:cs="Times New Roman"/>
                <w:sz w:val="32"/>
                <w:szCs w:val="32"/>
              </w:rPr>
            </w:pPr>
            <w:r>
              <w:rPr>
                <w:rFonts w:hint="eastAsia" w:ascii="仿宋_GB2312" w:hAnsi="仿宋" w:eastAsia="仿宋_GB2312" w:cs="Times New Roman"/>
                <w:sz w:val="32"/>
                <w:szCs w:val="32"/>
              </w:rPr>
              <w:t>10</w:t>
            </w:r>
          </w:p>
        </w:tc>
      </w:tr>
      <w:tr w14:paraId="3F205333">
        <w:tblPrEx>
          <w:tblCellMar>
            <w:top w:w="0" w:type="dxa"/>
            <w:left w:w="108" w:type="dxa"/>
            <w:bottom w:w="0" w:type="dxa"/>
            <w:right w:w="108" w:type="dxa"/>
          </w:tblCellMar>
        </w:tblPrEx>
        <w:trPr>
          <w:trHeight w:val="1021" w:hRule="atLeast"/>
        </w:trPr>
        <w:tc>
          <w:tcPr>
            <w:tcW w:w="208" w:type="pct"/>
            <w:tcBorders>
              <w:top w:val="nil"/>
              <w:left w:val="single" w:color="auto" w:sz="4" w:space="0"/>
              <w:bottom w:val="single" w:color="auto" w:sz="4" w:space="0"/>
              <w:right w:val="single" w:color="auto" w:sz="4" w:space="0"/>
            </w:tcBorders>
            <w:noWrap/>
            <w:vAlign w:val="center"/>
          </w:tcPr>
          <w:p w14:paraId="0B5286C2">
            <w:pPr>
              <w:rPr>
                <w:rFonts w:ascii="仿宋_GB2312" w:hAnsi="仿宋" w:eastAsia="仿宋_GB2312" w:cs="Times New Roman"/>
                <w:sz w:val="32"/>
                <w:szCs w:val="32"/>
              </w:rPr>
            </w:pPr>
            <w:r>
              <w:rPr>
                <w:rFonts w:hint="eastAsia" w:ascii="仿宋_GB2312" w:hAnsi="仿宋" w:eastAsia="仿宋_GB2312" w:cs="Times New Roman"/>
                <w:sz w:val="32"/>
                <w:szCs w:val="32"/>
              </w:rPr>
              <w:t>6</w:t>
            </w:r>
          </w:p>
        </w:tc>
        <w:tc>
          <w:tcPr>
            <w:tcW w:w="848" w:type="pct"/>
            <w:tcBorders>
              <w:top w:val="nil"/>
              <w:left w:val="nil"/>
              <w:bottom w:val="single" w:color="auto" w:sz="4" w:space="0"/>
              <w:right w:val="single" w:color="auto" w:sz="4" w:space="0"/>
            </w:tcBorders>
            <w:noWrap/>
            <w:vAlign w:val="center"/>
          </w:tcPr>
          <w:p w14:paraId="6F1B975F">
            <w:pPr>
              <w:rPr>
                <w:rFonts w:ascii="仿宋_GB2312" w:hAnsi="仿宋" w:eastAsia="仿宋_GB2312" w:cs="Times New Roman"/>
                <w:sz w:val="32"/>
                <w:szCs w:val="32"/>
              </w:rPr>
            </w:pPr>
            <w:r>
              <w:rPr>
                <w:rFonts w:hint="eastAsia" w:ascii="仿宋_GB2312" w:hAnsi="仿宋" w:eastAsia="仿宋_GB2312" w:cs="Times New Roman"/>
                <w:sz w:val="32"/>
                <w:szCs w:val="32"/>
              </w:rPr>
              <w:t>可持续影响指标</w:t>
            </w:r>
          </w:p>
        </w:tc>
        <w:tc>
          <w:tcPr>
            <w:tcW w:w="534" w:type="pct"/>
            <w:tcBorders>
              <w:top w:val="nil"/>
              <w:left w:val="nil"/>
              <w:bottom w:val="single" w:color="auto" w:sz="4" w:space="0"/>
              <w:right w:val="single" w:color="auto" w:sz="4" w:space="0"/>
            </w:tcBorders>
            <w:noWrap/>
            <w:vAlign w:val="center"/>
          </w:tcPr>
          <w:p w14:paraId="6CBD9136">
            <w:pPr>
              <w:rPr>
                <w:rFonts w:ascii="仿宋_GB2312" w:hAnsi="仿宋" w:eastAsia="仿宋_GB2312" w:cs="Times New Roman"/>
                <w:sz w:val="32"/>
                <w:szCs w:val="32"/>
              </w:rPr>
            </w:pPr>
            <w:r>
              <w:rPr>
                <w:rFonts w:hint="eastAsia" w:ascii="仿宋_GB2312" w:hAnsi="仿宋" w:eastAsia="仿宋_GB2312" w:cs="Times New Roman"/>
                <w:sz w:val="32"/>
                <w:szCs w:val="32"/>
              </w:rPr>
              <w:t>=</w:t>
            </w:r>
          </w:p>
        </w:tc>
        <w:tc>
          <w:tcPr>
            <w:tcW w:w="1534" w:type="pct"/>
            <w:tcBorders>
              <w:top w:val="nil"/>
              <w:left w:val="nil"/>
              <w:bottom w:val="single" w:color="auto" w:sz="4" w:space="0"/>
              <w:right w:val="single" w:color="auto" w:sz="4" w:space="0"/>
            </w:tcBorders>
            <w:noWrap/>
            <w:vAlign w:val="center"/>
          </w:tcPr>
          <w:p w14:paraId="2E261E93">
            <w:pPr>
              <w:jc w:val="left"/>
              <w:rPr>
                <w:rFonts w:ascii="仿宋_GB2312" w:hAnsi="仿宋" w:eastAsia="仿宋_GB2312" w:cs="Times New Roman"/>
                <w:sz w:val="32"/>
                <w:szCs w:val="32"/>
              </w:rPr>
            </w:pPr>
            <w:r>
              <w:rPr>
                <w:rFonts w:hint="eastAsia" w:ascii="仿宋_GB2312" w:hAnsi="仿宋" w:eastAsia="仿宋_GB2312" w:cs="Times New Roman"/>
                <w:sz w:val="32"/>
                <w:szCs w:val="32"/>
              </w:rPr>
              <w:t>1年</w:t>
            </w:r>
          </w:p>
        </w:tc>
        <w:tc>
          <w:tcPr>
            <w:tcW w:w="920" w:type="pct"/>
            <w:tcBorders>
              <w:top w:val="nil"/>
              <w:left w:val="nil"/>
              <w:bottom w:val="single" w:color="auto" w:sz="4" w:space="0"/>
              <w:right w:val="single" w:color="auto" w:sz="4" w:space="0"/>
            </w:tcBorders>
            <w:vAlign w:val="center"/>
          </w:tcPr>
          <w:p w14:paraId="65B99F21">
            <w:pPr>
              <w:rPr>
                <w:rFonts w:ascii="仿宋_GB2312" w:hAnsi="仿宋" w:eastAsia="仿宋_GB2312" w:cs="Times New Roman"/>
                <w:sz w:val="32"/>
                <w:szCs w:val="32"/>
              </w:rPr>
            </w:pPr>
            <w:r>
              <w:rPr>
                <w:rFonts w:hint="eastAsia" w:ascii="仿宋_GB2312" w:hAnsi="仿宋" w:eastAsia="仿宋_GB2312" w:cs="Times New Roman"/>
                <w:sz w:val="32"/>
                <w:szCs w:val="32"/>
              </w:rPr>
              <w:t>年</w:t>
            </w:r>
          </w:p>
        </w:tc>
        <w:tc>
          <w:tcPr>
            <w:tcW w:w="954" w:type="pct"/>
            <w:tcBorders>
              <w:top w:val="nil"/>
              <w:left w:val="nil"/>
              <w:bottom w:val="single" w:color="auto" w:sz="4" w:space="0"/>
              <w:right w:val="single" w:color="auto" w:sz="4" w:space="0"/>
            </w:tcBorders>
            <w:vAlign w:val="center"/>
          </w:tcPr>
          <w:p w14:paraId="7EDA229C">
            <w:pPr>
              <w:rPr>
                <w:rFonts w:ascii="仿宋_GB2312" w:hAnsi="仿宋" w:eastAsia="仿宋_GB2312" w:cs="Times New Roman"/>
                <w:sz w:val="32"/>
                <w:szCs w:val="32"/>
              </w:rPr>
            </w:pPr>
            <w:r>
              <w:rPr>
                <w:rFonts w:hint="eastAsia" w:ascii="仿宋_GB2312" w:hAnsi="仿宋" w:eastAsia="仿宋_GB2312" w:cs="Times New Roman"/>
                <w:sz w:val="32"/>
                <w:szCs w:val="32"/>
              </w:rPr>
              <w:t>10</w:t>
            </w:r>
          </w:p>
        </w:tc>
      </w:tr>
      <w:tr w14:paraId="21C66131">
        <w:tblPrEx>
          <w:tblCellMar>
            <w:top w:w="0" w:type="dxa"/>
            <w:left w:w="108" w:type="dxa"/>
            <w:bottom w:w="0" w:type="dxa"/>
            <w:right w:w="108" w:type="dxa"/>
          </w:tblCellMar>
        </w:tblPrEx>
        <w:trPr>
          <w:trHeight w:val="1021" w:hRule="atLeast"/>
        </w:trPr>
        <w:tc>
          <w:tcPr>
            <w:tcW w:w="208" w:type="pct"/>
            <w:tcBorders>
              <w:top w:val="nil"/>
              <w:left w:val="single" w:color="auto" w:sz="4" w:space="0"/>
              <w:bottom w:val="single" w:color="auto" w:sz="4" w:space="0"/>
              <w:right w:val="single" w:color="auto" w:sz="4" w:space="0"/>
            </w:tcBorders>
            <w:noWrap/>
            <w:vAlign w:val="center"/>
          </w:tcPr>
          <w:p w14:paraId="625FAEA0">
            <w:pPr>
              <w:rPr>
                <w:rFonts w:ascii="仿宋_GB2312" w:hAnsi="仿宋" w:eastAsia="仿宋_GB2312" w:cs="Times New Roman"/>
                <w:sz w:val="32"/>
                <w:szCs w:val="32"/>
              </w:rPr>
            </w:pPr>
            <w:r>
              <w:rPr>
                <w:rFonts w:hint="eastAsia" w:ascii="仿宋_GB2312" w:hAnsi="仿宋" w:eastAsia="仿宋_GB2312" w:cs="Times New Roman"/>
                <w:sz w:val="32"/>
                <w:szCs w:val="32"/>
              </w:rPr>
              <w:t>7</w:t>
            </w:r>
          </w:p>
        </w:tc>
        <w:tc>
          <w:tcPr>
            <w:tcW w:w="848" w:type="pct"/>
            <w:tcBorders>
              <w:top w:val="nil"/>
              <w:left w:val="nil"/>
              <w:bottom w:val="single" w:color="auto" w:sz="4" w:space="0"/>
              <w:right w:val="single" w:color="auto" w:sz="4" w:space="0"/>
            </w:tcBorders>
            <w:noWrap/>
            <w:vAlign w:val="center"/>
          </w:tcPr>
          <w:p w14:paraId="18A5BA19">
            <w:pPr>
              <w:rPr>
                <w:rFonts w:ascii="仿宋_GB2312" w:hAnsi="仿宋" w:eastAsia="仿宋_GB2312" w:cs="Times New Roman"/>
                <w:sz w:val="32"/>
                <w:szCs w:val="32"/>
              </w:rPr>
            </w:pPr>
            <w:r>
              <w:rPr>
                <w:rFonts w:hint="eastAsia" w:ascii="仿宋_GB2312" w:hAnsi="仿宋" w:eastAsia="仿宋_GB2312" w:cs="Times New Roman"/>
                <w:sz w:val="32"/>
                <w:szCs w:val="32"/>
              </w:rPr>
              <w:t>服务对象满意度指标</w:t>
            </w:r>
          </w:p>
        </w:tc>
        <w:tc>
          <w:tcPr>
            <w:tcW w:w="534" w:type="pct"/>
            <w:tcBorders>
              <w:top w:val="nil"/>
              <w:left w:val="nil"/>
              <w:bottom w:val="single" w:color="auto" w:sz="4" w:space="0"/>
              <w:right w:val="single" w:color="auto" w:sz="4" w:space="0"/>
            </w:tcBorders>
            <w:noWrap/>
            <w:vAlign w:val="center"/>
          </w:tcPr>
          <w:p w14:paraId="2908FC25">
            <w:pPr>
              <w:rPr>
                <w:rFonts w:ascii="仿宋_GB2312" w:hAnsi="仿宋" w:eastAsia="仿宋_GB2312" w:cs="Times New Roman"/>
                <w:sz w:val="32"/>
                <w:szCs w:val="32"/>
              </w:rPr>
            </w:pPr>
            <w:r>
              <w:rPr>
                <w:rFonts w:hint="eastAsia" w:ascii="仿宋_GB2312" w:hAnsi="仿宋" w:eastAsia="仿宋_GB2312" w:cs="Times New Roman"/>
                <w:sz w:val="32"/>
                <w:szCs w:val="32"/>
              </w:rPr>
              <w:t>=</w:t>
            </w:r>
          </w:p>
        </w:tc>
        <w:tc>
          <w:tcPr>
            <w:tcW w:w="1534" w:type="pct"/>
            <w:tcBorders>
              <w:top w:val="nil"/>
              <w:left w:val="nil"/>
              <w:bottom w:val="single" w:color="auto" w:sz="4" w:space="0"/>
              <w:right w:val="single" w:color="auto" w:sz="4" w:space="0"/>
            </w:tcBorders>
            <w:noWrap/>
            <w:vAlign w:val="center"/>
          </w:tcPr>
          <w:p w14:paraId="3513BF96">
            <w:pPr>
              <w:jc w:val="left"/>
              <w:rPr>
                <w:rFonts w:ascii="仿宋_GB2312" w:hAnsi="仿宋" w:eastAsia="仿宋_GB2312" w:cs="Times New Roman"/>
                <w:sz w:val="32"/>
                <w:szCs w:val="32"/>
              </w:rPr>
            </w:pPr>
            <w:r>
              <w:rPr>
                <w:rFonts w:hint="eastAsia" w:ascii="仿宋_GB2312" w:hAnsi="仿宋" w:eastAsia="仿宋_GB2312" w:cs="Times New Roman"/>
                <w:sz w:val="32"/>
                <w:szCs w:val="32"/>
              </w:rPr>
              <w:t>服务对象满意度达到95%</w:t>
            </w:r>
          </w:p>
        </w:tc>
        <w:tc>
          <w:tcPr>
            <w:tcW w:w="920" w:type="pct"/>
            <w:tcBorders>
              <w:top w:val="nil"/>
              <w:left w:val="nil"/>
              <w:bottom w:val="single" w:color="auto" w:sz="4" w:space="0"/>
              <w:right w:val="single" w:color="auto" w:sz="4" w:space="0"/>
            </w:tcBorders>
            <w:vAlign w:val="center"/>
          </w:tcPr>
          <w:p w14:paraId="7FBF02DF">
            <w:pPr>
              <w:rPr>
                <w:rFonts w:ascii="仿宋_GB2312" w:hAnsi="仿宋" w:eastAsia="仿宋_GB2312" w:cs="Times New Roman"/>
                <w:sz w:val="32"/>
                <w:szCs w:val="32"/>
              </w:rPr>
            </w:pPr>
            <w:r>
              <w:rPr>
                <w:rFonts w:hint="eastAsia" w:ascii="仿宋_GB2312" w:hAnsi="仿宋" w:eastAsia="仿宋_GB2312" w:cs="Times New Roman"/>
                <w:sz w:val="32"/>
                <w:szCs w:val="32"/>
              </w:rPr>
              <w:t>%</w:t>
            </w:r>
          </w:p>
        </w:tc>
        <w:tc>
          <w:tcPr>
            <w:tcW w:w="954" w:type="pct"/>
            <w:tcBorders>
              <w:top w:val="nil"/>
              <w:left w:val="nil"/>
              <w:bottom w:val="single" w:color="auto" w:sz="4" w:space="0"/>
              <w:right w:val="single" w:color="auto" w:sz="4" w:space="0"/>
            </w:tcBorders>
            <w:vAlign w:val="center"/>
          </w:tcPr>
          <w:p w14:paraId="62CD25F8">
            <w:pPr>
              <w:rPr>
                <w:rFonts w:ascii="仿宋_GB2312" w:hAnsi="仿宋" w:eastAsia="仿宋_GB2312" w:cs="Times New Roman"/>
                <w:sz w:val="32"/>
                <w:szCs w:val="32"/>
              </w:rPr>
            </w:pPr>
            <w:r>
              <w:rPr>
                <w:rFonts w:hint="eastAsia" w:ascii="仿宋_GB2312" w:hAnsi="仿宋" w:eastAsia="仿宋_GB2312" w:cs="Times New Roman"/>
                <w:sz w:val="32"/>
                <w:szCs w:val="32"/>
              </w:rPr>
              <w:t>10</w:t>
            </w:r>
          </w:p>
        </w:tc>
      </w:tr>
    </w:tbl>
    <w:p w14:paraId="6170CC12">
      <w:pPr>
        <w:spacing w:line="580" w:lineRule="exact"/>
        <w:ind w:firstLine="641"/>
        <w:rPr>
          <w:rFonts w:hint="eastAsia" w:ascii="楷体_GB2312" w:hAnsi="Calibri" w:eastAsia="楷体_GB2312"/>
          <w:b/>
          <w:sz w:val="32"/>
          <w:szCs w:val="32"/>
        </w:rPr>
      </w:pPr>
      <w:bookmarkStart w:id="3" w:name="_Toc268005761"/>
      <w:r>
        <w:rPr>
          <w:rFonts w:hint="eastAsia" w:ascii="楷体_GB2312" w:eastAsia="楷体_GB2312"/>
          <w:b/>
          <w:sz w:val="32"/>
          <w:szCs w:val="32"/>
        </w:rPr>
        <w:t>(二)当年预算执行情况</w:t>
      </w:r>
      <w:bookmarkEnd w:id="3"/>
      <w:r>
        <w:rPr>
          <w:rFonts w:hint="eastAsia" w:ascii="仿宋_GB2312" w:eastAsia="仿宋_GB2312"/>
          <w:sz w:val="32"/>
          <w:szCs w:val="32"/>
        </w:rPr>
        <w:t xml:space="preserve">  </w:t>
      </w:r>
    </w:p>
    <w:p w14:paraId="17740CF0">
      <w:pPr>
        <w:spacing w:line="580" w:lineRule="exact"/>
        <w:ind w:firstLine="641"/>
        <w:rPr>
          <w:rFonts w:hint="eastAsia" w:ascii="仿宋_GB2312" w:eastAsia="仿宋_GB2312"/>
          <w:sz w:val="32"/>
          <w:szCs w:val="32"/>
        </w:rPr>
      </w:pPr>
      <w:r>
        <w:rPr>
          <w:rFonts w:hint="eastAsia" w:ascii="仿宋_GB2312" w:eastAsia="仿宋_GB2312"/>
          <w:sz w:val="32"/>
          <w:szCs w:val="32"/>
        </w:rPr>
        <w:t>2025年全年预算数8,954,166.27元，其中，基本支出预算数8,546,766.20元，项目支出预算数407,400.07元。全年支出8,954,166.27元，其中，基本支出8,546,766.20元，项目支出407,400.07元。预算执行率为</w:t>
      </w:r>
      <w:r>
        <w:rPr>
          <w:rFonts w:hint="eastAsia" w:ascii="仿宋_GB2312" w:eastAsia="仿宋_GB2312"/>
          <w:sz w:val="32"/>
          <w:szCs w:val="32"/>
          <w:lang w:val="en-US" w:eastAsia="zh-CN"/>
        </w:rPr>
        <w:t>100</w:t>
      </w:r>
      <w:r>
        <w:rPr>
          <w:rFonts w:hint="eastAsia" w:ascii="仿宋_GB2312" w:eastAsia="仿宋_GB2312"/>
          <w:sz w:val="32"/>
          <w:szCs w:val="32"/>
        </w:rPr>
        <w:t>%。</w:t>
      </w:r>
    </w:p>
    <w:p w14:paraId="7953820A">
      <w:pPr>
        <w:spacing w:line="580" w:lineRule="exact"/>
        <w:ind w:firstLine="641"/>
        <w:rPr>
          <w:rFonts w:hint="eastAsia" w:ascii="仿宋_GB2312" w:eastAsia="仿宋_GB2312"/>
          <w:sz w:val="32"/>
          <w:szCs w:val="32"/>
        </w:rPr>
      </w:pPr>
      <w:r>
        <w:rPr>
          <w:rFonts w:hint="eastAsia" w:ascii="仿宋_GB2312" w:eastAsia="仿宋_GB2312"/>
          <w:sz w:val="32"/>
          <w:szCs w:val="32"/>
        </w:rPr>
        <w:t>2025年年末结转结余资金总额为</w:t>
      </w:r>
      <w:r>
        <w:rPr>
          <w:rFonts w:hint="eastAsia" w:ascii="仿宋_GB2312" w:eastAsia="仿宋_GB2312"/>
          <w:sz w:val="32"/>
          <w:szCs w:val="32"/>
          <w:lang w:val="en-US" w:eastAsia="zh-CN"/>
        </w:rPr>
        <w:t>0.00</w:t>
      </w:r>
      <w:r>
        <w:rPr>
          <w:rFonts w:hint="eastAsia" w:ascii="仿宋_GB2312" w:eastAsia="仿宋_GB2312"/>
          <w:sz w:val="32"/>
          <w:szCs w:val="32"/>
        </w:rPr>
        <w:t>元，全年支出预算数为8,954,166.27元，资金结转结余率为</w:t>
      </w:r>
      <w:r>
        <w:rPr>
          <w:rFonts w:hint="eastAsia" w:ascii="仿宋_GB2312" w:eastAsia="仿宋_GB2312"/>
          <w:sz w:val="32"/>
          <w:szCs w:val="32"/>
          <w:lang w:val="en-US" w:eastAsia="zh-CN"/>
        </w:rPr>
        <w:t>0.00</w:t>
      </w:r>
      <w:r>
        <w:rPr>
          <w:rFonts w:hint="eastAsia" w:ascii="仿宋_GB2312" w:eastAsia="仿宋_GB2312"/>
          <w:sz w:val="32"/>
          <w:szCs w:val="32"/>
        </w:rPr>
        <w:t>%；2024年年末结转结余资金总额为</w:t>
      </w:r>
      <w:r>
        <w:rPr>
          <w:rFonts w:hint="eastAsia" w:ascii="仿宋_GB2312" w:eastAsia="仿宋_GB2312"/>
          <w:sz w:val="32"/>
          <w:szCs w:val="32"/>
          <w:lang w:val="en-US" w:eastAsia="zh-CN"/>
        </w:rPr>
        <w:t>0.00</w:t>
      </w:r>
      <w:r>
        <w:rPr>
          <w:rFonts w:hint="eastAsia" w:ascii="仿宋_GB2312" w:eastAsia="仿宋_GB2312"/>
          <w:sz w:val="32"/>
          <w:szCs w:val="32"/>
        </w:rPr>
        <w:t>元，全年支出预算数为9,117,500.83元，资金结转结余率为</w:t>
      </w:r>
      <w:r>
        <w:rPr>
          <w:rFonts w:hint="eastAsia" w:ascii="仿宋_GB2312" w:eastAsia="仿宋_GB2312"/>
          <w:sz w:val="32"/>
          <w:szCs w:val="32"/>
          <w:lang w:val="en-US" w:eastAsia="zh-CN"/>
        </w:rPr>
        <w:t>0.00</w:t>
      </w:r>
      <w:r>
        <w:rPr>
          <w:rFonts w:hint="eastAsia" w:ascii="仿宋_GB2312" w:eastAsia="仿宋_GB2312"/>
          <w:sz w:val="32"/>
          <w:szCs w:val="32"/>
        </w:rPr>
        <w:t>%；2025年度部门结转结余率较上一年</w:t>
      </w:r>
      <w:r>
        <w:rPr>
          <w:rFonts w:hint="eastAsia" w:ascii="仿宋_GB2312" w:eastAsia="仿宋_GB2312"/>
          <w:sz w:val="32"/>
          <w:szCs w:val="32"/>
          <w:lang w:eastAsia="zh-CN"/>
        </w:rPr>
        <w:t>无变化</w:t>
      </w:r>
      <w:r>
        <w:rPr>
          <w:rFonts w:hint="eastAsia" w:ascii="仿宋_GB2312" w:eastAsia="仿宋_GB2312"/>
          <w:sz w:val="32"/>
          <w:szCs w:val="32"/>
        </w:rPr>
        <w:t>。</w:t>
      </w:r>
    </w:p>
    <w:p w14:paraId="7ED25B6E">
      <w:pPr>
        <w:spacing w:line="580" w:lineRule="exact"/>
        <w:ind w:firstLine="641"/>
        <w:rPr>
          <w:rFonts w:hint="eastAsia" w:ascii="楷体_GB2312" w:eastAsia="楷体_GB2312"/>
          <w:b/>
          <w:sz w:val="32"/>
          <w:szCs w:val="32"/>
        </w:rPr>
      </w:pPr>
      <w:r>
        <w:rPr>
          <w:rFonts w:hint="eastAsia" w:ascii="楷体_GB2312" w:eastAsia="楷体_GB2312"/>
          <w:b/>
          <w:sz w:val="32"/>
          <w:szCs w:val="32"/>
        </w:rPr>
        <w:t>（三）整体绩效目标实现情况</w:t>
      </w:r>
    </w:p>
    <w:p w14:paraId="6066565E">
      <w:pPr>
        <w:spacing w:line="580" w:lineRule="exact"/>
        <w:ind w:firstLine="641"/>
        <w:rPr>
          <w:rFonts w:hint="eastAsia" w:ascii="仿宋_GB2312" w:eastAsia="仿宋_GB2312"/>
          <w:sz w:val="32"/>
          <w:szCs w:val="32"/>
        </w:rPr>
      </w:pPr>
      <w:r>
        <w:rPr>
          <w:rFonts w:hint="eastAsia" w:ascii="仿宋_GB2312" w:eastAsia="仿宋_GB2312"/>
          <w:sz w:val="32"/>
          <w:szCs w:val="32"/>
        </w:rPr>
        <w:t>1.产出完成情况分析</w:t>
      </w:r>
    </w:p>
    <w:p w14:paraId="38FD6D97">
      <w:pPr>
        <w:spacing w:line="580" w:lineRule="exact"/>
        <w:ind w:firstLine="641"/>
        <w:rPr>
          <w:rFonts w:hint="eastAsia" w:ascii="仿宋_GB2312" w:eastAsia="仿宋_GB2312"/>
          <w:sz w:val="32"/>
          <w:szCs w:val="32"/>
        </w:rPr>
      </w:pPr>
      <w:r>
        <w:rPr>
          <w:rFonts w:hint="eastAsia" w:ascii="仿宋_GB2312" w:eastAsia="仿宋_GB2312"/>
          <w:sz w:val="32"/>
          <w:szCs w:val="32"/>
        </w:rPr>
        <w:t>（1）产出数量</w:t>
      </w:r>
    </w:p>
    <w:tbl>
      <w:tblPr>
        <w:tblStyle w:val="10"/>
        <w:tblW w:w="9200" w:type="dxa"/>
        <w:tblInd w:w="108" w:type="dxa"/>
        <w:tblLayout w:type="autofit"/>
        <w:tblCellMar>
          <w:top w:w="0" w:type="dxa"/>
          <w:left w:w="108" w:type="dxa"/>
          <w:bottom w:w="0" w:type="dxa"/>
          <w:right w:w="108" w:type="dxa"/>
        </w:tblCellMar>
      </w:tblPr>
      <w:tblGrid>
        <w:gridCol w:w="799"/>
        <w:gridCol w:w="2881"/>
        <w:gridCol w:w="1325"/>
        <w:gridCol w:w="1378"/>
        <w:gridCol w:w="2817"/>
      </w:tblGrid>
      <w:tr w14:paraId="1C91D1B3">
        <w:tblPrEx>
          <w:tblCellMar>
            <w:top w:w="0" w:type="dxa"/>
            <w:left w:w="108" w:type="dxa"/>
            <w:bottom w:w="0" w:type="dxa"/>
            <w:right w:w="108" w:type="dxa"/>
          </w:tblCellMar>
        </w:tblPrEx>
        <w:trPr>
          <w:trHeight w:val="510" w:hRule="atLeast"/>
        </w:trPr>
        <w:tc>
          <w:tcPr>
            <w:tcW w:w="799" w:type="dxa"/>
            <w:tcBorders>
              <w:top w:val="single" w:color="auto" w:sz="4" w:space="0"/>
              <w:left w:val="single" w:color="auto" w:sz="4" w:space="0"/>
              <w:bottom w:val="single" w:color="auto" w:sz="4" w:space="0"/>
              <w:right w:val="single" w:color="auto" w:sz="4" w:space="0"/>
            </w:tcBorders>
            <w:vAlign w:val="center"/>
          </w:tcPr>
          <w:p w14:paraId="3753E2A2">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序号</w:t>
            </w:r>
          </w:p>
        </w:tc>
        <w:tc>
          <w:tcPr>
            <w:tcW w:w="2881" w:type="dxa"/>
            <w:tcBorders>
              <w:top w:val="single" w:color="auto" w:sz="4" w:space="0"/>
              <w:left w:val="nil"/>
              <w:bottom w:val="single" w:color="auto" w:sz="4" w:space="0"/>
              <w:right w:val="single" w:color="auto" w:sz="4" w:space="0"/>
            </w:tcBorders>
            <w:vAlign w:val="center"/>
          </w:tcPr>
          <w:p w14:paraId="4FE0373B">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三级指标</w:t>
            </w:r>
          </w:p>
        </w:tc>
        <w:tc>
          <w:tcPr>
            <w:tcW w:w="1325" w:type="dxa"/>
            <w:tcBorders>
              <w:top w:val="single" w:color="auto" w:sz="4" w:space="0"/>
              <w:left w:val="nil"/>
              <w:bottom w:val="single" w:color="auto" w:sz="4" w:space="0"/>
              <w:right w:val="single" w:color="auto" w:sz="4" w:space="0"/>
            </w:tcBorders>
            <w:vAlign w:val="center"/>
          </w:tcPr>
          <w:p w14:paraId="50A52AB4">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计划值</w:t>
            </w:r>
          </w:p>
        </w:tc>
        <w:tc>
          <w:tcPr>
            <w:tcW w:w="1378" w:type="dxa"/>
            <w:tcBorders>
              <w:top w:val="single" w:color="auto" w:sz="4" w:space="0"/>
              <w:left w:val="nil"/>
              <w:bottom w:val="single" w:color="auto" w:sz="4" w:space="0"/>
              <w:right w:val="single" w:color="auto" w:sz="4" w:space="0"/>
            </w:tcBorders>
            <w:vAlign w:val="center"/>
          </w:tcPr>
          <w:p w14:paraId="06DAD759">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完成值</w:t>
            </w:r>
          </w:p>
        </w:tc>
        <w:tc>
          <w:tcPr>
            <w:tcW w:w="2817" w:type="dxa"/>
            <w:tcBorders>
              <w:top w:val="single" w:color="auto" w:sz="4" w:space="0"/>
              <w:left w:val="nil"/>
              <w:bottom w:val="single" w:color="auto" w:sz="4" w:space="0"/>
              <w:right w:val="single" w:color="auto" w:sz="4" w:space="0"/>
            </w:tcBorders>
            <w:vAlign w:val="center"/>
          </w:tcPr>
          <w:p w14:paraId="1F968091">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偏差原因</w:t>
            </w:r>
          </w:p>
        </w:tc>
      </w:tr>
      <w:tr w14:paraId="77125E3D">
        <w:tblPrEx>
          <w:tblCellMar>
            <w:top w:w="0" w:type="dxa"/>
            <w:left w:w="108" w:type="dxa"/>
            <w:bottom w:w="0" w:type="dxa"/>
            <w:right w:w="108" w:type="dxa"/>
          </w:tblCellMar>
        </w:tblPrEx>
        <w:trPr>
          <w:trHeight w:val="4085" w:hRule="atLeast"/>
        </w:trPr>
        <w:tc>
          <w:tcPr>
            <w:tcW w:w="799" w:type="dxa"/>
            <w:tcBorders>
              <w:top w:val="nil"/>
              <w:left w:val="single" w:color="auto" w:sz="4" w:space="0"/>
              <w:bottom w:val="single" w:color="auto" w:sz="4" w:space="0"/>
              <w:right w:val="single" w:color="auto" w:sz="4" w:space="0"/>
            </w:tcBorders>
            <w:vAlign w:val="center"/>
          </w:tcPr>
          <w:p w14:paraId="149D2500">
            <w:pPr>
              <w:widowControl/>
              <w:spacing w:line="520" w:lineRule="exact"/>
              <w:jc w:val="center"/>
              <w:rPr>
                <w:rFonts w:ascii="仿宋_GB2312" w:hAnsi="宋体" w:eastAsia="仿宋_GB2312" w:cs="宋体"/>
                <w:color w:val="000000"/>
                <w:kern w:val="0"/>
                <w:sz w:val="28"/>
                <w:szCs w:val="28"/>
              </w:rPr>
            </w:pPr>
            <w:r>
              <w:rPr>
                <w:rFonts w:ascii="仿宋_GB2312" w:hAnsi="宋体" w:eastAsia="仿宋_GB2312" w:cs="宋体"/>
                <w:color w:val="000000"/>
                <w:kern w:val="0"/>
                <w:sz w:val="28"/>
                <w:szCs w:val="28"/>
              </w:rPr>
              <w:t>1</w:t>
            </w:r>
          </w:p>
        </w:tc>
        <w:tc>
          <w:tcPr>
            <w:tcW w:w="2881" w:type="dxa"/>
            <w:tcBorders>
              <w:top w:val="nil"/>
              <w:left w:val="nil"/>
              <w:bottom w:val="single" w:color="auto" w:sz="4" w:space="0"/>
              <w:right w:val="single" w:color="auto" w:sz="4" w:space="0"/>
            </w:tcBorders>
            <w:vAlign w:val="center"/>
          </w:tcPr>
          <w:p w14:paraId="20A693D3">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民事、行政诉讼案件</w:t>
            </w:r>
          </w:p>
        </w:tc>
        <w:tc>
          <w:tcPr>
            <w:tcW w:w="1325" w:type="dxa"/>
            <w:tcBorders>
              <w:top w:val="nil"/>
              <w:left w:val="nil"/>
              <w:bottom w:val="single" w:color="auto" w:sz="4" w:space="0"/>
              <w:right w:val="single" w:color="auto" w:sz="4" w:space="0"/>
            </w:tcBorders>
            <w:vAlign w:val="center"/>
          </w:tcPr>
          <w:p w14:paraId="0664FE04">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35件</w:t>
            </w:r>
          </w:p>
        </w:tc>
        <w:tc>
          <w:tcPr>
            <w:tcW w:w="1378" w:type="dxa"/>
            <w:tcBorders>
              <w:top w:val="nil"/>
              <w:left w:val="nil"/>
              <w:bottom w:val="single" w:color="auto" w:sz="4" w:space="0"/>
              <w:right w:val="single" w:color="auto" w:sz="4" w:space="0"/>
            </w:tcBorders>
            <w:vAlign w:val="center"/>
          </w:tcPr>
          <w:p w14:paraId="5D764A31">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lang w:val="en-US" w:eastAsia="zh-CN"/>
              </w:rPr>
              <w:t>37</w:t>
            </w:r>
            <w:r>
              <w:rPr>
                <w:rFonts w:hint="eastAsia" w:ascii="仿宋_GB2312" w:hAnsi="宋体" w:eastAsia="仿宋_GB2312" w:cs="宋体"/>
                <w:color w:val="000000"/>
                <w:kern w:val="0"/>
                <w:sz w:val="28"/>
                <w:szCs w:val="28"/>
              </w:rPr>
              <w:t>件</w:t>
            </w:r>
          </w:p>
        </w:tc>
        <w:tc>
          <w:tcPr>
            <w:tcW w:w="2817" w:type="dxa"/>
            <w:tcBorders>
              <w:top w:val="nil"/>
              <w:left w:val="nil"/>
              <w:bottom w:val="single" w:color="auto" w:sz="4" w:space="0"/>
              <w:right w:val="single" w:color="auto" w:sz="4" w:space="0"/>
            </w:tcBorders>
            <w:vAlign w:val="center"/>
          </w:tcPr>
          <w:p w14:paraId="154B2C50">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诉讼存在不能预见性，无法准确预知年度诉讼数量</w:t>
            </w:r>
          </w:p>
        </w:tc>
      </w:tr>
      <w:tr w14:paraId="23026B5F">
        <w:tblPrEx>
          <w:tblCellMar>
            <w:top w:w="0" w:type="dxa"/>
            <w:left w:w="108" w:type="dxa"/>
            <w:bottom w:w="0" w:type="dxa"/>
            <w:right w:w="108" w:type="dxa"/>
          </w:tblCellMar>
        </w:tblPrEx>
        <w:trPr>
          <w:trHeight w:val="510" w:hRule="atLeast"/>
        </w:trPr>
        <w:tc>
          <w:tcPr>
            <w:tcW w:w="799" w:type="dxa"/>
            <w:tcBorders>
              <w:top w:val="single" w:color="auto" w:sz="4" w:space="0"/>
              <w:left w:val="single" w:color="auto" w:sz="4" w:space="0"/>
              <w:bottom w:val="single" w:color="auto" w:sz="4" w:space="0"/>
              <w:right w:val="single" w:color="auto" w:sz="4" w:space="0"/>
            </w:tcBorders>
            <w:vAlign w:val="center"/>
          </w:tcPr>
          <w:p w14:paraId="4D32A5A2">
            <w:pPr>
              <w:widowControl/>
              <w:spacing w:line="520" w:lineRule="exact"/>
              <w:jc w:val="center"/>
              <w:rPr>
                <w:rFonts w:ascii="仿宋_GB2312" w:hAnsi="宋体" w:eastAsia="仿宋_GB2312" w:cs="宋体"/>
                <w:color w:val="000000"/>
                <w:kern w:val="0"/>
                <w:sz w:val="28"/>
                <w:szCs w:val="28"/>
              </w:rPr>
            </w:pPr>
            <w:r>
              <w:rPr>
                <w:rFonts w:ascii="仿宋_GB2312" w:hAnsi="宋体" w:eastAsia="仿宋_GB2312" w:cs="宋体"/>
                <w:color w:val="000000"/>
                <w:kern w:val="0"/>
                <w:sz w:val="28"/>
                <w:szCs w:val="28"/>
              </w:rPr>
              <w:t>2</w:t>
            </w:r>
          </w:p>
        </w:tc>
        <w:tc>
          <w:tcPr>
            <w:tcW w:w="2881" w:type="dxa"/>
            <w:tcBorders>
              <w:top w:val="single" w:color="auto" w:sz="4" w:space="0"/>
              <w:left w:val="nil"/>
              <w:bottom w:val="single" w:color="auto" w:sz="4" w:space="0"/>
              <w:right w:val="single" w:color="auto" w:sz="4" w:space="0"/>
            </w:tcBorders>
            <w:vAlign w:val="center"/>
          </w:tcPr>
          <w:p w14:paraId="06F2EB13">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滞留户搬家费</w:t>
            </w:r>
          </w:p>
        </w:tc>
        <w:tc>
          <w:tcPr>
            <w:tcW w:w="1325" w:type="dxa"/>
            <w:tcBorders>
              <w:top w:val="single" w:color="auto" w:sz="4" w:space="0"/>
              <w:left w:val="nil"/>
              <w:bottom w:val="single" w:color="auto" w:sz="4" w:space="0"/>
              <w:right w:val="single" w:color="auto" w:sz="4" w:space="0"/>
            </w:tcBorders>
            <w:vAlign w:val="center"/>
          </w:tcPr>
          <w:p w14:paraId="2C7C8FDA">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lang w:val="en-US" w:eastAsia="zh-CN"/>
              </w:rPr>
              <w:t>2</w:t>
            </w:r>
            <w:r>
              <w:rPr>
                <w:rFonts w:hint="eastAsia" w:ascii="仿宋_GB2312" w:hAnsi="宋体" w:eastAsia="仿宋_GB2312" w:cs="宋体"/>
                <w:color w:val="000000"/>
                <w:kern w:val="0"/>
                <w:sz w:val="28"/>
                <w:szCs w:val="28"/>
              </w:rPr>
              <w:t>户</w:t>
            </w:r>
          </w:p>
        </w:tc>
        <w:tc>
          <w:tcPr>
            <w:tcW w:w="1378" w:type="dxa"/>
            <w:tcBorders>
              <w:top w:val="single" w:color="auto" w:sz="4" w:space="0"/>
              <w:left w:val="nil"/>
              <w:bottom w:val="single" w:color="auto" w:sz="4" w:space="0"/>
              <w:right w:val="single" w:color="auto" w:sz="4" w:space="0"/>
            </w:tcBorders>
            <w:vAlign w:val="center"/>
          </w:tcPr>
          <w:p w14:paraId="5D2730B1">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lang w:val="en-US" w:eastAsia="zh-CN"/>
              </w:rPr>
              <w:t>0</w:t>
            </w:r>
            <w:r>
              <w:rPr>
                <w:rFonts w:hint="eastAsia" w:ascii="仿宋_GB2312" w:hAnsi="宋体" w:eastAsia="仿宋_GB2312" w:cs="宋体"/>
                <w:color w:val="000000"/>
                <w:kern w:val="0"/>
                <w:sz w:val="28"/>
                <w:szCs w:val="28"/>
              </w:rPr>
              <w:t>户</w:t>
            </w:r>
          </w:p>
        </w:tc>
        <w:tc>
          <w:tcPr>
            <w:tcW w:w="2817" w:type="dxa"/>
            <w:vMerge w:val="restart"/>
            <w:tcBorders>
              <w:top w:val="single" w:color="auto" w:sz="4" w:space="0"/>
              <w:left w:val="nil"/>
              <w:right w:val="single" w:color="auto" w:sz="4" w:space="0"/>
            </w:tcBorders>
            <w:vAlign w:val="center"/>
          </w:tcPr>
          <w:p w14:paraId="5E9D583B">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需要根据区政府统一安排，未开展强制执行工作。</w:t>
            </w:r>
          </w:p>
        </w:tc>
      </w:tr>
      <w:tr w14:paraId="542172F2">
        <w:tblPrEx>
          <w:tblCellMar>
            <w:top w:w="0" w:type="dxa"/>
            <w:left w:w="108" w:type="dxa"/>
            <w:bottom w:w="0" w:type="dxa"/>
            <w:right w:w="108" w:type="dxa"/>
          </w:tblCellMar>
        </w:tblPrEx>
        <w:trPr>
          <w:trHeight w:val="510" w:hRule="atLeast"/>
        </w:trPr>
        <w:tc>
          <w:tcPr>
            <w:tcW w:w="799" w:type="dxa"/>
            <w:tcBorders>
              <w:top w:val="single" w:color="auto" w:sz="4" w:space="0"/>
              <w:left w:val="single" w:color="auto" w:sz="4" w:space="0"/>
              <w:bottom w:val="single" w:color="auto" w:sz="4" w:space="0"/>
              <w:right w:val="single" w:color="auto" w:sz="4" w:space="0"/>
            </w:tcBorders>
            <w:vAlign w:val="center"/>
          </w:tcPr>
          <w:p w14:paraId="624D3F15">
            <w:pPr>
              <w:widowControl/>
              <w:spacing w:line="520" w:lineRule="exact"/>
              <w:jc w:val="center"/>
              <w:rPr>
                <w:rFonts w:ascii="仿宋_GB2312" w:hAnsi="宋体" w:eastAsia="仿宋_GB2312" w:cs="宋体"/>
                <w:color w:val="000000"/>
                <w:kern w:val="0"/>
                <w:sz w:val="28"/>
                <w:szCs w:val="28"/>
              </w:rPr>
            </w:pPr>
            <w:r>
              <w:rPr>
                <w:rFonts w:ascii="仿宋_GB2312" w:hAnsi="宋体" w:eastAsia="仿宋_GB2312" w:cs="宋体"/>
                <w:color w:val="000000"/>
                <w:kern w:val="0"/>
                <w:sz w:val="28"/>
                <w:szCs w:val="28"/>
              </w:rPr>
              <w:t>3</w:t>
            </w:r>
          </w:p>
        </w:tc>
        <w:tc>
          <w:tcPr>
            <w:tcW w:w="2881" w:type="dxa"/>
            <w:tcBorders>
              <w:top w:val="single" w:color="auto" w:sz="4" w:space="0"/>
              <w:left w:val="nil"/>
              <w:bottom w:val="single" w:color="auto" w:sz="4" w:space="0"/>
              <w:right w:val="single" w:color="auto" w:sz="4" w:space="0"/>
            </w:tcBorders>
            <w:vAlign w:val="center"/>
          </w:tcPr>
          <w:p w14:paraId="2FF03D27">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公证费</w:t>
            </w:r>
          </w:p>
        </w:tc>
        <w:tc>
          <w:tcPr>
            <w:tcW w:w="1325" w:type="dxa"/>
            <w:tcBorders>
              <w:top w:val="single" w:color="auto" w:sz="4" w:space="0"/>
              <w:left w:val="nil"/>
              <w:bottom w:val="single" w:color="auto" w:sz="4" w:space="0"/>
              <w:right w:val="single" w:color="auto" w:sz="4" w:space="0"/>
            </w:tcBorders>
            <w:vAlign w:val="center"/>
          </w:tcPr>
          <w:p w14:paraId="7A93ED41">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lang w:val="en-US" w:eastAsia="zh-CN"/>
              </w:rPr>
              <w:t>2</w:t>
            </w:r>
            <w:r>
              <w:rPr>
                <w:rFonts w:hint="eastAsia" w:ascii="仿宋_GB2312" w:hAnsi="宋体" w:eastAsia="仿宋_GB2312" w:cs="宋体"/>
                <w:color w:val="000000"/>
                <w:kern w:val="0"/>
                <w:sz w:val="28"/>
                <w:szCs w:val="28"/>
              </w:rPr>
              <w:t>户</w:t>
            </w:r>
          </w:p>
        </w:tc>
        <w:tc>
          <w:tcPr>
            <w:tcW w:w="1378" w:type="dxa"/>
            <w:tcBorders>
              <w:top w:val="single" w:color="auto" w:sz="4" w:space="0"/>
              <w:left w:val="nil"/>
              <w:bottom w:val="single" w:color="auto" w:sz="4" w:space="0"/>
              <w:right w:val="single" w:color="auto" w:sz="4" w:space="0"/>
            </w:tcBorders>
            <w:vAlign w:val="center"/>
          </w:tcPr>
          <w:p w14:paraId="615489D0">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0户</w:t>
            </w:r>
          </w:p>
        </w:tc>
        <w:tc>
          <w:tcPr>
            <w:tcW w:w="2817" w:type="dxa"/>
            <w:vMerge w:val="continue"/>
            <w:tcBorders>
              <w:left w:val="nil"/>
              <w:bottom w:val="single" w:color="auto" w:sz="4" w:space="0"/>
              <w:right w:val="single" w:color="auto" w:sz="4" w:space="0"/>
            </w:tcBorders>
            <w:vAlign w:val="center"/>
          </w:tcPr>
          <w:p w14:paraId="0F400D8A">
            <w:pPr>
              <w:widowControl/>
              <w:spacing w:line="520" w:lineRule="exact"/>
              <w:jc w:val="center"/>
              <w:rPr>
                <w:rFonts w:ascii="仿宋_GB2312" w:hAnsi="宋体" w:eastAsia="仿宋_GB2312" w:cs="宋体"/>
                <w:color w:val="000000"/>
                <w:kern w:val="0"/>
                <w:sz w:val="28"/>
                <w:szCs w:val="28"/>
              </w:rPr>
            </w:pPr>
          </w:p>
        </w:tc>
      </w:tr>
    </w:tbl>
    <w:p w14:paraId="3EB63BC4">
      <w:pPr>
        <w:spacing w:line="580" w:lineRule="exact"/>
        <w:ind w:firstLine="640"/>
        <w:rPr>
          <w:rFonts w:hint="eastAsia" w:ascii="仿宋_GB2312" w:eastAsia="仿宋_GB2312"/>
          <w:sz w:val="32"/>
          <w:szCs w:val="32"/>
        </w:rPr>
      </w:pPr>
      <w:r>
        <w:rPr>
          <w:rFonts w:hint="eastAsia" w:ascii="仿宋_GB2312" w:eastAsia="仿宋_GB2312"/>
          <w:sz w:val="32"/>
          <w:szCs w:val="32"/>
        </w:rPr>
        <w:t>（2）产出质量</w:t>
      </w:r>
    </w:p>
    <w:p w14:paraId="2AB91032">
      <w:pPr>
        <w:spacing w:line="580" w:lineRule="exact"/>
        <w:ind w:firstLine="640"/>
        <w:rPr>
          <w:rFonts w:hint="eastAsia" w:ascii="仿宋_GB2312" w:eastAsia="仿宋_GB2312"/>
          <w:sz w:val="32"/>
          <w:szCs w:val="32"/>
        </w:rPr>
      </w:pPr>
      <w:r>
        <w:rPr>
          <w:rFonts w:hint="eastAsia" w:ascii="仿宋_GB2312" w:eastAsia="仿宋_GB2312"/>
          <w:sz w:val="32"/>
          <w:szCs w:val="32"/>
        </w:rPr>
        <w:t>保证我中心办公机构正常运转，保障工作有序推进。保障采空棚户区改造及重点工程征收改造顺利进行，满足入住条件，及时应诉。</w:t>
      </w:r>
    </w:p>
    <w:p w14:paraId="45B353FE">
      <w:pPr>
        <w:spacing w:line="580" w:lineRule="exact"/>
        <w:ind w:firstLine="640"/>
        <w:rPr>
          <w:rFonts w:hint="eastAsia" w:ascii="仿宋_GB2312" w:eastAsia="仿宋_GB2312"/>
          <w:sz w:val="32"/>
          <w:szCs w:val="32"/>
        </w:rPr>
      </w:pPr>
      <w:r>
        <w:rPr>
          <w:rFonts w:hint="eastAsia" w:ascii="仿宋_GB2312" w:eastAsia="仿宋_GB2312"/>
          <w:sz w:val="32"/>
          <w:szCs w:val="32"/>
        </w:rPr>
        <w:t>（3）产出进度</w:t>
      </w:r>
    </w:p>
    <w:p w14:paraId="7AA69C05">
      <w:pPr>
        <w:spacing w:line="580" w:lineRule="exact"/>
        <w:ind w:firstLine="640"/>
        <w:rPr>
          <w:rFonts w:hint="eastAsia" w:ascii="仿宋_GB2312" w:eastAsia="仿宋_GB2312"/>
          <w:sz w:val="32"/>
          <w:szCs w:val="32"/>
        </w:rPr>
      </w:pPr>
      <w:r>
        <w:rPr>
          <w:rFonts w:hint="eastAsia" w:ascii="仿宋_GB2312" w:hAnsi="仿宋" w:eastAsia="仿宋_GB2312" w:cs="Times New Roman"/>
          <w:sz w:val="32"/>
          <w:szCs w:val="32"/>
        </w:rPr>
        <w:t>202</w:t>
      </w:r>
      <w:r>
        <w:rPr>
          <w:rFonts w:hint="eastAsia" w:ascii="仿宋_GB2312" w:hAnsi="仿宋" w:eastAsia="仿宋_GB2312" w:cs="Times New Roman"/>
          <w:sz w:val="32"/>
          <w:szCs w:val="32"/>
          <w:lang w:val="en-US" w:eastAsia="zh-CN"/>
        </w:rPr>
        <w:t>5</w:t>
      </w:r>
      <w:r>
        <w:rPr>
          <w:rFonts w:hint="eastAsia" w:ascii="仿宋_GB2312" w:hAnsi="仿宋" w:eastAsia="仿宋_GB2312" w:cs="Times New Roman"/>
          <w:sz w:val="32"/>
          <w:szCs w:val="32"/>
        </w:rPr>
        <w:t>年度完成。</w:t>
      </w:r>
    </w:p>
    <w:p w14:paraId="5DF4E9D6">
      <w:pPr>
        <w:spacing w:line="580" w:lineRule="exact"/>
        <w:ind w:firstLine="640"/>
        <w:rPr>
          <w:rFonts w:hint="eastAsia" w:ascii="仿宋_GB2312" w:eastAsia="仿宋_GB2312"/>
          <w:sz w:val="32"/>
          <w:szCs w:val="32"/>
        </w:rPr>
      </w:pPr>
      <w:r>
        <w:rPr>
          <w:rFonts w:hint="eastAsia" w:ascii="仿宋_GB2312" w:eastAsia="仿宋_GB2312"/>
          <w:sz w:val="32"/>
          <w:szCs w:val="32"/>
        </w:rPr>
        <w:t>（4）产出成本</w:t>
      </w:r>
    </w:p>
    <w:p w14:paraId="16955771">
      <w:pPr>
        <w:spacing w:line="580" w:lineRule="exact"/>
        <w:ind w:firstLine="640"/>
        <w:rPr>
          <w:rFonts w:hint="eastAsia" w:ascii="仿宋_GB2312" w:eastAsia="仿宋_GB2312"/>
          <w:sz w:val="32"/>
          <w:szCs w:val="32"/>
        </w:rPr>
      </w:pPr>
      <w:r>
        <w:rPr>
          <w:rFonts w:hint="eastAsia" w:ascii="仿宋_GB2312" w:eastAsia="仿宋_GB2312"/>
          <w:sz w:val="32"/>
          <w:szCs w:val="32"/>
        </w:rPr>
        <w:t>年度资金预算总成本9</w:t>
      </w:r>
      <w:r>
        <w:rPr>
          <w:rFonts w:hint="eastAsia" w:ascii="仿宋_GB2312" w:eastAsia="仿宋_GB2312"/>
          <w:sz w:val="32"/>
          <w:szCs w:val="32"/>
          <w:lang w:val="en-US" w:eastAsia="zh-CN"/>
        </w:rPr>
        <w:t>,</w:t>
      </w:r>
      <w:r>
        <w:rPr>
          <w:rFonts w:hint="eastAsia" w:ascii="仿宋_GB2312" w:eastAsia="仿宋_GB2312"/>
          <w:sz w:val="32"/>
          <w:szCs w:val="32"/>
        </w:rPr>
        <w:t>226</w:t>
      </w:r>
      <w:r>
        <w:rPr>
          <w:rFonts w:hint="eastAsia" w:ascii="仿宋_GB2312" w:eastAsia="仿宋_GB2312"/>
          <w:sz w:val="32"/>
          <w:szCs w:val="32"/>
          <w:lang w:val="en-US" w:eastAsia="zh-CN"/>
        </w:rPr>
        <w:t>,</w:t>
      </w:r>
      <w:r>
        <w:rPr>
          <w:rFonts w:hint="eastAsia" w:ascii="仿宋_GB2312" w:eastAsia="仿宋_GB2312"/>
          <w:sz w:val="32"/>
          <w:szCs w:val="32"/>
        </w:rPr>
        <w:t>072</w:t>
      </w:r>
      <w:r>
        <w:rPr>
          <w:rFonts w:hint="eastAsia" w:ascii="仿宋_GB2312" w:eastAsia="仿宋_GB2312"/>
          <w:sz w:val="32"/>
          <w:szCs w:val="32"/>
          <w:lang w:val="en-US" w:eastAsia="zh-CN"/>
        </w:rPr>
        <w:t>.</w:t>
      </w:r>
      <w:r>
        <w:rPr>
          <w:rFonts w:hint="eastAsia" w:ascii="仿宋_GB2312" w:eastAsia="仿宋_GB2312"/>
          <w:sz w:val="32"/>
          <w:szCs w:val="32"/>
        </w:rPr>
        <w:t>49元（其中8,954,166.27元为当年财政拨款收入，271,906.22元为旧统筹），其中，支付人员、公用支出8,546,766.20元；项目支出679,306.29元。</w:t>
      </w:r>
    </w:p>
    <w:p w14:paraId="14874404">
      <w:pPr>
        <w:spacing w:line="580" w:lineRule="exact"/>
        <w:ind w:firstLine="640"/>
        <w:rPr>
          <w:rFonts w:hint="eastAsia" w:ascii="仿宋_GB2312" w:eastAsia="仿宋_GB2312"/>
          <w:sz w:val="32"/>
          <w:szCs w:val="32"/>
        </w:rPr>
      </w:pPr>
      <w:r>
        <w:rPr>
          <w:rFonts w:hint="eastAsia" w:ascii="仿宋_GB2312" w:eastAsia="仿宋_GB2312"/>
          <w:sz w:val="32"/>
          <w:szCs w:val="32"/>
        </w:rPr>
        <w:t>2.效果实现情况分析</w:t>
      </w:r>
    </w:p>
    <w:p w14:paraId="4071C2F8">
      <w:pPr>
        <w:spacing w:line="580" w:lineRule="exact"/>
        <w:ind w:firstLine="640"/>
        <w:rPr>
          <w:rFonts w:hint="eastAsia" w:ascii="仿宋_GB2312" w:eastAsia="仿宋_GB2312"/>
          <w:sz w:val="32"/>
          <w:szCs w:val="32"/>
        </w:rPr>
      </w:pPr>
      <w:r>
        <w:rPr>
          <w:rFonts w:hint="eastAsia" w:ascii="仿宋_GB2312" w:eastAsia="仿宋_GB2312"/>
          <w:sz w:val="32"/>
          <w:szCs w:val="32"/>
        </w:rPr>
        <w:t>（1）经济效益</w:t>
      </w:r>
    </w:p>
    <w:p w14:paraId="483DDE83">
      <w:pPr>
        <w:spacing w:line="580" w:lineRule="exact"/>
        <w:ind w:firstLine="640"/>
        <w:rPr>
          <w:rFonts w:hint="eastAsia" w:ascii="仿宋_GB2312" w:eastAsia="仿宋_GB2312"/>
          <w:sz w:val="32"/>
          <w:szCs w:val="32"/>
          <w:lang w:val="en-US" w:eastAsia="zh-CN"/>
        </w:rPr>
      </w:pPr>
      <w:r>
        <w:rPr>
          <w:rFonts w:hint="eastAsia" w:ascii="仿宋_GB2312" w:eastAsia="仿宋_GB2312"/>
          <w:sz w:val="32"/>
          <w:szCs w:val="32"/>
        </w:rPr>
        <w:t>不涉及</w:t>
      </w:r>
    </w:p>
    <w:p w14:paraId="6668343C">
      <w:pPr>
        <w:spacing w:line="580" w:lineRule="exact"/>
        <w:ind w:firstLine="640"/>
        <w:rPr>
          <w:rFonts w:hint="eastAsia" w:ascii="仿宋_GB2312" w:eastAsia="仿宋_GB2312"/>
          <w:sz w:val="32"/>
          <w:szCs w:val="32"/>
        </w:rPr>
      </w:pPr>
      <w:r>
        <w:rPr>
          <w:rFonts w:hint="eastAsia" w:ascii="仿宋_GB2312" w:eastAsia="仿宋_GB2312"/>
          <w:sz w:val="32"/>
          <w:szCs w:val="32"/>
        </w:rPr>
        <w:t>（2）社会效益</w:t>
      </w:r>
    </w:p>
    <w:p w14:paraId="7A10AAEA">
      <w:pPr>
        <w:spacing w:line="580" w:lineRule="exact"/>
        <w:ind w:firstLine="640"/>
        <w:rPr>
          <w:rFonts w:hint="eastAsia" w:ascii="仿宋_GB2312" w:eastAsia="仿宋_GB2312"/>
          <w:sz w:val="32"/>
          <w:szCs w:val="32"/>
        </w:rPr>
      </w:pPr>
      <w:r>
        <w:rPr>
          <w:rFonts w:hint="eastAsia" w:ascii="仿宋_GB2312" w:eastAsia="仿宋_GB2312"/>
          <w:sz w:val="32"/>
          <w:szCs w:val="32"/>
        </w:rPr>
        <w:t>保障征收中心运转，保障被安置居民顺利上楼。</w:t>
      </w:r>
    </w:p>
    <w:p w14:paraId="7643AFD6">
      <w:pPr>
        <w:spacing w:line="580" w:lineRule="exact"/>
        <w:ind w:firstLine="640"/>
        <w:rPr>
          <w:rFonts w:hint="eastAsia" w:ascii="仿宋_GB2312" w:eastAsia="仿宋_GB2312"/>
          <w:sz w:val="32"/>
          <w:szCs w:val="32"/>
        </w:rPr>
      </w:pPr>
      <w:r>
        <w:rPr>
          <w:rFonts w:hint="eastAsia" w:ascii="仿宋_GB2312" w:eastAsia="仿宋_GB2312"/>
          <w:sz w:val="32"/>
          <w:szCs w:val="32"/>
        </w:rPr>
        <w:t>（3）环境效益</w:t>
      </w:r>
    </w:p>
    <w:p w14:paraId="3DC5FA14">
      <w:pPr>
        <w:spacing w:line="580" w:lineRule="exact"/>
        <w:ind w:firstLine="640"/>
        <w:rPr>
          <w:rFonts w:hint="eastAsia" w:ascii="仿宋_GB2312" w:eastAsia="仿宋_GB2312"/>
          <w:sz w:val="32"/>
          <w:szCs w:val="32"/>
        </w:rPr>
      </w:pPr>
      <w:r>
        <w:rPr>
          <w:rFonts w:hint="eastAsia" w:ascii="仿宋_GB2312" w:hAnsi="仿宋" w:eastAsia="仿宋_GB2312" w:cs="Times New Roman"/>
          <w:sz w:val="32"/>
          <w:szCs w:val="32"/>
        </w:rPr>
        <w:t>不涉及</w:t>
      </w:r>
    </w:p>
    <w:p w14:paraId="744A2D09">
      <w:pPr>
        <w:spacing w:line="580" w:lineRule="exact"/>
        <w:ind w:firstLine="640"/>
        <w:rPr>
          <w:rFonts w:hint="eastAsia" w:ascii="仿宋_GB2312" w:eastAsia="仿宋_GB2312"/>
          <w:sz w:val="32"/>
          <w:szCs w:val="32"/>
        </w:rPr>
      </w:pPr>
      <w:r>
        <w:rPr>
          <w:rFonts w:hint="eastAsia" w:ascii="仿宋_GB2312" w:eastAsia="仿宋_GB2312"/>
          <w:sz w:val="32"/>
          <w:szCs w:val="32"/>
        </w:rPr>
        <w:t>（4）可持续影响</w:t>
      </w:r>
    </w:p>
    <w:p w14:paraId="416D0E87">
      <w:pPr>
        <w:spacing w:line="580" w:lineRule="exact"/>
        <w:ind w:firstLine="640"/>
        <w:rPr>
          <w:rFonts w:hint="eastAsia" w:ascii="仿宋_GB2312" w:eastAsia="仿宋_GB2312"/>
          <w:sz w:val="32"/>
          <w:szCs w:val="32"/>
        </w:rPr>
      </w:pPr>
      <w:r>
        <w:rPr>
          <w:rFonts w:hint="eastAsia" w:ascii="仿宋_GB2312" w:eastAsia="仿宋_GB2312"/>
          <w:sz w:val="32"/>
          <w:szCs w:val="32"/>
        </w:rPr>
        <w:t>2025年度。</w:t>
      </w:r>
    </w:p>
    <w:p w14:paraId="6DD07520">
      <w:pPr>
        <w:spacing w:line="580" w:lineRule="exact"/>
        <w:ind w:firstLine="640"/>
        <w:rPr>
          <w:rFonts w:hint="eastAsia" w:ascii="仿宋_GB2312" w:eastAsia="仿宋_GB2312"/>
          <w:sz w:val="32"/>
          <w:szCs w:val="32"/>
        </w:rPr>
      </w:pPr>
      <w:r>
        <w:rPr>
          <w:rFonts w:hint="eastAsia" w:ascii="仿宋_GB2312" w:eastAsia="仿宋_GB2312"/>
          <w:sz w:val="32"/>
          <w:szCs w:val="32"/>
        </w:rPr>
        <w:t>（5）服务对象满意度</w:t>
      </w:r>
    </w:p>
    <w:p w14:paraId="199302D4">
      <w:pPr>
        <w:spacing w:line="580" w:lineRule="exact"/>
        <w:ind w:firstLine="640"/>
        <w:rPr>
          <w:rFonts w:hint="eastAsia" w:ascii="仿宋_GB2312" w:eastAsia="仿宋_GB2312"/>
          <w:sz w:val="32"/>
          <w:szCs w:val="32"/>
        </w:rPr>
      </w:pPr>
      <w:r>
        <w:rPr>
          <w:rFonts w:hint="eastAsia" w:ascii="仿宋_GB2312" w:eastAsia="仿宋_GB2312"/>
          <w:sz w:val="32"/>
          <w:szCs w:val="32"/>
        </w:rPr>
        <w:t>达到95%以上满意度。</w:t>
      </w:r>
    </w:p>
    <w:p w14:paraId="1D4F9261">
      <w:pPr>
        <w:spacing w:line="580" w:lineRule="exact"/>
        <w:ind w:firstLine="640"/>
        <w:rPr>
          <w:rFonts w:hint="eastAsia" w:ascii="楷体_GB2312" w:eastAsia="楷体_GB2312"/>
          <w:b/>
          <w:sz w:val="32"/>
          <w:szCs w:val="32"/>
        </w:rPr>
      </w:pPr>
      <w:r>
        <w:rPr>
          <w:rFonts w:hint="eastAsia" w:ascii="楷体_GB2312" w:eastAsia="楷体_GB2312"/>
          <w:b/>
          <w:sz w:val="32"/>
          <w:szCs w:val="32"/>
        </w:rPr>
        <w:t>（四）预算管理情况分析</w:t>
      </w:r>
    </w:p>
    <w:p w14:paraId="0BC7D0BA">
      <w:pPr>
        <w:spacing w:line="580" w:lineRule="exact"/>
        <w:ind w:firstLine="640"/>
        <w:rPr>
          <w:rFonts w:hint="eastAsia" w:ascii="仿宋_GB2312" w:eastAsia="仿宋_GB2312"/>
          <w:sz w:val="32"/>
          <w:szCs w:val="32"/>
        </w:rPr>
      </w:pPr>
      <w:r>
        <w:rPr>
          <w:rFonts w:hint="eastAsia" w:ascii="仿宋_GB2312" w:eastAsia="仿宋_GB2312"/>
          <w:sz w:val="32"/>
          <w:szCs w:val="32"/>
        </w:rPr>
        <w:t>1.财务管理</w:t>
      </w:r>
    </w:p>
    <w:p w14:paraId="3E26629A">
      <w:pPr>
        <w:spacing w:line="580" w:lineRule="exact"/>
        <w:ind w:firstLine="640"/>
        <w:rPr>
          <w:rFonts w:hint="eastAsia" w:ascii="仿宋_GB2312" w:eastAsia="仿宋_GB2312"/>
          <w:sz w:val="32"/>
          <w:szCs w:val="32"/>
        </w:rPr>
      </w:pPr>
      <w:r>
        <w:rPr>
          <w:rFonts w:hint="eastAsia" w:ascii="仿宋_GB2312" w:hAnsi="仿宋" w:eastAsia="仿宋_GB2312" w:cs="Times New Roman"/>
          <w:sz w:val="32"/>
          <w:szCs w:val="32"/>
        </w:rPr>
        <w:t>为了加强资金管理，制定了中心财务报销管理规定、征收补偿安置款审批发放管理规定、应急资金使用细则、中介机构服务费审批发放管理办法。拆迁款、周转费的发放实行联签制度，各项经费支出超过</w:t>
      </w:r>
      <w:r>
        <w:rPr>
          <w:rFonts w:ascii="仿宋_GB2312" w:hAnsi="仿宋" w:eastAsia="仿宋_GB2312" w:cs="Times New Roman"/>
          <w:sz w:val="32"/>
          <w:szCs w:val="32"/>
        </w:rPr>
        <w:t>10</w:t>
      </w:r>
      <w:r>
        <w:rPr>
          <w:rFonts w:hint="eastAsia" w:ascii="仿宋_GB2312" w:hAnsi="仿宋" w:eastAsia="仿宋_GB2312" w:cs="Times New Roman"/>
          <w:sz w:val="32"/>
          <w:szCs w:val="32"/>
        </w:rPr>
        <w:t>,</w:t>
      </w:r>
      <w:r>
        <w:rPr>
          <w:rFonts w:ascii="仿宋_GB2312" w:hAnsi="仿宋" w:eastAsia="仿宋_GB2312" w:cs="Times New Roman"/>
          <w:sz w:val="32"/>
          <w:szCs w:val="32"/>
        </w:rPr>
        <w:t>000</w:t>
      </w:r>
      <w:r>
        <w:rPr>
          <w:rFonts w:hint="eastAsia" w:ascii="仿宋_GB2312" w:hAnsi="仿宋" w:eastAsia="仿宋_GB2312" w:cs="Times New Roman"/>
          <w:sz w:val="32"/>
          <w:szCs w:val="32"/>
        </w:rPr>
        <w:t>.00元为大额资金，需经党组会会议审议，通过后予以支出付款。接受审计部门及单位内部审计的监督检查。</w:t>
      </w:r>
    </w:p>
    <w:p w14:paraId="0886D145">
      <w:pPr>
        <w:spacing w:line="580" w:lineRule="exact"/>
        <w:ind w:firstLine="640"/>
        <w:rPr>
          <w:rFonts w:hint="eastAsia" w:ascii="仿宋_GB2312" w:eastAsia="仿宋_GB2312"/>
          <w:sz w:val="32"/>
          <w:szCs w:val="32"/>
        </w:rPr>
      </w:pPr>
      <w:r>
        <w:rPr>
          <w:rFonts w:hint="eastAsia" w:ascii="仿宋_GB2312" w:eastAsia="仿宋_GB2312"/>
          <w:sz w:val="32"/>
          <w:szCs w:val="32"/>
        </w:rPr>
        <w:t>2.资产管理</w:t>
      </w:r>
    </w:p>
    <w:p w14:paraId="1F928F46">
      <w:pPr>
        <w:spacing w:line="580" w:lineRule="exact"/>
        <w:ind w:firstLine="640"/>
        <w:rPr>
          <w:rFonts w:hint="eastAsia" w:ascii="仿宋_GB2312" w:eastAsia="仿宋_GB2312"/>
          <w:sz w:val="32"/>
          <w:szCs w:val="32"/>
        </w:rPr>
      </w:pPr>
      <w:r>
        <w:rPr>
          <w:rFonts w:hint="eastAsia" w:ascii="仿宋_GB2312" w:hAnsi="仿宋" w:eastAsia="仿宋_GB2312" w:cs="Times New Roman"/>
          <w:sz w:val="32"/>
          <w:szCs w:val="32"/>
        </w:rPr>
        <w:t>我部门的资产总计</w:t>
      </w:r>
      <w:r>
        <w:rPr>
          <w:rFonts w:hint="eastAsia" w:ascii="仿宋_GB2312" w:hAnsi="仿宋" w:eastAsia="仿宋_GB2312" w:cs="Times New Roman"/>
          <w:sz w:val="32"/>
          <w:szCs w:val="32"/>
          <w:lang w:val="en-US" w:eastAsia="zh-CN"/>
        </w:rPr>
        <w:t>354,916,831.98</w:t>
      </w:r>
      <w:r>
        <w:rPr>
          <w:rFonts w:hint="eastAsia" w:ascii="仿宋_GB2312" w:hAnsi="仿宋" w:eastAsia="仿宋_GB2312" w:cs="Times New Roman"/>
          <w:sz w:val="32"/>
          <w:szCs w:val="32"/>
        </w:rPr>
        <w:t>元，主要由银行存款、其他应收款、固定资产构成。银行存款</w:t>
      </w:r>
      <w:r>
        <w:rPr>
          <w:rFonts w:ascii="仿宋_GB2312" w:hAnsi="仿宋" w:eastAsia="仿宋_GB2312" w:cs="Times New Roman"/>
          <w:sz w:val="32"/>
          <w:szCs w:val="32"/>
        </w:rPr>
        <w:t>202</w:t>
      </w:r>
      <w:r>
        <w:rPr>
          <w:rFonts w:hint="eastAsia" w:ascii="仿宋_GB2312" w:hAnsi="仿宋" w:eastAsia="仿宋_GB2312" w:cs="Times New Roman"/>
          <w:sz w:val="32"/>
          <w:szCs w:val="32"/>
          <w:lang w:val="en-US" w:eastAsia="zh-CN"/>
        </w:rPr>
        <w:t>5</w:t>
      </w:r>
      <w:r>
        <w:rPr>
          <w:rFonts w:hint="eastAsia" w:ascii="仿宋_GB2312" w:hAnsi="仿宋" w:eastAsia="仿宋_GB2312" w:cs="Times New Roman"/>
          <w:sz w:val="32"/>
          <w:szCs w:val="32"/>
        </w:rPr>
        <w:t>年年末数为</w:t>
      </w:r>
      <w:r>
        <w:rPr>
          <w:rFonts w:hint="eastAsia" w:ascii="仿宋_GB2312" w:hAnsi="仿宋" w:eastAsia="仿宋_GB2312" w:cs="Times New Roman"/>
          <w:sz w:val="32"/>
          <w:szCs w:val="32"/>
          <w:lang w:val="en-US" w:eastAsia="zh-CN"/>
        </w:rPr>
        <w:t>354,057,718.50</w:t>
      </w:r>
      <w:r>
        <w:rPr>
          <w:rFonts w:hint="eastAsia" w:ascii="仿宋_GB2312" w:hAnsi="仿宋" w:eastAsia="仿宋_GB2312" w:cs="Times New Roman"/>
          <w:sz w:val="32"/>
          <w:szCs w:val="32"/>
        </w:rPr>
        <w:t>元，主要为应付拆迁款。固定资产原值</w:t>
      </w:r>
      <w:r>
        <w:rPr>
          <w:rFonts w:hint="eastAsia" w:ascii="仿宋_GB2312" w:hAnsi="仿宋" w:eastAsia="仿宋_GB2312" w:cs="Times New Roman"/>
          <w:sz w:val="32"/>
          <w:szCs w:val="32"/>
          <w:lang w:val="en-US" w:eastAsia="zh-CN"/>
        </w:rPr>
        <w:t>2,080,146.16</w:t>
      </w:r>
      <w:r>
        <w:rPr>
          <w:rFonts w:hint="eastAsia" w:ascii="仿宋_GB2312" w:hAnsi="仿宋" w:eastAsia="仿宋_GB2312" w:cs="Times New Roman"/>
          <w:sz w:val="32"/>
          <w:szCs w:val="32"/>
        </w:rPr>
        <w:t>元</w:t>
      </w:r>
      <w:r>
        <w:rPr>
          <w:rFonts w:hint="eastAsia" w:ascii="仿宋_GB2312" w:hAnsi="仿宋" w:eastAsia="仿宋_GB2312" w:cs="Times New Roman"/>
          <w:sz w:val="32"/>
          <w:szCs w:val="32"/>
          <w:lang w:eastAsia="zh-CN"/>
        </w:rPr>
        <w:t>。</w:t>
      </w:r>
    </w:p>
    <w:p w14:paraId="773FB7A8">
      <w:pPr>
        <w:spacing w:line="580" w:lineRule="exact"/>
        <w:ind w:firstLine="640"/>
        <w:rPr>
          <w:rFonts w:hint="eastAsia" w:ascii="仿宋_GB2312" w:eastAsia="仿宋_GB2312"/>
          <w:sz w:val="32"/>
          <w:szCs w:val="32"/>
        </w:rPr>
      </w:pPr>
      <w:r>
        <w:rPr>
          <w:rFonts w:hint="eastAsia" w:ascii="仿宋_GB2312" w:eastAsia="仿宋_GB2312"/>
          <w:sz w:val="32"/>
          <w:szCs w:val="32"/>
        </w:rPr>
        <w:t>3.绩效管理</w:t>
      </w:r>
    </w:p>
    <w:p w14:paraId="7C79AADC">
      <w:pPr>
        <w:spacing w:line="580" w:lineRule="exact"/>
        <w:ind w:firstLine="640"/>
        <w:rPr>
          <w:rFonts w:hint="eastAsia" w:ascii="仿宋_GB2312" w:eastAsia="仿宋_GB2312"/>
          <w:sz w:val="32"/>
          <w:szCs w:val="32"/>
        </w:rPr>
      </w:pPr>
      <w:r>
        <w:rPr>
          <w:rFonts w:hint="eastAsia" w:ascii="仿宋_GB2312" w:eastAsia="仿宋_GB2312"/>
          <w:sz w:val="32"/>
          <w:szCs w:val="32"/>
        </w:rPr>
        <w:t>（1）预算绩效管理制度情况</w:t>
      </w:r>
    </w:p>
    <w:p w14:paraId="65AA63EB">
      <w:pPr>
        <w:spacing w:line="580" w:lineRule="exact"/>
        <w:ind w:firstLine="640"/>
        <w:rPr>
          <w:rFonts w:hint="eastAsia" w:ascii="仿宋_GB2312" w:eastAsia="仿宋_GB2312"/>
          <w:sz w:val="32"/>
          <w:szCs w:val="32"/>
        </w:rPr>
      </w:pPr>
      <w:r>
        <w:rPr>
          <w:rFonts w:hint="eastAsia" w:ascii="仿宋_GB2312" w:eastAsia="仿宋_GB2312"/>
          <w:sz w:val="32"/>
          <w:szCs w:val="32"/>
        </w:rPr>
        <w:t>我中心按照区财政工作部署，成立了预算绩效管理工作小组， 绩效管理小组对中心基本预算支出进度，执行情况，完成情况进行监督指导。对预算项目达到的绩效目标进行监督。按照区财政的要求，结合预算编制执行，及时进行绩效跟踪，按照要求编制年度绩效报告。在工作过程中不断积累总结绩效管理的经验，将绩效管理融入内控管理制度体系。</w:t>
      </w:r>
    </w:p>
    <w:p w14:paraId="1DC35905">
      <w:pPr>
        <w:spacing w:line="580" w:lineRule="exact"/>
        <w:ind w:firstLine="640"/>
        <w:rPr>
          <w:rFonts w:hint="eastAsia" w:ascii="仿宋_GB2312" w:eastAsia="仿宋_GB2312"/>
          <w:sz w:val="32"/>
          <w:szCs w:val="32"/>
        </w:rPr>
      </w:pPr>
      <w:r>
        <w:rPr>
          <w:rFonts w:hint="eastAsia" w:ascii="仿宋_GB2312" w:eastAsia="仿宋_GB2312"/>
          <w:sz w:val="32"/>
          <w:szCs w:val="32"/>
        </w:rPr>
        <w:t>（2）绩效目标管理情况</w:t>
      </w:r>
    </w:p>
    <w:p w14:paraId="1A8A833A">
      <w:pPr>
        <w:spacing w:line="580" w:lineRule="exact"/>
        <w:ind w:firstLine="640"/>
        <w:rPr>
          <w:rFonts w:hint="eastAsia" w:ascii="仿宋_GB2312" w:eastAsia="仿宋_GB2312"/>
          <w:sz w:val="32"/>
          <w:szCs w:val="32"/>
        </w:rPr>
      </w:pPr>
      <w:r>
        <w:rPr>
          <w:rFonts w:hint="eastAsia" w:ascii="仿宋_GB2312" w:eastAsia="仿宋_GB2312"/>
          <w:sz w:val="32"/>
          <w:szCs w:val="32"/>
        </w:rPr>
        <w:t>2025年部门预算项目5个，部门预算公开绩效目标的预算项目5个，占本部门全部预算项目的100.00%。</w:t>
      </w:r>
    </w:p>
    <w:p w14:paraId="29F12C3B">
      <w:pPr>
        <w:spacing w:line="580" w:lineRule="exact"/>
        <w:ind w:firstLine="640"/>
        <w:rPr>
          <w:rFonts w:hint="eastAsia" w:ascii="仿宋_GB2312" w:eastAsia="仿宋_GB2312"/>
          <w:sz w:val="32"/>
          <w:szCs w:val="32"/>
        </w:rPr>
      </w:pPr>
      <w:r>
        <w:rPr>
          <w:rFonts w:hint="eastAsia" w:ascii="仿宋_GB2312" w:eastAsia="仿宋_GB2312"/>
          <w:sz w:val="32"/>
          <w:szCs w:val="32"/>
        </w:rPr>
        <w:t>（3）绩效自评情况</w:t>
      </w:r>
    </w:p>
    <w:p w14:paraId="3C0E84C1">
      <w:pPr>
        <w:spacing w:line="580" w:lineRule="exact"/>
        <w:ind w:firstLine="640"/>
        <w:rPr>
          <w:rFonts w:hint="eastAsia" w:ascii="仿宋_GB2312" w:eastAsia="仿宋_GB2312"/>
          <w:sz w:val="32"/>
          <w:szCs w:val="32"/>
        </w:rPr>
      </w:pPr>
      <w:r>
        <w:rPr>
          <w:rFonts w:hint="eastAsia" w:ascii="仿宋_GB2312" w:eastAsia="仿宋_GB2312"/>
          <w:sz w:val="32"/>
          <w:szCs w:val="32"/>
        </w:rPr>
        <w:t>2025年对本部门及所属单位2024年项目支出实施了绩效自评，评价项目6个，涉及金额1,026,368.95元。</w:t>
      </w:r>
    </w:p>
    <w:p w14:paraId="2AC3FB57">
      <w:pPr>
        <w:spacing w:line="580" w:lineRule="exact"/>
        <w:ind w:firstLine="640"/>
        <w:rPr>
          <w:rFonts w:hint="eastAsia" w:ascii="楷体_GB2312" w:eastAsia="楷体_GB2312"/>
          <w:b/>
          <w:sz w:val="32"/>
          <w:szCs w:val="32"/>
        </w:rPr>
      </w:pPr>
      <w:r>
        <w:rPr>
          <w:rFonts w:hint="eastAsia" w:ascii="楷体_GB2312" w:eastAsia="楷体_GB2312"/>
          <w:b/>
          <w:sz w:val="32"/>
          <w:szCs w:val="32"/>
        </w:rPr>
        <w:t>（五）总体评价结论</w:t>
      </w:r>
    </w:p>
    <w:p w14:paraId="12BE6461">
      <w:pPr>
        <w:spacing w:line="580" w:lineRule="exact"/>
        <w:ind w:firstLine="640"/>
        <w:rPr>
          <w:rFonts w:hint="eastAsia" w:ascii="仿宋_GB2312" w:eastAsia="仿宋_GB2312"/>
          <w:sz w:val="32"/>
          <w:szCs w:val="32"/>
        </w:rPr>
      </w:pPr>
      <w:r>
        <w:rPr>
          <w:rFonts w:hint="eastAsia" w:ascii="仿宋_GB2312" w:eastAsia="仿宋_GB2312"/>
          <w:sz w:val="32"/>
          <w:szCs w:val="32"/>
        </w:rPr>
        <w:t>1.评价得分情况</w:t>
      </w:r>
    </w:p>
    <w:p w14:paraId="0F0AFCF9">
      <w:pPr>
        <w:spacing w:line="580" w:lineRule="exact"/>
        <w:ind w:firstLine="640"/>
        <w:rPr>
          <w:rFonts w:hint="eastAsia" w:ascii="仿宋_GB2312" w:eastAsia="仿宋_GB2312"/>
          <w:sz w:val="32"/>
          <w:szCs w:val="32"/>
        </w:rPr>
      </w:pPr>
      <w:r>
        <w:rPr>
          <w:rFonts w:hint="eastAsia" w:ascii="仿宋_GB2312" w:eastAsia="仿宋_GB2312"/>
          <w:sz w:val="32"/>
          <w:szCs w:val="32"/>
        </w:rPr>
        <w:t>绩效自评总分：97分</w:t>
      </w:r>
    </w:p>
    <w:p w14:paraId="656F12E1">
      <w:pPr>
        <w:spacing w:line="580" w:lineRule="exact"/>
        <w:ind w:firstLine="640"/>
        <w:rPr>
          <w:rFonts w:hint="eastAsia" w:ascii="仿宋_GB2312" w:eastAsia="仿宋_GB2312"/>
          <w:sz w:val="32"/>
          <w:szCs w:val="32"/>
        </w:rPr>
      </w:pPr>
      <w:r>
        <w:rPr>
          <w:rFonts w:hint="eastAsia" w:ascii="仿宋_GB2312" w:eastAsia="仿宋_GB2312"/>
          <w:sz w:val="32"/>
          <w:szCs w:val="32"/>
        </w:rPr>
        <w:t>绩效自评等级：优秀</w:t>
      </w:r>
    </w:p>
    <w:p w14:paraId="1EA44442">
      <w:pPr>
        <w:spacing w:line="580" w:lineRule="exact"/>
        <w:ind w:firstLine="640"/>
        <w:rPr>
          <w:rFonts w:hint="eastAsia" w:ascii="仿宋_GB2312" w:eastAsia="仿宋_GB2312"/>
          <w:sz w:val="32"/>
          <w:szCs w:val="32"/>
        </w:rPr>
      </w:pPr>
      <w:r>
        <w:rPr>
          <w:rFonts w:hint="eastAsia" w:ascii="仿宋_GB2312" w:eastAsia="仿宋_GB2312"/>
          <w:sz w:val="32"/>
          <w:szCs w:val="32"/>
        </w:rPr>
        <w:t>2.存在的问题及原因分析</w:t>
      </w:r>
    </w:p>
    <w:p w14:paraId="2574F350">
      <w:pPr>
        <w:spacing w:line="580" w:lineRule="exact"/>
        <w:ind w:firstLine="640"/>
        <w:rPr>
          <w:rFonts w:hint="eastAsia" w:ascii="仿宋_GB2312" w:eastAsia="仿宋_GB2312"/>
          <w:sz w:val="32"/>
          <w:szCs w:val="32"/>
        </w:rPr>
      </w:pPr>
      <w:r>
        <w:rPr>
          <w:rFonts w:hint="eastAsia" w:ascii="仿宋_GB2312" w:eastAsia="仿宋_GB2312"/>
          <w:sz w:val="32"/>
          <w:szCs w:val="32"/>
        </w:rPr>
        <w:t>对于绩效工作重视程度不够,实际工作需求与指标值存在一定偏差，且部分项目的准备工作不够完善。</w:t>
      </w:r>
    </w:p>
    <w:p w14:paraId="346FBFD0">
      <w:pPr>
        <w:spacing w:line="580" w:lineRule="exact"/>
        <w:ind w:firstLine="640"/>
        <w:rPr>
          <w:rFonts w:hint="eastAsia" w:ascii="仿宋_GB2312" w:eastAsia="仿宋_GB2312"/>
          <w:sz w:val="32"/>
          <w:szCs w:val="32"/>
        </w:rPr>
      </w:pPr>
      <w:r>
        <w:rPr>
          <w:rFonts w:hint="eastAsia" w:ascii="仿宋_GB2312" w:eastAsia="仿宋_GB2312"/>
          <w:sz w:val="32"/>
          <w:szCs w:val="32"/>
        </w:rPr>
        <w:t>3.改进措施</w:t>
      </w:r>
    </w:p>
    <w:bookmarkEnd w:id="2"/>
    <w:p w14:paraId="0F5B6BF6">
      <w:pPr>
        <w:spacing w:line="580" w:lineRule="exact"/>
        <w:ind w:firstLine="640"/>
        <w:rPr>
          <w:rFonts w:hint="eastAsia" w:ascii="仿宋_GB2312" w:eastAsia="仿宋_GB2312"/>
          <w:sz w:val="32"/>
          <w:szCs w:val="32"/>
        </w:rPr>
      </w:pPr>
      <w:r>
        <w:rPr>
          <w:rFonts w:hint="eastAsia" w:ascii="仿宋_GB2312" w:eastAsia="仿宋_GB2312"/>
          <w:sz w:val="32"/>
          <w:szCs w:val="32"/>
        </w:rPr>
        <w:t>进一步在预算编制过程中强调制定绩效目标的重要性，加强对绩效目标完成情况的评价。强调绩效目标管理的重要性，将绩效目标管理与单位内部管理有机结合，切实发挥绩效管理的作用。</w:t>
      </w:r>
    </w:p>
    <w:p w14:paraId="0A07F8C3">
      <w:pPr>
        <w:spacing w:line="580" w:lineRule="exact"/>
        <w:ind w:firstLine="640"/>
        <w:rPr>
          <w:rFonts w:hint="eastAsia" w:ascii="黑体" w:hAnsi="黑体" w:eastAsia="黑体"/>
          <w:sz w:val="32"/>
          <w:szCs w:val="32"/>
        </w:rPr>
      </w:pPr>
      <w:r>
        <w:rPr>
          <w:rFonts w:hint="eastAsia" w:ascii="黑体" w:hAnsi="黑体" w:eastAsia="黑体"/>
          <w:sz w:val="32"/>
          <w:szCs w:val="32"/>
        </w:rPr>
        <w:t>二、项目支出绩效自评情况</w:t>
      </w:r>
    </w:p>
    <w:p w14:paraId="6FF16E7C">
      <w:pPr>
        <w:spacing w:line="580" w:lineRule="exact"/>
        <w:ind w:firstLine="809" w:firstLineChars="253"/>
        <w:rPr>
          <w:rFonts w:hint="eastAsia" w:ascii="楷体_GB2312" w:hAnsi="仿宋" w:eastAsia="楷体_GB2312"/>
          <w:b/>
          <w:sz w:val="32"/>
          <w:szCs w:val="32"/>
        </w:rPr>
      </w:pPr>
      <w:r>
        <w:rPr>
          <w:rFonts w:hint="eastAsia" w:ascii="楷体_GB2312" w:hAnsi="仿宋" w:eastAsia="楷体_GB2312"/>
          <w:b/>
          <w:sz w:val="32"/>
          <w:szCs w:val="32"/>
        </w:rPr>
        <w:t>（一）绩效自评开展总体情况</w:t>
      </w:r>
    </w:p>
    <w:p w14:paraId="27B2927E">
      <w:pPr>
        <w:spacing w:line="580" w:lineRule="exact"/>
        <w:ind w:firstLine="809" w:firstLineChars="253"/>
        <w:rPr>
          <w:rFonts w:hint="eastAsia" w:ascii="仿宋_GB2312" w:hAnsi="Calibri" w:eastAsia="仿宋_GB2312"/>
          <w:sz w:val="32"/>
          <w:szCs w:val="32"/>
        </w:rPr>
      </w:pPr>
      <w:r>
        <w:rPr>
          <w:rFonts w:hint="eastAsia" w:ascii="仿宋_GB2312" w:eastAsia="仿宋_GB2312"/>
          <w:sz w:val="32"/>
          <w:szCs w:val="32"/>
        </w:rPr>
        <w:t>2025年度区财政批复项目支出预算项目</w:t>
      </w:r>
      <w:r>
        <w:rPr>
          <w:rFonts w:hint="eastAsia" w:ascii="仿宋_GB2312" w:eastAsia="仿宋_GB2312"/>
          <w:sz w:val="32"/>
          <w:szCs w:val="32"/>
          <w:lang w:val="en-US" w:eastAsia="zh-CN"/>
        </w:rPr>
        <w:t>5</w:t>
      </w:r>
      <w:r>
        <w:rPr>
          <w:rFonts w:hint="eastAsia" w:ascii="仿宋_GB2312" w:eastAsia="仿宋_GB2312"/>
          <w:sz w:val="32"/>
          <w:szCs w:val="32"/>
        </w:rPr>
        <w:t>个，涉及金额679,306.29元。本次实施绩效自评项目</w:t>
      </w:r>
      <w:r>
        <w:rPr>
          <w:rFonts w:hint="eastAsia" w:ascii="仿宋_GB2312" w:eastAsia="仿宋_GB2312"/>
          <w:sz w:val="32"/>
          <w:szCs w:val="32"/>
          <w:lang w:val="en-US" w:eastAsia="zh-CN"/>
        </w:rPr>
        <w:t>5</w:t>
      </w:r>
      <w:r>
        <w:rPr>
          <w:rFonts w:hint="eastAsia" w:ascii="仿宋_GB2312" w:eastAsia="仿宋_GB2312"/>
          <w:sz w:val="32"/>
          <w:szCs w:val="32"/>
        </w:rPr>
        <w:t>个，涉及金额679,306.29元。评价得分在90分（含90分）以上的</w:t>
      </w:r>
      <w:r>
        <w:rPr>
          <w:rFonts w:hint="eastAsia" w:ascii="仿宋_GB2312" w:eastAsia="仿宋_GB2312"/>
          <w:sz w:val="32"/>
          <w:szCs w:val="32"/>
          <w:lang w:val="en-US" w:eastAsia="zh-CN"/>
        </w:rPr>
        <w:t>3</w:t>
      </w:r>
      <w:r>
        <w:rPr>
          <w:rFonts w:hint="eastAsia" w:ascii="仿宋_GB2312" w:eastAsia="仿宋_GB2312"/>
          <w:sz w:val="32"/>
          <w:szCs w:val="32"/>
        </w:rPr>
        <w:t>个，评价得分在80-90分（含80分）的</w:t>
      </w:r>
      <w:r>
        <w:rPr>
          <w:rFonts w:hint="eastAsia" w:ascii="仿宋_GB2312" w:eastAsia="仿宋_GB2312"/>
          <w:sz w:val="32"/>
          <w:szCs w:val="32"/>
          <w:lang w:val="en-US" w:eastAsia="zh-CN"/>
        </w:rPr>
        <w:t>1</w:t>
      </w:r>
      <w:r>
        <w:rPr>
          <w:rFonts w:hint="eastAsia" w:ascii="仿宋_GB2312" w:eastAsia="仿宋_GB2312"/>
          <w:sz w:val="32"/>
          <w:szCs w:val="32"/>
        </w:rPr>
        <w:t>个，评价得分在60-80分（含60分）的</w:t>
      </w:r>
      <w:r>
        <w:rPr>
          <w:rFonts w:hint="eastAsia" w:ascii="仿宋_GB2312" w:eastAsia="仿宋_GB2312"/>
          <w:sz w:val="32"/>
          <w:szCs w:val="32"/>
          <w:lang w:val="en-US" w:eastAsia="zh-CN"/>
        </w:rPr>
        <w:t>0</w:t>
      </w:r>
      <w:r>
        <w:rPr>
          <w:rFonts w:hint="eastAsia" w:ascii="仿宋_GB2312" w:eastAsia="仿宋_GB2312"/>
          <w:sz w:val="32"/>
          <w:szCs w:val="32"/>
        </w:rPr>
        <w:t>个，评价得分在60分以下的</w:t>
      </w:r>
      <w:r>
        <w:rPr>
          <w:rFonts w:hint="eastAsia" w:ascii="仿宋_GB2312" w:eastAsia="仿宋_GB2312"/>
          <w:sz w:val="32"/>
          <w:szCs w:val="32"/>
          <w:lang w:val="en-US" w:eastAsia="zh-CN"/>
        </w:rPr>
        <w:t>1</w:t>
      </w:r>
      <w:r>
        <w:rPr>
          <w:rFonts w:hint="eastAsia" w:ascii="仿宋_GB2312" w:eastAsia="仿宋_GB2312"/>
          <w:sz w:val="32"/>
          <w:szCs w:val="32"/>
        </w:rPr>
        <w:t>个。</w:t>
      </w:r>
    </w:p>
    <w:p w14:paraId="571BF65D">
      <w:pPr>
        <w:spacing w:line="580" w:lineRule="exact"/>
        <w:ind w:firstLine="809" w:firstLineChars="253"/>
        <w:rPr>
          <w:rFonts w:hint="eastAsia" w:ascii="楷体_GB2312" w:hAnsi="仿宋" w:eastAsia="楷体_GB2312"/>
          <w:b/>
          <w:sz w:val="32"/>
          <w:szCs w:val="32"/>
        </w:rPr>
      </w:pPr>
      <w:r>
        <w:rPr>
          <w:rFonts w:hint="eastAsia" w:ascii="楷体_GB2312" w:hAnsi="仿宋" w:eastAsia="楷体_GB2312"/>
          <w:b/>
          <w:sz w:val="32"/>
          <w:szCs w:val="32"/>
        </w:rPr>
        <w:t>（二）重点支出项目绩效自评报告</w:t>
      </w:r>
    </w:p>
    <w:p w14:paraId="78D65EF8">
      <w:pPr>
        <w:spacing w:line="580" w:lineRule="exact"/>
        <w:ind w:firstLine="640" w:firstLineChars="200"/>
        <w:outlineLvl w:val="0"/>
        <w:rPr>
          <w:rFonts w:hint="default" w:ascii="仿宋_GB2312" w:hAnsi="Calibri" w:eastAsia="仿宋_GB2312"/>
          <w:sz w:val="32"/>
          <w:szCs w:val="32"/>
          <w:lang w:val="en-US" w:eastAsia="zh-CN"/>
        </w:rPr>
      </w:pPr>
      <w:r>
        <w:rPr>
          <w:rFonts w:hint="eastAsia" w:ascii="仿宋_GB2312" w:eastAsia="仿宋_GB2312"/>
          <w:sz w:val="32"/>
          <w:szCs w:val="32"/>
          <w:lang w:eastAsia="zh-CN"/>
        </w:rPr>
        <w:t>见附件：</w:t>
      </w:r>
      <w:r>
        <w:rPr>
          <w:rFonts w:hint="eastAsia" w:ascii="仿宋_GB2312" w:eastAsia="仿宋_GB2312"/>
          <w:sz w:val="32"/>
          <w:szCs w:val="32"/>
          <w:lang w:val="en-US" w:eastAsia="zh-CN"/>
        </w:rPr>
        <w:t>1.</w:t>
      </w:r>
      <w:r>
        <w:rPr>
          <w:rFonts w:hint="eastAsia" w:ascii="仿宋_GB2312" w:eastAsia="仿宋_GB2312"/>
          <w:sz w:val="32"/>
          <w:szCs w:val="32"/>
        </w:rPr>
        <w:t>重点支出项目绩效自评报告</w:t>
      </w:r>
      <w:r>
        <w:rPr>
          <w:rFonts w:hint="eastAsia" w:ascii="仿宋_GB2312" w:eastAsia="仿宋_GB2312"/>
          <w:sz w:val="32"/>
          <w:szCs w:val="32"/>
          <w:lang w:val="en-US" w:eastAsia="zh-CN"/>
        </w:rPr>
        <w:t>。</w:t>
      </w:r>
    </w:p>
    <w:p w14:paraId="16661D75">
      <w:pPr>
        <w:spacing w:line="580" w:lineRule="exact"/>
        <w:ind w:firstLine="640"/>
        <w:rPr>
          <w:rFonts w:hint="eastAsia" w:ascii="楷体_GB2312" w:hAnsi="仿宋" w:eastAsia="楷体_GB2312"/>
          <w:b/>
          <w:sz w:val="32"/>
          <w:szCs w:val="32"/>
        </w:rPr>
      </w:pPr>
      <w:r>
        <w:rPr>
          <w:rFonts w:hint="eastAsia" w:ascii="楷体_GB2312" w:hAnsi="仿宋" w:eastAsia="楷体_GB2312"/>
          <w:b/>
          <w:sz w:val="32"/>
          <w:szCs w:val="32"/>
        </w:rPr>
        <w:t>（三）项目支出绩效自评表</w:t>
      </w:r>
    </w:p>
    <w:p w14:paraId="29A6AFAA">
      <w:pPr>
        <w:spacing w:line="580" w:lineRule="exact"/>
        <w:ind w:firstLine="640" w:firstLineChars="200"/>
        <w:outlineLvl w:val="0"/>
        <w:rPr>
          <w:rFonts w:hint="default" w:ascii="仿宋_GB2312" w:hAnsi="Calibri" w:eastAsia="仿宋_GB2312"/>
          <w:sz w:val="32"/>
          <w:szCs w:val="32"/>
          <w:lang w:val="en-US" w:eastAsia="zh-CN"/>
        </w:rPr>
      </w:pPr>
      <w:r>
        <w:rPr>
          <w:rFonts w:hint="eastAsia" w:ascii="仿宋_GB2312" w:eastAsia="仿宋_GB2312"/>
          <w:sz w:val="32"/>
          <w:szCs w:val="32"/>
          <w:lang w:eastAsia="zh-CN"/>
        </w:rPr>
        <w:t>见附件：</w:t>
      </w:r>
      <w:r>
        <w:rPr>
          <w:rFonts w:hint="eastAsia" w:ascii="仿宋_GB2312" w:eastAsia="仿宋_GB2312"/>
          <w:sz w:val="32"/>
          <w:szCs w:val="32"/>
        </w:rPr>
        <w:t>2.项目支出绩效自评表</w:t>
      </w:r>
      <w:r>
        <w:rPr>
          <w:rFonts w:hint="eastAsia" w:ascii="仿宋_GB2312" w:eastAsia="仿宋_GB2312"/>
          <w:sz w:val="32"/>
          <w:szCs w:val="32"/>
          <w:lang w:val="en-US" w:eastAsia="zh-CN"/>
        </w:rPr>
        <w:t>。</w:t>
      </w:r>
    </w:p>
    <w:p w14:paraId="16D05EEC">
      <w:pPr>
        <w:spacing w:line="580" w:lineRule="exact"/>
        <w:ind w:firstLine="800" w:firstLineChars="250"/>
        <w:rPr>
          <w:rFonts w:hint="eastAsia" w:ascii="仿宋_GB2312" w:eastAsia="仿宋_GB2312"/>
          <w:sz w:val="32"/>
          <w:szCs w:val="32"/>
        </w:rPr>
      </w:pPr>
    </w:p>
    <w:p w14:paraId="1340AAF7">
      <w:pPr>
        <w:spacing w:line="580" w:lineRule="exact"/>
        <w:ind w:firstLine="800" w:firstLineChars="250"/>
        <w:rPr>
          <w:rFonts w:hint="eastAsia" w:ascii="仿宋_GB2312" w:eastAsia="仿宋_GB2312"/>
          <w:sz w:val="32"/>
          <w:szCs w:val="32"/>
        </w:rPr>
      </w:pPr>
      <w:r>
        <w:rPr>
          <w:rFonts w:hint="eastAsia" w:ascii="仿宋_GB2312" w:eastAsia="仿宋_GB2312"/>
          <w:sz w:val="32"/>
          <w:szCs w:val="32"/>
        </w:rPr>
        <w:t>附件：1.重点支出项目绩效自评报告</w:t>
      </w:r>
    </w:p>
    <w:p w14:paraId="09F3A691">
      <w:pPr>
        <w:spacing w:line="580" w:lineRule="exact"/>
        <w:ind w:firstLine="1760" w:firstLineChars="550"/>
        <w:rPr>
          <w:rFonts w:hint="eastAsia" w:ascii="仿宋_GB2312" w:eastAsia="仿宋_GB2312"/>
          <w:sz w:val="32"/>
          <w:szCs w:val="32"/>
        </w:rPr>
      </w:pPr>
      <w:r>
        <w:rPr>
          <w:rFonts w:hint="eastAsia" w:ascii="仿宋_GB2312" w:eastAsia="仿宋_GB2312"/>
          <w:sz w:val="32"/>
          <w:szCs w:val="32"/>
        </w:rPr>
        <w:t>2.项目支出</w:t>
      </w:r>
      <w:bookmarkStart w:id="4" w:name="_GoBack"/>
      <w:bookmarkEnd w:id="4"/>
      <w:r>
        <w:rPr>
          <w:rFonts w:hint="eastAsia" w:ascii="仿宋_GB2312" w:eastAsia="仿宋_GB2312"/>
          <w:sz w:val="32"/>
          <w:szCs w:val="32"/>
        </w:rPr>
        <w:t>绩效自评表</w:t>
      </w:r>
    </w:p>
    <w:sectPr>
      <w:footerReference r:id="rId4" w:type="default"/>
      <w:footerReference r:id="rId5" w:type="even"/>
      <w:pgSz w:w="16838" w:h="11906" w:orient="landscape"/>
      <w:pgMar w:top="1134" w:right="1134" w:bottom="1134" w:left="1134" w:header="851" w:footer="992" w:gutter="0"/>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modern"/>
    <w:pitch w:val="default"/>
    <w:sig w:usb0="800002BF" w:usb1="38CF7CFA" w:usb2="00000016" w:usb3="00000000" w:csb0="00040001" w:csb1="00000000"/>
  </w:font>
  <w:font w:name="Droid Sans">
    <w:altName w:val="微软雅黑"/>
    <w:panose1 w:val="00000000000000000000"/>
    <w:charset w:val="00"/>
    <w:family w:val="auto"/>
    <w:pitch w:val="default"/>
    <w:sig w:usb0="00000000" w:usb1="00000000" w:usb2="00000000" w:usb3="00000000" w:csb0="00040001" w:csb1="00000000"/>
  </w:font>
  <w:font w:name="微软雅黑">
    <w:panose1 w:val="020B0503020204020204"/>
    <w:charset w:val="86"/>
    <w:family w:val="auto"/>
    <w:pitch w:val="default"/>
    <w:sig w:usb0="80000287" w:usb1="280F3C52" w:usb2="00000016" w:usb3="00000000" w:csb0="0004001F" w:csb1="00000000"/>
  </w:font>
  <w:font w:name="华文中宋">
    <w:panose1 w:val="02010600040101010101"/>
    <w:charset w:val="86"/>
    <w:family w:val="auto"/>
    <w:pitch w:val="default"/>
    <w:sig w:usb0="00000287" w:usb1="080F0000" w:usb2="00000000" w:usb3="00000000" w:csb0="0004009F" w:csb1="DFD7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3FAD5C">
    <w:pPr>
      <w:pStyle w:val="7"/>
      <w:framePr w:wrap="around" w:vAnchor="text" w:hAnchor="margin" w:xAlign="center" w:y="1"/>
      <w:rPr>
        <w:rStyle w:val="13"/>
      </w:rPr>
    </w:pPr>
    <w:r>
      <w:fldChar w:fldCharType="begin"/>
    </w:r>
    <w:r>
      <w:rPr>
        <w:rStyle w:val="13"/>
      </w:rPr>
      <w:instrText xml:space="preserve">PAGE  </w:instrText>
    </w:r>
    <w:r>
      <w:fldChar w:fldCharType="separate"/>
    </w:r>
    <w:r>
      <w:rPr>
        <w:rStyle w:val="13"/>
      </w:rPr>
      <w:t>3</w:t>
    </w:r>
    <w:r>
      <w:fldChar w:fldCharType="end"/>
    </w:r>
  </w:p>
  <w:p w14:paraId="05926652">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AD389D">
    <w:pPr>
      <w:pStyle w:val="7"/>
      <w:framePr w:wrap="around" w:vAnchor="text" w:hAnchor="margin" w:xAlign="center" w:y="1"/>
      <w:rPr>
        <w:rStyle w:val="13"/>
      </w:rPr>
    </w:pPr>
    <w:r>
      <w:fldChar w:fldCharType="begin"/>
    </w:r>
    <w:r>
      <w:rPr>
        <w:rStyle w:val="13"/>
      </w:rPr>
      <w:instrText xml:space="preserve">PAGE  </w:instrText>
    </w:r>
    <w:r>
      <w:fldChar w:fldCharType="separate"/>
    </w:r>
    <w:r>
      <w:rPr>
        <w:rStyle w:val="13"/>
      </w:rPr>
      <w:t>16</w:t>
    </w:r>
    <w:r>
      <w:fldChar w:fldCharType="end"/>
    </w:r>
  </w:p>
  <w:p w14:paraId="6736018A">
    <w:pPr>
      <w:pStyle w:val="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BB7B47">
    <w:pPr>
      <w:pStyle w:val="7"/>
      <w:framePr w:wrap="around" w:vAnchor="text" w:hAnchor="margin" w:xAlign="center" w:y="1"/>
      <w:rPr>
        <w:rStyle w:val="13"/>
      </w:rPr>
    </w:pPr>
    <w:r>
      <w:fldChar w:fldCharType="begin"/>
    </w:r>
    <w:r>
      <w:rPr>
        <w:rStyle w:val="13"/>
      </w:rPr>
      <w:instrText xml:space="preserve">PAGE  </w:instrText>
    </w:r>
    <w:r>
      <w:fldChar w:fldCharType="separate"/>
    </w:r>
    <w:r>
      <w:rPr>
        <w:rStyle w:val="13"/>
      </w:rPr>
      <w:t>15</w:t>
    </w:r>
    <w:r>
      <w:fldChar w:fldCharType="end"/>
    </w:r>
  </w:p>
  <w:p w14:paraId="2DF8EB64">
    <w:pPr>
      <w:pStyle w:val="7"/>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5"/>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ZmNWE4NzRhMTczNjJlZDE5ZTE5YTczN2QxMzcyMjAifQ=="/>
  </w:docVars>
  <w:rsids>
    <w:rsidRoot w:val="00100246"/>
    <w:rsid w:val="00003B03"/>
    <w:rsid w:val="000040E6"/>
    <w:rsid w:val="00011D72"/>
    <w:rsid w:val="0002352D"/>
    <w:rsid w:val="00027CD5"/>
    <w:rsid w:val="00031B8E"/>
    <w:rsid w:val="00033EC1"/>
    <w:rsid w:val="00034224"/>
    <w:rsid w:val="00040275"/>
    <w:rsid w:val="0004719C"/>
    <w:rsid w:val="00047F6E"/>
    <w:rsid w:val="00051B00"/>
    <w:rsid w:val="000601B1"/>
    <w:rsid w:val="00063034"/>
    <w:rsid w:val="00066E19"/>
    <w:rsid w:val="0006752F"/>
    <w:rsid w:val="00071797"/>
    <w:rsid w:val="00071860"/>
    <w:rsid w:val="0007258E"/>
    <w:rsid w:val="00077A9E"/>
    <w:rsid w:val="00077F4A"/>
    <w:rsid w:val="00077FE5"/>
    <w:rsid w:val="00080447"/>
    <w:rsid w:val="00085663"/>
    <w:rsid w:val="00095948"/>
    <w:rsid w:val="00095C26"/>
    <w:rsid w:val="00096504"/>
    <w:rsid w:val="00096B86"/>
    <w:rsid w:val="000A1770"/>
    <w:rsid w:val="000A283C"/>
    <w:rsid w:val="000B15B7"/>
    <w:rsid w:val="000B70F1"/>
    <w:rsid w:val="000C4611"/>
    <w:rsid w:val="000D1B61"/>
    <w:rsid w:val="000D6854"/>
    <w:rsid w:val="000E0B26"/>
    <w:rsid w:val="000E3291"/>
    <w:rsid w:val="000F08FE"/>
    <w:rsid w:val="000F208B"/>
    <w:rsid w:val="000F2A48"/>
    <w:rsid w:val="000F49BE"/>
    <w:rsid w:val="00100246"/>
    <w:rsid w:val="0010682D"/>
    <w:rsid w:val="001073C6"/>
    <w:rsid w:val="00107DB5"/>
    <w:rsid w:val="00113613"/>
    <w:rsid w:val="0011483D"/>
    <w:rsid w:val="00115724"/>
    <w:rsid w:val="00130995"/>
    <w:rsid w:val="00131FF9"/>
    <w:rsid w:val="00132320"/>
    <w:rsid w:val="00135B6A"/>
    <w:rsid w:val="001369A7"/>
    <w:rsid w:val="001428C5"/>
    <w:rsid w:val="001503D8"/>
    <w:rsid w:val="00157540"/>
    <w:rsid w:val="0017111F"/>
    <w:rsid w:val="00173CF6"/>
    <w:rsid w:val="00180DAD"/>
    <w:rsid w:val="0018370E"/>
    <w:rsid w:val="001852E1"/>
    <w:rsid w:val="00191568"/>
    <w:rsid w:val="001A4277"/>
    <w:rsid w:val="001A7D2E"/>
    <w:rsid w:val="001B1DF9"/>
    <w:rsid w:val="001B1E93"/>
    <w:rsid w:val="001B375E"/>
    <w:rsid w:val="001B4A46"/>
    <w:rsid w:val="001B5E87"/>
    <w:rsid w:val="001B5E91"/>
    <w:rsid w:val="001B69BF"/>
    <w:rsid w:val="001B7988"/>
    <w:rsid w:val="001D78D9"/>
    <w:rsid w:val="001E0556"/>
    <w:rsid w:val="001E2355"/>
    <w:rsid w:val="001E2379"/>
    <w:rsid w:val="001E29A9"/>
    <w:rsid w:val="001F5857"/>
    <w:rsid w:val="00206EC3"/>
    <w:rsid w:val="0021047C"/>
    <w:rsid w:val="00211E4E"/>
    <w:rsid w:val="00213D1C"/>
    <w:rsid w:val="00214C3A"/>
    <w:rsid w:val="00217517"/>
    <w:rsid w:val="00222628"/>
    <w:rsid w:val="002253CB"/>
    <w:rsid w:val="002267A6"/>
    <w:rsid w:val="002326DE"/>
    <w:rsid w:val="00234314"/>
    <w:rsid w:val="00241724"/>
    <w:rsid w:val="0024390C"/>
    <w:rsid w:val="002441F4"/>
    <w:rsid w:val="00244204"/>
    <w:rsid w:val="002448A4"/>
    <w:rsid w:val="00245A0A"/>
    <w:rsid w:val="00246C42"/>
    <w:rsid w:val="002515CC"/>
    <w:rsid w:val="00253EC4"/>
    <w:rsid w:val="00254515"/>
    <w:rsid w:val="0026479D"/>
    <w:rsid w:val="002673C4"/>
    <w:rsid w:val="0027112B"/>
    <w:rsid w:val="00271C3F"/>
    <w:rsid w:val="00272460"/>
    <w:rsid w:val="00273070"/>
    <w:rsid w:val="0027394A"/>
    <w:rsid w:val="00274D50"/>
    <w:rsid w:val="002760D5"/>
    <w:rsid w:val="00276289"/>
    <w:rsid w:val="0028081D"/>
    <w:rsid w:val="0028458C"/>
    <w:rsid w:val="002911BD"/>
    <w:rsid w:val="00291C98"/>
    <w:rsid w:val="00294DE9"/>
    <w:rsid w:val="002A1488"/>
    <w:rsid w:val="002A4C2B"/>
    <w:rsid w:val="002B19D0"/>
    <w:rsid w:val="002B3682"/>
    <w:rsid w:val="002B5464"/>
    <w:rsid w:val="002C0443"/>
    <w:rsid w:val="002C12FB"/>
    <w:rsid w:val="002C24BC"/>
    <w:rsid w:val="002D03C6"/>
    <w:rsid w:val="002D0FDF"/>
    <w:rsid w:val="002D3955"/>
    <w:rsid w:val="002D68A9"/>
    <w:rsid w:val="002E06AE"/>
    <w:rsid w:val="002E4B75"/>
    <w:rsid w:val="002E68DD"/>
    <w:rsid w:val="002F17C2"/>
    <w:rsid w:val="002F32EE"/>
    <w:rsid w:val="002F4054"/>
    <w:rsid w:val="002F5574"/>
    <w:rsid w:val="00301D20"/>
    <w:rsid w:val="00302B19"/>
    <w:rsid w:val="00303428"/>
    <w:rsid w:val="003053C4"/>
    <w:rsid w:val="003058A3"/>
    <w:rsid w:val="00307204"/>
    <w:rsid w:val="00307DA5"/>
    <w:rsid w:val="0031169D"/>
    <w:rsid w:val="0031170D"/>
    <w:rsid w:val="00313E14"/>
    <w:rsid w:val="003167DD"/>
    <w:rsid w:val="00320C8B"/>
    <w:rsid w:val="00321BD8"/>
    <w:rsid w:val="00325687"/>
    <w:rsid w:val="00332C14"/>
    <w:rsid w:val="00335079"/>
    <w:rsid w:val="003352CE"/>
    <w:rsid w:val="00341D8E"/>
    <w:rsid w:val="003502B9"/>
    <w:rsid w:val="00351B8F"/>
    <w:rsid w:val="00353226"/>
    <w:rsid w:val="00353717"/>
    <w:rsid w:val="00354630"/>
    <w:rsid w:val="00365A24"/>
    <w:rsid w:val="003712DB"/>
    <w:rsid w:val="00373DDC"/>
    <w:rsid w:val="00382A86"/>
    <w:rsid w:val="00383BCC"/>
    <w:rsid w:val="00385243"/>
    <w:rsid w:val="003925D4"/>
    <w:rsid w:val="0039318C"/>
    <w:rsid w:val="00393366"/>
    <w:rsid w:val="003937DC"/>
    <w:rsid w:val="00393D75"/>
    <w:rsid w:val="003A2F2D"/>
    <w:rsid w:val="003A43AC"/>
    <w:rsid w:val="003A4EB6"/>
    <w:rsid w:val="003A7AE9"/>
    <w:rsid w:val="003A7BC5"/>
    <w:rsid w:val="003A7FF5"/>
    <w:rsid w:val="003B0352"/>
    <w:rsid w:val="003B4437"/>
    <w:rsid w:val="003B48C4"/>
    <w:rsid w:val="003B5E20"/>
    <w:rsid w:val="003B6DAD"/>
    <w:rsid w:val="003B735F"/>
    <w:rsid w:val="003C030C"/>
    <w:rsid w:val="003C55FC"/>
    <w:rsid w:val="003D0EC3"/>
    <w:rsid w:val="003D7274"/>
    <w:rsid w:val="003E4D82"/>
    <w:rsid w:val="003E5BC1"/>
    <w:rsid w:val="003F0D1B"/>
    <w:rsid w:val="003F1DD6"/>
    <w:rsid w:val="00401087"/>
    <w:rsid w:val="00402E26"/>
    <w:rsid w:val="00405701"/>
    <w:rsid w:val="004110BC"/>
    <w:rsid w:val="0041271F"/>
    <w:rsid w:val="0041688E"/>
    <w:rsid w:val="004170EF"/>
    <w:rsid w:val="0042093C"/>
    <w:rsid w:val="004233DD"/>
    <w:rsid w:val="00424405"/>
    <w:rsid w:val="00425B25"/>
    <w:rsid w:val="00425D24"/>
    <w:rsid w:val="00426A4D"/>
    <w:rsid w:val="00427687"/>
    <w:rsid w:val="00433231"/>
    <w:rsid w:val="004334CA"/>
    <w:rsid w:val="0043506A"/>
    <w:rsid w:val="00435830"/>
    <w:rsid w:val="0043619C"/>
    <w:rsid w:val="0044475D"/>
    <w:rsid w:val="00444D1E"/>
    <w:rsid w:val="0044571A"/>
    <w:rsid w:val="0044705D"/>
    <w:rsid w:val="0045090E"/>
    <w:rsid w:val="00453E36"/>
    <w:rsid w:val="00457286"/>
    <w:rsid w:val="00461FA5"/>
    <w:rsid w:val="00463566"/>
    <w:rsid w:val="00464182"/>
    <w:rsid w:val="00471C52"/>
    <w:rsid w:val="0047460C"/>
    <w:rsid w:val="00474FF2"/>
    <w:rsid w:val="00480098"/>
    <w:rsid w:val="00484A93"/>
    <w:rsid w:val="00485E12"/>
    <w:rsid w:val="004865DA"/>
    <w:rsid w:val="0048779C"/>
    <w:rsid w:val="00487AB7"/>
    <w:rsid w:val="00487ED0"/>
    <w:rsid w:val="00491D09"/>
    <w:rsid w:val="0049682C"/>
    <w:rsid w:val="004A168E"/>
    <w:rsid w:val="004A4EC7"/>
    <w:rsid w:val="004B0003"/>
    <w:rsid w:val="004C020A"/>
    <w:rsid w:val="004C03A3"/>
    <w:rsid w:val="004C44B8"/>
    <w:rsid w:val="004C7629"/>
    <w:rsid w:val="004D0D5D"/>
    <w:rsid w:val="004E27DD"/>
    <w:rsid w:val="004E3350"/>
    <w:rsid w:val="004E5292"/>
    <w:rsid w:val="004F2C5B"/>
    <w:rsid w:val="004F641B"/>
    <w:rsid w:val="004F71F3"/>
    <w:rsid w:val="005052FA"/>
    <w:rsid w:val="005069E1"/>
    <w:rsid w:val="00507E59"/>
    <w:rsid w:val="005122B5"/>
    <w:rsid w:val="0052381C"/>
    <w:rsid w:val="005346B3"/>
    <w:rsid w:val="0054051C"/>
    <w:rsid w:val="00546A84"/>
    <w:rsid w:val="00547BE2"/>
    <w:rsid w:val="0055353D"/>
    <w:rsid w:val="0056187C"/>
    <w:rsid w:val="00576B03"/>
    <w:rsid w:val="00581E1A"/>
    <w:rsid w:val="00591655"/>
    <w:rsid w:val="00591BEC"/>
    <w:rsid w:val="005940EA"/>
    <w:rsid w:val="00594448"/>
    <w:rsid w:val="005A1D6F"/>
    <w:rsid w:val="005A4D82"/>
    <w:rsid w:val="005A52A6"/>
    <w:rsid w:val="005B0DEC"/>
    <w:rsid w:val="005B368E"/>
    <w:rsid w:val="005B6E69"/>
    <w:rsid w:val="005C0015"/>
    <w:rsid w:val="005C1E82"/>
    <w:rsid w:val="005C2BCE"/>
    <w:rsid w:val="005C2CA5"/>
    <w:rsid w:val="005C7062"/>
    <w:rsid w:val="005C7788"/>
    <w:rsid w:val="005D10B9"/>
    <w:rsid w:val="005D18DA"/>
    <w:rsid w:val="005E00DC"/>
    <w:rsid w:val="005E3BBC"/>
    <w:rsid w:val="005E3EC6"/>
    <w:rsid w:val="005E4E07"/>
    <w:rsid w:val="005E4E46"/>
    <w:rsid w:val="005E5275"/>
    <w:rsid w:val="005E7DC8"/>
    <w:rsid w:val="005E7EC9"/>
    <w:rsid w:val="005F7087"/>
    <w:rsid w:val="00611BE4"/>
    <w:rsid w:val="0061219B"/>
    <w:rsid w:val="00621419"/>
    <w:rsid w:val="00626446"/>
    <w:rsid w:val="00626BE8"/>
    <w:rsid w:val="00631827"/>
    <w:rsid w:val="00632804"/>
    <w:rsid w:val="006376DA"/>
    <w:rsid w:val="006459DA"/>
    <w:rsid w:val="006502E8"/>
    <w:rsid w:val="00654A2B"/>
    <w:rsid w:val="0065675C"/>
    <w:rsid w:val="0065793F"/>
    <w:rsid w:val="0066263B"/>
    <w:rsid w:val="0066713A"/>
    <w:rsid w:val="0067195C"/>
    <w:rsid w:val="006724F7"/>
    <w:rsid w:val="0067511A"/>
    <w:rsid w:val="0067539B"/>
    <w:rsid w:val="00675543"/>
    <w:rsid w:val="00677396"/>
    <w:rsid w:val="00677AD9"/>
    <w:rsid w:val="00681970"/>
    <w:rsid w:val="00690641"/>
    <w:rsid w:val="00690D88"/>
    <w:rsid w:val="00691844"/>
    <w:rsid w:val="00693DDF"/>
    <w:rsid w:val="00696F9E"/>
    <w:rsid w:val="006A374A"/>
    <w:rsid w:val="006A505E"/>
    <w:rsid w:val="006A513E"/>
    <w:rsid w:val="006A5265"/>
    <w:rsid w:val="006B0CB9"/>
    <w:rsid w:val="006B2609"/>
    <w:rsid w:val="006B2750"/>
    <w:rsid w:val="006B3678"/>
    <w:rsid w:val="006B7390"/>
    <w:rsid w:val="006C0084"/>
    <w:rsid w:val="006C107D"/>
    <w:rsid w:val="006C3600"/>
    <w:rsid w:val="006C4534"/>
    <w:rsid w:val="006C5205"/>
    <w:rsid w:val="006C75F6"/>
    <w:rsid w:val="006D3F53"/>
    <w:rsid w:val="006D60AF"/>
    <w:rsid w:val="006E4722"/>
    <w:rsid w:val="00701651"/>
    <w:rsid w:val="007049BF"/>
    <w:rsid w:val="00704E79"/>
    <w:rsid w:val="00707A26"/>
    <w:rsid w:val="0071120F"/>
    <w:rsid w:val="00716380"/>
    <w:rsid w:val="00722165"/>
    <w:rsid w:val="00724B1C"/>
    <w:rsid w:val="007428F0"/>
    <w:rsid w:val="007512EF"/>
    <w:rsid w:val="007551AC"/>
    <w:rsid w:val="0076101C"/>
    <w:rsid w:val="00763D87"/>
    <w:rsid w:val="007670B2"/>
    <w:rsid w:val="00771795"/>
    <w:rsid w:val="00774925"/>
    <w:rsid w:val="0079279F"/>
    <w:rsid w:val="00793E69"/>
    <w:rsid w:val="007A063C"/>
    <w:rsid w:val="007A16B0"/>
    <w:rsid w:val="007A19EA"/>
    <w:rsid w:val="007A6092"/>
    <w:rsid w:val="007A60B7"/>
    <w:rsid w:val="007A64A6"/>
    <w:rsid w:val="007A6EE1"/>
    <w:rsid w:val="007A7C89"/>
    <w:rsid w:val="007B1487"/>
    <w:rsid w:val="007B2A43"/>
    <w:rsid w:val="007B326F"/>
    <w:rsid w:val="007B6A58"/>
    <w:rsid w:val="007B6C06"/>
    <w:rsid w:val="007B7B78"/>
    <w:rsid w:val="007C32B1"/>
    <w:rsid w:val="007C7A22"/>
    <w:rsid w:val="007C7C62"/>
    <w:rsid w:val="007D1076"/>
    <w:rsid w:val="007D12B7"/>
    <w:rsid w:val="007D2A49"/>
    <w:rsid w:val="007D5E38"/>
    <w:rsid w:val="007D7AC4"/>
    <w:rsid w:val="007E0340"/>
    <w:rsid w:val="007E1D4A"/>
    <w:rsid w:val="007E53C0"/>
    <w:rsid w:val="007E7703"/>
    <w:rsid w:val="007F4558"/>
    <w:rsid w:val="007F64DF"/>
    <w:rsid w:val="008050EF"/>
    <w:rsid w:val="0080652C"/>
    <w:rsid w:val="0080715F"/>
    <w:rsid w:val="008113D6"/>
    <w:rsid w:val="00812BA7"/>
    <w:rsid w:val="00813A87"/>
    <w:rsid w:val="00813F63"/>
    <w:rsid w:val="00815926"/>
    <w:rsid w:val="00815F57"/>
    <w:rsid w:val="0081760B"/>
    <w:rsid w:val="008218AC"/>
    <w:rsid w:val="00825359"/>
    <w:rsid w:val="00825E13"/>
    <w:rsid w:val="00826F07"/>
    <w:rsid w:val="008337CB"/>
    <w:rsid w:val="00834A3C"/>
    <w:rsid w:val="008360A0"/>
    <w:rsid w:val="00837658"/>
    <w:rsid w:val="00837CD4"/>
    <w:rsid w:val="00837F78"/>
    <w:rsid w:val="008400EE"/>
    <w:rsid w:val="00840791"/>
    <w:rsid w:val="00845576"/>
    <w:rsid w:val="00850708"/>
    <w:rsid w:val="00851024"/>
    <w:rsid w:val="008526D7"/>
    <w:rsid w:val="0086238C"/>
    <w:rsid w:val="008655DC"/>
    <w:rsid w:val="0086732D"/>
    <w:rsid w:val="00870183"/>
    <w:rsid w:val="00875726"/>
    <w:rsid w:val="00877F10"/>
    <w:rsid w:val="0088225D"/>
    <w:rsid w:val="00882F8D"/>
    <w:rsid w:val="00884FB0"/>
    <w:rsid w:val="008853A5"/>
    <w:rsid w:val="008944DA"/>
    <w:rsid w:val="00894D78"/>
    <w:rsid w:val="008A6A18"/>
    <w:rsid w:val="008B033F"/>
    <w:rsid w:val="008B4003"/>
    <w:rsid w:val="008B7443"/>
    <w:rsid w:val="008C179E"/>
    <w:rsid w:val="008C2379"/>
    <w:rsid w:val="008C4FF7"/>
    <w:rsid w:val="008C5C4C"/>
    <w:rsid w:val="008C7056"/>
    <w:rsid w:val="008C706D"/>
    <w:rsid w:val="008D3145"/>
    <w:rsid w:val="008E1A54"/>
    <w:rsid w:val="008E1F95"/>
    <w:rsid w:val="008E36B6"/>
    <w:rsid w:val="008E4267"/>
    <w:rsid w:val="008E4847"/>
    <w:rsid w:val="008E5FF1"/>
    <w:rsid w:val="008E63D2"/>
    <w:rsid w:val="008E6E14"/>
    <w:rsid w:val="008F1528"/>
    <w:rsid w:val="008F1AE5"/>
    <w:rsid w:val="008F55D9"/>
    <w:rsid w:val="009057DE"/>
    <w:rsid w:val="00905F97"/>
    <w:rsid w:val="00906FA3"/>
    <w:rsid w:val="0091239D"/>
    <w:rsid w:val="00912825"/>
    <w:rsid w:val="009129B8"/>
    <w:rsid w:val="00912B99"/>
    <w:rsid w:val="00912C78"/>
    <w:rsid w:val="00927892"/>
    <w:rsid w:val="009319B9"/>
    <w:rsid w:val="009351E9"/>
    <w:rsid w:val="00937862"/>
    <w:rsid w:val="00942279"/>
    <w:rsid w:val="009524EB"/>
    <w:rsid w:val="00962013"/>
    <w:rsid w:val="00963942"/>
    <w:rsid w:val="0096716C"/>
    <w:rsid w:val="009672B2"/>
    <w:rsid w:val="00971C66"/>
    <w:rsid w:val="00972363"/>
    <w:rsid w:val="0098419C"/>
    <w:rsid w:val="009843EF"/>
    <w:rsid w:val="009867F2"/>
    <w:rsid w:val="00991347"/>
    <w:rsid w:val="00996018"/>
    <w:rsid w:val="0099738E"/>
    <w:rsid w:val="009A493E"/>
    <w:rsid w:val="009A531F"/>
    <w:rsid w:val="009A6931"/>
    <w:rsid w:val="009B1F9A"/>
    <w:rsid w:val="009B1FA9"/>
    <w:rsid w:val="009B349F"/>
    <w:rsid w:val="009B4293"/>
    <w:rsid w:val="009B6715"/>
    <w:rsid w:val="009C7B74"/>
    <w:rsid w:val="009D0BE2"/>
    <w:rsid w:val="009D114E"/>
    <w:rsid w:val="009D210F"/>
    <w:rsid w:val="009D309C"/>
    <w:rsid w:val="009D37B1"/>
    <w:rsid w:val="009D4717"/>
    <w:rsid w:val="009D694D"/>
    <w:rsid w:val="009E264E"/>
    <w:rsid w:val="009F0C98"/>
    <w:rsid w:val="009F0F81"/>
    <w:rsid w:val="009F2543"/>
    <w:rsid w:val="009F256D"/>
    <w:rsid w:val="009F341E"/>
    <w:rsid w:val="009F57CE"/>
    <w:rsid w:val="00A117CA"/>
    <w:rsid w:val="00A12225"/>
    <w:rsid w:val="00A14C18"/>
    <w:rsid w:val="00A25898"/>
    <w:rsid w:val="00A3071D"/>
    <w:rsid w:val="00A3182E"/>
    <w:rsid w:val="00A31A89"/>
    <w:rsid w:val="00A32F06"/>
    <w:rsid w:val="00A34934"/>
    <w:rsid w:val="00A34EFE"/>
    <w:rsid w:val="00A36546"/>
    <w:rsid w:val="00A4069C"/>
    <w:rsid w:val="00A413B5"/>
    <w:rsid w:val="00A429CB"/>
    <w:rsid w:val="00A44E87"/>
    <w:rsid w:val="00A5063C"/>
    <w:rsid w:val="00A52749"/>
    <w:rsid w:val="00A5422E"/>
    <w:rsid w:val="00A56EC1"/>
    <w:rsid w:val="00A6350C"/>
    <w:rsid w:val="00A6370B"/>
    <w:rsid w:val="00A63A73"/>
    <w:rsid w:val="00A6655C"/>
    <w:rsid w:val="00A66CBB"/>
    <w:rsid w:val="00A6704E"/>
    <w:rsid w:val="00A67EA4"/>
    <w:rsid w:val="00A773FF"/>
    <w:rsid w:val="00A83AA1"/>
    <w:rsid w:val="00A906F4"/>
    <w:rsid w:val="00A9343A"/>
    <w:rsid w:val="00A9706C"/>
    <w:rsid w:val="00A97B34"/>
    <w:rsid w:val="00AA1B5C"/>
    <w:rsid w:val="00AA7A27"/>
    <w:rsid w:val="00AB3FB0"/>
    <w:rsid w:val="00AB465D"/>
    <w:rsid w:val="00AB713D"/>
    <w:rsid w:val="00AC114C"/>
    <w:rsid w:val="00AC1478"/>
    <w:rsid w:val="00AC6C2D"/>
    <w:rsid w:val="00AC6E17"/>
    <w:rsid w:val="00AD2FF3"/>
    <w:rsid w:val="00AD7764"/>
    <w:rsid w:val="00AD7FE2"/>
    <w:rsid w:val="00AE1284"/>
    <w:rsid w:val="00AE1B18"/>
    <w:rsid w:val="00AE7339"/>
    <w:rsid w:val="00AF1B0B"/>
    <w:rsid w:val="00AF242C"/>
    <w:rsid w:val="00AF3CC4"/>
    <w:rsid w:val="00B05903"/>
    <w:rsid w:val="00B12C7A"/>
    <w:rsid w:val="00B12E10"/>
    <w:rsid w:val="00B22BC3"/>
    <w:rsid w:val="00B25865"/>
    <w:rsid w:val="00B272B6"/>
    <w:rsid w:val="00B2771B"/>
    <w:rsid w:val="00B336E9"/>
    <w:rsid w:val="00B33AE5"/>
    <w:rsid w:val="00B35BE5"/>
    <w:rsid w:val="00B46965"/>
    <w:rsid w:val="00B54ED0"/>
    <w:rsid w:val="00B55D47"/>
    <w:rsid w:val="00B6204E"/>
    <w:rsid w:val="00B649EC"/>
    <w:rsid w:val="00B728DD"/>
    <w:rsid w:val="00B72D43"/>
    <w:rsid w:val="00B74121"/>
    <w:rsid w:val="00B80ABA"/>
    <w:rsid w:val="00B859FF"/>
    <w:rsid w:val="00B85C1B"/>
    <w:rsid w:val="00B85FF0"/>
    <w:rsid w:val="00B86150"/>
    <w:rsid w:val="00B878F9"/>
    <w:rsid w:val="00B9044A"/>
    <w:rsid w:val="00B960F3"/>
    <w:rsid w:val="00B96A31"/>
    <w:rsid w:val="00BA05E6"/>
    <w:rsid w:val="00BA51B0"/>
    <w:rsid w:val="00BA6319"/>
    <w:rsid w:val="00BC03B0"/>
    <w:rsid w:val="00BC06A3"/>
    <w:rsid w:val="00BC0CEA"/>
    <w:rsid w:val="00BC2220"/>
    <w:rsid w:val="00BC26B9"/>
    <w:rsid w:val="00BC26FA"/>
    <w:rsid w:val="00BC4E01"/>
    <w:rsid w:val="00BC73F6"/>
    <w:rsid w:val="00BD1177"/>
    <w:rsid w:val="00BD1374"/>
    <w:rsid w:val="00BD3531"/>
    <w:rsid w:val="00BD4E35"/>
    <w:rsid w:val="00BE34CA"/>
    <w:rsid w:val="00BF116A"/>
    <w:rsid w:val="00C0623C"/>
    <w:rsid w:val="00C06A07"/>
    <w:rsid w:val="00C132B6"/>
    <w:rsid w:val="00C21A6C"/>
    <w:rsid w:val="00C24A10"/>
    <w:rsid w:val="00C27003"/>
    <w:rsid w:val="00C27597"/>
    <w:rsid w:val="00C32BD4"/>
    <w:rsid w:val="00C33E48"/>
    <w:rsid w:val="00C3618B"/>
    <w:rsid w:val="00C403FB"/>
    <w:rsid w:val="00C4316E"/>
    <w:rsid w:val="00C441A2"/>
    <w:rsid w:val="00C5076B"/>
    <w:rsid w:val="00C512D4"/>
    <w:rsid w:val="00C51CF4"/>
    <w:rsid w:val="00C531E2"/>
    <w:rsid w:val="00C53204"/>
    <w:rsid w:val="00C57E34"/>
    <w:rsid w:val="00C64659"/>
    <w:rsid w:val="00C662E9"/>
    <w:rsid w:val="00C66C2D"/>
    <w:rsid w:val="00C7190B"/>
    <w:rsid w:val="00C76852"/>
    <w:rsid w:val="00C77210"/>
    <w:rsid w:val="00C777FA"/>
    <w:rsid w:val="00C77989"/>
    <w:rsid w:val="00C811F4"/>
    <w:rsid w:val="00C81E51"/>
    <w:rsid w:val="00C87B73"/>
    <w:rsid w:val="00C92444"/>
    <w:rsid w:val="00C92FBB"/>
    <w:rsid w:val="00C93327"/>
    <w:rsid w:val="00C97B4D"/>
    <w:rsid w:val="00CA5602"/>
    <w:rsid w:val="00CA5CA9"/>
    <w:rsid w:val="00CA78E2"/>
    <w:rsid w:val="00CB1BBE"/>
    <w:rsid w:val="00CB65DB"/>
    <w:rsid w:val="00CB6BD9"/>
    <w:rsid w:val="00CC293A"/>
    <w:rsid w:val="00CE19F6"/>
    <w:rsid w:val="00CE6B76"/>
    <w:rsid w:val="00CF366B"/>
    <w:rsid w:val="00CF5D9D"/>
    <w:rsid w:val="00CF606C"/>
    <w:rsid w:val="00CF7423"/>
    <w:rsid w:val="00D001F5"/>
    <w:rsid w:val="00D03E80"/>
    <w:rsid w:val="00D1505F"/>
    <w:rsid w:val="00D15B9F"/>
    <w:rsid w:val="00D15DD6"/>
    <w:rsid w:val="00D25548"/>
    <w:rsid w:val="00D2601F"/>
    <w:rsid w:val="00D27759"/>
    <w:rsid w:val="00D30028"/>
    <w:rsid w:val="00D325D3"/>
    <w:rsid w:val="00D408D6"/>
    <w:rsid w:val="00D511DD"/>
    <w:rsid w:val="00D55C2A"/>
    <w:rsid w:val="00D571C1"/>
    <w:rsid w:val="00D602F4"/>
    <w:rsid w:val="00D6457E"/>
    <w:rsid w:val="00D742E2"/>
    <w:rsid w:val="00D7580E"/>
    <w:rsid w:val="00D87DAF"/>
    <w:rsid w:val="00D9446D"/>
    <w:rsid w:val="00DA2994"/>
    <w:rsid w:val="00DB08E8"/>
    <w:rsid w:val="00DB0DED"/>
    <w:rsid w:val="00DB3073"/>
    <w:rsid w:val="00DB3BA9"/>
    <w:rsid w:val="00DB50FE"/>
    <w:rsid w:val="00DB5EDA"/>
    <w:rsid w:val="00DC2349"/>
    <w:rsid w:val="00DC3026"/>
    <w:rsid w:val="00DD1EDB"/>
    <w:rsid w:val="00DD57AA"/>
    <w:rsid w:val="00DE1578"/>
    <w:rsid w:val="00DE7F67"/>
    <w:rsid w:val="00DF0529"/>
    <w:rsid w:val="00DF09EF"/>
    <w:rsid w:val="00DF0D0F"/>
    <w:rsid w:val="00DF13D6"/>
    <w:rsid w:val="00DF27D6"/>
    <w:rsid w:val="00DF2BEA"/>
    <w:rsid w:val="00DF4488"/>
    <w:rsid w:val="00DF5B98"/>
    <w:rsid w:val="00DF6FA8"/>
    <w:rsid w:val="00DF701E"/>
    <w:rsid w:val="00DF7BE5"/>
    <w:rsid w:val="00E00D49"/>
    <w:rsid w:val="00E019A8"/>
    <w:rsid w:val="00E03A46"/>
    <w:rsid w:val="00E03C6D"/>
    <w:rsid w:val="00E0476F"/>
    <w:rsid w:val="00E04899"/>
    <w:rsid w:val="00E0796F"/>
    <w:rsid w:val="00E10948"/>
    <w:rsid w:val="00E24371"/>
    <w:rsid w:val="00E243AB"/>
    <w:rsid w:val="00E26641"/>
    <w:rsid w:val="00E2778F"/>
    <w:rsid w:val="00E278B0"/>
    <w:rsid w:val="00E33023"/>
    <w:rsid w:val="00E331F3"/>
    <w:rsid w:val="00E3498D"/>
    <w:rsid w:val="00E42425"/>
    <w:rsid w:val="00E43E55"/>
    <w:rsid w:val="00E4554E"/>
    <w:rsid w:val="00E46D22"/>
    <w:rsid w:val="00E4768F"/>
    <w:rsid w:val="00E53C0E"/>
    <w:rsid w:val="00E54F7E"/>
    <w:rsid w:val="00E560CE"/>
    <w:rsid w:val="00E5674E"/>
    <w:rsid w:val="00E63783"/>
    <w:rsid w:val="00E650E2"/>
    <w:rsid w:val="00E75CAD"/>
    <w:rsid w:val="00E76922"/>
    <w:rsid w:val="00E8595B"/>
    <w:rsid w:val="00E915EC"/>
    <w:rsid w:val="00EA11B1"/>
    <w:rsid w:val="00EA2224"/>
    <w:rsid w:val="00EA7194"/>
    <w:rsid w:val="00EB1329"/>
    <w:rsid w:val="00EB2987"/>
    <w:rsid w:val="00EB2D75"/>
    <w:rsid w:val="00EB34BE"/>
    <w:rsid w:val="00EB571A"/>
    <w:rsid w:val="00EC2804"/>
    <w:rsid w:val="00EC6117"/>
    <w:rsid w:val="00EC6138"/>
    <w:rsid w:val="00ED1DCF"/>
    <w:rsid w:val="00ED43C9"/>
    <w:rsid w:val="00EE2C60"/>
    <w:rsid w:val="00EE2E58"/>
    <w:rsid w:val="00EE487A"/>
    <w:rsid w:val="00EE734C"/>
    <w:rsid w:val="00EF6907"/>
    <w:rsid w:val="00EF6D91"/>
    <w:rsid w:val="00F01F54"/>
    <w:rsid w:val="00F04D4D"/>
    <w:rsid w:val="00F11DD8"/>
    <w:rsid w:val="00F12745"/>
    <w:rsid w:val="00F13766"/>
    <w:rsid w:val="00F20A77"/>
    <w:rsid w:val="00F22C60"/>
    <w:rsid w:val="00F231A4"/>
    <w:rsid w:val="00F23252"/>
    <w:rsid w:val="00F27B2A"/>
    <w:rsid w:val="00F31762"/>
    <w:rsid w:val="00F345D3"/>
    <w:rsid w:val="00F356ED"/>
    <w:rsid w:val="00F359B5"/>
    <w:rsid w:val="00F4144F"/>
    <w:rsid w:val="00F433F3"/>
    <w:rsid w:val="00F47F64"/>
    <w:rsid w:val="00F522D9"/>
    <w:rsid w:val="00F52F54"/>
    <w:rsid w:val="00F53584"/>
    <w:rsid w:val="00F61B24"/>
    <w:rsid w:val="00F62DE5"/>
    <w:rsid w:val="00F63F8A"/>
    <w:rsid w:val="00F6514E"/>
    <w:rsid w:val="00F703DC"/>
    <w:rsid w:val="00F71D06"/>
    <w:rsid w:val="00F73B46"/>
    <w:rsid w:val="00F73D01"/>
    <w:rsid w:val="00F7642B"/>
    <w:rsid w:val="00F76A43"/>
    <w:rsid w:val="00F80334"/>
    <w:rsid w:val="00F8139D"/>
    <w:rsid w:val="00F83DF9"/>
    <w:rsid w:val="00F85DA0"/>
    <w:rsid w:val="00F930AF"/>
    <w:rsid w:val="00F9352C"/>
    <w:rsid w:val="00F975B0"/>
    <w:rsid w:val="00FA15F1"/>
    <w:rsid w:val="00FA19F5"/>
    <w:rsid w:val="00FA4A69"/>
    <w:rsid w:val="00FA649A"/>
    <w:rsid w:val="00FB1248"/>
    <w:rsid w:val="00FB208D"/>
    <w:rsid w:val="00FB3CF4"/>
    <w:rsid w:val="00FB4A27"/>
    <w:rsid w:val="00FB4A49"/>
    <w:rsid w:val="00FB69B3"/>
    <w:rsid w:val="00FC6FBE"/>
    <w:rsid w:val="00FD1162"/>
    <w:rsid w:val="00FD2232"/>
    <w:rsid w:val="00FD4AE7"/>
    <w:rsid w:val="00FD65A9"/>
    <w:rsid w:val="00FD7508"/>
    <w:rsid w:val="00FE1E51"/>
    <w:rsid w:val="00FE2496"/>
    <w:rsid w:val="00FE6A2B"/>
    <w:rsid w:val="00FF0275"/>
    <w:rsid w:val="00FF07B3"/>
    <w:rsid w:val="00FF1E37"/>
    <w:rsid w:val="02F120AB"/>
    <w:rsid w:val="032B5196"/>
    <w:rsid w:val="04C3537C"/>
    <w:rsid w:val="074C1286"/>
    <w:rsid w:val="079004AC"/>
    <w:rsid w:val="08CC39F3"/>
    <w:rsid w:val="0BA148CA"/>
    <w:rsid w:val="0C1165C4"/>
    <w:rsid w:val="0CC92E28"/>
    <w:rsid w:val="0D6D544B"/>
    <w:rsid w:val="0DD136FE"/>
    <w:rsid w:val="0F8E2C57"/>
    <w:rsid w:val="1059665E"/>
    <w:rsid w:val="10AC13BA"/>
    <w:rsid w:val="11980797"/>
    <w:rsid w:val="145A6C1B"/>
    <w:rsid w:val="14B73493"/>
    <w:rsid w:val="167A2FF9"/>
    <w:rsid w:val="17E05399"/>
    <w:rsid w:val="18581C69"/>
    <w:rsid w:val="186D28E5"/>
    <w:rsid w:val="187140A3"/>
    <w:rsid w:val="1AEC0734"/>
    <w:rsid w:val="1C203C3A"/>
    <w:rsid w:val="1DEF20B0"/>
    <w:rsid w:val="214243FA"/>
    <w:rsid w:val="21AD613C"/>
    <w:rsid w:val="22467189"/>
    <w:rsid w:val="23084ECD"/>
    <w:rsid w:val="257A14F5"/>
    <w:rsid w:val="27196C26"/>
    <w:rsid w:val="28B60C4E"/>
    <w:rsid w:val="29EF086F"/>
    <w:rsid w:val="2A014A0F"/>
    <w:rsid w:val="2EFFE297"/>
    <w:rsid w:val="301437CA"/>
    <w:rsid w:val="32791381"/>
    <w:rsid w:val="349D1F0A"/>
    <w:rsid w:val="34DD0473"/>
    <w:rsid w:val="36366012"/>
    <w:rsid w:val="3C181CA7"/>
    <w:rsid w:val="3C684897"/>
    <w:rsid w:val="3C7157E5"/>
    <w:rsid w:val="41C6204F"/>
    <w:rsid w:val="433E495C"/>
    <w:rsid w:val="47FF6295"/>
    <w:rsid w:val="489F2FD7"/>
    <w:rsid w:val="4AC27CB3"/>
    <w:rsid w:val="4BF72BEF"/>
    <w:rsid w:val="4FA90297"/>
    <w:rsid w:val="4FC41A43"/>
    <w:rsid w:val="51DB3C59"/>
    <w:rsid w:val="550C0952"/>
    <w:rsid w:val="55762E42"/>
    <w:rsid w:val="57A7B272"/>
    <w:rsid w:val="58470068"/>
    <w:rsid w:val="58747CAC"/>
    <w:rsid w:val="5A1720F9"/>
    <w:rsid w:val="5B9C37C2"/>
    <w:rsid w:val="5BA7C654"/>
    <w:rsid w:val="60A54109"/>
    <w:rsid w:val="61D01CDF"/>
    <w:rsid w:val="62A96BB9"/>
    <w:rsid w:val="64C0607C"/>
    <w:rsid w:val="65756C86"/>
    <w:rsid w:val="674D385B"/>
    <w:rsid w:val="676F09E1"/>
    <w:rsid w:val="6BB05A92"/>
    <w:rsid w:val="6C9475E3"/>
    <w:rsid w:val="71793A80"/>
    <w:rsid w:val="7357290B"/>
    <w:rsid w:val="76A100CB"/>
    <w:rsid w:val="775B4C74"/>
    <w:rsid w:val="798524E4"/>
    <w:rsid w:val="7A7F1C49"/>
    <w:rsid w:val="7B5B7AE6"/>
    <w:rsid w:val="7B7B6628"/>
    <w:rsid w:val="7BA7071E"/>
    <w:rsid w:val="7BDF6DA8"/>
    <w:rsid w:val="7BDF7589"/>
    <w:rsid w:val="7C7EDC1A"/>
    <w:rsid w:val="7CCED98D"/>
    <w:rsid w:val="7D08410F"/>
    <w:rsid w:val="7D2759BE"/>
    <w:rsid w:val="7DB96DED"/>
    <w:rsid w:val="7DD3AD81"/>
    <w:rsid w:val="7EF20B9E"/>
    <w:rsid w:val="7F7FE70F"/>
    <w:rsid w:val="7FFF772F"/>
    <w:rsid w:val="95F35EF6"/>
    <w:rsid w:val="9BFFD860"/>
    <w:rsid w:val="AC5F73DE"/>
    <w:rsid w:val="B5DDD2C8"/>
    <w:rsid w:val="B9DFABD9"/>
    <w:rsid w:val="BC0D83FC"/>
    <w:rsid w:val="BF3BDEFB"/>
    <w:rsid w:val="C75F6086"/>
    <w:rsid w:val="C7F7ED2D"/>
    <w:rsid w:val="CFAF854E"/>
    <w:rsid w:val="D8D7928E"/>
    <w:rsid w:val="D8FE3136"/>
    <w:rsid w:val="DDDE60B7"/>
    <w:rsid w:val="DE9F6A22"/>
    <w:rsid w:val="DF4FCE6A"/>
    <w:rsid w:val="E4FED278"/>
    <w:rsid w:val="EDAA365C"/>
    <w:rsid w:val="EDADFC12"/>
    <w:rsid w:val="F2FD229B"/>
    <w:rsid w:val="F7F709E9"/>
    <w:rsid w:val="F7FF3690"/>
    <w:rsid w:val="F9BD3900"/>
    <w:rsid w:val="FC8B9876"/>
    <w:rsid w:val="FEDFF218"/>
    <w:rsid w:val="FEDFFF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qFormat/>
    <w:uiPriority w:val="0"/>
    <w:pPr>
      <w:keepNext/>
      <w:keepLines/>
      <w:spacing w:before="100" w:beforeAutospacing="1" w:after="100" w:afterAutospacing="1"/>
      <w:outlineLvl w:val="1"/>
    </w:pPr>
    <w:rPr>
      <w:rFonts w:ascii="Cambria" w:hAnsi="Cambria" w:eastAsia="黑体"/>
      <w:b/>
      <w:bCs/>
      <w:kern w:val="0"/>
      <w:sz w:val="36"/>
      <w:szCs w:val="32"/>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3">
    <w:name w:val="Normal Indent"/>
    <w:basedOn w:val="1"/>
    <w:qFormat/>
    <w:uiPriority w:val="0"/>
    <w:pPr>
      <w:ind w:firstLine="200" w:firstLineChars="200"/>
    </w:pPr>
  </w:style>
  <w:style w:type="paragraph" w:styleId="4">
    <w:name w:val="Body Text Indent"/>
    <w:basedOn w:val="1"/>
    <w:qFormat/>
    <w:uiPriority w:val="0"/>
    <w:pPr>
      <w:ind w:firstLine="645"/>
    </w:pPr>
    <w:rPr>
      <w:rFonts w:ascii="仿宋_GB2312" w:hAnsi="Calibri" w:eastAsia="仿宋_GB2312"/>
      <w:sz w:val="32"/>
      <w:szCs w:val="32"/>
    </w:rPr>
  </w:style>
  <w:style w:type="paragraph" w:styleId="5">
    <w:name w:val="Date"/>
    <w:basedOn w:val="1"/>
    <w:next w:val="1"/>
    <w:qFormat/>
    <w:uiPriority w:val="0"/>
    <w:pPr>
      <w:ind w:left="100" w:leftChars="2500"/>
    </w:pPr>
  </w:style>
  <w:style w:type="paragraph" w:styleId="6">
    <w:name w:val="Balloon Text"/>
    <w:basedOn w:val="1"/>
    <w:semiHidden/>
    <w:qFormat/>
    <w:uiPriority w:val="0"/>
    <w:rPr>
      <w:sz w:val="18"/>
      <w:szCs w:val="18"/>
    </w:rPr>
  </w:style>
  <w:style w:type="paragraph" w:styleId="7">
    <w:name w:val="footer"/>
    <w:basedOn w:val="1"/>
    <w:link w:val="14"/>
    <w:qFormat/>
    <w:uiPriority w:val="0"/>
    <w:pPr>
      <w:tabs>
        <w:tab w:val="center" w:pos="4153"/>
        <w:tab w:val="right" w:pos="8306"/>
      </w:tabs>
      <w:snapToGrid w:val="0"/>
      <w:jc w:val="left"/>
    </w:pPr>
    <w:rPr>
      <w:sz w:val="18"/>
      <w:szCs w:val="18"/>
    </w:rPr>
  </w:style>
  <w:style w:type="paragraph" w:styleId="8">
    <w:name w:val="header"/>
    <w:basedOn w:val="1"/>
    <w:link w:val="15"/>
    <w:qFormat/>
    <w:uiPriority w:val="0"/>
    <w:pPr>
      <w:pBdr>
        <w:bottom w:val="single" w:color="auto" w:sz="6" w:space="1"/>
      </w:pBdr>
      <w:tabs>
        <w:tab w:val="center" w:pos="4153"/>
        <w:tab w:val="right" w:pos="8306"/>
      </w:tabs>
      <w:snapToGrid w:val="0"/>
      <w:jc w:val="center"/>
    </w:pPr>
    <w:rPr>
      <w:rFonts w:ascii="Calibri" w:hAnsi="Calibri"/>
      <w:sz w:val="18"/>
      <w:szCs w:val="18"/>
    </w:rPr>
  </w:style>
  <w:style w:type="paragraph" w:styleId="9">
    <w:name w:val="Normal (Web)"/>
    <w:basedOn w:val="1"/>
    <w:unhideWhenUsed/>
    <w:qFormat/>
    <w:uiPriority w:val="0"/>
    <w:pPr>
      <w:spacing w:before="100" w:beforeAutospacing="1" w:after="100" w:afterAutospacing="1"/>
      <w:ind w:right="238"/>
      <w:jc w:val="left"/>
    </w:pPr>
    <w:rPr>
      <w:b/>
      <w:kern w:val="0"/>
      <w:sz w:val="24"/>
      <w:szCs w:val="20"/>
    </w:rPr>
  </w:style>
  <w:style w:type="character" w:styleId="12">
    <w:name w:val="Strong"/>
    <w:qFormat/>
    <w:uiPriority w:val="0"/>
    <w:rPr>
      <w:b/>
    </w:rPr>
  </w:style>
  <w:style w:type="character" w:styleId="13">
    <w:name w:val="page number"/>
    <w:qFormat/>
    <w:uiPriority w:val="0"/>
  </w:style>
  <w:style w:type="character" w:customStyle="1" w:styleId="14">
    <w:name w:val="页脚 Char"/>
    <w:link w:val="7"/>
    <w:qFormat/>
    <w:uiPriority w:val="0"/>
    <w:rPr>
      <w:rFonts w:eastAsia="宋体"/>
      <w:kern w:val="2"/>
      <w:sz w:val="18"/>
      <w:szCs w:val="18"/>
      <w:lang w:val="en-US" w:eastAsia="zh-CN" w:bidi="ar-SA"/>
    </w:rPr>
  </w:style>
  <w:style w:type="character" w:customStyle="1" w:styleId="15">
    <w:name w:val="页眉 Char"/>
    <w:link w:val="8"/>
    <w:qFormat/>
    <w:uiPriority w:val="0"/>
    <w:rPr>
      <w:rFonts w:ascii="Calibri" w:hAnsi="Calibri" w:eastAsia="宋体"/>
      <w:kern w:val="2"/>
      <w:sz w:val="18"/>
      <w:szCs w:val="18"/>
      <w:lang w:val="en-US" w:eastAsia="zh-CN" w:bidi="ar-SA"/>
    </w:rPr>
  </w:style>
  <w:style w:type="paragraph" w:customStyle="1" w:styleId="16">
    <w:name w:val="Char Char Char Char Char Char Char"/>
    <w:basedOn w:val="1"/>
    <w:qFormat/>
    <w:uiPriority w:val="0"/>
    <w:rPr>
      <w:rFonts w:ascii="Tahoma" w:hAnsi="Tahoma"/>
      <w:sz w:val="24"/>
      <w:szCs w:val="20"/>
    </w:rPr>
  </w:style>
  <w:style w:type="paragraph" w:customStyle="1" w:styleId="17">
    <w:name w:val="Char1 Char Char Char"/>
    <w:basedOn w:val="1"/>
    <w:qFormat/>
    <w:uiPriority w:val="0"/>
    <w:pPr>
      <w:widowControl/>
      <w:spacing w:after="160" w:line="240" w:lineRule="exact"/>
      <w:jc w:val="left"/>
    </w:pPr>
    <w:rPr>
      <w:szCs w:val="20"/>
    </w:rPr>
  </w:style>
  <w:style w:type="paragraph" w:customStyle="1" w:styleId="18">
    <w:name w:val="Char"/>
    <w:basedOn w:val="1"/>
    <w:qFormat/>
    <w:uiPriority w:val="0"/>
    <w:rPr>
      <w:rFonts w:ascii="Tahoma" w:hAnsi="Tahoma"/>
      <w:sz w:val="24"/>
      <w:szCs w:val="20"/>
    </w:rPr>
  </w:style>
  <w:style w:type="paragraph" w:customStyle="1" w:styleId="19">
    <w:name w:val="Char Char3 Char Char"/>
    <w:basedOn w:val="1"/>
    <w:qFormat/>
    <w:uiPriority w:val="0"/>
    <w:rPr>
      <w:szCs w:val="21"/>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hart" Target="charts/chart2.xml"/><Relationship Id="rId7" Type="http://schemas.openxmlformats.org/officeDocument/2006/relationships/chart" Target="charts/chart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Workbook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收入</c:v>
                </c:pt>
              </c:strCache>
            </c:strRef>
          </c:tx>
          <c:explosion val="0"/>
          <c:dPt>
            <c:idx val="0"/>
            <c:bubble3D val="0"/>
          </c:dPt>
          <c:dPt>
            <c:idx val="1"/>
            <c:bubble3D val="0"/>
          </c:dPt>
          <c:dPt>
            <c:idx val="2"/>
            <c:bubble3D val="0"/>
          </c:dPt>
          <c:dPt>
            <c:idx val="3"/>
            <c:bubble3D val="0"/>
          </c:dPt>
          <c:dPt>
            <c:idx val="4"/>
            <c:bubble3D val="0"/>
          </c:dPt>
          <c:dPt>
            <c:idx val="5"/>
            <c:bubble3D val="0"/>
          </c:dPt>
          <c:dLbls>
            <c:numFmt formatCode="0.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ext>
            </c:extLst>
          </c:dLbls>
          <c:cat>
            <c:strRef>
              <c:f>Sheet1!$A$2:$A$7</c:f>
              <c:strCache>
                <c:ptCount val="6"/>
                <c:pt idx="0">
                  <c:v>财政拨款收入</c:v>
                </c:pt>
                <c:pt idx="1">
                  <c:v>上级补助收入</c:v>
                </c:pt>
                <c:pt idx="2">
                  <c:v>事业收入</c:v>
                </c:pt>
                <c:pt idx="3">
                  <c:v>经营收入</c:v>
                </c:pt>
                <c:pt idx="4">
                  <c:v>附属单位上缴</c:v>
                </c:pt>
                <c:pt idx="5">
                  <c:v>其他收入</c:v>
                </c:pt>
              </c:strCache>
            </c:strRef>
          </c:cat>
          <c:val>
            <c:numRef>
              <c:f>Sheet1!$B$2:$B$7</c:f>
              <c:numCache>
                <c:formatCode>#,##0.00</c:formatCode>
                <c:ptCount val="6"/>
                <c:pt idx="0">
                  <c:v>8954166.27</c:v>
                </c:pt>
                <c:pt idx="1" c:formatCode="General">
                  <c:v>0</c:v>
                </c:pt>
                <c:pt idx="2" c:formatCode="General">
                  <c:v>0</c:v>
                </c:pt>
                <c:pt idx="3" c:formatCode="General">
                  <c:v>0</c:v>
                </c:pt>
                <c:pt idx="4" c:formatCode="General">
                  <c:v>0</c:v>
                </c:pt>
                <c:pt idx="5" c:formatCode="General">
                  <c:v>0</c:v>
                </c:pt>
              </c:numCache>
            </c:numRef>
          </c:val>
        </c:ser>
        <c:dLbls>
          <c:showLegendKey val="0"/>
          <c:showVal val="1"/>
          <c:showCatName val="0"/>
          <c:showSerName val="0"/>
          <c:showPercent val="0"/>
          <c:showBubbleSize val="0"/>
          <c:showLeaderLines val="1"/>
        </c:dLbls>
        <c:firstSliceAng val="0"/>
      </c:pieChart>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8eead88d-f93b-4946-aff0-2473cadd4077}"/>
      </c:ext>
    </c:extLst>
  </c:chart>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Sheet0!$B$1</c:f>
              <c:strCache>
                <c:ptCount val="1"/>
                <c:pt idx="0">
                  <c:v>支出</c:v>
                </c:pt>
              </c:strCache>
            </c:strRef>
          </c:tx>
          <c:explosion val="0"/>
          <c:dPt>
            <c:idx val="0"/>
            <c:bubble3D val="0"/>
            <c:spPr>
              <a:solidFill>
                <a:srgbClr val="4F81BD"/>
              </a:solidFill>
              <a:ln w="19050">
                <a:solidFill>
                  <a:srgbClr val="FFFFFF"/>
                </a:solidFill>
              </a:ln>
              <a:effectLst/>
            </c:spPr>
          </c:dPt>
          <c:dPt>
            <c:idx val="1"/>
            <c:bubble3D val="0"/>
            <c:spPr>
              <a:solidFill>
                <a:srgbClr val="C0504D"/>
              </a:solidFill>
              <a:ln w="19050">
                <a:solidFill>
                  <a:srgbClr val="FFFFFF"/>
                </a:solidFill>
              </a:ln>
              <a:effectLst/>
            </c:spPr>
          </c:dPt>
          <c:dPt>
            <c:idx val="2"/>
            <c:bubble3D val="0"/>
            <c:spPr>
              <a:solidFill>
                <a:srgbClr val="9BBB59"/>
              </a:solidFill>
              <a:ln w="19050">
                <a:solidFill>
                  <a:srgbClr val="FFFFFF"/>
                </a:solidFill>
              </a:ln>
              <a:effectLst/>
            </c:spPr>
          </c:dPt>
          <c:dPt>
            <c:idx val="3"/>
            <c:bubble3D val="0"/>
            <c:spPr>
              <a:solidFill>
                <a:srgbClr val="8064A2"/>
              </a:solidFill>
              <a:ln w="19050">
                <a:solidFill>
                  <a:srgbClr val="FFFFFF"/>
                </a:solidFill>
              </a:ln>
              <a:effectLst/>
            </c:spPr>
          </c:dPt>
          <c:dPt>
            <c:idx val="4"/>
            <c:bubble3D val="0"/>
            <c:spPr>
              <a:solidFill>
                <a:srgbClr val="4BACC6"/>
              </a:solidFill>
              <a:ln w="19050">
                <a:solidFill>
                  <a:srgbClr val="FFFFFF"/>
                </a:solidFill>
              </a:ln>
              <a:effectLst/>
            </c:spPr>
          </c:dPt>
          <c:dLbls>
            <c:dLbl>
              <c:idx val="1"/>
              <c:layout>
                <c:manualLayout>
                  <c:x val="-0.108549612192515"/>
                  <c:y val="-0.00854414470355454"/>
                </c:manualLayout>
              </c:layout>
              <c:dLblPos val="bestFit"/>
              <c:showLegendKey val="0"/>
              <c:showVal val="0"/>
              <c:showCatName val="0"/>
              <c:showSerName val="0"/>
              <c:showPercent val="1"/>
              <c:showBubbleSize val="0"/>
              <c:extLst>
                <c:ext xmlns:c15="http://schemas.microsoft.com/office/drawing/2012/chart" uri="{CE6537A1-D6FC-4f65-9D91-7224C49458BB}">
                  <c15:layout/>
                </c:ext>
              </c:extLst>
            </c:dLbl>
            <c:dLbl>
              <c:idx val="2"/>
              <c:layout>
                <c:manualLayout>
                  <c:x val="0.03099627059885"/>
                  <c:y val="-0.00816574074309873"/>
                </c:manualLayout>
              </c:layout>
              <c:dLblPos val="bestFit"/>
              <c:showLegendKey val="0"/>
              <c:showVal val="0"/>
              <c:showCatName val="0"/>
              <c:showSerName val="0"/>
              <c:showPercent val="1"/>
              <c:showBubbleSize val="0"/>
              <c:extLst>
                <c:ext xmlns:c15="http://schemas.microsoft.com/office/drawing/2012/chart" uri="{CE6537A1-D6FC-4f65-9D91-7224C49458BB}">
                  <c15:layout/>
                </c:ext>
              </c:extLst>
            </c:dLbl>
            <c:dLbl>
              <c:idx val="3"/>
              <c:layout>
                <c:manualLayout>
                  <c:x val="0.219305555555556"/>
                  <c:y val="-0.00816574074309873"/>
                </c:manualLayout>
              </c:layout>
              <c:dLblPos val="bestFit"/>
              <c:showLegendKey val="0"/>
              <c:showVal val="0"/>
              <c:showCatName val="0"/>
              <c:showSerName val="0"/>
              <c:showPercent val="1"/>
              <c:showBubbleSize val="0"/>
              <c:extLst>
                <c:ext xmlns:c15="http://schemas.microsoft.com/office/drawing/2012/chart" uri="{CE6537A1-D6FC-4f65-9D91-7224C49458BB}">
                  <c15:layout/>
                </c:ext>
              </c:extLst>
            </c:dLbl>
            <c:dLbl>
              <c:idx val="4"/>
              <c:layout>
                <c:manualLayout>
                  <c:x val="0.324127658247499"/>
                  <c:y val="0.0216223406211734"/>
                </c:manualLayout>
              </c:layout>
              <c:dLblPos val="bestFit"/>
              <c:showLegendKey val="0"/>
              <c:showVal val="0"/>
              <c:showCatName val="0"/>
              <c:showSerName val="0"/>
              <c:showPercent val="1"/>
              <c:showBubbleSize val="0"/>
              <c:extLst>
                <c:ext xmlns:c15="http://schemas.microsoft.com/office/drawing/2012/chart" uri="{CE6537A1-D6FC-4f65-9D91-7224C49458BB}">
                  <c15:layout/>
                </c:ext>
              </c:extLst>
            </c:dLbl>
            <c:numFmt formatCode="0.0%" sourceLinked="0"/>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solidFill>
                    <a:latin typeface="+mn-lt"/>
                    <a:ea typeface="+mn-ea"/>
                    <a:cs typeface="+mn-cs"/>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rgbClr val="A6A6A6">
                          <a:lumMod val="35000"/>
                          <a:lumOff val="65000"/>
                        </a:srgbClr>
                      </a:solidFill>
                      <a:prstDash val="solid"/>
                      <a:round/>
                    </a:ln>
                    <a:effectLst/>
                  </c:spPr>
                </c15:leaderLines>
              </c:ext>
            </c:extLst>
          </c:dLbls>
          <c:cat>
            <c:strRef>
              <c:f>Sheet0!$A$2:$A$6</c:f>
              <c:strCache>
                <c:ptCount val="5"/>
                <c:pt idx="0">
                  <c:v>基本支出</c:v>
                </c:pt>
                <c:pt idx="1">
                  <c:v>项目支出</c:v>
                </c:pt>
                <c:pt idx="2">
                  <c:v>上缴上级支出</c:v>
                </c:pt>
                <c:pt idx="3">
                  <c:v>经营支出</c:v>
                </c:pt>
                <c:pt idx="4">
                  <c:v>对附属单位补助支出</c:v>
                </c:pt>
              </c:strCache>
            </c:strRef>
          </c:cat>
          <c:val>
            <c:numRef>
              <c:f>Sheet0!$B$2:$B$6</c:f>
              <c:numCache>
                <c:formatCode>#,##0.00</c:formatCode>
                <c:ptCount val="5"/>
                <c:pt idx="0">
                  <c:v>8546766.2</c:v>
                </c:pt>
                <c:pt idx="1">
                  <c:v>407400.07</c:v>
                </c:pt>
                <c:pt idx="2" c:formatCode="General">
                  <c:v>0</c:v>
                </c:pt>
                <c:pt idx="3" c:formatCode="General">
                  <c:v>0</c:v>
                </c:pt>
                <c:pt idx="4" c:formatCode="General">
                  <c:v>0</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b"/>
      <c:legendEntry>
        <c:idx val="0"/>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Entry>
      <c:legendEntry>
        <c:idx val="1"/>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Entry>
      <c:legendEntry>
        <c:idx val="2"/>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Entry>
      <c:legendEntry>
        <c:idx val="3"/>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Entry>
      <c:legendEntry>
        <c:idx val="4"/>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caac4a52-3c10-4df5-8ef1-711e7ffcbb8d}"/>
      </c:ext>
    </c:extLst>
  </c:chart>
  <c:spPr>
    <a:ln w="9525" cap="flat" cmpd="sng" algn="ctr">
      <a:solidFill>
        <a:srgbClr val="D9D9D9">
          <a:lumMod val="15000"/>
          <a:lumOff val="85000"/>
        </a:srgbClr>
      </a:solidFill>
      <a:prstDash val="solid"/>
      <a:round/>
    </a:ln>
    <a:effectLst/>
  </c:spPr>
  <c:txPr>
    <a:bodyPr/>
    <a:lstStyle/>
    <a:p>
      <a:pPr>
        <a:defRPr lang="zh-CN"/>
      </a:pPr>
    </a:p>
  </c:txPr>
  <c:externalData r:id="rId1">
    <c:autoUpdate val="0"/>
  </c:externalData>
</c:chartSpace>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19</Pages>
  <Words>5187</Words>
  <Characters>6271</Characters>
  <Lines>47</Lines>
  <Paragraphs>13</Paragraphs>
  <TotalTime>250</TotalTime>
  <ScaleCrop>false</ScaleCrop>
  <LinksUpToDate>false</LinksUpToDate>
  <CharactersWithSpaces>6289</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2017-07-11T15:16:00Z</dcterms:created>
  <dc:creator>常程</dc:creator>
  <cp:lastModifiedBy>Diablo_HU</cp:lastModifiedBy>
  <cp:lastPrinted>2020-08-07T11:39:00Z</cp:lastPrinted>
  <dcterms:modified xsi:type="dcterms:W3CDTF">2024-03-07T05:31:40Z</dcterms:modified>
  <dc:title>北京市财政局关于做好向市人大常委会报送2015年度市级部门决算（草案）</dc:title>
  <cp:revision>24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ACEB1C7CC97F4107BE707C848101122F_13</vt:lpwstr>
  </property>
  <property fmtid="{D5CDD505-2E9C-101B-9397-08002B2CF9AE}" pid="4" name="KSOTemplateDocerSaveRecord">
    <vt:lpwstr>eyJoZGlkIjoiMmEzYmYwMmU4MWY1ZDE2NWI3ZjFkYjQzYjlkMDQ1NzYiLCJ1c2VySWQiOiI4NjU5OTY4MzYifQ==</vt:lpwstr>
  </property>
</Properties>
</file>