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C54BF">
      <w:pPr>
        <w:rPr>
          <w:rFonts w:ascii="CESI黑体-GB2312" w:hAnsi="CESI黑体-GB2312" w:eastAsia="CESI黑体-GB2312" w:cs="CESI黑体-GB2312"/>
          <w:sz w:val="32"/>
          <w:szCs w:val="24"/>
        </w:rPr>
      </w:pPr>
      <w:r>
        <w:rPr>
          <w:rFonts w:hint="eastAsia" w:ascii="CESI黑体-GB2312" w:hAnsi="CESI黑体-GB2312" w:eastAsia="CESI黑体-GB2312" w:cs="CESI黑体-GB2312"/>
          <w:sz w:val="32"/>
          <w:szCs w:val="24"/>
        </w:rPr>
        <w:t>附件</w:t>
      </w:r>
      <w:r>
        <w:rPr>
          <w:rFonts w:ascii="CESI黑体-GB2312" w:hAnsi="CESI黑体-GB2312" w:eastAsia="CESI黑体-GB2312" w:cs="CESI黑体-GB2312"/>
          <w:sz w:val="32"/>
          <w:szCs w:val="24"/>
        </w:rPr>
        <w:t>2</w:t>
      </w:r>
      <w:r>
        <w:rPr>
          <w:rFonts w:hint="eastAsia" w:ascii="CESI黑体-GB2312" w:hAnsi="CESI黑体-GB2312" w:eastAsia="CESI黑体-GB2312" w:cs="CESI黑体-GB2312"/>
          <w:sz w:val="32"/>
          <w:szCs w:val="24"/>
        </w:rPr>
        <w:t>：</w:t>
      </w:r>
    </w:p>
    <w:p w14:paraId="15362216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  <w:lang w:val="en-US" w:eastAsia="zh-CN"/>
        </w:rPr>
        <w:t>北京市门头沟区残疾人联合会</w:t>
      </w:r>
    </w:p>
    <w:p w14:paraId="2089CD2F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bCs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Cs/>
          <w:spacing w:val="-11"/>
          <w:sz w:val="44"/>
          <w:szCs w:val="44"/>
        </w:rPr>
        <w:t>2025预算年度重点支出项目绩效</w:t>
      </w:r>
      <w:r>
        <w:rPr>
          <w:rFonts w:ascii="方正小标宋简体" w:hAnsi="方正小标宋简体" w:eastAsia="方正小标宋简体" w:cs="方正小标宋简体"/>
          <w:bCs/>
          <w:spacing w:val="-11"/>
          <w:sz w:val="44"/>
          <w:szCs w:val="44"/>
        </w:rPr>
        <w:t>自评报告</w:t>
      </w:r>
    </w:p>
    <w:p w14:paraId="322F69FD">
      <w:pPr>
        <w:spacing w:line="560" w:lineRule="exact"/>
        <w:rPr>
          <w:rFonts w:ascii="仿宋_GB2312" w:hAnsi="Times New Roman" w:eastAsia="仿宋_GB2312" w:cs="Times New Roman"/>
          <w:bCs/>
          <w:sz w:val="30"/>
          <w:szCs w:val="32"/>
        </w:rPr>
      </w:pPr>
    </w:p>
    <w:p w14:paraId="248E3351"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一、基本情况</w:t>
      </w:r>
    </w:p>
    <w:p w14:paraId="2C399B8B"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（一）项目概况</w:t>
      </w:r>
    </w:p>
    <w:p w14:paraId="2626D557">
      <w:pPr>
        <w:spacing w:line="520" w:lineRule="exact"/>
        <w:ind w:firstLine="640" w:firstLineChars="20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依据《关于进一步促进本市残疾人就业工作的若干措施》（京残发〔2018〕26号）、《关于调整残疾人自主创业就业社会保险补贴标准有关事宜的通知》（京残发[2021]23号、京人保发[2024]12号）《关于统一2024年度各项社会保险缴费工资基数上下限的通告》规定的办理条件、社会保险缴费基数下限和缴费补贴比例，确定残疾人自主创业就业社会保险补贴的补贴对象和补贴标准。</w:t>
      </w:r>
    </w:p>
    <w:p w14:paraId="76B6333F"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（二）项目资金投入及使用情况</w:t>
      </w:r>
    </w:p>
    <w:p w14:paraId="23A4D7AF">
      <w:pPr>
        <w:spacing w:line="520" w:lineRule="exact"/>
        <w:ind w:firstLine="640" w:firstLineChars="20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本项目预算总额1,672.41万元，其中：中央</w:t>
      </w:r>
      <w:r>
        <w:rPr>
          <w:rFonts w:ascii="仿宋_GB2312" w:eastAsia="仿宋_GB2312"/>
          <w:color w:val="000000"/>
          <w:sz w:val="32"/>
          <w:szCs w:val="32"/>
        </w:rPr>
        <w:t>转移支付</w:t>
      </w:r>
      <w:r>
        <w:rPr>
          <w:rFonts w:hint="eastAsia" w:ascii="仿宋_GB2312" w:eastAsia="仿宋_GB2312"/>
          <w:color w:val="000000"/>
          <w:sz w:val="32"/>
          <w:szCs w:val="32"/>
        </w:rPr>
        <w:t>资金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</w:t>
      </w:r>
      <w:r>
        <w:rPr>
          <w:rFonts w:ascii="仿宋_GB2312" w:eastAsia="仿宋_GB2312"/>
          <w:color w:val="000000"/>
          <w:sz w:val="32"/>
          <w:szCs w:val="32"/>
        </w:rPr>
        <w:t>、市级转移支付</w:t>
      </w:r>
      <w:r>
        <w:rPr>
          <w:rFonts w:hint="eastAsia" w:ascii="仿宋_GB2312" w:eastAsia="仿宋_GB2312"/>
          <w:color w:val="000000"/>
          <w:sz w:val="32"/>
          <w:szCs w:val="32"/>
        </w:rPr>
        <w:t>资金1,672.41万元</w:t>
      </w:r>
      <w:r>
        <w:rPr>
          <w:rFonts w:ascii="仿宋_GB2312" w:eastAsia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/>
          <w:color w:val="000000"/>
          <w:sz w:val="32"/>
          <w:szCs w:val="32"/>
        </w:rPr>
        <w:t>区级财政资金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万元、</w:t>
      </w:r>
      <w:r>
        <w:rPr>
          <w:rFonts w:ascii="仿宋_GB2312" w:eastAsia="仿宋_GB2312"/>
          <w:color w:val="000000"/>
          <w:sz w:val="32"/>
          <w:szCs w:val="32"/>
        </w:rPr>
        <w:t>其他资金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万元。本项目全年共支出1,465.77万元，其中：中央</w:t>
      </w:r>
      <w:r>
        <w:rPr>
          <w:rFonts w:ascii="仿宋_GB2312" w:eastAsia="仿宋_GB2312"/>
          <w:color w:val="000000"/>
          <w:sz w:val="32"/>
          <w:szCs w:val="32"/>
        </w:rPr>
        <w:t>转移支付</w:t>
      </w:r>
      <w:r>
        <w:rPr>
          <w:rFonts w:hint="eastAsia" w:ascii="仿宋_GB2312" w:eastAsia="仿宋_GB2312"/>
          <w:color w:val="000000"/>
          <w:sz w:val="32"/>
          <w:szCs w:val="32"/>
        </w:rPr>
        <w:t>资金支出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</w:t>
      </w:r>
      <w:r>
        <w:rPr>
          <w:rFonts w:ascii="仿宋_GB2312" w:eastAsia="仿宋_GB2312"/>
          <w:color w:val="000000"/>
          <w:sz w:val="32"/>
          <w:szCs w:val="32"/>
        </w:rPr>
        <w:t>、市级转移支付</w:t>
      </w:r>
      <w:r>
        <w:rPr>
          <w:rFonts w:hint="eastAsia" w:ascii="仿宋_GB2312" w:eastAsia="仿宋_GB2312"/>
          <w:color w:val="000000"/>
          <w:sz w:val="32"/>
          <w:szCs w:val="32"/>
        </w:rPr>
        <w:t>资金支出1,465.77万元</w:t>
      </w:r>
      <w:r>
        <w:rPr>
          <w:rFonts w:ascii="仿宋_GB2312" w:eastAsia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/>
          <w:color w:val="000000"/>
          <w:sz w:val="32"/>
          <w:szCs w:val="32"/>
        </w:rPr>
        <w:t>区级财政资金支出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万元、</w:t>
      </w:r>
      <w:r>
        <w:rPr>
          <w:rFonts w:ascii="仿宋_GB2312" w:eastAsia="仿宋_GB2312"/>
          <w:color w:val="000000"/>
          <w:sz w:val="32"/>
          <w:szCs w:val="32"/>
        </w:rPr>
        <w:t>其他资金</w:t>
      </w:r>
      <w:r>
        <w:rPr>
          <w:rFonts w:hint="eastAsia" w:ascii="仿宋_GB2312" w:eastAsia="仿宋_GB2312"/>
          <w:color w:val="000000"/>
          <w:sz w:val="32"/>
          <w:szCs w:val="32"/>
        </w:rPr>
        <w:t>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万元。</w:t>
      </w:r>
    </w:p>
    <w:p w14:paraId="437FDF0B"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（三）项目资金管理情况分析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6"/>
        <w:gridCol w:w="887"/>
        <w:gridCol w:w="990"/>
        <w:gridCol w:w="1005"/>
        <w:gridCol w:w="1205"/>
        <w:gridCol w:w="1426"/>
        <w:gridCol w:w="887"/>
        <w:gridCol w:w="887"/>
        <w:gridCol w:w="887"/>
      </w:tblGrid>
      <w:tr w14:paraId="2465EF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vAlign w:val="center"/>
          </w:tcPr>
          <w:p w14:paraId="69A34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887" w:type="dxa"/>
            <w:vAlign w:val="center"/>
          </w:tcPr>
          <w:p w14:paraId="55C23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990" w:type="dxa"/>
            <w:vAlign w:val="center"/>
          </w:tcPr>
          <w:p w14:paraId="2C607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005" w:type="dxa"/>
            <w:vAlign w:val="center"/>
          </w:tcPr>
          <w:p w14:paraId="35F299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绩效指标性质</w:t>
            </w:r>
          </w:p>
        </w:tc>
        <w:tc>
          <w:tcPr>
            <w:tcW w:w="1205" w:type="dxa"/>
            <w:vAlign w:val="center"/>
          </w:tcPr>
          <w:p w14:paraId="6E1826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绩效指标值</w:t>
            </w:r>
          </w:p>
        </w:tc>
        <w:tc>
          <w:tcPr>
            <w:tcW w:w="1426" w:type="dxa"/>
            <w:vAlign w:val="center"/>
          </w:tcPr>
          <w:p w14:paraId="20428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本年绩效指标值</w:t>
            </w:r>
          </w:p>
        </w:tc>
        <w:tc>
          <w:tcPr>
            <w:tcW w:w="887" w:type="dxa"/>
            <w:vAlign w:val="center"/>
          </w:tcPr>
          <w:p w14:paraId="40985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绩效度量单位</w:t>
            </w:r>
          </w:p>
        </w:tc>
        <w:tc>
          <w:tcPr>
            <w:tcW w:w="887" w:type="dxa"/>
            <w:vAlign w:val="center"/>
          </w:tcPr>
          <w:p w14:paraId="1B3F7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权重</w:t>
            </w:r>
          </w:p>
        </w:tc>
        <w:tc>
          <w:tcPr>
            <w:tcW w:w="887" w:type="dxa"/>
            <w:vAlign w:val="center"/>
          </w:tcPr>
          <w:p w14:paraId="52A30B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本年权重</w:t>
            </w:r>
          </w:p>
        </w:tc>
      </w:tr>
      <w:tr w14:paraId="3BD93D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vAlign w:val="center"/>
          </w:tcPr>
          <w:p w14:paraId="2B014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Style w:val="9"/>
                <w:lang w:val="en-US" w:eastAsia="zh-CN" w:bidi="ar"/>
              </w:rPr>
              <w:t>数量指标</w:t>
            </w:r>
          </w:p>
        </w:tc>
        <w:tc>
          <w:tcPr>
            <w:tcW w:w="887" w:type="dxa"/>
            <w:vAlign w:val="center"/>
          </w:tcPr>
          <w:p w14:paraId="7998B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Style w:val="10"/>
                <w:lang w:val="en-US" w:eastAsia="zh-CN" w:bidi="ar"/>
              </w:rPr>
              <w:t>数量指标</w:t>
            </w:r>
          </w:p>
        </w:tc>
        <w:tc>
          <w:tcPr>
            <w:tcW w:w="990" w:type="dxa"/>
            <w:vAlign w:val="center"/>
          </w:tcPr>
          <w:p w14:paraId="3E169F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Style w:val="9"/>
                <w:rFonts w:hint="eastAsia"/>
                <w:lang w:val="en-US" w:eastAsia="zh-CN" w:bidi="ar"/>
              </w:rPr>
              <w:t>每月</w:t>
            </w:r>
            <w:r>
              <w:rPr>
                <w:rStyle w:val="9"/>
                <w:lang w:val="en-US" w:eastAsia="zh-CN" w:bidi="ar"/>
              </w:rPr>
              <w:t>补贴人数</w:t>
            </w:r>
          </w:p>
        </w:tc>
        <w:tc>
          <w:tcPr>
            <w:tcW w:w="1005" w:type="dxa"/>
            <w:vAlign w:val="center"/>
          </w:tcPr>
          <w:p w14:paraId="628D2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</w:t>
            </w:r>
          </w:p>
        </w:tc>
        <w:tc>
          <w:tcPr>
            <w:tcW w:w="1205" w:type="dxa"/>
            <w:vAlign w:val="center"/>
          </w:tcPr>
          <w:p w14:paraId="701CE77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900</w:t>
            </w:r>
          </w:p>
        </w:tc>
        <w:tc>
          <w:tcPr>
            <w:tcW w:w="1426" w:type="dxa"/>
            <w:vAlign w:val="center"/>
          </w:tcPr>
          <w:p w14:paraId="62B4C4D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750</w:t>
            </w:r>
          </w:p>
        </w:tc>
        <w:tc>
          <w:tcPr>
            <w:tcW w:w="887" w:type="dxa"/>
            <w:vAlign w:val="center"/>
          </w:tcPr>
          <w:p w14:paraId="2E3387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人/月</w:t>
            </w:r>
          </w:p>
        </w:tc>
        <w:tc>
          <w:tcPr>
            <w:tcW w:w="887" w:type="dxa"/>
            <w:vAlign w:val="center"/>
          </w:tcPr>
          <w:p w14:paraId="6221A9E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  <w:tc>
          <w:tcPr>
            <w:tcW w:w="887" w:type="dxa"/>
            <w:vAlign w:val="center"/>
          </w:tcPr>
          <w:p w14:paraId="7B3A7F6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</w:t>
            </w:r>
          </w:p>
        </w:tc>
      </w:tr>
      <w:tr w14:paraId="253C8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vAlign w:val="center"/>
          </w:tcPr>
          <w:p w14:paraId="4FA09B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Style w:val="9"/>
                <w:lang w:val="en-US" w:eastAsia="zh-CN" w:bidi="ar"/>
              </w:rPr>
              <w:t>社会效益指标</w:t>
            </w:r>
          </w:p>
        </w:tc>
        <w:tc>
          <w:tcPr>
            <w:tcW w:w="887" w:type="dxa"/>
            <w:vAlign w:val="center"/>
          </w:tcPr>
          <w:p w14:paraId="602D5D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Style w:val="10"/>
                <w:lang w:val="en-US" w:eastAsia="zh-CN" w:bidi="ar"/>
              </w:rPr>
              <w:t>社会效益指标</w:t>
            </w:r>
          </w:p>
        </w:tc>
        <w:tc>
          <w:tcPr>
            <w:tcW w:w="990" w:type="dxa"/>
            <w:vAlign w:val="center"/>
          </w:tcPr>
          <w:p w14:paraId="4ADF6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Style w:val="9"/>
                <w:rFonts w:hint="eastAsia"/>
                <w:lang w:val="en-US" w:eastAsia="zh-CN" w:bidi="ar"/>
              </w:rPr>
              <w:t>残疾人就业负担</w:t>
            </w:r>
          </w:p>
        </w:tc>
        <w:tc>
          <w:tcPr>
            <w:tcW w:w="1005" w:type="dxa"/>
            <w:vAlign w:val="center"/>
          </w:tcPr>
          <w:p w14:paraId="79BAB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定性</w:t>
            </w:r>
          </w:p>
        </w:tc>
        <w:tc>
          <w:tcPr>
            <w:tcW w:w="1205" w:type="dxa"/>
            <w:vAlign w:val="center"/>
          </w:tcPr>
          <w:p w14:paraId="427B7FB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有所缓解</w:t>
            </w:r>
          </w:p>
        </w:tc>
        <w:tc>
          <w:tcPr>
            <w:tcW w:w="1426" w:type="dxa"/>
            <w:vAlign w:val="center"/>
          </w:tcPr>
          <w:p w14:paraId="030146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有所缓解</w:t>
            </w:r>
          </w:p>
        </w:tc>
        <w:tc>
          <w:tcPr>
            <w:tcW w:w="887" w:type="dxa"/>
            <w:vAlign w:val="center"/>
          </w:tcPr>
          <w:p w14:paraId="1E3654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仿宋_GB2312" w:eastAsia="仿宋_GB2312"/>
                <w:color w:val="000000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其他</w:t>
            </w:r>
          </w:p>
        </w:tc>
        <w:tc>
          <w:tcPr>
            <w:tcW w:w="887" w:type="dxa"/>
            <w:vAlign w:val="center"/>
          </w:tcPr>
          <w:p w14:paraId="056024D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887" w:type="dxa"/>
            <w:vAlign w:val="center"/>
          </w:tcPr>
          <w:p w14:paraId="4608176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</w:tr>
      <w:tr w14:paraId="70D25B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vAlign w:val="center"/>
          </w:tcPr>
          <w:p w14:paraId="6635A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Style w:val="9"/>
                <w:lang w:val="en-US" w:eastAsia="zh-CN" w:bidi="ar"/>
              </w:rPr>
              <w:t>服务对象满意度指标</w:t>
            </w:r>
          </w:p>
        </w:tc>
        <w:tc>
          <w:tcPr>
            <w:tcW w:w="887" w:type="dxa"/>
            <w:vAlign w:val="center"/>
          </w:tcPr>
          <w:p w14:paraId="6D914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Style w:val="10"/>
                <w:lang w:val="en-US" w:eastAsia="zh-CN" w:bidi="ar"/>
              </w:rPr>
              <w:t>服务对象满意度指标</w:t>
            </w:r>
          </w:p>
        </w:tc>
        <w:tc>
          <w:tcPr>
            <w:tcW w:w="990" w:type="dxa"/>
            <w:vAlign w:val="center"/>
          </w:tcPr>
          <w:p w14:paraId="5D6DCD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Style w:val="9"/>
                <w:lang w:val="en-US" w:eastAsia="zh-CN" w:bidi="ar"/>
              </w:rPr>
              <w:t>残疾人满意度</w:t>
            </w:r>
          </w:p>
        </w:tc>
        <w:tc>
          <w:tcPr>
            <w:tcW w:w="1005" w:type="dxa"/>
            <w:vAlign w:val="center"/>
          </w:tcPr>
          <w:p w14:paraId="2073D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≥</w:t>
            </w:r>
          </w:p>
        </w:tc>
        <w:tc>
          <w:tcPr>
            <w:tcW w:w="1205" w:type="dxa"/>
            <w:vAlign w:val="center"/>
          </w:tcPr>
          <w:p w14:paraId="5C86B61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90</w:t>
            </w:r>
          </w:p>
        </w:tc>
        <w:tc>
          <w:tcPr>
            <w:tcW w:w="1426" w:type="dxa"/>
            <w:vAlign w:val="center"/>
          </w:tcPr>
          <w:p w14:paraId="481C9A0E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887" w:type="dxa"/>
            <w:vAlign w:val="center"/>
          </w:tcPr>
          <w:p w14:paraId="75D53F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%</w:t>
            </w:r>
          </w:p>
        </w:tc>
        <w:tc>
          <w:tcPr>
            <w:tcW w:w="887" w:type="dxa"/>
            <w:vAlign w:val="center"/>
          </w:tcPr>
          <w:p w14:paraId="61A875D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87" w:type="dxa"/>
            <w:vAlign w:val="center"/>
          </w:tcPr>
          <w:p w14:paraId="5CD6F42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  <w:tr w14:paraId="30B7E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86" w:type="dxa"/>
            <w:vAlign w:val="center"/>
          </w:tcPr>
          <w:p w14:paraId="639AD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Style w:val="9"/>
                <w:lang w:val="en-US" w:eastAsia="zh-CN" w:bidi="ar"/>
              </w:rPr>
              <w:t>成本指标</w:t>
            </w:r>
          </w:p>
        </w:tc>
        <w:tc>
          <w:tcPr>
            <w:tcW w:w="887" w:type="dxa"/>
            <w:vAlign w:val="center"/>
          </w:tcPr>
          <w:p w14:paraId="50585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Style w:val="10"/>
                <w:rFonts w:hint="eastAsia"/>
                <w:lang w:val="en-US" w:eastAsia="zh-CN" w:bidi="ar"/>
              </w:rPr>
              <w:t>经济</w:t>
            </w:r>
            <w:r>
              <w:rPr>
                <w:rStyle w:val="10"/>
                <w:lang w:val="en-US" w:eastAsia="zh-CN" w:bidi="ar"/>
              </w:rPr>
              <w:t>成本指标</w:t>
            </w:r>
          </w:p>
        </w:tc>
        <w:tc>
          <w:tcPr>
            <w:tcW w:w="990" w:type="dxa"/>
            <w:vAlign w:val="center"/>
          </w:tcPr>
          <w:p w14:paraId="6FDC9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Style w:val="9"/>
                <w:rFonts w:hint="eastAsia"/>
                <w:lang w:val="en-US" w:eastAsia="zh-CN" w:bidi="ar"/>
              </w:rPr>
              <w:t>预算</w:t>
            </w:r>
            <w:r>
              <w:rPr>
                <w:rStyle w:val="9"/>
                <w:lang w:val="en-US" w:eastAsia="zh-CN" w:bidi="ar"/>
              </w:rPr>
              <w:t>控制数</w:t>
            </w:r>
          </w:p>
        </w:tc>
        <w:tc>
          <w:tcPr>
            <w:tcW w:w="1005" w:type="dxa"/>
            <w:vAlign w:val="center"/>
          </w:tcPr>
          <w:p w14:paraId="17203E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≤</w:t>
            </w:r>
          </w:p>
        </w:tc>
        <w:tc>
          <w:tcPr>
            <w:tcW w:w="1205" w:type="dxa"/>
            <w:vAlign w:val="center"/>
          </w:tcPr>
          <w:p w14:paraId="36B6B4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_GB2312" w:eastAsia="仿宋_GB2312"/>
                <w:color w:val="000000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16724090元</w:t>
            </w:r>
          </w:p>
        </w:tc>
        <w:tc>
          <w:tcPr>
            <w:tcW w:w="1426" w:type="dxa"/>
            <w:vAlign w:val="center"/>
          </w:tcPr>
          <w:p w14:paraId="236EAB8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仿宋_GB2312" w:eastAsia="仿宋_GB2312"/>
                <w:color w:val="000000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14657720.24</w:t>
            </w:r>
          </w:p>
        </w:tc>
        <w:tc>
          <w:tcPr>
            <w:tcW w:w="887" w:type="dxa"/>
            <w:vAlign w:val="center"/>
          </w:tcPr>
          <w:p w14:paraId="02131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元/年</w:t>
            </w:r>
          </w:p>
        </w:tc>
        <w:tc>
          <w:tcPr>
            <w:tcW w:w="887" w:type="dxa"/>
            <w:vAlign w:val="center"/>
          </w:tcPr>
          <w:p w14:paraId="20A81E7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87" w:type="dxa"/>
            <w:vAlign w:val="center"/>
          </w:tcPr>
          <w:p w14:paraId="28D72F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仿宋_GB2312" w:eastAsia="仿宋_GB2312"/>
                <w:color w:val="000000"/>
                <w:sz w:val="32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</w:tbl>
    <w:p w14:paraId="3CD9DBFF">
      <w:pPr>
        <w:spacing w:line="520" w:lineRule="exact"/>
        <w:ind w:firstLine="640" w:firstLineChars="200"/>
        <w:outlineLvl w:val="0"/>
        <w:rPr>
          <w:rFonts w:ascii="仿宋_GB2312" w:eastAsia="仿宋_GB2312"/>
          <w:color w:val="000000"/>
          <w:sz w:val="32"/>
          <w:szCs w:val="32"/>
        </w:rPr>
      </w:pPr>
    </w:p>
    <w:p w14:paraId="40321A40">
      <w:pPr>
        <w:spacing w:line="560" w:lineRule="exact"/>
        <w:ind w:firstLine="640" w:firstLineChars="200"/>
        <w:outlineLvl w:val="0"/>
        <w:rPr>
          <w:rFonts w:hint="eastAsia"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本项目全年共支出1,465.77万元，其中：中央</w:t>
      </w:r>
      <w:r>
        <w:rPr>
          <w:rFonts w:ascii="仿宋_GB2312" w:eastAsia="仿宋_GB2312"/>
          <w:color w:val="000000"/>
          <w:sz w:val="32"/>
          <w:szCs w:val="32"/>
        </w:rPr>
        <w:t>转移支付</w:t>
      </w:r>
      <w:r>
        <w:rPr>
          <w:rFonts w:hint="eastAsia" w:ascii="仿宋_GB2312" w:eastAsia="仿宋_GB2312"/>
          <w:color w:val="000000"/>
          <w:sz w:val="32"/>
          <w:szCs w:val="32"/>
        </w:rPr>
        <w:t>资金支出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</w:t>
      </w:r>
      <w:r>
        <w:rPr>
          <w:rFonts w:ascii="仿宋_GB2312" w:eastAsia="仿宋_GB2312"/>
          <w:color w:val="000000"/>
          <w:sz w:val="32"/>
          <w:szCs w:val="32"/>
        </w:rPr>
        <w:t>、市级转移支付</w:t>
      </w:r>
      <w:r>
        <w:rPr>
          <w:rFonts w:hint="eastAsia" w:ascii="仿宋_GB2312" w:eastAsia="仿宋_GB2312"/>
          <w:color w:val="000000"/>
          <w:sz w:val="32"/>
          <w:szCs w:val="32"/>
        </w:rPr>
        <w:t>资金支出1,465.77万元</w:t>
      </w:r>
      <w:r>
        <w:rPr>
          <w:rFonts w:ascii="仿宋_GB2312" w:eastAsia="仿宋_GB2312"/>
          <w:color w:val="000000"/>
          <w:sz w:val="32"/>
          <w:szCs w:val="32"/>
        </w:rPr>
        <w:t>、</w:t>
      </w:r>
      <w:r>
        <w:rPr>
          <w:rFonts w:hint="eastAsia" w:ascii="仿宋_GB2312" w:eastAsia="仿宋_GB2312"/>
          <w:color w:val="000000"/>
          <w:sz w:val="32"/>
          <w:szCs w:val="32"/>
        </w:rPr>
        <w:t>区级财政资金支出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万元、</w:t>
      </w:r>
      <w:r>
        <w:rPr>
          <w:rFonts w:ascii="仿宋_GB2312" w:eastAsia="仿宋_GB2312"/>
          <w:color w:val="000000"/>
          <w:sz w:val="32"/>
          <w:szCs w:val="32"/>
        </w:rPr>
        <w:t>其他资金</w:t>
      </w:r>
      <w:r>
        <w:rPr>
          <w:rFonts w:hint="eastAsia" w:ascii="仿宋_GB2312" w:eastAsia="仿宋_GB2312"/>
          <w:color w:val="000000"/>
          <w:sz w:val="32"/>
          <w:szCs w:val="32"/>
        </w:rPr>
        <w:t>支出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/>
          <w:color w:val="000000"/>
          <w:sz w:val="32"/>
          <w:szCs w:val="32"/>
        </w:rPr>
        <w:t>万元。</w:t>
      </w:r>
    </w:p>
    <w:p w14:paraId="4AF3CD24">
      <w:pPr>
        <w:spacing w:line="520" w:lineRule="exact"/>
        <w:ind w:firstLine="640" w:firstLineChars="200"/>
        <w:outlineLvl w:val="0"/>
        <w:rPr>
          <w:rFonts w:ascii="楷体_GB2312" w:eastAsia="楷体_GB2312"/>
          <w:b/>
          <w:color w:val="000000"/>
          <w:sz w:val="32"/>
          <w:szCs w:val="32"/>
        </w:rPr>
      </w:pPr>
      <w:r>
        <w:rPr>
          <w:rFonts w:hint="eastAsia" w:ascii="楷体_GB2312" w:eastAsia="楷体_GB2312"/>
          <w:b w:val="0"/>
          <w:bCs/>
          <w:color w:val="000000"/>
          <w:sz w:val="32"/>
          <w:szCs w:val="32"/>
        </w:rPr>
        <w:t>（四）项目资金管理情况分析</w:t>
      </w:r>
    </w:p>
    <w:p w14:paraId="75869B75">
      <w:pPr>
        <w:spacing w:line="560" w:lineRule="exact"/>
        <w:ind w:firstLine="640" w:firstLineChars="200"/>
        <w:outlineLvl w:val="0"/>
        <w:rPr>
          <w:rFonts w:hint="eastAsia"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仿宋_GB2312" w:hAnsi="宋体" w:eastAsia="仿宋_GB2312" w:cs="Times New Roman"/>
          <w:sz w:val="32"/>
          <w:szCs w:val="32"/>
          <w:lang w:eastAsia="zh-CN"/>
        </w:rPr>
        <w:t>本项目在支出前需要经过业务科室负责人、财务、业务主管领导、办公室主任、办公室主管领导和主要领导层层签批，并经由理事长办公会和党组会审批后方可支付。严格</w:t>
      </w:r>
      <w:r>
        <w:rPr>
          <w:rFonts w:hint="eastAsia" w:ascii="仿宋_GB2312" w:eastAsia="仿宋_GB2312"/>
          <w:color w:val="000000"/>
          <w:sz w:val="32"/>
          <w:szCs w:val="32"/>
        </w:rPr>
        <w:t>执行的资金管理制度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，并进行绩效评估。</w:t>
      </w:r>
    </w:p>
    <w:p w14:paraId="4366720F"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二、绩效自评结论</w:t>
      </w:r>
    </w:p>
    <w:p w14:paraId="35BF7CAC"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绩效自评总分：</w:t>
      </w:r>
      <w:r>
        <w:rPr>
          <w:rFonts w:hint="eastAsia" w:ascii="仿宋_GB2312" w:hAnsi="黑体" w:eastAsia="仿宋_GB2312" w:cs="黑体"/>
          <w:bCs/>
          <w:sz w:val="32"/>
          <w:szCs w:val="32"/>
          <w:lang w:val="en-US" w:eastAsia="zh-CN"/>
        </w:rPr>
        <w:t>98.76</w:t>
      </w:r>
      <w:r>
        <w:rPr>
          <w:rFonts w:hint="eastAsia" w:ascii="仿宋_GB2312" w:hAnsi="黑体" w:eastAsia="仿宋_GB2312" w:cs="黑体"/>
          <w:bCs/>
          <w:sz w:val="32"/>
          <w:szCs w:val="32"/>
        </w:rPr>
        <w:t>分</w:t>
      </w:r>
    </w:p>
    <w:p w14:paraId="4B814B3C"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绩效自评等级：（四类</w:t>
      </w:r>
      <w:r>
        <w:rPr>
          <w:rFonts w:ascii="仿宋_GB2312" w:hAnsi="黑体" w:eastAsia="仿宋_GB2312" w:cs="黑体"/>
          <w:bCs/>
          <w:sz w:val="32"/>
          <w:szCs w:val="32"/>
        </w:rPr>
        <w:t>评价等级：</w:t>
      </w:r>
      <w:r>
        <w:rPr>
          <w:rFonts w:hint="eastAsia" w:ascii="仿宋_GB2312" w:hAnsi="黑体" w:eastAsia="仿宋_GB2312" w:cs="黑体"/>
          <w:bCs/>
          <w:sz w:val="32"/>
          <w:szCs w:val="32"/>
        </w:rPr>
        <w:t>90（含）-100分为优秀、80（含）-90分为良好、60（含）-80分为一般、60分以下为较差</w:t>
      </w:r>
      <w:r>
        <w:rPr>
          <w:rFonts w:ascii="仿宋_GB2312" w:hAnsi="黑体" w:eastAsia="仿宋_GB2312" w:cs="黑体"/>
          <w:bCs/>
          <w:sz w:val="32"/>
          <w:szCs w:val="32"/>
        </w:rPr>
        <w:t>。</w:t>
      </w:r>
      <w:r>
        <w:rPr>
          <w:rFonts w:hint="eastAsia" w:ascii="仿宋_GB2312" w:hAnsi="黑体" w:eastAsia="仿宋_GB2312" w:cs="黑体"/>
          <w:bCs/>
          <w:sz w:val="32"/>
          <w:szCs w:val="32"/>
        </w:rPr>
        <w:t>）</w:t>
      </w:r>
    </w:p>
    <w:p w14:paraId="6D87C6A9"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三、绩效目标完成情况分析</w:t>
      </w:r>
    </w:p>
    <w:p w14:paraId="7F5CF211"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（一）项目绩效目标、绩效指标设定情况</w:t>
      </w:r>
    </w:p>
    <w:p w14:paraId="5633785B">
      <w:pPr>
        <w:spacing w:line="520" w:lineRule="exact"/>
        <w:ind w:firstLine="640" w:firstLineChars="20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对符合条件的残疾人提供部分社会保障，促进残疾人就业创业、减轻残疾人缴费压力，提高残疾人生活水平，体现政府关怀，维护社会和谐稳定。</w:t>
      </w:r>
    </w:p>
    <w:p w14:paraId="553B393F"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（二）总体绩效目标完成情况分析</w:t>
      </w:r>
    </w:p>
    <w:p w14:paraId="1AD63326">
      <w:pPr>
        <w:spacing w:line="520" w:lineRule="exact"/>
        <w:ind w:firstLine="640" w:firstLineChars="200"/>
        <w:outlineLvl w:val="0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2025年通过发放居家养老助残券130余万元、为179名残疾儿童少年发放康复补贴、实现我区镇街级温馨家园全覆盖、为181户残疾人提供居家环境无障碍改造、开展职业康复劳动、职业技能培训等工作，保障我区残疾人能得到优质的康复服务、方便残疾人出行、使得残疾人的基本生活得到保障，为残疾人能够更好地融入社会创造了良好的条件。</w:t>
      </w:r>
      <w:bookmarkStart w:id="0" w:name="_GoBack"/>
      <w:bookmarkEnd w:id="0"/>
    </w:p>
    <w:p w14:paraId="4E95CA57">
      <w:pPr>
        <w:spacing w:line="560" w:lineRule="exact"/>
        <w:ind w:firstLine="640" w:firstLineChars="200"/>
        <w:outlineLvl w:val="0"/>
        <w:rPr>
          <w:rFonts w:ascii="楷体_GB2312" w:hAnsi="楷体" w:eastAsia="楷体_GB2312" w:cs="仿宋_GB2312"/>
          <w:sz w:val="32"/>
          <w:szCs w:val="32"/>
        </w:rPr>
      </w:pPr>
      <w:r>
        <w:rPr>
          <w:rFonts w:hint="eastAsia" w:ascii="楷体_GB2312" w:hAnsi="楷体" w:eastAsia="楷体_GB2312" w:cs="仿宋_GB2312"/>
          <w:sz w:val="32"/>
          <w:szCs w:val="32"/>
        </w:rPr>
        <w:t>（三）项目绩效指标完成情况分析</w:t>
      </w:r>
    </w:p>
    <w:p w14:paraId="2347AD1D">
      <w:pPr>
        <w:spacing w:line="520" w:lineRule="exact"/>
        <w:ind w:firstLine="640" w:firstLineChars="200"/>
        <w:rPr>
          <w:rFonts w:ascii="仿宋_GB2312" w:hAnsi="黑体" w:eastAsia="仿宋_GB2312" w:cs="黑体"/>
          <w:bCs/>
          <w:sz w:val="32"/>
          <w:szCs w:val="32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1.产出指标完成情况分析。</w:t>
      </w:r>
    </w:p>
    <w:p w14:paraId="668E0DE7">
      <w:pPr>
        <w:spacing w:line="520" w:lineRule="exact"/>
        <w:ind w:firstLine="640" w:firstLineChars="200"/>
        <w:rPr>
          <w:rFonts w:hint="default" w:ascii="仿宋_GB2312" w:hAnsi="黑体" w:eastAsia="仿宋_GB2312" w:cs="黑体"/>
          <w:bCs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 w:cs="黑体"/>
          <w:bCs/>
          <w:sz w:val="32"/>
          <w:szCs w:val="32"/>
        </w:rPr>
        <w:t>（1）数量指标。</w:t>
      </w:r>
      <w:r>
        <w:rPr>
          <w:rFonts w:hint="eastAsia" w:ascii="仿宋_GB2312" w:hAnsi="黑体" w:eastAsia="仿宋_GB2312" w:cs="黑体"/>
          <w:bCs/>
          <w:sz w:val="32"/>
          <w:szCs w:val="32"/>
          <w:lang w:eastAsia="zh-CN"/>
        </w:rPr>
        <w:t>每月发放补贴人数</w:t>
      </w:r>
      <w:r>
        <w:rPr>
          <w:rFonts w:hint="eastAsia" w:ascii="仿宋_GB2312" w:eastAsia="仿宋_GB2312"/>
          <w:sz w:val="32"/>
          <w:szCs w:val="32"/>
          <w:lang w:eastAsia="zh-CN"/>
        </w:rPr>
        <w:t>≤</w:t>
      </w:r>
      <w:r>
        <w:rPr>
          <w:rFonts w:hint="eastAsia" w:ascii="仿宋_GB2312" w:hAnsi="黑体" w:eastAsia="仿宋_GB2312" w:cs="黑体"/>
          <w:bCs/>
          <w:sz w:val="32"/>
          <w:szCs w:val="32"/>
          <w:lang w:val="en-US" w:eastAsia="zh-CN"/>
        </w:rPr>
        <w:t>900人。实际满足本指标要求。</w:t>
      </w:r>
    </w:p>
    <w:p w14:paraId="25A1ACFE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（2）成本指标。</w:t>
      </w:r>
      <w:r>
        <w:rPr>
          <w:rFonts w:hint="eastAsia" w:ascii="仿宋_GB2312" w:eastAsia="仿宋_GB2312"/>
          <w:sz w:val="32"/>
          <w:szCs w:val="32"/>
          <w:lang w:eastAsia="zh-CN"/>
        </w:rPr>
        <w:t>成本控制数≤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16,724,090元。实际满足本指标要求，</w:t>
      </w:r>
      <w:r>
        <w:rPr>
          <w:rFonts w:hint="eastAsia" w:ascii="仿宋_GB2312" w:eastAsia="仿宋_GB2312"/>
          <w:color w:val="000000"/>
          <w:sz w:val="32"/>
          <w:szCs w:val="32"/>
        </w:rPr>
        <w:t>全年共支出1,4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65.77</w:t>
      </w:r>
      <w:r>
        <w:rPr>
          <w:rFonts w:hint="eastAsia" w:ascii="仿宋_GB2312" w:eastAsia="仿宋_GB2312"/>
          <w:color w:val="000000"/>
          <w:sz w:val="32"/>
          <w:szCs w:val="32"/>
        </w:rPr>
        <w:t>万元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。</w:t>
      </w:r>
    </w:p>
    <w:p w14:paraId="7DD41016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2.效益指标完成情况分析。</w:t>
      </w:r>
    </w:p>
    <w:p w14:paraId="0687738A">
      <w:pPr>
        <w:spacing w:line="520" w:lineRule="exact"/>
        <w:ind w:firstLine="640" w:firstLineChars="200"/>
        <w:rPr>
          <w:rFonts w:hint="default" w:ascii="仿宋_GB2312" w:eastAsia="仿宋_GB2312"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</w:rPr>
        <w:t>（1）社会效益。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残疾人就业负担有所缓解，实际发放补贴为残疾人缓解了一定的就业压力，帮助他们生活质量有所提升。</w:t>
      </w:r>
    </w:p>
    <w:p w14:paraId="0DBC24CE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3.满意度指标完成情况分析。</w:t>
      </w:r>
      <w:r>
        <w:rPr>
          <w:rFonts w:hint="eastAsia" w:ascii="仿宋_GB2312" w:eastAsia="仿宋_GB2312"/>
          <w:sz w:val="32"/>
          <w:szCs w:val="32"/>
          <w:lang w:eastAsia="zh-CN"/>
        </w:rPr>
        <w:t>残疾人满意度≥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90%。实际满足本指标要求，服务对象满意度为95%。</w:t>
      </w:r>
    </w:p>
    <w:p w14:paraId="4B340B97"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四、发现的主要问题和改进措施</w:t>
      </w:r>
    </w:p>
    <w:p w14:paraId="2557AE9C">
      <w:pPr>
        <w:spacing w:line="520" w:lineRule="exact"/>
        <w:ind w:firstLine="640" w:firstLineChars="2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部分残疾人因未申请等原因无法办理。后续将加大政策宣传力度，使得残疾人群体对政策应知尽知，对服务应享尽享。</w:t>
      </w:r>
    </w:p>
    <w:p w14:paraId="3FF137F0">
      <w:pPr>
        <w:spacing w:line="560" w:lineRule="exact"/>
        <w:ind w:firstLine="640" w:firstLineChars="200"/>
        <w:outlineLvl w:val="0"/>
        <w:rPr>
          <w:rFonts w:ascii="CESI黑体-GB2312" w:hAnsi="CESI黑体-GB2312" w:eastAsia="CESI黑体-GB2312" w:cs="CESI黑体-GB2312"/>
          <w:sz w:val="32"/>
          <w:szCs w:val="32"/>
        </w:rPr>
      </w:pPr>
      <w:r>
        <w:rPr>
          <w:rFonts w:hint="eastAsia" w:ascii="CESI黑体-GB2312" w:hAnsi="CESI黑体-GB2312" w:eastAsia="CESI黑体-GB2312" w:cs="CESI黑体-GB2312"/>
          <w:sz w:val="32"/>
          <w:szCs w:val="32"/>
        </w:rPr>
        <w:t>五、有关</w:t>
      </w:r>
      <w:r>
        <w:rPr>
          <w:rFonts w:ascii="CESI黑体-GB2312" w:hAnsi="CESI黑体-GB2312" w:eastAsia="CESI黑体-GB2312" w:cs="CESI黑体-GB2312"/>
          <w:sz w:val="32"/>
          <w:szCs w:val="32"/>
        </w:rPr>
        <w:t>建议及</w:t>
      </w:r>
      <w:r>
        <w:rPr>
          <w:rFonts w:hint="eastAsia" w:ascii="CESI黑体-GB2312" w:hAnsi="CESI黑体-GB2312" w:eastAsia="CESI黑体-GB2312" w:cs="CESI黑体-GB2312"/>
          <w:sz w:val="32"/>
          <w:szCs w:val="32"/>
        </w:rPr>
        <w:t>其他需要说明的情况</w:t>
      </w:r>
    </w:p>
    <w:p w14:paraId="108FE773">
      <w:pPr>
        <w:spacing w:line="520" w:lineRule="exact"/>
        <w:ind w:firstLine="640" w:firstLineChars="200"/>
        <w:rPr>
          <w:rFonts w:ascii="仿宋_GB2312" w:eastAsia="仿宋_GB2312"/>
          <w:color w:val="FF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无。</w:t>
      </w:r>
    </w:p>
    <w:p w14:paraId="597FE050">
      <w:pPr>
        <w:spacing w:line="520" w:lineRule="exact"/>
        <w:ind w:firstLine="640" w:firstLineChars="200"/>
        <w:rPr>
          <w:rFonts w:ascii="仿宋_GB2312" w:eastAsia="仿宋_GB2312"/>
          <w:sz w:val="32"/>
          <w:szCs w:val="32"/>
        </w:rPr>
      </w:pPr>
    </w:p>
    <w:p w14:paraId="12EE5D3D">
      <w:pPr>
        <w:spacing w:line="520" w:lineRule="exact"/>
        <w:ind w:left="6660" w:leftChars="200" w:hanging="6240" w:hangingChars="195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                                </w:t>
      </w:r>
    </w:p>
    <w:sectPr>
      <w:pgSz w:w="11906" w:h="16838"/>
      <w:pgMar w:top="2098" w:right="1474" w:bottom="1985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0C78F83-439A-4449-9A2E-0DC6FAF826F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0996B347-F47D-4F3D-A089-CDD3850365D7}"/>
  </w:font>
  <w:font w:name="CESI黑体-GB2312">
    <w:altName w:val="Microsoft YaHei UI"/>
    <w:panose1 w:val="00000000000000000000"/>
    <w:charset w:val="86"/>
    <w:family w:val="auto"/>
    <w:pitch w:val="default"/>
    <w:sig w:usb0="00000000" w:usb1="00000000" w:usb2="00000012" w:usb3="00000000" w:csb0="0004000F" w:csb1="00000000"/>
    <w:embedRegular r:id="rId3" w:fontKey="{4435E5F2-FECB-4E3A-B0EF-7F2F9C6DF3E8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78004AB7-8F30-4CA2-80DF-2C72DD974C57}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5" w:fontKey="{E7EA294B-3D31-4B13-92A2-5C7502C2EEE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6" w:fontKey="{81AF635F-6ADB-48E4-935A-452F1F74FD73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7" w:fontKey="{EE5E8599-BC3F-4681-9F27-FEB1EDAE6779}"/>
  </w:font>
  <w:font w:name="KSOF4864391C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B17"/>
    <w:rsid w:val="00013E3D"/>
    <w:rsid w:val="0002025A"/>
    <w:rsid w:val="00022E11"/>
    <w:rsid w:val="000269DC"/>
    <w:rsid w:val="00047DC0"/>
    <w:rsid w:val="00096808"/>
    <w:rsid w:val="000A1062"/>
    <w:rsid w:val="000A23F6"/>
    <w:rsid w:val="000C3ADA"/>
    <w:rsid w:val="00101019"/>
    <w:rsid w:val="001451E0"/>
    <w:rsid w:val="001E0ECA"/>
    <w:rsid w:val="001F4635"/>
    <w:rsid w:val="00203391"/>
    <w:rsid w:val="00205468"/>
    <w:rsid w:val="00210B4C"/>
    <w:rsid w:val="002140C0"/>
    <w:rsid w:val="00215248"/>
    <w:rsid w:val="002269C5"/>
    <w:rsid w:val="002E58C9"/>
    <w:rsid w:val="0031524F"/>
    <w:rsid w:val="00330537"/>
    <w:rsid w:val="00367048"/>
    <w:rsid w:val="003727E8"/>
    <w:rsid w:val="00377BDC"/>
    <w:rsid w:val="00392D09"/>
    <w:rsid w:val="003A2E58"/>
    <w:rsid w:val="003B3B58"/>
    <w:rsid w:val="003C42FF"/>
    <w:rsid w:val="004015F7"/>
    <w:rsid w:val="004503E3"/>
    <w:rsid w:val="004561D4"/>
    <w:rsid w:val="004B7FE1"/>
    <w:rsid w:val="004F49B9"/>
    <w:rsid w:val="004F7834"/>
    <w:rsid w:val="00504BA3"/>
    <w:rsid w:val="00543B65"/>
    <w:rsid w:val="0054688F"/>
    <w:rsid w:val="00554136"/>
    <w:rsid w:val="005610FD"/>
    <w:rsid w:val="00565DE2"/>
    <w:rsid w:val="005D4ED9"/>
    <w:rsid w:val="005E6415"/>
    <w:rsid w:val="00611E84"/>
    <w:rsid w:val="006305D3"/>
    <w:rsid w:val="00634BA6"/>
    <w:rsid w:val="0064412D"/>
    <w:rsid w:val="00676705"/>
    <w:rsid w:val="006D4D7E"/>
    <w:rsid w:val="006D6351"/>
    <w:rsid w:val="006E113E"/>
    <w:rsid w:val="006E4B81"/>
    <w:rsid w:val="006F376B"/>
    <w:rsid w:val="007242C1"/>
    <w:rsid w:val="00795987"/>
    <w:rsid w:val="007C3E7C"/>
    <w:rsid w:val="007D661E"/>
    <w:rsid w:val="007F46A7"/>
    <w:rsid w:val="00821DDE"/>
    <w:rsid w:val="00835A6F"/>
    <w:rsid w:val="00845359"/>
    <w:rsid w:val="00851994"/>
    <w:rsid w:val="008651F7"/>
    <w:rsid w:val="008728BA"/>
    <w:rsid w:val="00880D15"/>
    <w:rsid w:val="009127C3"/>
    <w:rsid w:val="00917FE5"/>
    <w:rsid w:val="00923051"/>
    <w:rsid w:val="009976F0"/>
    <w:rsid w:val="009B27A6"/>
    <w:rsid w:val="009D700F"/>
    <w:rsid w:val="00A02654"/>
    <w:rsid w:val="00A127E4"/>
    <w:rsid w:val="00A4171D"/>
    <w:rsid w:val="00A5212E"/>
    <w:rsid w:val="00A52489"/>
    <w:rsid w:val="00A61FC1"/>
    <w:rsid w:val="00A962BF"/>
    <w:rsid w:val="00AD7689"/>
    <w:rsid w:val="00AE0078"/>
    <w:rsid w:val="00AE698C"/>
    <w:rsid w:val="00B2165C"/>
    <w:rsid w:val="00B6357B"/>
    <w:rsid w:val="00B83292"/>
    <w:rsid w:val="00B83A7C"/>
    <w:rsid w:val="00BF6BCD"/>
    <w:rsid w:val="00C01D2B"/>
    <w:rsid w:val="00C531AA"/>
    <w:rsid w:val="00C75ABE"/>
    <w:rsid w:val="00C8361D"/>
    <w:rsid w:val="00CA72AB"/>
    <w:rsid w:val="00CC168C"/>
    <w:rsid w:val="00CD1D34"/>
    <w:rsid w:val="00D21CD8"/>
    <w:rsid w:val="00D22818"/>
    <w:rsid w:val="00D36848"/>
    <w:rsid w:val="00D374F7"/>
    <w:rsid w:val="00D50DEF"/>
    <w:rsid w:val="00D60B17"/>
    <w:rsid w:val="00D66A17"/>
    <w:rsid w:val="00D8000B"/>
    <w:rsid w:val="00D85CD5"/>
    <w:rsid w:val="00D860F4"/>
    <w:rsid w:val="00D91ABE"/>
    <w:rsid w:val="00DC020E"/>
    <w:rsid w:val="00DC5B3A"/>
    <w:rsid w:val="00E11A96"/>
    <w:rsid w:val="00E37F80"/>
    <w:rsid w:val="00E67831"/>
    <w:rsid w:val="00EC6591"/>
    <w:rsid w:val="00EF109F"/>
    <w:rsid w:val="00F207A8"/>
    <w:rsid w:val="00F23525"/>
    <w:rsid w:val="00F24761"/>
    <w:rsid w:val="00F37EB3"/>
    <w:rsid w:val="00F533DD"/>
    <w:rsid w:val="00F922BE"/>
    <w:rsid w:val="00FB0C8F"/>
    <w:rsid w:val="00FF5545"/>
    <w:rsid w:val="33A06AFA"/>
    <w:rsid w:val="4B64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uiPriority w:val="99"/>
    <w:rPr>
      <w:sz w:val="18"/>
      <w:szCs w:val="18"/>
    </w:rPr>
  </w:style>
  <w:style w:type="character" w:customStyle="1" w:styleId="9">
    <w:name w:val="font2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1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780</Words>
  <Characters>810</Characters>
  <Lines>6</Lines>
  <Paragraphs>1</Paragraphs>
  <TotalTime>12</TotalTime>
  <ScaleCrop>false</ScaleCrop>
  <LinksUpToDate>false</LinksUpToDate>
  <CharactersWithSpaces>867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2026-04-24T06:59:00Z</dcterms:created>
  <dc:creator>井文胜</dc:creator>
  <cp:lastModifiedBy>禾囷</cp:lastModifiedBy>
  <dcterms:modified xsi:type="dcterms:W3CDTF">2026-04-30T09:10:12Z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eyJoZGlkIjoiN2FhMTU1Mzc4NGM5ZTdjMzdlZmY5NWU4OGUyYWVhOTgiLCJ1c2VySWQiOiIxNTQ0NDY2ODQ3In0=</vt:lpwstr>
  </property>
  <property fmtid="{D5CDD505-2E9C-101B-9397-08002B2CF9AE}" pid="3" name="KSOProductBuildVer">
    <vt:lpwstr>2052-12.1.0.25225</vt:lpwstr>
  </property>
  <property fmtid="{D5CDD505-2E9C-101B-9397-08002B2CF9AE}" pid="4" name="ICV">
    <vt:lpwstr>14D29348EA1B4D268F018A460DC9F1F7_12</vt:lpwstr>
  </property>
</Properties>
</file>