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b/>
          <w:sz w:val="32"/>
          <w:szCs w:val="3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r>
        <w:rPr>
          <w:rFonts w:hint="eastAsia" w:ascii="黑体" w:eastAsia="黑体"/>
          <w:sz w:val="72"/>
          <w:szCs w:val="72"/>
        </w:rPr>
        <w:t>2025年度部门决算（公开</w:t>
      </w:r>
      <w:r>
        <w:rPr>
          <w:rFonts w:ascii="黑体" w:eastAsia="黑体"/>
          <w:sz w:val="72"/>
          <w:szCs w:val="72"/>
        </w:rPr>
        <w:t>）</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32"/>
          <w:szCs w:val="32"/>
        </w:rPr>
      </w:pPr>
    </w:p>
    <w:p>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pPr>
        <w:spacing w:line="500" w:lineRule="exact"/>
        <w:ind w:firstLine="645"/>
        <w:jc w:val="center"/>
        <w:rPr>
          <w:rFonts w:ascii="宋体" w:hAnsi="宋体" w:cs="宋体"/>
          <w:b/>
          <w:bCs/>
          <w:kern w:val="0"/>
          <w:sz w:val="36"/>
          <w:szCs w:val="36"/>
        </w:rPr>
      </w:pP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pPr>
        <w:tabs>
          <w:tab w:val="center" w:pos="6979"/>
        </w:tabs>
        <w:spacing w:line="500" w:lineRule="exact"/>
        <w:ind w:firstLine="2400" w:firstLineChars="6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pPr>
        <w:tabs>
          <w:tab w:val="center" w:pos="6979"/>
        </w:tabs>
        <w:spacing w:line="500" w:lineRule="exact"/>
        <w:ind w:firstLine="1600" w:firstLineChars="4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pPr>
        <w:tabs>
          <w:tab w:val="center" w:pos="6979"/>
        </w:tabs>
        <w:spacing w:line="500" w:lineRule="exact"/>
        <w:ind w:firstLine="1600" w:firstLineChars="400"/>
        <w:jc w:val="left"/>
        <w:rPr>
          <w:rFonts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2025年度部门决算报表</w:t>
      </w:r>
    </w:p>
    <w:p>
      <w:pPr>
        <w:pStyle w:val="2"/>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pPr>
        <w:tabs>
          <w:tab w:val="center" w:pos="6979"/>
        </w:tabs>
        <w:spacing w:before="156" w:beforeLines="50" w:after="156" w:afterLines="5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一、部门/单位基本情况</w:t>
      </w:r>
      <w:r>
        <w:rPr>
          <w:rFonts w:hint="eastAsia" w:ascii="仿宋_GB2312" w:eastAsia="仿宋_GB2312"/>
          <w:sz w:val="28"/>
          <w:szCs w:val="28"/>
        </w:rPr>
        <w:t>（比照</w:t>
      </w:r>
      <w:r>
        <w:rPr>
          <w:rFonts w:ascii="仿宋_GB2312" w:eastAsia="仿宋_GB2312"/>
          <w:sz w:val="28"/>
          <w:szCs w:val="28"/>
        </w:rPr>
        <w:t>预算公开</w:t>
      </w:r>
      <w:r>
        <w:rPr>
          <w:rFonts w:hint="eastAsia" w:ascii="仿宋_GB2312" w:eastAsia="仿宋_GB2312"/>
          <w:sz w:val="28"/>
          <w:szCs w:val="28"/>
        </w:rPr>
        <w:t>的内容</w:t>
      </w:r>
      <w:r>
        <w:rPr>
          <w:rFonts w:ascii="仿宋_GB2312" w:eastAsia="仿宋_GB2312"/>
          <w:sz w:val="28"/>
          <w:szCs w:val="28"/>
        </w:rPr>
        <w:t>格式）</w:t>
      </w:r>
    </w:p>
    <w:p>
      <w:pPr>
        <w:tabs>
          <w:tab w:val="center" w:pos="6979"/>
        </w:tabs>
        <w:spacing w:line="580" w:lineRule="exact"/>
        <w:ind w:firstLine="700" w:firstLineChars="250"/>
        <w:rPr>
          <w:rFonts w:ascii="仿宋_GB2312" w:eastAsia="仿宋_GB2312"/>
          <w:sz w:val="28"/>
          <w:szCs w:val="28"/>
          <w:highlight w:val="none"/>
        </w:rPr>
      </w:pPr>
      <w:r>
        <w:rPr>
          <w:rFonts w:hint="eastAsia" w:ascii="仿宋_GB2312" w:eastAsia="仿宋_GB2312"/>
          <w:sz w:val="28"/>
          <w:szCs w:val="28"/>
          <w:highlight w:val="none"/>
        </w:rPr>
        <w:t>（一</w:t>
      </w:r>
      <w:r>
        <w:rPr>
          <w:rFonts w:ascii="仿宋_GB2312" w:eastAsia="仿宋_GB2312"/>
          <w:sz w:val="28"/>
          <w:szCs w:val="28"/>
          <w:highlight w:val="none"/>
        </w:rPr>
        <w:t>）</w:t>
      </w:r>
      <w:r>
        <w:rPr>
          <w:rFonts w:hint="eastAsia" w:ascii="仿宋_GB2312" w:eastAsia="仿宋_GB2312"/>
          <w:sz w:val="28"/>
          <w:szCs w:val="28"/>
          <w:highlight w:val="none"/>
        </w:rPr>
        <w:t>本部门职责情况</w:t>
      </w:r>
    </w:p>
    <w:p>
      <w:pPr>
        <w:tabs>
          <w:tab w:val="center" w:pos="6979"/>
        </w:tabs>
        <w:spacing w:line="580" w:lineRule="exact"/>
        <w:ind w:firstLine="700" w:firstLineChars="250"/>
        <w:rPr>
          <w:rFonts w:hint="eastAsia" w:ascii="仿宋_GB2312" w:eastAsia="仿宋_GB2312"/>
          <w:sz w:val="28"/>
          <w:szCs w:val="28"/>
          <w:highlight w:val="none"/>
        </w:rPr>
      </w:pPr>
      <w:r>
        <w:rPr>
          <w:rFonts w:hint="eastAsia" w:ascii="仿宋_GB2312" w:eastAsia="仿宋_GB2312"/>
          <w:sz w:val="28"/>
          <w:szCs w:val="28"/>
          <w:highlight w:val="none"/>
        </w:rPr>
        <w:t>调查残疾人的状况，统计残疾人的数据，分析残疾人成因，为残疾人开展康复、预防等方面的技术服务。在上学、生活、康复、预防等方面开展活动，切实改善残疾人生产、生活状况。</w:t>
      </w:r>
    </w:p>
    <w:p>
      <w:pPr>
        <w:tabs>
          <w:tab w:val="center" w:pos="6979"/>
        </w:tabs>
        <w:spacing w:line="580" w:lineRule="exact"/>
        <w:ind w:firstLine="700" w:firstLineChars="250"/>
        <w:rPr>
          <w:rFonts w:hint="eastAsia" w:ascii="仿宋_GB2312" w:eastAsia="仿宋_GB2312"/>
          <w:sz w:val="28"/>
          <w:szCs w:val="28"/>
          <w:highlight w:val="none"/>
        </w:rPr>
      </w:pPr>
      <w:r>
        <w:rPr>
          <w:rFonts w:hint="eastAsia" w:ascii="仿宋_GB2312" w:eastAsia="仿宋_GB2312"/>
          <w:sz w:val="28"/>
          <w:szCs w:val="28"/>
          <w:highlight w:val="none"/>
        </w:rPr>
        <w:t>（二）机构设置情况</w:t>
      </w:r>
    </w:p>
    <w:p>
      <w:pPr>
        <w:tabs>
          <w:tab w:val="center" w:pos="6979"/>
        </w:tabs>
        <w:spacing w:line="580" w:lineRule="exact"/>
        <w:ind w:firstLine="700" w:firstLineChars="250"/>
        <w:rPr>
          <w:rFonts w:hint="eastAsia" w:ascii="仿宋_GB2312" w:eastAsia="仿宋_GB2312"/>
          <w:sz w:val="28"/>
          <w:szCs w:val="28"/>
          <w:lang w:eastAsia="zh-CN"/>
        </w:rPr>
      </w:pPr>
      <w:r>
        <w:rPr>
          <w:rFonts w:hint="eastAsia" w:ascii="仿宋_GB2312" w:eastAsia="仿宋_GB2312"/>
          <w:sz w:val="28"/>
          <w:szCs w:val="28"/>
        </w:rPr>
        <w:t>本部门共设2个内设机构，</w:t>
      </w:r>
      <w:r>
        <w:rPr>
          <w:rFonts w:hint="eastAsia" w:ascii="仿宋_GB2312" w:eastAsia="仿宋_GB2312"/>
          <w:sz w:val="28"/>
          <w:szCs w:val="28"/>
          <w:lang w:eastAsia="zh-CN"/>
        </w:rPr>
        <w:t>分别为办公室和群工科。</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lang w:eastAsia="zh-CN"/>
        </w:rPr>
        <w:t>本部门</w:t>
      </w:r>
      <w:r>
        <w:rPr>
          <w:rFonts w:hint="eastAsia" w:ascii="仿宋_GB2312" w:eastAsia="仿宋_GB2312"/>
          <w:sz w:val="28"/>
          <w:szCs w:val="28"/>
        </w:rPr>
        <w:t>下设2个事业单位</w:t>
      </w:r>
      <w:r>
        <w:rPr>
          <w:rFonts w:hint="eastAsia" w:ascii="仿宋_GB2312" w:eastAsia="仿宋_GB2312"/>
          <w:sz w:val="28"/>
          <w:szCs w:val="28"/>
          <w:lang w:eastAsia="zh-CN"/>
        </w:rPr>
        <w:t>，分别为：北京市门头沟区残疾人就业服务中心和北京市门头沟区残疾人康体服务中心</w:t>
      </w:r>
      <w:r>
        <w:rPr>
          <w:rFonts w:hint="eastAsia" w:ascii="仿宋_GB2312" w:eastAsia="仿宋_GB2312"/>
          <w:sz w:val="28"/>
          <w:szCs w:val="28"/>
        </w:rPr>
        <w:t>。</w:t>
      </w:r>
    </w:p>
    <w:p>
      <w:pPr>
        <w:tabs>
          <w:tab w:val="center" w:pos="6979"/>
        </w:tabs>
        <w:spacing w:line="580" w:lineRule="exact"/>
        <w:rPr>
          <w:rFonts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pPr>
        <w:tabs>
          <w:tab w:val="center" w:pos="6979"/>
        </w:tabs>
        <w:spacing w:line="580" w:lineRule="exact"/>
        <w:ind w:firstLine="570"/>
        <w:rPr>
          <w:rFonts w:ascii="仿宋_GB2312" w:eastAsia="仿宋_GB2312"/>
          <w:sz w:val="28"/>
          <w:szCs w:val="28"/>
          <w:highlight w:val="yellow"/>
        </w:rPr>
      </w:pPr>
      <w:r>
        <w:rPr>
          <w:rFonts w:hint="eastAsia" w:ascii="仿宋_GB2312" w:eastAsia="仿宋_GB2312"/>
          <w:sz w:val="28"/>
          <w:szCs w:val="28"/>
        </w:rPr>
        <w:t>2025年度收、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64</w:t>
      </w:r>
      <w:r>
        <w:rPr>
          <w:rFonts w:hint="eastAsia" w:ascii="仿宋_GB2312" w:eastAsia="仿宋_GB2312"/>
          <w:sz w:val="28"/>
          <w:szCs w:val="28"/>
          <w:lang w:val="en-US" w:eastAsia="zh-CN"/>
        </w:rPr>
        <w:t>,</w:t>
      </w:r>
      <w:r>
        <w:rPr>
          <w:rFonts w:ascii="仿宋_GB2312" w:eastAsia="仿宋_GB2312"/>
          <w:sz w:val="28"/>
          <w:szCs w:val="28"/>
        </w:rPr>
        <w:t>916</w:t>
      </w:r>
      <w:r>
        <w:rPr>
          <w:rFonts w:hint="eastAsia" w:ascii="仿宋_GB2312" w:eastAsia="仿宋_GB2312"/>
          <w:sz w:val="28"/>
          <w:szCs w:val="28"/>
          <w:lang w:val="en-US" w:eastAsia="zh-CN"/>
        </w:rPr>
        <w:t>,</w:t>
      </w:r>
      <w:r>
        <w:rPr>
          <w:rFonts w:ascii="仿宋_GB2312" w:eastAsia="仿宋_GB2312"/>
          <w:sz w:val="28"/>
          <w:szCs w:val="28"/>
        </w:rPr>
        <w:t>381.63</w:t>
      </w:r>
      <w:r>
        <w:rPr>
          <w:rFonts w:hint="eastAsia" w:ascii="仿宋_GB2312" w:eastAsia="仿宋_GB2312"/>
          <w:sz w:val="28"/>
          <w:szCs w:val="28"/>
        </w:rPr>
        <w:t>元，</w:t>
      </w:r>
      <w:r>
        <w:rPr>
          <w:rFonts w:ascii="仿宋_GB2312" w:eastAsia="仿宋_GB2312"/>
          <w:sz w:val="28"/>
          <w:szCs w:val="28"/>
          <w:highlight w:val="none"/>
        </w:rPr>
        <w:t>比上年</w:t>
      </w:r>
      <w:r>
        <w:rPr>
          <w:rFonts w:hint="eastAsia" w:ascii="仿宋_GB2312" w:eastAsia="仿宋_GB2312"/>
          <w:sz w:val="28"/>
          <w:szCs w:val="28"/>
          <w:highlight w:val="none"/>
        </w:rPr>
        <w:t>减少</w:t>
      </w:r>
      <w:r>
        <w:rPr>
          <w:rFonts w:hint="eastAsia" w:ascii="仿宋_GB2312" w:eastAsia="仿宋_GB2312"/>
          <w:sz w:val="28"/>
          <w:szCs w:val="28"/>
          <w:highlight w:val="none"/>
          <w:lang w:val="en-US" w:eastAsia="zh-CN"/>
        </w:rPr>
        <w:t>14,791,853.91</w:t>
      </w:r>
      <w:r>
        <w:rPr>
          <w:rFonts w:hint="eastAsia" w:ascii="仿宋_GB2312" w:eastAsia="仿宋_GB2312"/>
          <w:sz w:val="28"/>
          <w:szCs w:val="28"/>
          <w:highlight w:val="none"/>
        </w:rPr>
        <w:t>元，下降</w:t>
      </w:r>
      <w:r>
        <w:rPr>
          <w:rFonts w:hint="eastAsia" w:ascii="仿宋_GB2312" w:eastAsia="仿宋_GB2312"/>
          <w:sz w:val="28"/>
          <w:szCs w:val="28"/>
          <w:highlight w:val="none"/>
          <w:lang w:val="en-US" w:eastAsia="zh-CN"/>
        </w:rPr>
        <w:t>18.6</w:t>
      </w:r>
      <w:r>
        <w:rPr>
          <w:rFonts w:hint="eastAsia" w:ascii="仿宋_GB2312" w:eastAsia="仿宋_GB2312"/>
          <w:sz w:val="28"/>
          <w:szCs w:val="28"/>
          <w:highlight w:val="none"/>
        </w:rPr>
        <w:t>%。</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收入决算</w:t>
      </w:r>
      <w:r>
        <w:rPr>
          <w:rFonts w:ascii="仿宋_GB2312" w:eastAsia="仿宋_GB2312"/>
          <w:sz w:val="28"/>
          <w:szCs w:val="28"/>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2025年度本年收入合计</w:t>
      </w:r>
      <w:r>
        <w:rPr>
          <w:rFonts w:ascii="仿宋_GB2312" w:eastAsia="仿宋_GB2312"/>
          <w:sz w:val="28"/>
          <w:szCs w:val="28"/>
        </w:rPr>
        <w:t>64</w:t>
      </w:r>
      <w:r>
        <w:rPr>
          <w:rFonts w:hint="eastAsia" w:ascii="仿宋_GB2312" w:eastAsia="仿宋_GB2312"/>
          <w:sz w:val="28"/>
          <w:szCs w:val="28"/>
          <w:lang w:val="en-US" w:eastAsia="zh-CN"/>
        </w:rPr>
        <w:t>,</w:t>
      </w:r>
      <w:r>
        <w:rPr>
          <w:rFonts w:ascii="仿宋_GB2312" w:eastAsia="仿宋_GB2312"/>
          <w:sz w:val="28"/>
          <w:szCs w:val="28"/>
        </w:rPr>
        <w:t>916</w:t>
      </w:r>
      <w:r>
        <w:rPr>
          <w:rFonts w:hint="eastAsia" w:ascii="仿宋_GB2312" w:eastAsia="仿宋_GB2312"/>
          <w:sz w:val="28"/>
          <w:szCs w:val="28"/>
          <w:lang w:val="en-US" w:eastAsia="zh-CN"/>
        </w:rPr>
        <w:t>,</w:t>
      </w:r>
      <w:r>
        <w:rPr>
          <w:rFonts w:ascii="仿宋_GB2312" w:eastAsia="仿宋_GB2312"/>
          <w:sz w:val="28"/>
          <w:szCs w:val="28"/>
        </w:rPr>
        <w:t>381.63</w:t>
      </w:r>
      <w:r>
        <w:rPr>
          <w:rFonts w:hint="eastAsia" w:ascii="仿宋_GB2312" w:eastAsia="仿宋_GB2312"/>
          <w:sz w:val="28"/>
          <w:szCs w:val="28"/>
        </w:rPr>
        <w:t>元，</w:t>
      </w:r>
      <w:r>
        <w:rPr>
          <w:rFonts w:ascii="仿宋_GB2312" w:eastAsia="仿宋_GB2312"/>
          <w:sz w:val="28"/>
          <w:szCs w:val="28"/>
          <w:highlight w:val="none"/>
        </w:rPr>
        <w:t>比上年</w:t>
      </w:r>
      <w:r>
        <w:rPr>
          <w:rFonts w:hint="eastAsia" w:ascii="仿宋_GB2312" w:eastAsia="仿宋_GB2312"/>
          <w:sz w:val="28"/>
          <w:szCs w:val="28"/>
          <w:highlight w:val="none"/>
        </w:rPr>
        <w:t>减少</w:t>
      </w:r>
      <w:r>
        <w:rPr>
          <w:rFonts w:hint="eastAsia" w:ascii="仿宋_GB2312" w:eastAsia="仿宋_GB2312"/>
          <w:sz w:val="28"/>
          <w:szCs w:val="28"/>
          <w:highlight w:val="none"/>
          <w:lang w:val="en-US" w:eastAsia="zh-CN"/>
        </w:rPr>
        <w:t>14,791,853.91</w:t>
      </w:r>
      <w:r>
        <w:rPr>
          <w:rFonts w:hint="eastAsia" w:ascii="仿宋_GB2312" w:eastAsia="仿宋_GB2312"/>
          <w:sz w:val="28"/>
          <w:szCs w:val="28"/>
          <w:highlight w:val="none"/>
        </w:rPr>
        <w:t>元，下降</w:t>
      </w:r>
      <w:r>
        <w:rPr>
          <w:rFonts w:hint="eastAsia" w:ascii="仿宋_GB2312" w:eastAsia="仿宋_GB2312"/>
          <w:sz w:val="28"/>
          <w:szCs w:val="28"/>
          <w:highlight w:val="none"/>
          <w:lang w:val="en-US" w:eastAsia="zh-CN"/>
        </w:rPr>
        <w:t>18.6</w:t>
      </w:r>
      <w:r>
        <w:rPr>
          <w:rFonts w:hint="eastAsia" w:ascii="仿宋_GB2312" w:eastAsia="仿宋_GB2312"/>
          <w:sz w:val="28"/>
          <w:szCs w:val="28"/>
          <w:highlight w:val="none"/>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1.财政拨款收入</w:t>
      </w:r>
      <w:r>
        <w:rPr>
          <w:rFonts w:ascii="仿宋_GB2312" w:eastAsia="仿宋_GB2312"/>
          <w:sz w:val="28"/>
          <w:szCs w:val="28"/>
        </w:rPr>
        <w:t>64</w:t>
      </w:r>
      <w:r>
        <w:rPr>
          <w:rFonts w:hint="eastAsia" w:ascii="仿宋_GB2312" w:eastAsia="仿宋_GB2312"/>
          <w:sz w:val="28"/>
          <w:szCs w:val="28"/>
          <w:lang w:val="en-US" w:eastAsia="zh-CN"/>
        </w:rPr>
        <w:t>,</w:t>
      </w:r>
      <w:r>
        <w:rPr>
          <w:rFonts w:ascii="仿宋_GB2312" w:eastAsia="仿宋_GB2312"/>
          <w:sz w:val="28"/>
          <w:szCs w:val="28"/>
        </w:rPr>
        <w:t>916</w:t>
      </w:r>
      <w:r>
        <w:rPr>
          <w:rFonts w:hint="eastAsia" w:ascii="仿宋_GB2312" w:eastAsia="仿宋_GB2312"/>
          <w:sz w:val="28"/>
          <w:szCs w:val="28"/>
          <w:lang w:val="en-US" w:eastAsia="zh-CN"/>
        </w:rPr>
        <w:t>,</w:t>
      </w:r>
      <w:r>
        <w:rPr>
          <w:rFonts w:ascii="仿宋_GB2312" w:eastAsia="仿宋_GB2312"/>
          <w:sz w:val="28"/>
          <w:szCs w:val="28"/>
        </w:rPr>
        <w:t>381.63</w:t>
      </w:r>
      <w:r>
        <w:rPr>
          <w:rFonts w:hint="eastAsia" w:ascii="仿宋_GB2312" w:eastAsia="仿宋_GB2312"/>
          <w:sz w:val="28"/>
          <w:szCs w:val="28"/>
        </w:rPr>
        <w:t>元，占收入合计的100%。其中：一般公共预算财政拨款收入</w:t>
      </w:r>
      <w:r>
        <w:rPr>
          <w:rFonts w:ascii="仿宋_GB2312" w:eastAsia="仿宋_GB2312"/>
          <w:sz w:val="28"/>
          <w:szCs w:val="28"/>
        </w:rPr>
        <w:t>64</w:t>
      </w:r>
      <w:r>
        <w:rPr>
          <w:rFonts w:hint="eastAsia" w:ascii="仿宋_GB2312" w:eastAsia="仿宋_GB2312"/>
          <w:sz w:val="28"/>
          <w:szCs w:val="28"/>
          <w:lang w:val="en-US" w:eastAsia="zh-CN"/>
        </w:rPr>
        <w:t>,</w:t>
      </w:r>
      <w:r>
        <w:rPr>
          <w:rFonts w:ascii="仿宋_GB2312" w:eastAsia="仿宋_GB2312"/>
          <w:sz w:val="28"/>
          <w:szCs w:val="28"/>
        </w:rPr>
        <w:t>736</w:t>
      </w:r>
      <w:r>
        <w:rPr>
          <w:rFonts w:hint="eastAsia" w:ascii="仿宋_GB2312" w:eastAsia="仿宋_GB2312"/>
          <w:sz w:val="28"/>
          <w:szCs w:val="28"/>
          <w:lang w:val="en-US" w:eastAsia="zh-CN"/>
        </w:rPr>
        <w:t>,</w:t>
      </w:r>
      <w:r>
        <w:rPr>
          <w:rFonts w:ascii="仿宋_GB2312" w:eastAsia="仿宋_GB2312"/>
          <w:sz w:val="28"/>
          <w:szCs w:val="28"/>
        </w:rPr>
        <w:t>381.63</w:t>
      </w:r>
      <w:r>
        <w:rPr>
          <w:rFonts w:hint="eastAsia" w:ascii="仿宋_GB2312" w:eastAsia="仿宋_GB2312"/>
          <w:sz w:val="28"/>
          <w:szCs w:val="28"/>
        </w:rPr>
        <w:t>元，占收入合计的99.7%；政府性基金预算财政拨款收入</w:t>
      </w:r>
      <w:r>
        <w:rPr>
          <w:rFonts w:ascii="仿宋_GB2312" w:eastAsia="仿宋_GB2312"/>
          <w:sz w:val="28"/>
          <w:szCs w:val="28"/>
        </w:rPr>
        <w:t>180</w:t>
      </w:r>
      <w:r>
        <w:rPr>
          <w:rFonts w:hint="eastAsia" w:ascii="仿宋_GB2312" w:eastAsia="仿宋_GB2312"/>
          <w:sz w:val="28"/>
          <w:szCs w:val="28"/>
          <w:lang w:val="en-US" w:eastAsia="zh-CN"/>
        </w:rPr>
        <w:t>,</w:t>
      </w:r>
      <w:r>
        <w:rPr>
          <w:rFonts w:ascii="仿宋_GB2312" w:eastAsia="仿宋_GB2312"/>
          <w:sz w:val="28"/>
          <w:szCs w:val="28"/>
        </w:rPr>
        <w:t>000</w:t>
      </w:r>
      <w:r>
        <w:rPr>
          <w:rFonts w:hint="eastAsia" w:ascii="仿宋_GB2312" w:eastAsia="仿宋_GB2312"/>
          <w:sz w:val="28"/>
          <w:szCs w:val="28"/>
        </w:rPr>
        <w:t>元，占收入合计的0.</w:t>
      </w:r>
      <w:r>
        <w:rPr>
          <w:rFonts w:hint="eastAsia" w:ascii="仿宋_GB2312" w:eastAsia="仿宋_GB2312"/>
          <w:sz w:val="28"/>
          <w:szCs w:val="28"/>
          <w:lang w:val="en-US" w:eastAsia="zh-CN"/>
        </w:rPr>
        <w:t>3</w:t>
      </w:r>
      <w:r>
        <w:rPr>
          <w:rFonts w:hint="eastAsia" w:ascii="仿宋_GB2312" w:eastAsia="仿宋_GB2312"/>
          <w:sz w:val="28"/>
          <w:szCs w:val="28"/>
        </w:rPr>
        <w:t>%；国有资本经营预算财政拨款收入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2.上级补助收入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3.事业收入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6.其他收入</w:t>
      </w:r>
      <w:r>
        <w:rPr>
          <w:rFonts w:ascii="仿宋_GB2312" w:eastAsia="仿宋_GB2312"/>
          <w:sz w:val="28"/>
          <w:szCs w:val="28"/>
        </w:rPr>
        <w:t>0</w:t>
      </w:r>
      <w:r>
        <w:rPr>
          <w:rFonts w:hint="eastAsia" w:ascii="仿宋_GB2312" w:eastAsia="仿宋_GB2312"/>
          <w:sz w:val="28"/>
          <w:szCs w:val="28"/>
        </w:rPr>
        <w:t>元，占收入合计的0%。</w:t>
      </w:r>
    </w:p>
    <w:p>
      <w:pPr>
        <w:spacing w:line="560" w:lineRule="exact"/>
        <w:ind w:firstLine="640"/>
        <w:rPr>
          <w:rFonts w:ascii="仿宋_GB2312" w:eastAsia="仿宋_GB2312" w:cs="Droid Sans"/>
          <w:color w:val="000000"/>
          <w:sz w:val="32"/>
          <w:szCs w:val="32"/>
        </w:rPr>
      </w:pPr>
      <w:r>
        <w:rPr>
          <w:rFonts w:hint="eastAsia" w:ascii="仿宋_GB2312" w:eastAsia="仿宋_GB2312" w:cs="Droid Sans"/>
          <w:color w:val="000000"/>
          <w:sz w:val="32"/>
          <w:szCs w:val="32"/>
        </w:rPr>
        <w:t>（此处插入图表，用上述收入金额制作饼状图，示例如下，无金额类型不必制图）</w:t>
      </w:r>
    </w:p>
    <w:p>
      <w:pPr>
        <w:pStyle w:val="2"/>
        <w:jc w:val="center"/>
      </w:pPr>
      <w:r>
        <w:rPr>
          <w:rFonts w:hint="eastAsia" w:ascii="仿宋_GB2312" w:eastAsia="仿宋_GB2312"/>
          <w:color w:val="000000"/>
          <w:sz w:val="32"/>
        </w:rPr>
        <w:t>图1：收入决算</w:t>
      </w:r>
    </w:p>
    <w:p>
      <w:pPr>
        <w:pStyle w:val="3"/>
        <w:ind w:firstLine="420"/>
        <w:jc w:val="center"/>
      </w:pPr>
      <w:r>
        <w:drawing>
          <wp:inline distT="0" distB="0" distL="0" distR="0">
            <wp:extent cx="4036695" cy="2328545"/>
            <wp:effectExtent l="0" t="0" r="20955" b="14605"/>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2025年度本年支出合计</w:t>
      </w:r>
      <w:r>
        <w:rPr>
          <w:rFonts w:ascii="仿宋_GB2312" w:eastAsia="仿宋_GB2312"/>
          <w:sz w:val="28"/>
          <w:szCs w:val="28"/>
        </w:rPr>
        <w:t>64</w:t>
      </w:r>
      <w:r>
        <w:rPr>
          <w:rFonts w:hint="eastAsia" w:ascii="仿宋_GB2312" w:eastAsia="仿宋_GB2312"/>
          <w:sz w:val="28"/>
          <w:szCs w:val="28"/>
          <w:lang w:val="en-US" w:eastAsia="zh-CN"/>
        </w:rPr>
        <w:t>,</w:t>
      </w:r>
      <w:r>
        <w:rPr>
          <w:rFonts w:ascii="仿宋_GB2312" w:eastAsia="仿宋_GB2312"/>
          <w:sz w:val="28"/>
          <w:szCs w:val="28"/>
        </w:rPr>
        <w:t>916</w:t>
      </w:r>
      <w:r>
        <w:rPr>
          <w:rFonts w:hint="eastAsia" w:ascii="仿宋_GB2312" w:eastAsia="仿宋_GB2312"/>
          <w:sz w:val="28"/>
          <w:szCs w:val="28"/>
          <w:lang w:val="en-US" w:eastAsia="zh-CN"/>
        </w:rPr>
        <w:t>,</w:t>
      </w:r>
      <w:r>
        <w:rPr>
          <w:rFonts w:ascii="仿宋_GB2312" w:eastAsia="仿宋_GB2312"/>
          <w:sz w:val="28"/>
          <w:szCs w:val="28"/>
        </w:rPr>
        <w:t>381.63</w:t>
      </w:r>
      <w:r>
        <w:rPr>
          <w:rFonts w:hint="eastAsia" w:ascii="仿宋_GB2312" w:eastAsia="仿宋_GB2312"/>
          <w:sz w:val="28"/>
          <w:szCs w:val="28"/>
        </w:rPr>
        <w:t>元，</w:t>
      </w:r>
      <w:r>
        <w:rPr>
          <w:rFonts w:ascii="仿宋_GB2312" w:eastAsia="仿宋_GB2312"/>
          <w:sz w:val="28"/>
          <w:szCs w:val="28"/>
          <w:highlight w:val="none"/>
        </w:rPr>
        <w:t>比上年</w:t>
      </w:r>
      <w:r>
        <w:rPr>
          <w:rFonts w:hint="eastAsia" w:ascii="仿宋_GB2312" w:eastAsia="仿宋_GB2312"/>
          <w:sz w:val="28"/>
          <w:szCs w:val="28"/>
          <w:highlight w:val="none"/>
        </w:rPr>
        <w:t>减少</w:t>
      </w:r>
      <w:r>
        <w:rPr>
          <w:rFonts w:hint="eastAsia" w:ascii="仿宋_GB2312" w:eastAsia="仿宋_GB2312"/>
          <w:sz w:val="28"/>
          <w:szCs w:val="28"/>
          <w:highlight w:val="none"/>
          <w:lang w:val="en-US" w:eastAsia="zh-CN"/>
        </w:rPr>
        <w:t>14,791,853.91</w:t>
      </w:r>
      <w:r>
        <w:rPr>
          <w:rFonts w:hint="eastAsia" w:ascii="仿宋_GB2312" w:eastAsia="仿宋_GB2312"/>
          <w:sz w:val="28"/>
          <w:szCs w:val="28"/>
          <w:highlight w:val="none"/>
        </w:rPr>
        <w:t>元，下降</w:t>
      </w:r>
      <w:r>
        <w:rPr>
          <w:rFonts w:hint="eastAsia" w:ascii="仿宋_GB2312" w:eastAsia="仿宋_GB2312"/>
          <w:sz w:val="28"/>
          <w:szCs w:val="28"/>
          <w:highlight w:val="none"/>
          <w:lang w:val="en-US" w:eastAsia="zh-CN"/>
        </w:rPr>
        <w:t>18.6</w:t>
      </w:r>
      <w:r>
        <w:rPr>
          <w:rFonts w:hint="eastAsia" w:ascii="仿宋_GB2312" w:eastAsia="仿宋_GB2312"/>
          <w:sz w:val="28"/>
          <w:szCs w:val="28"/>
          <w:highlight w:val="none"/>
        </w:rPr>
        <w:t>%</w:t>
      </w:r>
      <w:r>
        <w:rPr>
          <w:rFonts w:hint="eastAsia" w:ascii="仿宋_GB2312" w:eastAsia="仿宋_GB2312"/>
          <w:sz w:val="28"/>
          <w:szCs w:val="28"/>
          <w:highlight w:val="none"/>
          <w:lang w:eastAsia="zh-CN"/>
        </w:rPr>
        <w:t>，</w:t>
      </w:r>
      <w:r>
        <w:rPr>
          <w:rFonts w:hint="eastAsia" w:ascii="仿宋_GB2312" w:eastAsia="仿宋_GB2312"/>
          <w:sz w:val="28"/>
          <w:szCs w:val="28"/>
        </w:rPr>
        <w:t>其中：基本支出</w:t>
      </w:r>
      <w:r>
        <w:rPr>
          <w:rFonts w:ascii="仿宋_GB2312" w:eastAsia="仿宋_GB2312"/>
          <w:sz w:val="28"/>
          <w:szCs w:val="28"/>
        </w:rPr>
        <w:t>11</w:t>
      </w:r>
      <w:r>
        <w:rPr>
          <w:rFonts w:hint="eastAsia" w:ascii="仿宋_GB2312" w:eastAsia="仿宋_GB2312"/>
          <w:sz w:val="28"/>
          <w:szCs w:val="28"/>
          <w:lang w:val="en-US" w:eastAsia="zh-CN"/>
        </w:rPr>
        <w:t>,</w:t>
      </w:r>
      <w:r>
        <w:rPr>
          <w:rFonts w:ascii="仿宋_GB2312" w:eastAsia="仿宋_GB2312"/>
          <w:sz w:val="28"/>
          <w:szCs w:val="28"/>
        </w:rPr>
        <w:t>139</w:t>
      </w:r>
      <w:r>
        <w:rPr>
          <w:rFonts w:hint="eastAsia" w:ascii="仿宋_GB2312" w:eastAsia="仿宋_GB2312"/>
          <w:sz w:val="28"/>
          <w:szCs w:val="28"/>
          <w:lang w:val="en-US" w:eastAsia="zh-CN"/>
        </w:rPr>
        <w:t>,</w:t>
      </w:r>
      <w:r>
        <w:rPr>
          <w:rFonts w:ascii="仿宋_GB2312" w:eastAsia="仿宋_GB2312"/>
          <w:sz w:val="28"/>
          <w:szCs w:val="28"/>
        </w:rPr>
        <w:t>428.73</w:t>
      </w:r>
      <w:r>
        <w:rPr>
          <w:rFonts w:hint="eastAsia" w:ascii="仿宋_GB2312" w:eastAsia="仿宋_GB2312"/>
          <w:sz w:val="28"/>
          <w:szCs w:val="28"/>
        </w:rPr>
        <w:t>元，占支出合计的17.</w:t>
      </w:r>
      <w:r>
        <w:rPr>
          <w:rFonts w:hint="eastAsia" w:ascii="仿宋_GB2312" w:eastAsia="仿宋_GB2312"/>
          <w:sz w:val="28"/>
          <w:szCs w:val="28"/>
          <w:lang w:val="en-US" w:eastAsia="zh-CN"/>
        </w:rPr>
        <w:t>2</w:t>
      </w:r>
      <w:r>
        <w:rPr>
          <w:rFonts w:hint="eastAsia" w:ascii="仿宋_GB2312" w:eastAsia="仿宋_GB2312"/>
          <w:sz w:val="28"/>
          <w:szCs w:val="28"/>
        </w:rPr>
        <w:t>%；项目支出</w:t>
      </w:r>
      <w:r>
        <w:rPr>
          <w:rFonts w:ascii="仿宋_GB2312" w:eastAsia="仿宋_GB2312"/>
          <w:sz w:val="28"/>
          <w:szCs w:val="28"/>
        </w:rPr>
        <w:t>53</w:t>
      </w:r>
      <w:r>
        <w:rPr>
          <w:rFonts w:hint="eastAsia" w:ascii="仿宋_GB2312" w:eastAsia="仿宋_GB2312"/>
          <w:sz w:val="28"/>
          <w:szCs w:val="28"/>
          <w:lang w:val="en-US" w:eastAsia="zh-CN"/>
        </w:rPr>
        <w:t>,</w:t>
      </w:r>
      <w:r>
        <w:rPr>
          <w:rFonts w:ascii="仿宋_GB2312" w:eastAsia="仿宋_GB2312"/>
          <w:sz w:val="28"/>
          <w:szCs w:val="28"/>
        </w:rPr>
        <w:t>776</w:t>
      </w:r>
      <w:r>
        <w:rPr>
          <w:rFonts w:hint="eastAsia" w:ascii="仿宋_GB2312" w:eastAsia="仿宋_GB2312"/>
          <w:sz w:val="28"/>
          <w:szCs w:val="28"/>
          <w:lang w:val="en-US" w:eastAsia="zh-CN"/>
        </w:rPr>
        <w:t>,</w:t>
      </w:r>
      <w:r>
        <w:rPr>
          <w:rFonts w:ascii="仿宋_GB2312" w:eastAsia="仿宋_GB2312"/>
          <w:sz w:val="28"/>
          <w:szCs w:val="28"/>
        </w:rPr>
        <w:t>952.9</w:t>
      </w:r>
      <w:r>
        <w:rPr>
          <w:rFonts w:hint="eastAsia" w:ascii="仿宋_GB2312" w:eastAsia="仿宋_GB2312"/>
          <w:sz w:val="28"/>
          <w:szCs w:val="28"/>
        </w:rPr>
        <w:t>元，占支出合计的82.8%;上缴上级支出</w:t>
      </w:r>
      <w:r>
        <w:rPr>
          <w:rFonts w:ascii="仿宋_GB2312" w:eastAsia="仿宋_GB2312"/>
          <w:sz w:val="28"/>
          <w:szCs w:val="28"/>
        </w:rPr>
        <w:t>0</w:t>
      </w:r>
      <w:r>
        <w:rPr>
          <w:rFonts w:hint="eastAsia" w:ascii="仿宋_GB2312" w:eastAsia="仿宋_GB2312"/>
          <w:sz w:val="28"/>
          <w:szCs w:val="28"/>
        </w:rPr>
        <w:t>元，占支出合计的0%；经营支出</w:t>
      </w:r>
      <w:r>
        <w:rPr>
          <w:rFonts w:ascii="仿宋_GB2312" w:eastAsia="仿宋_GB2312"/>
          <w:sz w:val="28"/>
          <w:szCs w:val="28"/>
        </w:rPr>
        <w:t>0</w:t>
      </w:r>
      <w:r>
        <w:rPr>
          <w:rFonts w:hint="eastAsia" w:ascii="仿宋_GB2312" w:eastAsia="仿宋_GB2312"/>
          <w:sz w:val="28"/>
          <w:szCs w:val="28"/>
        </w:rPr>
        <w:t>元，占支出合计的0%；对附属单位补助支出</w:t>
      </w:r>
      <w:r>
        <w:rPr>
          <w:rFonts w:ascii="仿宋_GB2312" w:eastAsia="仿宋_GB2312"/>
          <w:sz w:val="28"/>
          <w:szCs w:val="28"/>
        </w:rPr>
        <w:t>0</w:t>
      </w:r>
      <w:r>
        <w:rPr>
          <w:rFonts w:hint="eastAsia" w:ascii="仿宋_GB2312" w:eastAsia="仿宋_GB2312"/>
          <w:sz w:val="28"/>
          <w:szCs w:val="28"/>
        </w:rPr>
        <w:t>元，占支出合计的0%。</w:t>
      </w:r>
    </w:p>
    <w:p>
      <w:pPr>
        <w:spacing w:line="560" w:lineRule="exact"/>
        <w:ind w:firstLine="640"/>
        <w:rPr>
          <w:rFonts w:ascii="仿宋_GB2312" w:eastAsia="仿宋_GB2312" w:cs="Droid Sans"/>
          <w:color w:val="000000"/>
          <w:sz w:val="32"/>
          <w:szCs w:val="32"/>
        </w:rPr>
      </w:pPr>
      <w:r>
        <w:rPr>
          <w:rFonts w:hint="eastAsia" w:ascii="仿宋_GB2312" w:eastAsia="仿宋_GB2312" w:cs="Droid Sans"/>
          <w:color w:val="000000"/>
          <w:sz w:val="32"/>
          <w:szCs w:val="32"/>
        </w:rPr>
        <w:t>（此处插入图表，用上述支出金额制作饼状图，示例如下，无金额类型不必制图）</w:t>
      </w:r>
    </w:p>
    <w:p>
      <w:pPr>
        <w:pStyle w:val="2"/>
        <w:ind w:firstLine="5772" w:firstLineChars="1804"/>
        <w:rPr>
          <w:rFonts w:ascii="仿宋_GB2312" w:eastAsia="仿宋_GB2312"/>
          <w:color w:val="000000"/>
          <w:sz w:val="32"/>
        </w:rPr>
      </w:pPr>
      <w:r>
        <w:rPr>
          <w:rFonts w:hint="eastAsia" w:ascii="仿宋_GB2312" w:eastAsia="仿宋_GB2312"/>
          <w:color w:val="000000"/>
          <w:sz w:val="32"/>
        </w:rPr>
        <w:t>图2：支出决算</w:t>
      </w:r>
    </w:p>
    <w:p>
      <w:pPr>
        <w:jc w:val="center"/>
        <w:rPr>
          <w:rFonts w:ascii="黑体" w:eastAsia="黑体"/>
          <w:b/>
          <w:sz w:val="28"/>
          <w:szCs w:val="28"/>
        </w:rPr>
      </w:pPr>
      <w:r>
        <w:drawing>
          <wp:inline distT="0" distB="0" distL="114300" distR="114300">
            <wp:extent cx="4572000" cy="2743200"/>
            <wp:effectExtent l="4445" t="4445" r="14605" b="1460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2025年度财政拨款收、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64</w:t>
      </w:r>
      <w:r>
        <w:rPr>
          <w:rFonts w:hint="eastAsia" w:ascii="仿宋_GB2312" w:eastAsia="仿宋_GB2312"/>
          <w:sz w:val="28"/>
          <w:szCs w:val="28"/>
          <w:lang w:val="en-US" w:eastAsia="zh-CN"/>
        </w:rPr>
        <w:t>,</w:t>
      </w:r>
      <w:r>
        <w:rPr>
          <w:rFonts w:ascii="仿宋_GB2312" w:eastAsia="仿宋_GB2312"/>
          <w:sz w:val="28"/>
          <w:szCs w:val="28"/>
        </w:rPr>
        <w:t>916</w:t>
      </w:r>
      <w:r>
        <w:rPr>
          <w:rFonts w:hint="eastAsia" w:ascii="仿宋_GB2312" w:eastAsia="仿宋_GB2312"/>
          <w:sz w:val="28"/>
          <w:szCs w:val="28"/>
          <w:lang w:val="en-US" w:eastAsia="zh-CN"/>
        </w:rPr>
        <w:t>,</w:t>
      </w:r>
      <w:r>
        <w:rPr>
          <w:rFonts w:ascii="仿宋_GB2312" w:eastAsia="仿宋_GB2312"/>
          <w:sz w:val="28"/>
          <w:szCs w:val="28"/>
        </w:rPr>
        <w:t>381.63</w:t>
      </w:r>
      <w:r>
        <w:rPr>
          <w:rFonts w:hint="eastAsia" w:ascii="仿宋_GB2312" w:eastAsia="仿宋_GB2312"/>
          <w:sz w:val="28"/>
          <w:szCs w:val="28"/>
        </w:rPr>
        <w:t>元，</w:t>
      </w:r>
      <w:r>
        <w:rPr>
          <w:rFonts w:ascii="仿宋_GB2312" w:eastAsia="仿宋_GB2312"/>
          <w:sz w:val="28"/>
          <w:szCs w:val="28"/>
          <w:highlight w:val="none"/>
        </w:rPr>
        <w:t>比上年</w:t>
      </w:r>
      <w:r>
        <w:rPr>
          <w:rFonts w:hint="eastAsia" w:ascii="仿宋_GB2312" w:eastAsia="仿宋_GB2312"/>
          <w:sz w:val="28"/>
          <w:szCs w:val="28"/>
          <w:highlight w:val="none"/>
        </w:rPr>
        <w:t>减少</w:t>
      </w:r>
      <w:r>
        <w:rPr>
          <w:rFonts w:hint="eastAsia" w:ascii="仿宋_GB2312" w:eastAsia="仿宋_GB2312"/>
          <w:sz w:val="28"/>
          <w:szCs w:val="28"/>
          <w:highlight w:val="none"/>
          <w:lang w:val="en-US" w:eastAsia="zh-CN"/>
        </w:rPr>
        <w:t>14,791,853.91</w:t>
      </w:r>
      <w:r>
        <w:rPr>
          <w:rFonts w:hint="eastAsia" w:ascii="仿宋_GB2312" w:eastAsia="仿宋_GB2312"/>
          <w:sz w:val="28"/>
          <w:szCs w:val="28"/>
          <w:highlight w:val="none"/>
        </w:rPr>
        <w:t>元，下降</w:t>
      </w:r>
      <w:r>
        <w:rPr>
          <w:rFonts w:hint="eastAsia" w:ascii="仿宋_GB2312" w:eastAsia="仿宋_GB2312"/>
          <w:sz w:val="28"/>
          <w:szCs w:val="28"/>
          <w:highlight w:val="none"/>
          <w:lang w:val="en-US" w:eastAsia="zh-CN"/>
        </w:rPr>
        <w:t>18.6</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因</w:t>
      </w:r>
      <w:r>
        <w:rPr>
          <w:rFonts w:hint="eastAsia" w:ascii="仿宋_GB2312" w:eastAsia="仿宋_GB2312"/>
          <w:sz w:val="28"/>
          <w:szCs w:val="28"/>
          <w:highlight w:val="none"/>
          <w:lang w:val="en-US" w:eastAsia="zh-CN"/>
        </w:rPr>
        <w:t>2023年我区经历海河23·7流域性特大洪水，故2024年财政拨款金额有所增加，2025年资金恢复往常体量，故收支有所下降</w:t>
      </w:r>
      <w:r>
        <w:rPr>
          <w:rFonts w:hint="eastAsia" w:ascii="仿宋_GB2312" w:eastAsia="仿宋_GB2312"/>
          <w:sz w:val="28"/>
          <w:szCs w:val="28"/>
          <w:highlight w:val="none"/>
        </w:rPr>
        <w:t>。</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四、一般公共预算财政拨款支出决算情况说明</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（一）一般公共预算财政拨款支出决算总体情况</w:t>
      </w:r>
    </w:p>
    <w:p>
      <w:pPr>
        <w:tabs>
          <w:tab w:val="center" w:pos="6979"/>
        </w:tabs>
        <w:spacing w:line="580" w:lineRule="exact"/>
        <w:ind w:firstLine="560" w:firstLineChars="200"/>
        <w:rPr>
          <w:rFonts w:ascii="仿宋_GB2312" w:eastAsia="仿宋_GB2312"/>
          <w:sz w:val="28"/>
          <w:szCs w:val="28"/>
          <w:highlight w:val="none"/>
        </w:rPr>
      </w:pPr>
      <w:r>
        <w:rPr>
          <w:rFonts w:hint="eastAsia" w:ascii="仿宋_GB2312" w:eastAsia="仿宋_GB2312"/>
          <w:sz w:val="28"/>
          <w:szCs w:val="28"/>
        </w:rPr>
        <w:t>2025年度一般公共预算财政拨款支出</w:t>
      </w:r>
      <w:r>
        <w:rPr>
          <w:rFonts w:ascii="仿宋_GB2312" w:eastAsia="仿宋_GB2312"/>
          <w:sz w:val="28"/>
          <w:szCs w:val="28"/>
        </w:rPr>
        <w:t>64</w:t>
      </w:r>
      <w:r>
        <w:rPr>
          <w:rFonts w:hint="eastAsia" w:ascii="仿宋_GB2312" w:eastAsia="仿宋_GB2312"/>
          <w:sz w:val="28"/>
          <w:szCs w:val="28"/>
          <w:lang w:val="en-US" w:eastAsia="zh-CN"/>
        </w:rPr>
        <w:t>,</w:t>
      </w:r>
      <w:r>
        <w:rPr>
          <w:rFonts w:ascii="仿宋_GB2312" w:eastAsia="仿宋_GB2312"/>
          <w:sz w:val="28"/>
          <w:szCs w:val="28"/>
        </w:rPr>
        <w:t>736</w:t>
      </w:r>
      <w:r>
        <w:rPr>
          <w:rFonts w:hint="eastAsia" w:ascii="仿宋_GB2312" w:eastAsia="仿宋_GB2312"/>
          <w:sz w:val="28"/>
          <w:szCs w:val="28"/>
          <w:lang w:val="en-US" w:eastAsia="zh-CN"/>
        </w:rPr>
        <w:t>,</w:t>
      </w:r>
      <w:r>
        <w:rPr>
          <w:rFonts w:ascii="仿宋_GB2312" w:eastAsia="仿宋_GB2312"/>
          <w:sz w:val="28"/>
          <w:szCs w:val="28"/>
        </w:rPr>
        <w:t>381.63</w:t>
      </w:r>
      <w:r>
        <w:rPr>
          <w:rFonts w:hint="eastAsia" w:ascii="仿宋_GB2312" w:eastAsia="仿宋_GB2312"/>
          <w:sz w:val="28"/>
          <w:szCs w:val="28"/>
        </w:rPr>
        <w:t>元，</w:t>
      </w:r>
      <w:r>
        <w:rPr>
          <w:rFonts w:hint="eastAsia" w:ascii="仿宋_GB2312" w:eastAsia="仿宋_GB2312"/>
          <w:sz w:val="28"/>
          <w:szCs w:val="28"/>
          <w:highlight w:val="none"/>
        </w:rPr>
        <w:t>主要用于以下方面（按大类）：社会保障和就业支出</w:t>
      </w:r>
      <w:r>
        <w:rPr>
          <w:rFonts w:ascii="仿宋_GB2312" w:eastAsia="仿宋_GB2312"/>
          <w:sz w:val="28"/>
          <w:szCs w:val="28"/>
          <w:highlight w:val="none"/>
        </w:rPr>
        <w:t>64</w:t>
      </w:r>
      <w:r>
        <w:rPr>
          <w:rFonts w:hint="eastAsia" w:ascii="仿宋_GB2312" w:eastAsia="仿宋_GB2312"/>
          <w:sz w:val="28"/>
          <w:szCs w:val="28"/>
          <w:highlight w:val="none"/>
          <w:lang w:val="en-US" w:eastAsia="zh-CN"/>
        </w:rPr>
        <w:t>,</w:t>
      </w:r>
      <w:r>
        <w:rPr>
          <w:rFonts w:ascii="仿宋_GB2312" w:eastAsia="仿宋_GB2312"/>
          <w:sz w:val="28"/>
          <w:szCs w:val="28"/>
          <w:highlight w:val="none"/>
        </w:rPr>
        <w:t>736</w:t>
      </w:r>
      <w:r>
        <w:rPr>
          <w:rFonts w:hint="eastAsia" w:ascii="仿宋_GB2312" w:eastAsia="仿宋_GB2312"/>
          <w:sz w:val="28"/>
          <w:szCs w:val="28"/>
          <w:highlight w:val="none"/>
          <w:lang w:val="en-US" w:eastAsia="zh-CN"/>
        </w:rPr>
        <w:t>,</w:t>
      </w:r>
      <w:r>
        <w:rPr>
          <w:rFonts w:ascii="仿宋_GB2312" w:eastAsia="仿宋_GB2312"/>
          <w:sz w:val="28"/>
          <w:szCs w:val="28"/>
          <w:highlight w:val="none"/>
        </w:rPr>
        <w:t>381.63</w:t>
      </w:r>
      <w:r>
        <w:rPr>
          <w:rFonts w:hint="eastAsia" w:ascii="仿宋_GB2312" w:eastAsia="仿宋_GB2312"/>
          <w:sz w:val="28"/>
          <w:szCs w:val="28"/>
          <w:highlight w:val="none"/>
        </w:rPr>
        <w:t>元，占本年财政拨款支出100%。</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（二）一般公共预算财政拨款支出决算具体情况</w:t>
      </w:r>
    </w:p>
    <w:p>
      <w:pPr>
        <w:autoSpaceDE w:val="0"/>
        <w:autoSpaceDN w:val="0"/>
        <w:adjustRightInd w:val="0"/>
        <w:spacing w:line="580" w:lineRule="exact"/>
        <w:ind w:firstLine="560" w:firstLineChars="200"/>
        <w:jc w:val="left"/>
        <w:rPr>
          <w:rFonts w:hint="eastAsia" w:ascii="仿宋_GB2312" w:eastAsia="仿宋_GB2312"/>
          <w:sz w:val="28"/>
          <w:szCs w:val="28"/>
          <w:highlight w:val="none"/>
        </w:rPr>
      </w:pPr>
      <w:r>
        <w:rPr>
          <w:rFonts w:hint="eastAsia" w:ascii="仿宋_GB2312" w:eastAsia="仿宋_GB2312"/>
          <w:sz w:val="28"/>
          <w:szCs w:val="28"/>
          <w:highlight w:val="none"/>
        </w:rPr>
        <w:t>1、“社会保障和就业支出”（类）202</w:t>
      </w:r>
      <w:r>
        <w:rPr>
          <w:rFonts w:hint="eastAsia" w:ascii="仿宋_GB2312" w:eastAsia="仿宋_GB2312"/>
          <w:sz w:val="28"/>
          <w:szCs w:val="28"/>
          <w:highlight w:val="none"/>
          <w:lang w:val="en-US" w:eastAsia="zh-CN"/>
        </w:rPr>
        <w:t>5</w:t>
      </w:r>
      <w:r>
        <w:rPr>
          <w:rFonts w:hint="eastAsia" w:ascii="仿宋_GB2312" w:eastAsia="仿宋_GB2312"/>
          <w:sz w:val="28"/>
          <w:szCs w:val="28"/>
          <w:highlight w:val="none"/>
        </w:rPr>
        <w:t>年度决算64,736,381.63元，比年初预算</w:t>
      </w:r>
      <w:r>
        <w:rPr>
          <w:rFonts w:hint="eastAsia" w:ascii="仿宋_GB2312" w:eastAsia="仿宋_GB2312"/>
          <w:sz w:val="28"/>
          <w:szCs w:val="28"/>
          <w:highlight w:val="none"/>
          <w:lang w:eastAsia="zh-CN"/>
        </w:rPr>
        <w:t>减少</w:t>
      </w:r>
      <w:r>
        <w:rPr>
          <w:rFonts w:hint="eastAsia" w:ascii="仿宋_GB2312" w:eastAsia="仿宋_GB2312"/>
          <w:sz w:val="28"/>
          <w:szCs w:val="28"/>
          <w:highlight w:val="none"/>
          <w:lang w:val="en-US" w:eastAsia="zh-CN"/>
        </w:rPr>
        <w:t>355,302.39</w:t>
      </w:r>
      <w:r>
        <w:rPr>
          <w:rFonts w:hint="eastAsia" w:ascii="仿宋_GB2312" w:eastAsia="仿宋_GB2312"/>
          <w:sz w:val="28"/>
          <w:szCs w:val="28"/>
          <w:highlight w:val="none"/>
        </w:rPr>
        <w:t>元，</w:t>
      </w:r>
      <w:r>
        <w:rPr>
          <w:rFonts w:hint="eastAsia" w:ascii="仿宋_GB2312" w:eastAsia="仿宋_GB2312"/>
          <w:sz w:val="28"/>
          <w:szCs w:val="28"/>
          <w:highlight w:val="none"/>
          <w:lang w:eastAsia="zh-CN"/>
        </w:rPr>
        <w:t>下降</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%。其中：</w:t>
      </w:r>
    </w:p>
    <w:p>
      <w:pPr>
        <w:autoSpaceDE w:val="0"/>
        <w:autoSpaceDN w:val="0"/>
        <w:adjustRightInd w:val="0"/>
        <w:spacing w:line="580" w:lineRule="exact"/>
        <w:ind w:firstLine="560" w:firstLineChars="200"/>
        <w:jc w:val="left"/>
        <w:rPr>
          <w:rFonts w:hint="eastAsia" w:ascii="仿宋_GB2312" w:eastAsia="仿宋_GB2312"/>
          <w:sz w:val="28"/>
          <w:szCs w:val="28"/>
          <w:highlight w:val="none"/>
        </w:rPr>
      </w:pPr>
      <w:r>
        <w:rPr>
          <w:rFonts w:hint="eastAsia" w:ascii="仿宋_GB2312" w:eastAsia="仿宋_GB2312"/>
          <w:sz w:val="28"/>
          <w:szCs w:val="28"/>
          <w:highlight w:val="none"/>
        </w:rPr>
        <w:t>“行政事业单位养老支出”（款，下同）202</w:t>
      </w:r>
      <w:r>
        <w:rPr>
          <w:rFonts w:hint="eastAsia" w:ascii="仿宋_GB2312" w:eastAsia="仿宋_GB2312"/>
          <w:sz w:val="28"/>
          <w:szCs w:val="28"/>
          <w:highlight w:val="none"/>
          <w:lang w:val="en-US" w:eastAsia="zh-CN"/>
        </w:rPr>
        <w:t>5</w:t>
      </w:r>
      <w:r>
        <w:rPr>
          <w:rFonts w:hint="eastAsia" w:ascii="仿宋_GB2312" w:eastAsia="仿宋_GB2312"/>
          <w:sz w:val="28"/>
          <w:szCs w:val="28"/>
          <w:highlight w:val="none"/>
        </w:rPr>
        <w:t>年度决算</w:t>
      </w:r>
      <w:r>
        <w:rPr>
          <w:rFonts w:hint="eastAsia" w:ascii="仿宋_GB2312" w:eastAsia="仿宋_GB2312"/>
          <w:sz w:val="28"/>
          <w:szCs w:val="28"/>
          <w:highlight w:val="none"/>
          <w:lang w:val="en-US" w:eastAsia="zh-CN"/>
        </w:rPr>
        <w:t>87,227.2</w:t>
      </w:r>
      <w:r>
        <w:rPr>
          <w:rFonts w:hint="eastAsia" w:ascii="仿宋_GB2312" w:eastAsia="仿宋_GB2312"/>
          <w:sz w:val="28"/>
          <w:szCs w:val="28"/>
          <w:highlight w:val="none"/>
        </w:rPr>
        <w:t>元，比年初预算减少</w:t>
      </w:r>
      <w:r>
        <w:rPr>
          <w:rFonts w:hint="eastAsia" w:ascii="仿宋_GB2312" w:eastAsia="仿宋_GB2312"/>
          <w:sz w:val="28"/>
          <w:szCs w:val="28"/>
          <w:highlight w:val="none"/>
          <w:lang w:val="en-US" w:eastAsia="zh-CN"/>
        </w:rPr>
        <w:t>13,776.8</w:t>
      </w:r>
      <w:r>
        <w:rPr>
          <w:rFonts w:hint="eastAsia" w:ascii="仿宋_GB2312" w:eastAsia="仿宋_GB2312"/>
          <w:sz w:val="28"/>
          <w:szCs w:val="28"/>
          <w:highlight w:val="none"/>
        </w:rPr>
        <w:t>元，下降</w:t>
      </w:r>
      <w:r>
        <w:rPr>
          <w:rFonts w:hint="eastAsia" w:ascii="仿宋_GB2312" w:eastAsia="仿宋_GB2312"/>
          <w:sz w:val="28"/>
          <w:szCs w:val="28"/>
          <w:highlight w:val="none"/>
          <w:lang w:val="en-US" w:eastAsia="zh-CN"/>
        </w:rPr>
        <w:t>13.6</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落实过紧日子要求，压减相关支出</w:t>
      </w:r>
      <w:r>
        <w:rPr>
          <w:rFonts w:hint="eastAsia" w:ascii="仿宋_GB2312" w:eastAsia="仿宋_GB2312"/>
          <w:sz w:val="28"/>
          <w:szCs w:val="28"/>
          <w:highlight w:val="none"/>
        </w:rPr>
        <w:t>。</w:t>
      </w:r>
    </w:p>
    <w:p>
      <w:pPr>
        <w:autoSpaceDE w:val="0"/>
        <w:autoSpaceDN w:val="0"/>
        <w:adjustRightInd w:val="0"/>
        <w:spacing w:line="580" w:lineRule="exact"/>
        <w:ind w:firstLine="560" w:firstLineChars="200"/>
        <w:jc w:val="left"/>
        <w:rPr>
          <w:rFonts w:hint="eastAsia" w:ascii="仿宋_GB2312" w:eastAsia="仿宋_GB2312"/>
          <w:sz w:val="28"/>
          <w:szCs w:val="28"/>
          <w:highlight w:val="none"/>
        </w:rPr>
      </w:pPr>
      <w:r>
        <w:rPr>
          <w:rFonts w:hint="eastAsia" w:ascii="仿宋_GB2312" w:eastAsia="仿宋_GB2312"/>
          <w:sz w:val="28"/>
          <w:szCs w:val="28"/>
          <w:highlight w:val="none"/>
        </w:rPr>
        <w:t xml:space="preserve"> “残疾人事业”（款）2024年度决算</w:t>
      </w:r>
      <w:r>
        <w:rPr>
          <w:rFonts w:hint="eastAsia" w:ascii="仿宋_GB2312" w:eastAsia="仿宋_GB2312"/>
          <w:sz w:val="28"/>
          <w:szCs w:val="28"/>
          <w:highlight w:val="none"/>
          <w:lang w:val="en-US" w:eastAsia="zh-CN"/>
        </w:rPr>
        <w:t>64,649,154.43</w:t>
      </w:r>
      <w:r>
        <w:rPr>
          <w:rFonts w:hint="eastAsia" w:ascii="仿宋_GB2312" w:eastAsia="仿宋_GB2312"/>
          <w:sz w:val="28"/>
          <w:szCs w:val="28"/>
          <w:highlight w:val="none"/>
        </w:rPr>
        <w:t>元，比年初预算</w:t>
      </w:r>
      <w:r>
        <w:rPr>
          <w:rFonts w:hint="eastAsia" w:ascii="仿宋_GB2312" w:eastAsia="仿宋_GB2312"/>
          <w:sz w:val="28"/>
          <w:szCs w:val="28"/>
          <w:highlight w:val="none"/>
          <w:lang w:eastAsia="zh-CN"/>
        </w:rPr>
        <w:t>减少</w:t>
      </w:r>
      <w:r>
        <w:rPr>
          <w:rFonts w:hint="eastAsia" w:ascii="仿宋_GB2312" w:eastAsia="仿宋_GB2312"/>
          <w:sz w:val="28"/>
          <w:szCs w:val="28"/>
          <w:highlight w:val="none"/>
          <w:lang w:val="en-US" w:eastAsia="zh-CN"/>
        </w:rPr>
        <w:t>341,525.59</w:t>
      </w:r>
      <w:r>
        <w:rPr>
          <w:rFonts w:hint="eastAsia" w:ascii="仿宋_GB2312" w:eastAsia="仿宋_GB2312"/>
          <w:sz w:val="28"/>
          <w:szCs w:val="28"/>
          <w:highlight w:val="none"/>
        </w:rPr>
        <w:t>元，</w:t>
      </w:r>
      <w:r>
        <w:rPr>
          <w:rFonts w:hint="eastAsia" w:ascii="仿宋_GB2312" w:eastAsia="仿宋_GB2312"/>
          <w:sz w:val="28"/>
          <w:szCs w:val="28"/>
          <w:highlight w:val="none"/>
          <w:lang w:eastAsia="zh-CN"/>
        </w:rPr>
        <w:t>减少</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%。主要原因：落实过紧日子要求，压减相关支出</w:t>
      </w:r>
      <w:r>
        <w:rPr>
          <w:rFonts w:hint="eastAsia" w:ascii="仿宋_GB2312" w:eastAsia="仿宋_GB2312"/>
          <w:sz w:val="28"/>
          <w:szCs w:val="28"/>
          <w:highlight w:val="none"/>
          <w:lang w:eastAsia="zh-CN"/>
        </w:rPr>
        <w:t>，故相应项目支出有所减少</w:t>
      </w:r>
      <w:r>
        <w:rPr>
          <w:rFonts w:hint="eastAsia" w:ascii="仿宋_GB2312" w:eastAsia="仿宋_GB2312"/>
          <w:sz w:val="28"/>
          <w:szCs w:val="28"/>
          <w:highlight w:val="none"/>
        </w:rPr>
        <w:t>。</w:t>
      </w:r>
    </w:p>
    <w:p>
      <w:pPr>
        <w:spacing w:line="580" w:lineRule="exact"/>
        <w:ind w:firstLine="560" w:firstLineChars="200"/>
        <w:rPr>
          <w:rFonts w:ascii="仿宋_GB2312" w:eastAsia="仿宋_GB2312"/>
          <w:sz w:val="28"/>
          <w:szCs w:val="28"/>
          <w:highlight w:val="yellow"/>
        </w:rPr>
      </w:pPr>
      <w:r>
        <w:rPr>
          <w:rFonts w:hint="eastAsia" w:ascii="仿宋_GB2312" w:eastAsia="仿宋_GB2312"/>
          <w:sz w:val="28"/>
          <w:szCs w:val="28"/>
          <w:highlight w:val="none"/>
        </w:rPr>
        <w:t>2、“社会保障和就业支出”(类)2025年度年初预算</w:t>
      </w:r>
      <w:r>
        <w:rPr>
          <w:rFonts w:hint="eastAsia" w:ascii="仿宋_GB2312" w:eastAsia="仿宋_GB2312"/>
          <w:sz w:val="28"/>
          <w:szCs w:val="28"/>
          <w:highlight w:val="none"/>
          <w:lang w:val="en-US" w:eastAsia="zh-CN"/>
        </w:rPr>
        <w:t>65,091,684.02</w:t>
      </w:r>
      <w:r>
        <w:rPr>
          <w:rFonts w:hint="eastAsia" w:ascii="仿宋_GB2312" w:eastAsia="仿宋_GB2312"/>
          <w:sz w:val="28"/>
          <w:szCs w:val="28"/>
          <w:highlight w:val="none"/>
        </w:rPr>
        <w:t>元，2025年度决算64,736,381.63元，完成年初预算的</w:t>
      </w:r>
      <w:r>
        <w:rPr>
          <w:rFonts w:hint="eastAsia" w:ascii="仿宋_GB2312" w:eastAsia="仿宋_GB2312"/>
          <w:sz w:val="28"/>
          <w:szCs w:val="28"/>
          <w:highlight w:val="none"/>
          <w:lang w:val="en-US" w:eastAsia="zh-CN"/>
        </w:rPr>
        <w:t>99.5</w:t>
      </w:r>
      <w:r>
        <w:rPr>
          <w:rFonts w:hint="eastAsia" w:ascii="仿宋_GB2312" w:eastAsia="仿宋_GB2312"/>
          <w:sz w:val="28"/>
          <w:szCs w:val="28"/>
          <w:highlight w:val="none"/>
        </w:rPr>
        <w:t>%。其中：</w:t>
      </w:r>
    </w:p>
    <w:p>
      <w:pPr>
        <w:spacing w:line="580" w:lineRule="exact"/>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rPr>
        <w:t>“行政事业单位养老支出”（款）2025年度年初预算</w:t>
      </w:r>
      <w:r>
        <w:rPr>
          <w:rFonts w:hint="eastAsia" w:ascii="仿宋_GB2312" w:eastAsia="仿宋_GB2312"/>
          <w:sz w:val="28"/>
          <w:szCs w:val="28"/>
          <w:highlight w:val="none"/>
          <w:lang w:val="en-US" w:eastAsia="zh-CN"/>
        </w:rPr>
        <w:t>101,004</w:t>
      </w:r>
      <w:r>
        <w:rPr>
          <w:rFonts w:hint="eastAsia" w:ascii="仿宋_GB2312" w:eastAsia="仿宋_GB2312"/>
          <w:sz w:val="28"/>
          <w:szCs w:val="28"/>
          <w:highlight w:val="none"/>
        </w:rPr>
        <w:t>元，2025年度决算</w:t>
      </w:r>
      <w:r>
        <w:rPr>
          <w:rFonts w:hint="eastAsia" w:ascii="仿宋_GB2312" w:eastAsia="仿宋_GB2312"/>
          <w:sz w:val="28"/>
          <w:szCs w:val="28"/>
          <w:highlight w:val="none"/>
          <w:lang w:val="en-US" w:eastAsia="zh-CN"/>
        </w:rPr>
        <w:t>87,227.2</w:t>
      </w:r>
      <w:r>
        <w:rPr>
          <w:rFonts w:hint="eastAsia" w:ascii="仿宋_GB2312" w:eastAsia="仿宋_GB2312"/>
          <w:sz w:val="28"/>
          <w:szCs w:val="28"/>
          <w:highlight w:val="none"/>
        </w:rPr>
        <w:t>元，完成年初预算的</w:t>
      </w:r>
      <w:r>
        <w:rPr>
          <w:rFonts w:hint="eastAsia" w:ascii="仿宋_GB2312" w:eastAsia="仿宋_GB2312"/>
          <w:sz w:val="28"/>
          <w:szCs w:val="28"/>
          <w:highlight w:val="none"/>
          <w:lang w:val="en-US" w:eastAsia="zh-CN"/>
        </w:rPr>
        <w:t>86.4</w:t>
      </w:r>
      <w:r>
        <w:rPr>
          <w:rFonts w:hint="eastAsia" w:ascii="仿宋_GB2312" w:eastAsia="仿宋_GB2312"/>
          <w:sz w:val="28"/>
          <w:szCs w:val="28"/>
          <w:highlight w:val="none"/>
        </w:rPr>
        <w:t>%。主要原因：落实过紧日子要求，压减相关支出</w:t>
      </w:r>
      <w:r>
        <w:rPr>
          <w:rFonts w:hint="eastAsia" w:ascii="仿宋_GB2312" w:eastAsia="仿宋_GB2312"/>
          <w:sz w:val="28"/>
          <w:szCs w:val="28"/>
          <w:highlight w:val="none"/>
          <w:lang w:eastAsia="zh-CN"/>
        </w:rPr>
        <w:t>，故预算支出数有所减少</w:t>
      </w:r>
      <w:r>
        <w:rPr>
          <w:rFonts w:hint="eastAsia" w:ascii="仿宋_GB2312" w:eastAsia="仿宋_GB2312"/>
          <w:sz w:val="28"/>
          <w:szCs w:val="28"/>
          <w:highlight w:val="none"/>
        </w:rPr>
        <w:t>。</w:t>
      </w:r>
    </w:p>
    <w:p>
      <w:pPr>
        <w:spacing w:line="580" w:lineRule="exact"/>
        <w:ind w:firstLine="560" w:firstLineChars="200"/>
        <w:rPr>
          <w:rFonts w:ascii="仿宋_GB2312" w:eastAsia="仿宋_GB2312"/>
          <w:sz w:val="28"/>
          <w:szCs w:val="28"/>
        </w:rPr>
      </w:pPr>
      <w:r>
        <w:rPr>
          <w:rFonts w:hint="eastAsia" w:ascii="仿宋_GB2312" w:eastAsia="仿宋_GB2312"/>
          <w:sz w:val="28"/>
          <w:szCs w:val="28"/>
          <w:highlight w:val="none"/>
        </w:rPr>
        <w:t>“残疾人事业”（款）2025年度年初预算</w:t>
      </w:r>
      <w:r>
        <w:rPr>
          <w:rFonts w:hint="eastAsia" w:ascii="仿宋_GB2312" w:eastAsia="仿宋_GB2312"/>
          <w:sz w:val="28"/>
          <w:szCs w:val="28"/>
          <w:highlight w:val="none"/>
          <w:lang w:val="en-US" w:eastAsia="zh-CN"/>
        </w:rPr>
        <w:t>64,990,680.02</w:t>
      </w:r>
      <w:r>
        <w:rPr>
          <w:rFonts w:hint="eastAsia" w:ascii="仿宋_GB2312" w:eastAsia="仿宋_GB2312"/>
          <w:sz w:val="28"/>
          <w:szCs w:val="28"/>
          <w:highlight w:val="none"/>
        </w:rPr>
        <w:t>元，2025年度决算</w:t>
      </w:r>
      <w:r>
        <w:rPr>
          <w:rFonts w:hint="eastAsia" w:ascii="仿宋_GB2312" w:eastAsia="仿宋_GB2312"/>
          <w:sz w:val="28"/>
          <w:szCs w:val="28"/>
          <w:highlight w:val="none"/>
          <w:lang w:val="en-US" w:eastAsia="zh-CN"/>
        </w:rPr>
        <w:t>64,649,154.43</w:t>
      </w:r>
      <w:r>
        <w:rPr>
          <w:rFonts w:hint="eastAsia" w:ascii="仿宋_GB2312" w:eastAsia="仿宋_GB2312"/>
          <w:sz w:val="28"/>
          <w:szCs w:val="28"/>
          <w:highlight w:val="none"/>
        </w:rPr>
        <w:t>元，完成年初预算的</w:t>
      </w:r>
      <w:r>
        <w:rPr>
          <w:rFonts w:hint="eastAsia" w:ascii="仿宋_GB2312" w:eastAsia="仿宋_GB2312"/>
          <w:sz w:val="28"/>
          <w:szCs w:val="28"/>
          <w:highlight w:val="none"/>
          <w:lang w:val="en-US" w:eastAsia="zh-CN"/>
        </w:rPr>
        <w:t>99.5</w:t>
      </w:r>
      <w:r>
        <w:rPr>
          <w:rFonts w:hint="eastAsia" w:ascii="仿宋_GB2312" w:eastAsia="仿宋_GB2312"/>
          <w:sz w:val="28"/>
          <w:szCs w:val="28"/>
          <w:highlight w:val="none"/>
        </w:rPr>
        <w:t>%。主要原因：落实过紧日子要求，压减相关支出</w:t>
      </w:r>
      <w:r>
        <w:rPr>
          <w:rFonts w:hint="eastAsia" w:ascii="仿宋_GB2312" w:eastAsia="仿宋_GB2312"/>
          <w:sz w:val="28"/>
          <w:szCs w:val="28"/>
          <w:highlight w:val="none"/>
          <w:lang w:eastAsia="zh-CN"/>
        </w:rPr>
        <w:t>，故相应项目支出有所减少</w:t>
      </w:r>
      <w:r>
        <w:rPr>
          <w:rFonts w:hint="eastAsia" w:ascii="仿宋_GB2312" w:eastAsia="仿宋_GB2312"/>
          <w:sz w:val="28"/>
          <w:szCs w:val="28"/>
          <w:highlight w:val="none"/>
        </w:rPr>
        <w:t>。</w:t>
      </w:r>
    </w:p>
    <w:p>
      <w:pPr>
        <w:spacing w:line="580" w:lineRule="exact"/>
        <w:ind w:firstLine="560" w:firstLineChars="200"/>
        <w:rPr>
          <w:rFonts w:ascii="仿宋_GB2312" w:eastAsia="仿宋_GB2312"/>
          <w:sz w:val="28"/>
          <w:szCs w:val="28"/>
        </w:rPr>
      </w:pPr>
      <w:r>
        <w:rPr>
          <w:rFonts w:hint="eastAsia" w:ascii="黑体" w:eastAsia="黑体"/>
          <w:b/>
          <w:sz w:val="28"/>
          <w:szCs w:val="28"/>
        </w:rPr>
        <w:t>五、政府性基金预算财政拨款支出决算情况说明</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（一）政府性基金预算财政拨款支出决算总体情况</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2025年度政府性基金预算财政拨款支出</w:t>
      </w:r>
      <w:r>
        <w:rPr>
          <w:rFonts w:ascii="仿宋_GB2312" w:eastAsia="仿宋_GB2312"/>
          <w:sz w:val="28"/>
          <w:szCs w:val="28"/>
        </w:rPr>
        <w:t>180</w:t>
      </w:r>
      <w:r>
        <w:rPr>
          <w:rFonts w:hint="eastAsia" w:ascii="仿宋_GB2312" w:eastAsia="仿宋_GB2312"/>
          <w:sz w:val="28"/>
          <w:szCs w:val="28"/>
          <w:lang w:val="en-US" w:eastAsia="zh-CN"/>
        </w:rPr>
        <w:t>,</w:t>
      </w:r>
      <w:r>
        <w:rPr>
          <w:rFonts w:ascii="仿宋_GB2312" w:eastAsia="仿宋_GB2312"/>
          <w:sz w:val="28"/>
          <w:szCs w:val="28"/>
        </w:rPr>
        <w:t>000</w:t>
      </w:r>
      <w:r>
        <w:rPr>
          <w:rFonts w:hint="eastAsia" w:ascii="仿宋_GB2312" w:eastAsia="仿宋_GB2312"/>
          <w:sz w:val="28"/>
          <w:szCs w:val="28"/>
        </w:rPr>
        <w:t>元，主要用于以下方面（按大类）：</w:t>
      </w:r>
      <w:r>
        <w:rPr>
          <w:rFonts w:hint="eastAsia" w:ascii="仿宋_GB2312" w:eastAsia="仿宋_GB2312"/>
          <w:sz w:val="28"/>
          <w:szCs w:val="28"/>
          <w:lang w:eastAsia="zh-CN"/>
        </w:rPr>
        <w:t>其他</w:t>
      </w:r>
      <w:r>
        <w:rPr>
          <w:rFonts w:hint="eastAsia" w:ascii="仿宋_GB2312" w:eastAsia="仿宋_GB2312"/>
          <w:sz w:val="28"/>
          <w:szCs w:val="28"/>
        </w:rPr>
        <w:t>支出</w:t>
      </w:r>
      <w:r>
        <w:rPr>
          <w:rFonts w:ascii="仿宋_GB2312" w:eastAsia="仿宋_GB2312"/>
          <w:sz w:val="28"/>
          <w:szCs w:val="28"/>
        </w:rPr>
        <w:t>180</w:t>
      </w:r>
      <w:r>
        <w:rPr>
          <w:rFonts w:hint="eastAsia" w:ascii="仿宋_GB2312" w:eastAsia="仿宋_GB2312"/>
          <w:sz w:val="28"/>
          <w:szCs w:val="28"/>
          <w:lang w:val="en-US" w:eastAsia="zh-CN"/>
        </w:rPr>
        <w:t>,</w:t>
      </w:r>
      <w:r>
        <w:rPr>
          <w:rFonts w:ascii="仿宋_GB2312" w:eastAsia="仿宋_GB2312"/>
          <w:sz w:val="28"/>
          <w:szCs w:val="28"/>
        </w:rPr>
        <w:t>000</w:t>
      </w:r>
      <w:r>
        <w:rPr>
          <w:rFonts w:hint="eastAsia" w:ascii="仿宋_GB2312" w:eastAsia="仿宋_GB2312"/>
          <w:sz w:val="28"/>
          <w:szCs w:val="28"/>
        </w:rPr>
        <w:t>元，占本年财政拨款支出</w:t>
      </w:r>
      <w:r>
        <w:rPr>
          <w:rFonts w:hint="eastAsia" w:ascii="仿宋_GB2312" w:eastAsia="仿宋_GB2312"/>
          <w:sz w:val="28"/>
          <w:szCs w:val="28"/>
          <w:lang w:val="en-US" w:eastAsia="zh-CN"/>
        </w:rPr>
        <w:t>100.0</w:t>
      </w:r>
      <w:r>
        <w:rPr>
          <w:rFonts w:hint="eastAsia" w:ascii="仿宋_GB2312" w:eastAsia="仿宋_GB2312"/>
          <w:sz w:val="28"/>
          <w:szCs w:val="28"/>
        </w:rPr>
        <w:t>%。</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（二）政府性基金预算财政拨款支出决算具体情况</w:t>
      </w:r>
    </w:p>
    <w:p>
      <w:pPr>
        <w:autoSpaceDE w:val="0"/>
        <w:autoSpaceDN w:val="0"/>
        <w:adjustRightInd w:val="0"/>
        <w:spacing w:line="580" w:lineRule="exact"/>
        <w:ind w:firstLine="700" w:firstLineChars="250"/>
        <w:jc w:val="left"/>
        <w:rPr>
          <w:rFonts w:ascii="仿宋_GB2312" w:eastAsia="仿宋_GB2312"/>
          <w:sz w:val="28"/>
          <w:szCs w:val="28"/>
        </w:rPr>
      </w:pPr>
      <w:r>
        <w:rPr>
          <w:rFonts w:hint="eastAsia" w:ascii="仿宋_GB2312" w:eastAsia="仿宋_GB2312"/>
          <w:sz w:val="28"/>
          <w:szCs w:val="28"/>
        </w:rPr>
        <w:t>1、“</w:t>
      </w:r>
      <w:r>
        <w:rPr>
          <w:rFonts w:hint="eastAsia" w:ascii="仿宋_GB2312" w:eastAsia="仿宋_GB2312"/>
          <w:sz w:val="28"/>
          <w:szCs w:val="28"/>
          <w:lang w:eastAsia="zh-CN"/>
        </w:rPr>
        <w:t>其他</w:t>
      </w:r>
      <w:r>
        <w:rPr>
          <w:rFonts w:hint="eastAsia" w:ascii="仿宋_GB2312" w:eastAsia="仿宋_GB2312"/>
          <w:sz w:val="28"/>
          <w:szCs w:val="28"/>
        </w:rPr>
        <w:t>支出”（类，下同）2025年度年初预算</w:t>
      </w:r>
      <w:r>
        <w:rPr>
          <w:rFonts w:hint="eastAsia" w:ascii="仿宋_GB2312" w:eastAsia="仿宋_GB2312"/>
          <w:sz w:val="28"/>
          <w:szCs w:val="28"/>
          <w:lang w:val="en-US" w:eastAsia="zh-CN"/>
        </w:rPr>
        <w:t>130,000</w:t>
      </w:r>
      <w:r>
        <w:rPr>
          <w:rFonts w:hint="eastAsia" w:ascii="仿宋_GB2312" w:eastAsia="仿宋_GB2312"/>
          <w:sz w:val="28"/>
          <w:szCs w:val="28"/>
        </w:rPr>
        <w:t>元，2025年度决算</w:t>
      </w:r>
      <w:r>
        <w:rPr>
          <w:rFonts w:hint="eastAsia" w:ascii="仿宋_GB2312" w:eastAsia="仿宋_GB2312"/>
          <w:sz w:val="28"/>
          <w:szCs w:val="28"/>
          <w:lang w:val="en-US" w:eastAsia="zh-CN"/>
        </w:rPr>
        <w:t>180,000</w:t>
      </w:r>
      <w:r>
        <w:rPr>
          <w:rFonts w:hint="eastAsia" w:ascii="仿宋_GB2312" w:eastAsia="仿宋_GB2312"/>
          <w:sz w:val="28"/>
          <w:szCs w:val="28"/>
        </w:rPr>
        <w:t>元，完成年初预算的</w:t>
      </w:r>
      <w:r>
        <w:rPr>
          <w:rFonts w:hint="eastAsia" w:ascii="仿宋_GB2312" w:eastAsia="仿宋_GB2312"/>
          <w:sz w:val="28"/>
          <w:szCs w:val="28"/>
          <w:lang w:val="en-US" w:eastAsia="zh-CN"/>
        </w:rPr>
        <w:t>138.5</w:t>
      </w:r>
      <w:r>
        <w:rPr>
          <w:rFonts w:hint="eastAsia" w:ascii="仿宋_GB2312" w:eastAsia="仿宋_GB2312"/>
          <w:sz w:val="28"/>
          <w:szCs w:val="28"/>
        </w:rPr>
        <w:t>%。其中：</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“彩票公益金安排的支出”（款，下同）2025年度年初预算</w:t>
      </w:r>
      <w:r>
        <w:rPr>
          <w:rFonts w:hint="eastAsia" w:ascii="仿宋_GB2312" w:eastAsia="仿宋_GB2312"/>
          <w:sz w:val="28"/>
          <w:szCs w:val="28"/>
          <w:lang w:val="en-US" w:eastAsia="zh-CN"/>
        </w:rPr>
        <w:t>130,000</w:t>
      </w:r>
      <w:r>
        <w:rPr>
          <w:rFonts w:hint="eastAsia" w:ascii="仿宋_GB2312" w:eastAsia="仿宋_GB2312"/>
          <w:sz w:val="28"/>
          <w:szCs w:val="28"/>
        </w:rPr>
        <w:t>元，2025年度决算</w:t>
      </w:r>
      <w:r>
        <w:rPr>
          <w:rFonts w:hint="eastAsia" w:ascii="仿宋_GB2312" w:eastAsia="仿宋_GB2312"/>
          <w:sz w:val="28"/>
          <w:szCs w:val="28"/>
          <w:lang w:val="en-US" w:eastAsia="zh-CN"/>
        </w:rPr>
        <w:t>180,000</w:t>
      </w:r>
      <w:r>
        <w:rPr>
          <w:rFonts w:hint="eastAsia" w:ascii="仿宋_GB2312" w:eastAsia="仿宋_GB2312"/>
          <w:sz w:val="28"/>
          <w:szCs w:val="28"/>
        </w:rPr>
        <w:t>元，完成年初预算的</w:t>
      </w:r>
      <w:r>
        <w:rPr>
          <w:rFonts w:hint="eastAsia" w:ascii="仿宋_GB2312" w:eastAsia="仿宋_GB2312"/>
          <w:sz w:val="28"/>
          <w:szCs w:val="28"/>
          <w:lang w:val="en-US" w:eastAsia="zh-CN"/>
        </w:rPr>
        <w:t>138.5</w:t>
      </w:r>
      <w:r>
        <w:rPr>
          <w:rFonts w:hint="eastAsia" w:ascii="仿宋_GB2312" w:eastAsia="仿宋_GB2312"/>
          <w:sz w:val="28"/>
          <w:szCs w:val="28"/>
        </w:rPr>
        <w:t>%。主要原因：</w:t>
      </w:r>
      <w:r>
        <w:rPr>
          <w:rFonts w:hint="eastAsia" w:ascii="仿宋_GB2312" w:eastAsia="仿宋_GB2312"/>
          <w:sz w:val="28"/>
          <w:szCs w:val="28"/>
          <w:lang w:eastAsia="zh-CN"/>
        </w:rPr>
        <w:t>年中根据实际工作需求，收到拨付的第二批彩票公益金</w:t>
      </w:r>
      <w:r>
        <w:rPr>
          <w:rFonts w:hint="eastAsia" w:ascii="仿宋_GB2312" w:eastAsia="仿宋_GB2312"/>
          <w:sz w:val="28"/>
          <w:szCs w:val="28"/>
        </w:rPr>
        <w:t>。</w:t>
      </w:r>
    </w:p>
    <w:p>
      <w:pPr>
        <w:spacing w:line="580" w:lineRule="exact"/>
        <w:ind w:firstLine="560" w:firstLineChars="200"/>
        <w:rPr>
          <w:rFonts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pPr>
        <w:ind w:firstLine="537" w:firstLineChars="192"/>
        <w:rPr>
          <w:rFonts w:ascii="仿宋_GB2312" w:eastAsia="仿宋_GB2312"/>
          <w:sz w:val="28"/>
          <w:szCs w:val="28"/>
        </w:rPr>
      </w:pPr>
      <w:r>
        <w:rPr>
          <w:rFonts w:hint="eastAsia" w:ascii="仿宋_GB2312" w:eastAsia="仿宋_GB2312"/>
          <w:sz w:val="28"/>
          <w:szCs w:val="28"/>
        </w:rPr>
        <w:t>2025年度国有资本经营预算财政</w:t>
      </w:r>
      <w:r>
        <w:rPr>
          <w:rFonts w:ascii="仿宋_GB2312" w:eastAsia="仿宋_GB2312"/>
          <w:sz w:val="28"/>
          <w:szCs w:val="28"/>
        </w:rPr>
        <w:t>拨款</w:t>
      </w:r>
      <w:r>
        <w:rPr>
          <w:rFonts w:hint="eastAsia" w:ascii="仿宋_GB2312" w:eastAsia="仿宋_GB2312"/>
          <w:sz w:val="28"/>
          <w:szCs w:val="28"/>
        </w:rPr>
        <w:t>收入总</w:t>
      </w:r>
      <w:r>
        <w:rPr>
          <w:rFonts w:ascii="仿宋_GB2312" w:eastAsia="仿宋_GB2312"/>
          <w:sz w:val="28"/>
          <w:szCs w:val="28"/>
        </w:rPr>
        <w:t>计0</w:t>
      </w:r>
      <w:r>
        <w:rPr>
          <w:rFonts w:hint="eastAsia" w:ascii="仿宋_GB2312" w:eastAsia="仿宋_GB2312"/>
          <w:sz w:val="28"/>
          <w:szCs w:val="28"/>
        </w:rPr>
        <w:t>元，国有资本经营预算财政</w:t>
      </w:r>
      <w:r>
        <w:rPr>
          <w:rFonts w:ascii="仿宋_GB2312" w:eastAsia="仿宋_GB2312"/>
          <w:sz w:val="28"/>
          <w:szCs w:val="28"/>
        </w:rPr>
        <w:t>拨款</w:t>
      </w:r>
      <w:r>
        <w:rPr>
          <w:rFonts w:hint="eastAsia" w:ascii="仿宋_GB2312" w:eastAsia="仿宋_GB2312"/>
          <w:sz w:val="28"/>
          <w:szCs w:val="28"/>
        </w:rPr>
        <w:t>支出总</w:t>
      </w:r>
      <w:r>
        <w:rPr>
          <w:rFonts w:ascii="仿宋_GB2312" w:eastAsia="仿宋_GB2312"/>
          <w:sz w:val="28"/>
          <w:szCs w:val="28"/>
        </w:rPr>
        <w:t>计0</w:t>
      </w:r>
      <w:r>
        <w:rPr>
          <w:rFonts w:hint="eastAsia" w:ascii="仿宋_GB2312" w:eastAsia="仿宋_GB2312"/>
          <w:sz w:val="28"/>
          <w:szCs w:val="28"/>
        </w:rPr>
        <w:t>元。</w:t>
      </w:r>
    </w:p>
    <w:p>
      <w:pPr>
        <w:spacing w:line="580" w:lineRule="exact"/>
        <w:ind w:firstLine="548" w:firstLineChars="196"/>
        <w:rPr>
          <w:rFonts w:ascii="黑体" w:eastAsia="黑体"/>
          <w:sz w:val="28"/>
          <w:szCs w:val="28"/>
        </w:rPr>
      </w:pPr>
      <w:r>
        <w:rPr>
          <w:rFonts w:hint="eastAsia" w:ascii="黑体" w:eastAsia="黑体"/>
          <w:b/>
          <w:sz w:val="28"/>
          <w:szCs w:val="28"/>
        </w:rPr>
        <w:t>七、财政拨款基本支出决算情况说明</w:t>
      </w:r>
    </w:p>
    <w:p>
      <w:pPr>
        <w:tabs>
          <w:tab w:val="center" w:pos="6979"/>
        </w:tabs>
        <w:spacing w:line="580" w:lineRule="exact"/>
        <w:ind w:firstLine="548" w:firstLineChars="196"/>
        <w:rPr>
          <w:rFonts w:hint="eastAsia" w:ascii="仿宋_GB2312" w:eastAsia="仿宋_GB2312"/>
          <w:sz w:val="28"/>
          <w:szCs w:val="28"/>
          <w:lang w:eastAsia="zh-CN"/>
        </w:rPr>
      </w:pPr>
      <w:r>
        <w:rPr>
          <w:rFonts w:hint="eastAsia" w:ascii="仿宋_GB2312" w:eastAsia="仿宋_GB2312"/>
          <w:sz w:val="28"/>
          <w:szCs w:val="28"/>
        </w:rPr>
        <w:t>2025年度使用一般公共预算财政拨款安排基本支出</w:t>
      </w:r>
      <w:r>
        <w:rPr>
          <w:rFonts w:ascii="仿宋_GB2312" w:eastAsia="仿宋_GB2312"/>
          <w:sz w:val="28"/>
          <w:szCs w:val="28"/>
        </w:rPr>
        <w:t>11</w:t>
      </w:r>
      <w:r>
        <w:rPr>
          <w:rFonts w:hint="eastAsia" w:ascii="仿宋_GB2312" w:eastAsia="仿宋_GB2312"/>
          <w:sz w:val="28"/>
          <w:szCs w:val="28"/>
          <w:lang w:val="en-US" w:eastAsia="zh-CN"/>
        </w:rPr>
        <w:t>,</w:t>
      </w:r>
      <w:r>
        <w:rPr>
          <w:rFonts w:ascii="仿宋_GB2312" w:eastAsia="仿宋_GB2312"/>
          <w:sz w:val="28"/>
          <w:szCs w:val="28"/>
        </w:rPr>
        <w:t>139</w:t>
      </w:r>
      <w:r>
        <w:rPr>
          <w:rFonts w:hint="eastAsia" w:ascii="仿宋_GB2312" w:eastAsia="仿宋_GB2312"/>
          <w:sz w:val="28"/>
          <w:szCs w:val="28"/>
          <w:lang w:val="en-US" w:eastAsia="zh-CN"/>
        </w:rPr>
        <w:t>,</w:t>
      </w:r>
      <w:r>
        <w:rPr>
          <w:rFonts w:ascii="仿宋_GB2312" w:eastAsia="仿宋_GB2312"/>
          <w:sz w:val="28"/>
          <w:szCs w:val="28"/>
        </w:rPr>
        <w:t>428.73</w:t>
      </w:r>
      <w:r>
        <w:rPr>
          <w:rFonts w:hint="eastAsia" w:ascii="仿宋_GB2312" w:eastAsia="仿宋_GB2312"/>
          <w:sz w:val="28"/>
          <w:szCs w:val="28"/>
        </w:rPr>
        <w:t>元，使用政府性基金财政拨款安排基本支出</w:t>
      </w:r>
      <w:r>
        <w:rPr>
          <w:rFonts w:ascii="仿宋_GB2312" w:eastAsia="仿宋_GB2312"/>
          <w:sz w:val="28"/>
          <w:szCs w:val="28"/>
        </w:rPr>
        <w:t>0</w:t>
      </w:r>
      <w:r>
        <w:rPr>
          <w:rFonts w:hint="eastAsia" w:ascii="仿宋_GB2312" w:eastAsia="仿宋_GB2312"/>
          <w:sz w:val="28"/>
          <w:szCs w:val="28"/>
        </w:rPr>
        <w:t>元</w:t>
      </w:r>
      <w:r>
        <w:rPr>
          <w:rFonts w:hint="eastAsia" w:ascii="仿宋_GB2312" w:eastAsia="仿宋_GB2312"/>
          <w:sz w:val="28"/>
          <w:szCs w:val="28"/>
          <w:lang w:eastAsia="zh-CN"/>
        </w:rPr>
        <w:t>。</w:t>
      </w:r>
    </w:p>
    <w:p>
      <w:pPr>
        <w:tabs>
          <w:tab w:val="center" w:pos="6979"/>
        </w:tabs>
        <w:spacing w:line="580" w:lineRule="exact"/>
        <w:ind w:firstLine="548" w:firstLineChars="196"/>
        <w:rPr>
          <w:rFonts w:hint="eastAsia" w:ascii="仿宋_GB2312" w:eastAsia="仿宋_GB2312"/>
          <w:sz w:val="28"/>
          <w:szCs w:val="28"/>
        </w:rPr>
      </w:pPr>
      <w:r>
        <w:rPr>
          <w:rFonts w:hint="eastAsia" w:ascii="仿宋_GB2312" w:eastAsia="仿宋_GB2312"/>
          <w:sz w:val="28"/>
          <w:szCs w:val="28"/>
        </w:rPr>
        <w:t>（1）工资福利支出包括基本工资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lang w:val="en-US" w:eastAsia="zh-CN"/>
        </w:rPr>
        <w:t>9,535,610.62元</w:t>
      </w:r>
      <w:r>
        <w:rPr>
          <w:rFonts w:hint="eastAsia" w:ascii="仿宋_GB2312" w:eastAsia="仿宋_GB2312"/>
          <w:sz w:val="28"/>
          <w:szCs w:val="28"/>
        </w:rPr>
        <w:t>；</w:t>
      </w:r>
    </w:p>
    <w:p>
      <w:pPr>
        <w:tabs>
          <w:tab w:val="center" w:pos="6979"/>
        </w:tabs>
        <w:spacing w:line="580" w:lineRule="exact"/>
        <w:ind w:firstLine="548" w:firstLineChars="196"/>
        <w:rPr>
          <w:rFonts w:hint="eastAsia" w:ascii="仿宋_GB2312" w:eastAsia="仿宋_GB2312"/>
          <w:sz w:val="28"/>
          <w:szCs w:val="28"/>
        </w:rPr>
      </w:pPr>
      <w:r>
        <w:rPr>
          <w:rFonts w:hint="eastAsia" w:ascii="仿宋_GB2312" w:eastAsia="仿宋_GB2312"/>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hint="eastAsia" w:ascii="仿宋_GB2312" w:eastAsia="仿宋_GB2312"/>
          <w:sz w:val="28"/>
          <w:szCs w:val="28"/>
        </w:rPr>
        <w:t>用</w:t>
      </w:r>
      <w:r>
        <w:rPr>
          <w:rFonts w:ascii="仿宋_GB2312" w:eastAsia="仿宋_GB2312"/>
          <w:sz w:val="28"/>
          <w:szCs w:val="28"/>
        </w:rPr>
        <w:t>、其他商品和服务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1,521,754.11</w:t>
      </w:r>
      <w:r>
        <w:rPr>
          <w:rFonts w:hint="eastAsia" w:ascii="仿宋_GB2312" w:eastAsia="仿宋_GB2312"/>
          <w:sz w:val="28"/>
          <w:szCs w:val="28"/>
          <w:lang w:eastAsia="zh-CN"/>
        </w:rPr>
        <w:t>元</w:t>
      </w:r>
      <w:r>
        <w:rPr>
          <w:rFonts w:hint="eastAsia" w:ascii="仿宋_GB2312" w:eastAsia="仿宋_GB2312"/>
          <w:sz w:val="28"/>
          <w:szCs w:val="28"/>
        </w:rPr>
        <w:t>；</w:t>
      </w:r>
    </w:p>
    <w:p>
      <w:pPr>
        <w:tabs>
          <w:tab w:val="center" w:pos="6979"/>
        </w:tabs>
        <w:spacing w:line="580" w:lineRule="exact"/>
        <w:ind w:firstLine="548" w:firstLineChars="196"/>
        <w:rPr>
          <w:rFonts w:hint="eastAsia" w:ascii="仿宋_GB2312" w:eastAsia="仿宋_GB2312"/>
          <w:sz w:val="28"/>
          <w:szCs w:val="28"/>
          <w:lang w:eastAsia="zh-CN"/>
        </w:rPr>
      </w:pP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lang w:val="en-US" w:eastAsia="zh-CN"/>
        </w:rPr>
        <w:t>82,064元</w:t>
      </w:r>
      <w:r>
        <w:rPr>
          <w:rFonts w:hint="eastAsia" w:ascii="仿宋_GB2312" w:eastAsia="仿宋_GB2312"/>
          <w:sz w:val="28"/>
          <w:szCs w:val="28"/>
          <w:lang w:eastAsia="zh-CN"/>
        </w:rPr>
        <w:t>；</w:t>
      </w:r>
    </w:p>
    <w:p>
      <w:pPr>
        <w:tabs>
          <w:tab w:val="center" w:pos="6979"/>
        </w:tabs>
        <w:spacing w:line="580" w:lineRule="exact"/>
        <w:ind w:firstLine="548" w:firstLineChars="196"/>
        <w:rPr>
          <w:rFonts w:ascii="黑体" w:eastAsia="黑体"/>
          <w:b/>
          <w:sz w:val="28"/>
          <w:szCs w:val="28"/>
        </w:rPr>
      </w:pP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w:t>
      </w:r>
      <w:r>
        <w:rPr>
          <w:rFonts w:hint="eastAsia" w:ascii="仿宋_GB2312" w:eastAsia="仿宋_GB2312"/>
          <w:sz w:val="28"/>
          <w:szCs w:val="28"/>
          <w:lang w:val="en-US" w:eastAsia="zh-CN"/>
        </w:rPr>
        <w:t>0元</w:t>
      </w:r>
      <w:r>
        <w:rPr>
          <w:rFonts w:ascii="仿宋_GB2312" w:eastAsia="仿宋_GB2312"/>
          <w:sz w:val="28"/>
          <w:szCs w:val="28"/>
        </w:rPr>
        <w:t>。</w:t>
      </w:r>
    </w:p>
    <w:p>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pPr>
        <w:tabs>
          <w:tab w:val="center" w:pos="6979"/>
        </w:tabs>
        <w:jc w:val="center"/>
        <w:rPr>
          <w:rFonts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pPr>
        <w:spacing w:line="560" w:lineRule="exact"/>
        <w:ind w:firstLine="560" w:firstLineChars="200"/>
        <w:rPr>
          <w:rFonts w:ascii="黑体" w:eastAsia="黑体"/>
          <w:sz w:val="28"/>
          <w:szCs w:val="28"/>
        </w:rPr>
      </w:pPr>
      <w:r>
        <w:rPr>
          <w:rFonts w:hint="eastAsia" w:ascii="黑体" w:eastAsia="黑体"/>
          <w:sz w:val="28"/>
          <w:szCs w:val="28"/>
        </w:rPr>
        <w:t>一、“三公”经费财政拨款决算情况</w:t>
      </w:r>
    </w:p>
    <w:p>
      <w:pPr>
        <w:spacing w:line="560" w:lineRule="exact"/>
        <w:ind w:firstLine="600"/>
        <w:rPr>
          <w:rFonts w:ascii="仿宋_GB2312" w:eastAsia="仿宋_GB2312"/>
          <w:sz w:val="28"/>
          <w:szCs w:val="28"/>
        </w:rPr>
      </w:pPr>
      <w:r>
        <w:rPr>
          <w:rFonts w:hint="eastAsia" w:ascii="仿宋_GB2312" w:eastAsia="仿宋_GB2312"/>
          <w:sz w:val="28"/>
          <w:szCs w:val="28"/>
        </w:rPr>
        <w:t>2025年度“三公”经费财政拨款决算数</w:t>
      </w:r>
      <w:r>
        <w:rPr>
          <w:rFonts w:ascii="仿宋_GB2312" w:eastAsia="仿宋_GB2312"/>
          <w:sz w:val="28"/>
          <w:szCs w:val="28"/>
        </w:rPr>
        <w:t>2</w:t>
      </w:r>
      <w:r>
        <w:rPr>
          <w:rFonts w:hint="eastAsia" w:ascii="仿宋_GB2312" w:eastAsia="仿宋_GB2312"/>
          <w:sz w:val="28"/>
          <w:szCs w:val="28"/>
          <w:lang w:val="en-US" w:eastAsia="zh-CN"/>
        </w:rPr>
        <w:t>,</w:t>
      </w:r>
      <w:r>
        <w:rPr>
          <w:rFonts w:ascii="仿宋_GB2312" w:eastAsia="仿宋_GB2312"/>
          <w:sz w:val="28"/>
          <w:szCs w:val="28"/>
        </w:rPr>
        <w:t>560.5</w:t>
      </w:r>
      <w:r>
        <w:rPr>
          <w:rFonts w:hint="eastAsia" w:ascii="仿宋_GB2312" w:eastAsia="仿宋_GB2312"/>
          <w:sz w:val="28"/>
          <w:szCs w:val="28"/>
        </w:rPr>
        <w:t>元，比2025年度“三公”经费财政拨款年初预算</w:t>
      </w:r>
      <w:r>
        <w:rPr>
          <w:rFonts w:ascii="仿宋_GB2312" w:eastAsia="仿宋_GB2312"/>
          <w:sz w:val="28"/>
          <w:szCs w:val="28"/>
        </w:rPr>
        <w:t>22</w:t>
      </w:r>
      <w:r>
        <w:rPr>
          <w:rFonts w:hint="eastAsia" w:ascii="仿宋_GB2312" w:eastAsia="仿宋_GB2312"/>
          <w:sz w:val="28"/>
          <w:szCs w:val="28"/>
          <w:lang w:val="en-US" w:eastAsia="zh-CN"/>
        </w:rPr>
        <w:t>,</w:t>
      </w:r>
      <w:r>
        <w:rPr>
          <w:rFonts w:ascii="仿宋_GB2312" w:eastAsia="仿宋_GB2312"/>
          <w:sz w:val="28"/>
          <w:szCs w:val="28"/>
        </w:rPr>
        <w:t>230</w:t>
      </w:r>
      <w:r>
        <w:rPr>
          <w:rFonts w:hint="eastAsia" w:ascii="仿宋_GB2312" w:eastAsia="仿宋_GB2312"/>
          <w:sz w:val="28"/>
          <w:szCs w:val="28"/>
        </w:rPr>
        <w:t>元减少</w:t>
      </w:r>
      <w:r>
        <w:rPr>
          <w:rFonts w:ascii="仿宋_GB2312" w:eastAsia="仿宋_GB2312"/>
          <w:sz w:val="28"/>
          <w:szCs w:val="28"/>
        </w:rPr>
        <w:t>19</w:t>
      </w:r>
      <w:r>
        <w:rPr>
          <w:rFonts w:hint="eastAsia" w:ascii="仿宋_GB2312" w:eastAsia="仿宋_GB2312"/>
          <w:sz w:val="28"/>
          <w:szCs w:val="28"/>
          <w:lang w:val="en-US" w:eastAsia="zh-CN"/>
        </w:rPr>
        <w:t>,</w:t>
      </w:r>
      <w:r>
        <w:rPr>
          <w:rFonts w:ascii="仿宋_GB2312" w:eastAsia="仿宋_GB2312"/>
          <w:sz w:val="28"/>
          <w:szCs w:val="28"/>
        </w:rPr>
        <w:t>669.5</w:t>
      </w:r>
      <w:r>
        <w:rPr>
          <w:rFonts w:hint="eastAsia" w:ascii="仿宋_GB2312" w:eastAsia="仿宋_GB2312"/>
          <w:sz w:val="28"/>
          <w:szCs w:val="28"/>
        </w:rPr>
        <w:t>元。其中：</w:t>
      </w:r>
    </w:p>
    <w:p>
      <w:pPr>
        <w:spacing w:line="560" w:lineRule="exact"/>
        <w:ind w:firstLine="600"/>
        <w:rPr>
          <w:rFonts w:ascii="仿宋_GB2312" w:eastAsia="仿宋_GB2312"/>
          <w:sz w:val="28"/>
          <w:szCs w:val="28"/>
        </w:rPr>
      </w:pPr>
      <w:r>
        <w:rPr>
          <w:rFonts w:hint="eastAsia" w:ascii="仿宋_GB2312" w:eastAsia="仿宋_GB2312"/>
          <w:sz w:val="28"/>
          <w:szCs w:val="28"/>
        </w:rPr>
        <w:t>1.因公出国（境）费用。2025年度决算数</w:t>
      </w:r>
      <w:r>
        <w:rPr>
          <w:rFonts w:ascii="仿宋_GB2312" w:eastAsia="仿宋_GB2312"/>
          <w:sz w:val="28"/>
          <w:szCs w:val="28"/>
        </w:rPr>
        <w:t>0</w:t>
      </w:r>
      <w:r>
        <w:rPr>
          <w:rFonts w:hint="eastAsia" w:ascii="仿宋_GB2312" w:eastAsia="仿宋_GB2312"/>
          <w:sz w:val="28"/>
          <w:szCs w:val="28"/>
        </w:rPr>
        <w:t>元，比2025年度年初预算数</w:t>
      </w:r>
      <w:r>
        <w:rPr>
          <w:rFonts w:ascii="仿宋_GB2312" w:eastAsia="仿宋_GB2312"/>
          <w:sz w:val="28"/>
          <w:szCs w:val="28"/>
        </w:rPr>
        <w:t>0</w:t>
      </w:r>
      <w:r>
        <w:rPr>
          <w:rFonts w:hint="eastAsia" w:ascii="仿宋_GB2312" w:eastAsia="仿宋_GB2312"/>
          <w:sz w:val="28"/>
          <w:szCs w:val="28"/>
        </w:rPr>
        <w:t>元增加（减少）</w:t>
      </w:r>
      <w:r>
        <w:rPr>
          <w:rFonts w:ascii="仿宋_GB2312" w:eastAsia="仿宋_GB2312"/>
          <w:sz w:val="28"/>
          <w:szCs w:val="28"/>
        </w:rPr>
        <w:t>0</w:t>
      </w:r>
      <w:r>
        <w:rPr>
          <w:rFonts w:hint="eastAsia" w:ascii="仿宋_GB2312" w:eastAsia="仿宋_GB2312"/>
          <w:sz w:val="28"/>
          <w:szCs w:val="28"/>
        </w:rPr>
        <w:t>元。主要原因：</w:t>
      </w:r>
      <w:r>
        <w:rPr>
          <w:rFonts w:hint="eastAsia" w:ascii="仿宋_GB2312" w:eastAsia="仿宋_GB2312"/>
          <w:sz w:val="28"/>
          <w:szCs w:val="28"/>
          <w:lang w:eastAsia="zh-CN"/>
        </w:rPr>
        <w:t>本年度不涉及</w:t>
      </w:r>
      <w:r>
        <w:rPr>
          <w:rFonts w:hint="eastAsia" w:ascii="仿宋_GB2312" w:eastAsia="仿宋_GB2312"/>
          <w:sz w:val="28"/>
          <w:szCs w:val="28"/>
        </w:rPr>
        <w:t>因公出国（境）</w:t>
      </w:r>
      <w:r>
        <w:rPr>
          <w:rFonts w:hint="eastAsia" w:ascii="仿宋_GB2312" w:eastAsia="仿宋_GB2312"/>
          <w:sz w:val="28"/>
          <w:szCs w:val="28"/>
          <w:lang w:eastAsia="zh-CN"/>
        </w:rPr>
        <w:t>相关业务</w:t>
      </w:r>
      <w:r>
        <w:rPr>
          <w:rFonts w:hint="eastAsia" w:ascii="仿宋_GB2312" w:eastAsia="仿宋_GB2312"/>
          <w:sz w:val="28"/>
          <w:szCs w:val="28"/>
        </w:rPr>
        <w:t>；2025年度组织因公出国（境）团组0个、0人次。</w:t>
      </w:r>
    </w:p>
    <w:p>
      <w:pPr>
        <w:spacing w:line="560" w:lineRule="exact"/>
        <w:ind w:firstLine="600"/>
        <w:rPr>
          <w:rFonts w:ascii="仿宋_GB2312" w:eastAsia="仿宋_GB2312"/>
          <w:sz w:val="28"/>
          <w:szCs w:val="28"/>
        </w:rPr>
      </w:pPr>
      <w:r>
        <w:rPr>
          <w:rFonts w:hint="eastAsia" w:ascii="仿宋_GB2312" w:eastAsia="仿宋_GB2312"/>
          <w:sz w:val="28"/>
          <w:szCs w:val="28"/>
        </w:rPr>
        <w:t>2.公务接待费。2025年度决算数</w:t>
      </w:r>
      <w:r>
        <w:rPr>
          <w:rFonts w:ascii="仿宋_GB2312" w:eastAsia="仿宋_GB2312"/>
          <w:sz w:val="28"/>
          <w:szCs w:val="28"/>
        </w:rPr>
        <w:t>0</w:t>
      </w:r>
      <w:r>
        <w:rPr>
          <w:rFonts w:hint="eastAsia" w:ascii="仿宋_GB2312" w:eastAsia="仿宋_GB2312"/>
          <w:sz w:val="28"/>
          <w:szCs w:val="28"/>
        </w:rPr>
        <w:t>元，比2025年度年初预算数</w:t>
      </w:r>
      <w:r>
        <w:rPr>
          <w:rFonts w:ascii="仿宋_GB2312" w:eastAsia="仿宋_GB2312"/>
          <w:sz w:val="28"/>
          <w:szCs w:val="28"/>
        </w:rPr>
        <w:t>4</w:t>
      </w:r>
      <w:r>
        <w:rPr>
          <w:rFonts w:hint="eastAsia" w:ascii="仿宋_GB2312" w:eastAsia="仿宋_GB2312"/>
          <w:sz w:val="28"/>
          <w:szCs w:val="28"/>
          <w:lang w:val="en-US" w:eastAsia="zh-CN"/>
        </w:rPr>
        <w:t>,</w:t>
      </w:r>
      <w:r>
        <w:rPr>
          <w:rFonts w:ascii="仿宋_GB2312" w:eastAsia="仿宋_GB2312"/>
          <w:sz w:val="28"/>
          <w:szCs w:val="28"/>
        </w:rPr>
        <w:t>230</w:t>
      </w:r>
      <w:r>
        <w:rPr>
          <w:rFonts w:hint="eastAsia" w:ascii="仿宋_GB2312" w:eastAsia="仿宋_GB2312"/>
          <w:sz w:val="28"/>
          <w:szCs w:val="28"/>
        </w:rPr>
        <w:t>元减少</w:t>
      </w:r>
      <w:r>
        <w:rPr>
          <w:rFonts w:ascii="仿宋_GB2312" w:eastAsia="仿宋_GB2312"/>
          <w:sz w:val="28"/>
          <w:szCs w:val="28"/>
        </w:rPr>
        <w:t>4</w:t>
      </w:r>
      <w:r>
        <w:rPr>
          <w:rFonts w:hint="eastAsia" w:ascii="仿宋_GB2312" w:eastAsia="仿宋_GB2312"/>
          <w:sz w:val="28"/>
          <w:szCs w:val="28"/>
          <w:lang w:val="en-US" w:eastAsia="zh-CN"/>
        </w:rPr>
        <w:t>,</w:t>
      </w:r>
      <w:r>
        <w:rPr>
          <w:rFonts w:ascii="仿宋_GB2312" w:eastAsia="仿宋_GB2312"/>
          <w:sz w:val="28"/>
          <w:szCs w:val="28"/>
        </w:rPr>
        <w:t>230</w:t>
      </w:r>
      <w:r>
        <w:rPr>
          <w:rFonts w:hint="eastAsia" w:ascii="仿宋_GB2312" w:eastAsia="仿宋_GB2312"/>
          <w:sz w:val="28"/>
          <w:szCs w:val="28"/>
        </w:rPr>
        <w:t>元。主要原因：</w:t>
      </w:r>
      <w:r>
        <w:rPr>
          <w:rFonts w:hint="eastAsia" w:ascii="仿宋_GB2312" w:eastAsia="仿宋_GB2312"/>
          <w:sz w:val="28"/>
          <w:szCs w:val="28"/>
          <w:lang w:eastAsia="zh-CN"/>
        </w:rPr>
        <w:t>本年度不涉及</w:t>
      </w:r>
      <w:r>
        <w:rPr>
          <w:rFonts w:hint="eastAsia" w:ascii="仿宋_GB2312" w:eastAsia="仿宋_GB2312"/>
          <w:sz w:val="28"/>
          <w:szCs w:val="28"/>
        </w:rPr>
        <w:t>公务接待</w:t>
      </w:r>
      <w:r>
        <w:rPr>
          <w:rFonts w:hint="eastAsia" w:ascii="仿宋_GB2312" w:eastAsia="仿宋_GB2312"/>
          <w:sz w:val="28"/>
          <w:szCs w:val="28"/>
          <w:lang w:eastAsia="zh-CN"/>
        </w:rPr>
        <w:t>相关业务</w:t>
      </w:r>
      <w:r>
        <w:rPr>
          <w:rFonts w:hint="eastAsia" w:ascii="仿宋_GB2312" w:eastAsia="仿宋_GB2312"/>
          <w:sz w:val="28"/>
          <w:szCs w:val="28"/>
        </w:rPr>
        <w:t>。公务接待0批次，公务接待0人次。</w:t>
      </w:r>
    </w:p>
    <w:p>
      <w:pPr>
        <w:spacing w:line="560" w:lineRule="exact"/>
        <w:ind w:firstLine="560" w:firstLineChars="200"/>
        <w:rPr>
          <w:rFonts w:ascii="仿宋_GB2312" w:eastAsia="仿宋_GB2312"/>
          <w:sz w:val="28"/>
          <w:szCs w:val="28"/>
        </w:rPr>
      </w:pPr>
      <w:r>
        <w:rPr>
          <w:rFonts w:hint="eastAsia" w:ascii="仿宋_GB2312" w:eastAsia="仿宋_GB2312"/>
          <w:sz w:val="28"/>
          <w:szCs w:val="28"/>
        </w:rPr>
        <w:t>3.公务用车购置及运行维护费。2025年度决算数</w:t>
      </w:r>
      <w:r>
        <w:rPr>
          <w:rFonts w:ascii="仿宋_GB2312" w:eastAsia="仿宋_GB2312"/>
          <w:sz w:val="28"/>
          <w:szCs w:val="28"/>
        </w:rPr>
        <w:t>2</w:t>
      </w:r>
      <w:r>
        <w:rPr>
          <w:rFonts w:hint="eastAsia" w:ascii="仿宋_GB2312" w:eastAsia="仿宋_GB2312"/>
          <w:sz w:val="28"/>
          <w:szCs w:val="28"/>
          <w:lang w:val="en-US" w:eastAsia="zh-CN"/>
        </w:rPr>
        <w:t>,</w:t>
      </w:r>
      <w:r>
        <w:rPr>
          <w:rFonts w:ascii="仿宋_GB2312" w:eastAsia="仿宋_GB2312"/>
          <w:sz w:val="28"/>
          <w:szCs w:val="28"/>
        </w:rPr>
        <w:t>560.5</w:t>
      </w:r>
      <w:r>
        <w:rPr>
          <w:rFonts w:hint="eastAsia" w:ascii="仿宋_GB2312" w:eastAsia="仿宋_GB2312"/>
          <w:sz w:val="28"/>
          <w:szCs w:val="28"/>
        </w:rPr>
        <w:t>元，比2025年度年初预算数</w:t>
      </w:r>
      <w:r>
        <w:rPr>
          <w:rFonts w:ascii="仿宋_GB2312" w:eastAsia="仿宋_GB2312"/>
          <w:sz w:val="28"/>
          <w:szCs w:val="28"/>
        </w:rPr>
        <w:t>18</w:t>
      </w:r>
      <w:r>
        <w:rPr>
          <w:rFonts w:hint="eastAsia" w:ascii="仿宋_GB2312" w:eastAsia="仿宋_GB2312"/>
          <w:sz w:val="28"/>
          <w:szCs w:val="28"/>
          <w:lang w:val="en-US" w:eastAsia="zh-CN"/>
        </w:rPr>
        <w:t>,</w:t>
      </w:r>
      <w:r>
        <w:rPr>
          <w:rFonts w:ascii="仿宋_GB2312" w:eastAsia="仿宋_GB2312"/>
          <w:sz w:val="28"/>
          <w:szCs w:val="28"/>
        </w:rPr>
        <w:t>000</w:t>
      </w:r>
      <w:r>
        <w:rPr>
          <w:rFonts w:hint="eastAsia" w:ascii="仿宋_GB2312" w:eastAsia="仿宋_GB2312"/>
          <w:sz w:val="28"/>
          <w:szCs w:val="28"/>
        </w:rPr>
        <w:t>元减少</w:t>
      </w:r>
      <w:r>
        <w:rPr>
          <w:rFonts w:ascii="仿宋_GB2312" w:eastAsia="仿宋_GB2312"/>
          <w:sz w:val="28"/>
          <w:szCs w:val="28"/>
        </w:rPr>
        <w:t>15</w:t>
      </w:r>
      <w:r>
        <w:rPr>
          <w:rFonts w:hint="eastAsia" w:ascii="仿宋_GB2312" w:eastAsia="仿宋_GB2312"/>
          <w:sz w:val="28"/>
          <w:szCs w:val="28"/>
          <w:lang w:val="en-US" w:eastAsia="zh-CN"/>
        </w:rPr>
        <w:t>,</w:t>
      </w:r>
      <w:r>
        <w:rPr>
          <w:rFonts w:ascii="仿宋_GB2312" w:eastAsia="仿宋_GB2312"/>
          <w:sz w:val="28"/>
          <w:szCs w:val="28"/>
        </w:rPr>
        <w:t>439.5</w:t>
      </w:r>
      <w:r>
        <w:rPr>
          <w:rFonts w:hint="eastAsia" w:ascii="仿宋_GB2312" w:eastAsia="仿宋_GB2312"/>
          <w:sz w:val="28"/>
          <w:szCs w:val="28"/>
        </w:rPr>
        <w:t>元。其中，公务用车购置费2025年度决算数0元，主要原因：</w:t>
      </w:r>
      <w:r>
        <w:rPr>
          <w:rFonts w:hint="eastAsia" w:ascii="仿宋_GB2312" w:eastAsia="仿宋_GB2312"/>
          <w:sz w:val="28"/>
          <w:szCs w:val="28"/>
          <w:lang w:eastAsia="zh-CN"/>
        </w:rPr>
        <w:t>本年度不需要公务用车购置</w:t>
      </w:r>
      <w:r>
        <w:rPr>
          <w:rFonts w:hint="eastAsia" w:ascii="仿宋_GB2312" w:eastAsia="仿宋_GB2312"/>
          <w:sz w:val="28"/>
          <w:szCs w:val="28"/>
        </w:rPr>
        <w:t>，2025年度购置（更新）0辆。公务用车运行维护费2025年度决算数2</w:t>
      </w:r>
      <w:r>
        <w:rPr>
          <w:rFonts w:hint="eastAsia" w:ascii="仿宋_GB2312" w:eastAsia="仿宋_GB2312"/>
          <w:sz w:val="28"/>
          <w:szCs w:val="28"/>
          <w:lang w:val="en-US" w:eastAsia="zh-CN"/>
        </w:rPr>
        <w:t>,</w:t>
      </w:r>
      <w:r>
        <w:rPr>
          <w:rFonts w:hint="eastAsia" w:ascii="仿宋_GB2312" w:eastAsia="仿宋_GB2312"/>
          <w:sz w:val="28"/>
          <w:szCs w:val="28"/>
        </w:rPr>
        <w:t>560.5元，主要原因：</w:t>
      </w:r>
      <w:r>
        <w:rPr>
          <w:rFonts w:hint="eastAsia" w:ascii="仿宋_GB2312" w:eastAsia="仿宋_GB2312"/>
          <w:sz w:val="28"/>
          <w:szCs w:val="28"/>
          <w:lang w:eastAsia="zh-CN"/>
        </w:rPr>
        <w:t>落实习惯过紧日子要求，减少非急需非刚性支出</w:t>
      </w:r>
      <w:r>
        <w:rPr>
          <w:rFonts w:hint="eastAsia" w:ascii="仿宋_GB2312" w:eastAsia="仿宋_GB2312"/>
          <w:sz w:val="28"/>
          <w:szCs w:val="28"/>
        </w:rPr>
        <w:t>。2025年度公务用车保有量</w:t>
      </w:r>
      <w:r>
        <w:rPr>
          <w:rFonts w:ascii="仿宋_GB2312" w:eastAsia="仿宋_GB2312"/>
          <w:sz w:val="28"/>
          <w:szCs w:val="28"/>
        </w:rPr>
        <w:t>1</w:t>
      </w:r>
      <w:r>
        <w:rPr>
          <w:rFonts w:hint="eastAsia" w:ascii="仿宋_GB2312" w:eastAsia="仿宋_GB2312"/>
          <w:sz w:val="28"/>
          <w:szCs w:val="28"/>
        </w:rPr>
        <w:t>辆。</w:t>
      </w:r>
    </w:p>
    <w:p>
      <w:pPr>
        <w:tabs>
          <w:tab w:val="center" w:pos="6979"/>
        </w:tabs>
        <w:ind w:firstLine="554" w:firstLineChars="198"/>
        <w:rPr>
          <w:rFonts w:ascii="黑体" w:eastAsia="黑体"/>
          <w:sz w:val="28"/>
          <w:szCs w:val="28"/>
        </w:rPr>
      </w:pPr>
      <w:r>
        <w:rPr>
          <w:rFonts w:hint="eastAsia" w:ascii="黑体" w:eastAsia="黑体"/>
          <w:sz w:val="28"/>
          <w:szCs w:val="28"/>
        </w:rPr>
        <w:t>二、机关运行经费支出情况</w:t>
      </w:r>
    </w:p>
    <w:p>
      <w:pPr>
        <w:ind w:firstLine="537" w:firstLineChars="192"/>
        <w:rPr>
          <w:rFonts w:ascii="仿宋_GB2312" w:eastAsia="仿宋_GB2312"/>
          <w:sz w:val="28"/>
          <w:szCs w:val="28"/>
        </w:rPr>
      </w:pPr>
      <w:r>
        <w:rPr>
          <w:rFonts w:hint="eastAsia" w:ascii="仿宋_GB2312" w:eastAsia="仿宋_GB2312"/>
          <w:sz w:val="28"/>
          <w:szCs w:val="28"/>
        </w:rPr>
        <w:t>2025年度机关运行经费支出合计1</w:t>
      </w:r>
      <w:r>
        <w:rPr>
          <w:rFonts w:hint="eastAsia" w:ascii="仿宋_GB2312" w:eastAsia="仿宋_GB2312"/>
          <w:sz w:val="28"/>
          <w:szCs w:val="28"/>
          <w:lang w:val="en-US" w:eastAsia="zh-CN"/>
        </w:rPr>
        <w:t>,</w:t>
      </w:r>
      <w:r>
        <w:rPr>
          <w:rFonts w:hint="eastAsia" w:ascii="仿宋_GB2312" w:eastAsia="仿宋_GB2312"/>
          <w:sz w:val="28"/>
          <w:szCs w:val="28"/>
        </w:rPr>
        <w:t>521</w:t>
      </w:r>
      <w:r>
        <w:rPr>
          <w:rFonts w:hint="eastAsia" w:ascii="仿宋_GB2312" w:eastAsia="仿宋_GB2312"/>
          <w:sz w:val="28"/>
          <w:szCs w:val="28"/>
          <w:lang w:val="en-US" w:eastAsia="zh-CN"/>
        </w:rPr>
        <w:t>,</w:t>
      </w:r>
      <w:r>
        <w:rPr>
          <w:rFonts w:hint="eastAsia" w:ascii="仿宋_GB2312" w:eastAsia="仿宋_GB2312"/>
          <w:sz w:val="28"/>
          <w:szCs w:val="28"/>
        </w:rPr>
        <w:t>754.11元，比上年增加</w:t>
      </w:r>
      <w:r>
        <w:rPr>
          <w:rFonts w:hint="eastAsia" w:ascii="仿宋_GB2312" w:eastAsia="仿宋_GB2312"/>
          <w:sz w:val="28"/>
          <w:szCs w:val="28"/>
          <w:lang w:val="en-US" w:eastAsia="zh-CN"/>
        </w:rPr>
        <w:t>5,335.37</w:t>
      </w:r>
      <w:r>
        <w:rPr>
          <w:rFonts w:hint="eastAsia" w:ascii="仿宋_GB2312" w:eastAsia="仿宋_GB2312"/>
          <w:sz w:val="28"/>
          <w:szCs w:val="28"/>
        </w:rPr>
        <w:t>元，增加原因：</w:t>
      </w:r>
      <w:r>
        <w:rPr>
          <w:rFonts w:hint="eastAsia" w:ascii="仿宋_GB2312" w:eastAsia="仿宋_GB2312"/>
          <w:sz w:val="28"/>
          <w:szCs w:val="28"/>
          <w:lang w:eastAsia="zh-CN"/>
        </w:rPr>
        <w:t>因人员数量有增加，故机关运行经费的部分项目（如：</w:t>
      </w:r>
      <w:r>
        <w:rPr>
          <w:rFonts w:ascii="仿宋_GB2312" w:eastAsia="仿宋_GB2312"/>
          <w:sz w:val="28"/>
          <w:szCs w:val="28"/>
        </w:rPr>
        <w:t>工会经费、福利费、其他商品和服务</w:t>
      </w:r>
      <w:r>
        <w:rPr>
          <w:rFonts w:hint="eastAsia" w:ascii="仿宋_GB2312" w:eastAsia="仿宋_GB2312"/>
          <w:sz w:val="28"/>
          <w:szCs w:val="28"/>
        </w:rPr>
        <w:t>等</w:t>
      </w:r>
      <w:r>
        <w:rPr>
          <w:rFonts w:hint="eastAsia" w:ascii="仿宋_GB2312" w:eastAsia="仿宋_GB2312"/>
          <w:sz w:val="28"/>
          <w:szCs w:val="28"/>
          <w:lang w:eastAsia="zh-CN"/>
        </w:rPr>
        <w:t>费用）有所增加，导致整体机关运行经费支出增加</w:t>
      </w:r>
      <w:r>
        <w:rPr>
          <w:rFonts w:hint="eastAsia" w:ascii="仿宋_GB2312" w:eastAsia="仿宋_GB2312"/>
          <w:sz w:val="28"/>
          <w:szCs w:val="28"/>
        </w:rPr>
        <w:t>。</w:t>
      </w:r>
    </w:p>
    <w:p>
      <w:pPr>
        <w:ind w:left="540"/>
        <w:rPr>
          <w:rFonts w:ascii="黑体" w:eastAsia="黑体"/>
          <w:sz w:val="28"/>
          <w:szCs w:val="28"/>
        </w:rPr>
      </w:pPr>
      <w:r>
        <w:rPr>
          <w:rFonts w:hint="eastAsia" w:ascii="黑体" w:eastAsia="黑体"/>
          <w:sz w:val="28"/>
          <w:szCs w:val="28"/>
        </w:rPr>
        <w:t>三、政府采购支出情况</w:t>
      </w:r>
    </w:p>
    <w:p>
      <w:pPr>
        <w:ind w:firstLine="537" w:firstLineChars="192"/>
        <w:rPr>
          <w:rFonts w:ascii="仿宋_GB2312" w:eastAsia="仿宋_GB2312"/>
          <w:sz w:val="28"/>
          <w:szCs w:val="28"/>
        </w:rPr>
      </w:pPr>
      <w:r>
        <w:rPr>
          <w:rFonts w:hint="eastAsia" w:ascii="仿宋_GB2312" w:eastAsia="仿宋_GB2312"/>
          <w:sz w:val="28"/>
          <w:szCs w:val="28"/>
        </w:rPr>
        <w:t>2025年度政府采购支出总额</w:t>
      </w:r>
      <w:r>
        <w:rPr>
          <w:rFonts w:ascii="仿宋_GB2312" w:eastAsia="仿宋_GB2312"/>
          <w:sz w:val="28"/>
          <w:szCs w:val="28"/>
        </w:rPr>
        <w:t>5</w:t>
      </w:r>
      <w:r>
        <w:rPr>
          <w:rFonts w:hint="eastAsia" w:ascii="仿宋_GB2312" w:eastAsia="仿宋_GB2312"/>
          <w:sz w:val="28"/>
          <w:szCs w:val="28"/>
          <w:lang w:val="en-US" w:eastAsia="zh-CN"/>
        </w:rPr>
        <w:t>,</w:t>
      </w:r>
      <w:r>
        <w:rPr>
          <w:rFonts w:ascii="仿宋_GB2312" w:eastAsia="仿宋_GB2312"/>
          <w:sz w:val="28"/>
          <w:szCs w:val="28"/>
        </w:rPr>
        <w:t>384</w:t>
      </w:r>
      <w:r>
        <w:rPr>
          <w:rFonts w:hint="eastAsia" w:ascii="仿宋_GB2312" w:eastAsia="仿宋_GB2312"/>
          <w:sz w:val="28"/>
          <w:szCs w:val="28"/>
          <w:lang w:val="en-US" w:eastAsia="zh-CN"/>
        </w:rPr>
        <w:t>,</w:t>
      </w:r>
      <w:r>
        <w:rPr>
          <w:rFonts w:ascii="仿宋_GB2312" w:eastAsia="仿宋_GB2312"/>
          <w:sz w:val="28"/>
          <w:szCs w:val="28"/>
        </w:rPr>
        <w:t>391.47</w:t>
      </w:r>
      <w:r>
        <w:rPr>
          <w:rFonts w:hint="eastAsia" w:ascii="仿宋_GB2312" w:eastAsia="仿宋_GB2312"/>
          <w:sz w:val="28"/>
          <w:szCs w:val="28"/>
        </w:rPr>
        <w:t>元，其中：政府采购货物支出</w:t>
      </w:r>
      <w:r>
        <w:rPr>
          <w:rFonts w:ascii="仿宋_GB2312" w:eastAsia="仿宋_GB2312"/>
          <w:sz w:val="28"/>
          <w:szCs w:val="28"/>
        </w:rPr>
        <w:t>17</w:t>
      </w:r>
      <w:r>
        <w:rPr>
          <w:rFonts w:hint="eastAsia" w:ascii="仿宋_GB2312" w:eastAsia="仿宋_GB2312"/>
          <w:sz w:val="28"/>
          <w:szCs w:val="28"/>
          <w:lang w:val="en-US" w:eastAsia="zh-CN"/>
        </w:rPr>
        <w:t>,</w:t>
      </w:r>
      <w:r>
        <w:rPr>
          <w:rFonts w:ascii="仿宋_GB2312" w:eastAsia="仿宋_GB2312"/>
          <w:sz w:val="28"/>
          <w:szCs w:val="28"/>
        </w:rPr>
        <w:t>515</w:t>
      </w:r>
      <w:r>
        <w:rPr>
          <w:rFonts w:hint="eastAsia" w:ascii="仿宋_GB2312" w:eastAsia="仿宋_GB2312"/>
          <w:sz w:val="28"/>
          <w:szCs w:val="28"/>
        </w:rPr>
        <w:t>元，政府采购工程支出</w:t>
      </w:r>
      <w:r>
        <w:rPr>
          <w:rFonts w:ascii="仿宋_GB2312" w:eastAsia="仿宋_GB2312"/>
          <w:sz w:val="28"/>
          <w:szCs w:val="28"/>
        </w:rPr>
        <w:t>0</w:t>
      </w:r>
      <w:r>
        <w:rPr>
          <w:rFonts w:hint="eastAsia" w:ascii="仿宋_GB2312" w:eastAsia="仿宋_GB2312"/>
          <w:sz w:val="28"/>
          <w:szCs w:val="28"/>
        </w:rPr>
        <w:t>元，政府采购服务支出</w:t>
      </w:r>
      <w:r>
        <w:rPr>
          <w:rFonts w:ascii="仿宋_GB2312" w:eastAsia="仿宋_GB2312"/>
          <w:sz w:val="28"/>
          <w:szCs w:val="28"/>
        </w:rPr>
        <w:t>5</w:t>
      </w:r>
      <w:r>
        <w:rPr>
          <w:rFonts w:hint="eastAsia" w:ascii="仿宋_GB2312" w:eastAsia="仿宋_GB2312"/>
          <w:sz w:val="28"/>
          <w:szCs w:val="28"/>
          <w:lang w:val="en-US" w:eastAsia="zh-CN"/>
        </w:rPr>
        <w:t>,</w:t>
      </w:r>
      <w:r>
        <w:rPr>
          <w:rFonts w:ascii="仿宋_GB2312" w:eastAsia="仿宋_GB2312"/>
          <w:sz w:val="28"/>
          <w:szCs w:val="28"/>
        </w:rPr>
        <w:t>366</w:t>
      </w:r>
      <w:r>
        <w:rPr>
          <w:rFonts w:hint="eastAsia" w:ascii="仿宋_GB2312" w:eastAsia="仿宋_GB2312"/>
          <w:sz w:val="28"/>
          <w:szCs w:val="28"/>
          <w:lang w:val="en-US" w:eastAsia="zh-CN"/>
        </w:rPr>
        <w:t>,</w:t>
      </w:r>
      <w:r>
        <w:rPr>
          <w:rFonts w:ascii="仿宋_GB2312" w:eastAsia="仿宋_GB2312"/>
          <w:sz w:val="28"/>
          <w:szCs w:val="28"/>
        </w:rPr>
        <w:t>876.47</w:t>
      </w:r>
      <w:r>
        <w:rPr>
          <w:rFonts w:hint="eastAsia" w:ascii="仿宋_GB2312" w:eastAsia="仿宋_GB2312"/>
          <w:sz w:val="28"/>
          <w:szCs w:val="28"/>
        </w:rPr>
        <w:t>元。授予中小企业合同金额</w:t>
      </w:r>
      <w:r>
        <w:rPr>
          <w:rFonts w:ascii="仿宋_GB2312" w:eastAsia="仿宋_GB2312"/>
          <w:sz w:val="28"/>
          <w:szCs w:val="28"/>
        </w:rPr>
        <w:t>5</w:t>
      </w:r>
      <w:r>
        <w:rPr>
          <w:rFonts w:hint="eastAsia" w:ascii="仿宋_GB2312" w:eastAsia="仿宋_GB2312"/>
          <w:sz w:val="28"/>
          <w:szCs w:val="28"/>
          <w:lang w:val="en-US" w:eastAsia="zh-CN"/>
        </w:rPr>
        <w:t>,</w:t>
      </w:r>
      <w:r>
        <w:rPr>
          <w:rFonts w:ascii="仿宋_GB2312" w:eastAsia="仿宋_GB2312"/>
          <w:sz w:val="28"/>
          <w:szCs w:val="28"/>
        </w:rPr>
        <w:t>383</w:t>
      </w:r>
      <w:r>
        <w:rPr>
          <w:rFonts w:hint="eastAsia" w:ascii="仿宋_GB2312" w:eastAsia="仿宋_GB2312"/>
          <w:sz w:val="28"/>
          <w:szCs w:val="28"/>
          <w:lang w:val="en-US" w:eastAsia="zh-CN"/>
        </w:rPr>
        <w:t>,</w:t>
      </w:r>
      <w:r>
        <w:rPr>
          <w:rFonts w:ascii="仿宋_GB2312" w:eastAsia="仿宋_GB2312"/>
          <w:sz w:val="28"/>
          <w:szCs w:val="28"/>
        </w:rPr>
        <w:t>130.97</w:t>
      </w:r>
      <w:r>
        <w:rPr>
          <w:rFonts w:hint="eastAsia" w:ascii="仿宋_GB2312" w:eastAsia="仿宋_GB2312"/>
          <w:sz w:val="28"/>
          <w:szCs w:val="28"/>
        </w:rPr>
        <w:t>元，占政府采购支出总额的</w:t>
      </w:r>
      <w:r>
        <w:rPr>
          <w:rFonts w:hint="eastAsia" w:ascii="仿宋_GB2312" w:eastAsia="仿宋_GB2312"/>
          <w:sz w:val="28"/>
          <w:szCs w:val="28"/>
          <w:lang w:val="en-US" w:eastAsia="zh-CN"/>
        </w:rPr>
        <w:t>100</w:t>
      </w:r>
      <w:r>
        <w:rPr>
          <w:rFonts w:hint="eastAsia" w:ascii="仿宋_GB2312" w:eastAsia="仿宋_GB2312"/>
          <w:sz w:val="28"/>
          <w:szCs w:val="28"/>
        </w:rPr>
        <w:t>%，其中：授予小微企业合同金额</w:t>
      </w:r>
      <w:r>
        <w:rPr>
          <w:rFonts w:ascii="仿宋_GB2312" w:eastAsia="仿宋_GB2312"/>
          <w:sz w:val="28"/>
          <w:szCs w:val="28"/>
        </w:rPr>
        <w:t>5</w:t>
      </w:r>
      <w:r>
        <w:rPr>
          <w:rFonts w:hint="eastAsia" w:ascii="仿宋_GB2312" w:eastAsia="仿宋_GB2312"/>
          <w:sz w:val="28"/>
          <w:szCs w:val="28"/>
          <w:lang w:val="en-US" w:eastAsia="zh-CN"/>
        </w:rPr>
        <w:t>,</w:t>
      </w:r>
      <w:r>
        <w:rPr>
          <w:rFonts w:ascii="仿宋_GB2312" w:eastAsia="仿宋_GB2312"/>
          <w:sz w:val="28"/>
          <w:szCs w:val="28"/>
        </w:rPr>
        <w:t>383</w:t>
      </w:r>
      <w:r>
        <w:rPr>
          <w:rFonts w:hint="eastAsia" w:ascii="仿宋_GB2312" w:eastAsia="仿宋_GB2312"/>
          <w:sz w:val="28"/>
          <w:szCs w:val="28"/>
          <w:lang w:val="en-US" w:eastAsia="zh-CN"/>
        </w:rPr>
        <w:t>,</w:t>
      </w:r>
      <w:r>
        <w:rPr>
          <w:rFonts w:ascii="仿宋_GB2312" w:eastAsia="仿宋_GB2312"/>
          <w:sz w:val="28"/>
          <w:szCs w:val="28"/>
        </w:rPr>
        <w:t>130.97</w:t>
      </w:r>
      <w:r>
        <w:rPr>
          <w:rFonts w:hint="eastAsia" w:ascii="仿宋_GB2312" w:eastAsia="仿宋_GB2312"/>
          <w:sz w:val="28"/>
          <w:szCs w:val="28"/>
        </w:rPr>
        <w:t>元，占政府采购支出总额的</w:t>
      </w:r>
      <w:r>
        <w:rPr>
          <w:rFonts w:hint="eastAsia" w:ascii="仿宋_GB2312" w:eastAsia="仿宋_GB2312"/>
          <w:sz w:val="28"/>
          <w:szCs w:val="28"/>
          <w:lang w:val="en-US" w:eastAsia="zh-CN"/>
        </w:rPr>
        <w:t>100</w:t>
      </w:r>
      <w:r>
        <w:rPr>
          <w:rFonts w:hint="eastAsia" w:ascii="仿宋_GB2312" w:eastAsia="仿宋_GB2312"/>
          <w:sz w:val="28"/>
          <w:szCs w:val="28"/>
        </w:rPr>
        <w:t>%。</w:t>
      </w:r>
    </w:p>
    <w:p>
      <w:pPr>
        <w:ind w:firstLine="560" w:firstLineChars="200"/>
        <w:rPr>
          <w:rFonts w:ascii="黑体" w:eastAsia="黑体"/>
          <w:sz w:val="28"/>
          <w:szCs w:val="28"/>
          <w:highlight w:val="yellow"/>
        </w:rPr>
      </w:pPr>
      <w:r>
        <w:rPr>
          <w:rFonts w:hint="eastAsia" w:ascii="黑体" w:eastAsia="黑体"/>
          <w:sz w:val="28"/>
          <w:szCs w:val="28"/>
        </w:rPr>
        <w:t>四、国有资产占用情况</w:t>
      </w:r>
    </w:p>
    <w:p>
      <w:pPr>
        <w:ind w:firstLine="560" w:firstLineChars="200"/>
        <w:rPr>
          <w:rFonts w:ascii="仿宋_GB2312" w:eastAsia="仿宋_GB2312"/>
          <w:sz w:val="32"/>
          <w:szCs w:val="32"/>
        </w:rPr>
      </w:pPr>
      <w:r>
        <w:rPr>
          <w:rFonts w:hint="eastAsia" w:ascii="仿宋_GB2312" w:eastAsia="仿宋_GB2312"/>
          <w:sz w:val="28"/>
          <w:szCs w:val="28"/>
        </w:rPr>
        <w:t>截至12月31日，北京市门头沟区残疾人联合会共有车辆1台；单位价值100</w:t>
      </w:r>
      <w:r>
        <w:rPr>
          <w:rFonts w:hint="eastAsia" w:ascii="仿宋_GB2312" w:eastAsia="仿宋_GB2312"/>
          <w:sz w:val="28"/>
          <w:szCs w:val="28"/>
          <w:lang w:val="en-US" w:eastAsia="zh-CN"/>
        </w:rPr>
        <w:t>万元</w:t>
      </w:r>
      <w:r>
        <w:rPr>
          <w:rFonts w:hint="eastAsia" w:ascii="仿宋_GB2312" w:eastAsia="仿宋_GB2312"/>
          <w:sz w:val="28"/>
          <w:szCs w:val="28"/>
        </w:rPr>
        <w:t>（含）以上的设备0台（套）。</w:t>
      </w:r>
    </w:p>
    <w:p>
      <w:pPr>
        <w:ind w:firstLine="560" w:firstLineChars="200"/>
        <w:jc w:val="left"/>
        <w:rPr>
          <w:rFonts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pPr>
        <w:ind w:firstLine="560" w:firstLineChars="200"/>
        <w:rPr>
          <w:rFonts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pPr>
        <w:ind w:firstLine="560" w:firstLineChars="200"/>
        <w:rPr>
          <w:rFonts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pPr>
        <w:ind w:firstLine="560" w:firstLineChars="200"/>
        <w:rPr>
          <w:rFonts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pPr>
        <w:ind w:firstLine="560" w:firstLineChars="200"/>
      </w:pPr>
      <w:r>
        <w:rPr>
          <w:rFonts w:hint="eastAsia" w:ascii="仿宋_GB2312" w:eastAsia="仿宋_GB2312"/>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pPr>
        <w:ind w:firstLine="560" w:firstLineChars="200"/>
        <w:rPr>
          <w:rFonts w:hint="eastAsia" w:ascii="仿宋_GB2312" w:eastAsia="仿宋_GB2312"/>
          <w:sz w:val="28"/>
          <w:szCs w:val="28"/>
        </w:rPr>
      </w:pPr>
      <w:r>
        <w:rPr>
          <w:rFonts w:hint="eastAsia" w:ascii="仿宋_GB2312" w:eastAsia="仿宋_GB2312"/>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6.政府购买服务：是指各级国家机关将属于自身职责范围且适合通过市场化方式提供的服务事项，按照政府采购方式和程序，交由符合条件的服务供应商承担，并根据服务数量和质量等因素向其支付费用的行为。</w:t>
      </w:r>
    </w:p>
    <w:p>
      <w:pPr>
        <w:ind w:firstLine="560" w:firstLineChars="200"/>
        <w:rPr>
          <w:rFonts w:ascii="仿宋_GB2312" w:eastAsia="仿宋_GB2312"/>
          <w:bCs/>
          <w:sz w:val="28"/>
          <w:szCs w:val="28"/>
        </w:rPr>
      </w:pPr>
      <w:r>
        <w:rPr>
          <w:rFonts w:hint="eastAsia" w:ascii="仿宋_GB2312" w:eastAsia="仿宋_GB2312"/>
          <w:sz w:val="28"/>
          <w:szCs w:val="28"/>
          <w:lang w:val="en-US" w:eastAsia="zh-CN"/>
        </w:rPr>
        <w:t>7</w:t>
      </w:r>
      <w:r>
        <w:rPr>
          <w:rFonts w:hint="eastAsia" w:ascii="仿宋_GB2312" w:eastAsia="仿宋_GB2312"/>
          <w:sz w:val="28"/>
          <w:szCs w:val="28"/>
        </w:rPr>
        <w:t>.</w:t>
      </w:r>
      <w:r>
        <w:rPr>
          <w:rFonts w:hint="eastAsia" w:ascii="仿宋_GB2312" w:hAnsi="Calibri" w:eastAsia="仿宋_GB2312" w:cs="Times New Roman"/>
          <w:sz w:val="28"/>
          <w:szCs w:val="28"/>
        </w:rPr>
        <w:t>社会保障和就业支出：是指反映政府在社会保障与就业方面的支出。</w:t>
      </w:r>
    </w:p>
    <w:p>
      <w:pPr>
        <w:rPr>
          <w:rFonts w:ascii="仿宋_GB2312" w:eastAsia="仿宋_GB2312"/>
          <w:sz w:val="28"/>
          <w:szCs w:val="28"/>
        </w:rPr>
      </w:pPr>
      <w:r>
        <w:rPr>
          <w:rFonts w:ascii="仿宋_GB2312" w:eastAsia="仿宋_GB2312"/>
          <w:sz w:val="28"/>
          <w:szCs w:val="28"/>
        </w:rPr>
        <w:br w:type="page"/>
      </w:r>
    </w:p>
    <w:p>
      <w:pPr>
        <w:tabs>
          <w:tab w:val="center" w:pos="6979"/>
        </w:tabs>
        <w:spacing w:line="580" w:lineRule="exact"/>
        <w:ind w:firstLine="720" w:firstLineChars="200"/>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第四部分2025年度部门绩效评价情况</w:t>
      </w:r>
    </w:p>
    <w:p>
      <w:pPr>
        <w:tabs>
          <w:tab w:val="center" w:pos="6979"/>
        </w:tabs>
        <w:spacing w:line="580" w:lineRule="exact"/>
        <w:ind w:firstLine="560" w:firstLineChars="200"/>
        <w:jc w:val="center"/>
        <w:rPr>
          <w:rFonts w:hint="eastAsia" w:ascii="华文中宋" w:hAnsi="华文中宋" w:eastAsia="华文中宋"/>
          <w:sz w:val="28"/>
          <w:szCs w:val="28"/>
        </w:rPr>
      </w:pPr>
    </w:p>
    <w:p>
      <w:pPr>
        <w:spacing w:line="580" w:lineRule="exact"/>
        <w:ind w:firstLine="640" w:firstLineChars="200"/>
        <w:rPr>
          <w:rFonts w:hint="eastAsia" w:ascii="黑体" w:hAnsi="黑体" w:eastAsia="黑体"/>
          <w:sz w:val="32"/>
          <w:szCs w:val="32"/>
        </w:rPr>
      </w:pPr>
      <w:r>
        <w:rPr>
          <w:rFonts w:hint="eastAsia" w:ascii="黑体" w:eastAsia="黑体"/>
          <w:sz w:val="32"/>
          <w:szCs w:val="32"/>
        </w:rPr>
        <w:t xml:space="preserve"> </w:t>
      </w:r>
      <w:r>
        <w:rPr>
          <w:rFonts w:hint="eastAsia" w:ascii="黑体" w:hAnsi="黑体" w:eastAsia="黑体"/>
          <w:sz w:val="32"/>
          <w:szCs w:val="32"/>
        </w:rPr>
        <w:t>一、部门整体绩效评价报告</w:t>
      </w:r>
    </w:p>
    <w:p>
      <w:pPr>
        <w:spacing w:line="580" w:lineRule="exact"/>
        <w:ind w:firstLine="640"/>
        <w:rPr>
          <w:rFonts w:hint="eastAsia" w:ascii="楷体_GB2312" w:hAnsi="Calibri" w:eastAsia="楷体_GB2312"/>
          <w:b/>
          <w:sz w:val="32"/>
          <w:szCs w:val="32"/>
        </w:rPr>
      </w:pPr>
      <w:r>
        <w:rPr>
          <w:rFonts w:hint="eastAsia" w:ascii="楷体_GB2312" w:eastAsia="楷体_GB2312"/>
          <w:b/>
          <w:sz w:val="32"/>
          <w:szCs w:val="32"/>
        </w:rPr>
        <w:t>（一）部门概况</w:t>
      </w:r>
    </w:p>
    <w:p>
      <w:pPr>
        <w:spacing w:line="580" w:lineRule="exact"/>
        <w:ind w:firstLine="640"/>
        <w:rPr>
          <w:rFonts w:hint="eastAsia" w:ascii="仿宋_GB2312" w:eastAsia="仿宋_GB2312"/>
          <w:sz w:val="32"/>
          <w:szCs w:val="32"/>
        </w:rPr>
      </w:pPr>
      <w:bookmarkStart w:id="0" w:name="_Toc268005755"/>
      <w:r>
        <w:rPr>
          <w:rFonts w:hint="eastAsia" w:ascii="仿宋_GB2312" w:eastAsia="仿宋_GB2312"/>
          <w:sz w:val="32"/>
          <w:szCs w:val="32"/>
        </w:rPr>
        <w:t>1.部门职责情况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调查残疾人的状况，统计残疾人的数据，分析残疾人成因，为残疾人开展康复、预防等方面的技术服务。在上学、生活、康复、预防等方面开展活动，切实改善残疾人生产、生活状况。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2.部门机构设置情况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本部门共设2个内设机构，为办公室及群工科。下设2个事业单位，为北京市门头沟区残疾人就业服务中心及北京市门头沟区康体服务中心。</w:t>
      </w:r>
    </w:p>
    <w:p>
      <w:pPr>
        <w:spacing w:line="580" w:lineRule="exact"/>
        <w:ind w:firstLine="640"/>
        <w:rPr>
          <w:rFonts w:hint="eastAsia" w:ascii="仿宋_GB2312" w:eastAsia="仿宋_GB2312"/>
          <w:sz w:val="32"/>
          <w:szCs w:val="32"/>
        </w:rPr>
      </w:pPr>
      <w:r>
        <w:rPr>
          <w:rFonts w:hint="eastAsia" w:ascii="仿宋_GB2312" w:eastAsia="仿宋_GB2312"/>
          <w:sz w:val="32"/>
          <w:szCs w:val="32"/>
        </w:rPr>
        <w:t>3.2025年主要工作任务</w:t>
      </w:r>
    </w:p>
    <w:bookmarkEnd w:id="0"/>
    <w:p>
      <w:pPr>
        <w:spacing w:line="580" w:lineRule="exact"/>
        <w:ind w:firstLine="640"/>
        <w:rPr>
          <w:rFonts w:hint="eastAsia" w:ascii="仿宋_GB2312" w:eastAsia="仿宋_GB2312"/>
          <w:sz w:val="32"/>
          <w:szCs w:val="32"/>
        </w:rPr>
      </w:pPr>
      <w:bookmarkStart w:id="1" w:name="_Toc268005759"/>
      <w:bookmarkStart w:id="2" w:name="_Toc263686375"/>
      <w:r>
        <w:rPr>
          <w:rFonts w:hint="eastAsia" w:ascii="仿宋_GB2312" w:eastAsia="仿宋_GB2312"/>
          <w:sz w:val="32"/>
          <w:szCs w:val="32"/>
        </w:rPr>
        <w:t>2025年，区残联建立全流程政策执行监管机制，全年受理残疾人证申办858人，批准352人。发放各类补贴资金超2500万元，惠及残疾人超20000人次，提供上门助浴服务1449人次。开展访企拓岗45家，开发岗位75个，举办3场招聘会，新增就业90余人。开展残疾人职业技能培训，助力163名残疾人提升能力；7名残疾应届毕业生全部就业，通过帮扶性就业基地等载体拓宽就业路径。为9000余名残疾人提供精准康复服务，19000余名残疾人完成家庭医生签约，适配辅具超过6000件，发放残疾儿童康复补贴388.47万元。联合多部门推进无障碍建设，改造14类公共场所及181户家庭，打造“一刻钟无障碍便民服务圈”，相关工作获媒体专题报道。实现“区—街镇”温馨家园全覆盖，新建13家社区级家园，通过数字化监管提升服务效能，确保16000余名持证残疾人安全度汛。实施党建引领“揭榜挂帅”专项工作，惠及820余名残疾群众。围绕助残日等节点，组织冰雪活动、残疾人运动会等文体活动，600余人次参与，营造浓厚扶残助残社会氛围。</w:t>
      </w:r>
    </w:p>
    <w:p>
      <w:pPr>
        <w:spacing w:line="580" w:lineRule="exact"/>
        <w:ind w:firstLine="640"/>
        <w:rPr>
          <w:rFonts w:hint="eastAsia" w:ascii="仿宋_GB2312" w:eastAsia="仿宋_GB2312"/>
          <w:sz w:val="32"/>
          <w:szCs w:val="32"/>
        </w:rPr>
      </w:pPr>
      <w:r>
        <w:rPr>
          <w:rFonts w:hint="eastAsia" w:ascii="仿宋_GB2312" w:eastAsia="仿宋_GB2312"/>
          <w:sz w:val="32"/>
          <w:szCs w:val="32"/>
        </w:rPr>
        <w:t>4.部门</w:t>
      </w:r>
      <w:bookmarkEnd w:id="1"/>
      <w:r>
        <w:rPr>
          <w:rFonts w:hint="eastAsia" w:ascii="仿宋_GB2312" w:eastAsia="仿宋_GB2312"/>
          <w:sz w:val="32"/>
          <w:szCs w:val="32"/>
        </w:rPr>
        <w:t>整体绩效目标设立情况</w:t>
      </w:r>
    </w:p>
    <w:tbl>
      <w:tblPr>
        <w:tblStyle w:val="10"/>
        <w:tblW w:w="3587" w:type="pct"/>
        <w:tblInd w:w="920" w:type="dxa"/>
        <w:tblLayout w:type="fixed"/>
        <w:tblCellMar>
          <w:top w:w="0" w:type="dxa"/>
          <w:left w:w="108" w:type="dxa"/>
          <w:bottom w:w="0" w:type="dxa"/>
          <w:right w:w="108" w:type="dxa"/>
        </w:tblCellMar>
      </w:tblPr>
      <w:tblGrid>
        <w:gridCol w:w="1028"/>
        <w:gridCol w:w="2700"/>
        <w:gridCol w:w="1800"/>
        <w:gridCol w:w="1500"/>
        <w:gridCol w:w="1931"/>
        <w:gridCol w:w="1649"/>
      </w:tblGrid>
      <w:tr>
        <w:tblPrEx>
          <w:tblCellMar>
            <w:top w:w="0" w:type="dxa"/>
            <w:left w:w="108" w:type="dxa"/>
            <w:bottom w:w="0" w:type="dxa"/>
            <w:right w:w="108" w:type="dxa"/>
          </w:tblCellMar>
        </w:tblPrEx>
        <w:trPr>
          <w:trHeight w:val="275" w:hRule="atLeast"/>
        </w:trPr>
        <w:tc>
          <w:tcPr>
            <w:tcW w:w="484" w:type="pct"/>
            <w:tcBorders>
              <w:top w:val="single" w:color="auto" w:sz="4" w:space="0"/>
              <w:left w:val="single" w:color="auto" w:sz="4" w:space="0"/>
              <w:bottom w:val="single" w:color="auto" w:sz="4" w:space="0"/>
              <w:right w:val="single" w:color="auto" w:sz="4" w:space="0"/>
            </w:tcBorders>
            <w:noWrap/>
            <w:vAlign w:val="center"/>
          </w:tcPr>
          <w:p>
            <w:pPr>
              <w:spacing w:line="520" w:lineRule="exact"/>
              <w:jc w:val="center"/>
              <w:rPr>
                <w:rFonts w:ascii="仿宋_GB2312" w:eastAsia="仿宋_GB2312"/>
                <w:sz w:val="28"/>
                <w:szCs w:val="28"/>
              </w:rPr>
            </w:pPr>
            <w:r>
              <w:rPr>
                <w:rFonts w:hint="eastAsia" w:ascii="仿宋_GB2312" w:eastAsia="仿宋_GB2312"/>
                <w:sz w:val="28"/>
                <w:szCs w:val="28"/>
              </w:rPr>
              <w:t>序号</w:t>
            </w:r>
          </w:p>
        </w:tc>
        <w:tc>
          <w:tcPr>
            <w:tcW w:w="1272" w:type="pct"/>
            <w:tcBorders>
              <w:top w:val="single" w:color="auto" w:sz="4" w:space="0"/>
              <w:left w:val="nil"/>
              <w:bottom w:val="single" w:color="auto" w:sz="4" w:space="0"/>
              <w:right w:val="single" w:color="auto" w:sz="4" w:space="0"/>
            </w:tcBorders>
            <w:noWrap/>
            <w:vAlign w:val="center"/>
          </w:tcPr>
          <w:p>
            <w:pPr>
              <w:spacing w:line="520" w:lineRule="exact"/>
              <w:jc w:val="center"/>
              <w:rPr>
                <w:rFonts w:ascii="仿宋_GB2312" w:eastAsia="仿宋_GB2312"/>
                <w:sz w:val="28"/>
                <w:szCs w:val="28"/>
              </w:rPr>
            </w:pPr>
            <w:r>
              <w:rPr>
                <w:rFonts w:hint="eastAsia" w:ascii="仿宋_GB2312" w:eastAsia="仿宋_GB2312"/>
                <w:sz w:val="28"/>
                <w:szCs w:val="28"/>
              </w:rPr>
              <w:t>三级指标</w:t>
            </w:r>
          </w:p>
        </w:tc>
        <w:tc>
          <w:tcPr>
            <w:tcW w:w="848" w:type="pct"/>
            <w:tcBorders>
              <w:top w:val="single" w:color="auto" w:sz="4" w:space="0"/>
              <w:left w:val="nil"/>
              <w:bottom w:val="single" w:color="auto" w:sz="4" w:space="0"/>
              <w:right w:val="single" w:color="auto" w:sz="4" w:space="0"/>
            </w:tcBorders>
            <w:noWrap/>
            <w:vAlign w:val="center"/>
          </w:tcPr>
          <w:p>
            <w:pPr>
              <w:spacing w:line="520" w:lineRule="exact"/>
              <w:jc w:val="center"/>
              <w:rPr>
                <w:rFonts w:ascii="仿宋_GB2312" w:eastAsia="仿宋_GB2312"/>
                <w:sz w:val="28"/>
                <w:szCs w:val="28"/>
              </w:rPr>
            </w:pPr>
            <w:r>
              <w:rPr>
                <w:rFonts w:hint="eastAsia" w:ascii="仿宋_GB2312" w:eastAsia="仿宋_GB2312"/>
                <w:sz w:val="28"/>
                <w:szCs w:val="28"/>
              </w:rPr>
              <w:t>指标性质</w:t>
            </w:r>
          </w:p>
        </w:tc>
        <w:tc>
          <w:tcPr>
            <w:tcW w:w="707" w:type="pct"/>
            <w:tcBorders>
              <w:top w:val="single" w:color="auto" w:sz="4" w:space="0"/>
              <w:left w:val="nil"/>
              <w:bottom w:val="single" w:color="auto" w:sz="4" w:space="0"/>
              <w:right w:val="single" w:color="auto" w:sz="4" w:space="0"/>
            </w:tcBorders>
            <w:noWrap/>
            <w:vAlign w:val="center"/>
          </w:tcPr>
          <w:p>
            <w:pPr>
              <w:spacing w:line="520" w:lineRule="exact"/>
              <w:jc w:val="center"/>
              <w:rPr>
                <w:rFonts w:ascii="仿宋_GB2312" w:eastAsia="仿宋_GB2312"/>
                <w:sz w:val="28"/>
                <w:szCs w:val="28"/>
              </w:rPr>
            </w:pPr>
            <w:r>
              <w:rPr>
                <w:rFonts w:hint="eastAsia" w:ascii="仿宋_GB2312" w:eastAsia="仿宋_GB2312"/>
                <w:sz w:val="28"/>
                <w:szCs w:val="28"/>
              </w:rPr>
              <w:t>指标值</w:t>
            </w:r>
          </w:p>
        </w:tc>
        <w:tc>
          <w:tcPr>
            <w:tcW w:w="910" w:type="pct"/>
            <w:tcBorders>
              <w:top w:val="single" w:color="auto" w:sz="4" w:space="0"/>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eastAsia="仿宋_GB2312"/>
                <w:sz w:val="28"/>
                <w:szCs w:val="28"/>
              </w:rPr>
              <w:t>度量单位</w:t>
            </w:r>
          </w:p>
        </w:tc>
        <w:tc>
          <w:tcPr>
            <w:tcW w:w="777" w:type="pct"/>
            <w:tcBorders>
              <w:top w:val="single" w:color="auto" w:sz="4" w:space="0"/>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eastAsia="仿宋_GB2312"/>
                <w:sz w:val="28"/>
                <w:szCs w:val="28"/>
              </w:rPr>
              <w:t>指标权重</w:t>
            </w:r>
          </w:p>
        </w:tc>
      </w:tr>
      <w:tr>
        <w:tblPrEx>
          <w:tblCellMar>
            <w:top w:w="0" w:type="dxa"/>
            <w:left w:w="108" w:type="dxa"/>
            <w:bottom w:w="0" w:type="dxa"/>
            <w:right w:w="108" w:type="dxa"/>
          </w:tblCellMar>
        </w:tblPrEx>
        <w:trPr>
          <w:trHeight w:val="275" w:hRule="atLeast"/>
        </w:trPr>
        <w:tc>
          <w:tcPr>
            <w:tcW w:w="484" w:type="pct"/>
            <w:tcBorders>
              <w:top w:val="nil"/>
              <w:left w:val="single" w:color="auto" w:sz="4" w:space="0"/>
              <w:bottom w:val="single" w:color="auto" w:sz="4" w:space="0"/>
              <w:right w:val="single" w:color="auto" w:sz="4" w:space="0"/>
            </w:tcBorders>
            <w:noWrap/>
            <w:vAlign w:val="center"/>
          </w:tcPr>
          <w:p>
            <w:pPr>
              <w:widowControl/>
              <w:jc w:val="center"/>
              <w:rPr>
                <w:rFonts w:ascii="仿宋_GB2312" w:eastAsia="仿宋_GB2312"/>
                <w:sz w:val="28"/>
                <w:szCs w:val="28"/>
              </w:rPr>
            </w:pPr>
            <w:r>
              <w:rPr>
                <w:rFonts w:ascii="仿宋_GB2312" w:hAnsi="仿宋" w:eastAsia="仿宋_GB2312" w:cs="Times New Roman"/>
                <w:color w:val="auto"/>
                <w:sz w:val="28"/>
                <w:szCs w:val="28"/>
              </w:rPr>
              <w:t>1</w:t>
            </w:r>
          </w:p>
        </w:tc>
        <w:tc>
          <w:tcPr>
            <w:tcW w:w="1272" w:type="pct"/>
            <w:tcBorders>
              <w:top w:val="nil"/>
              <w:left w:val="nil"/>
              <w:bottom w:val="single" w:color="auto" w:sz="4" w:space="0"/>
              <w:right w:val="single" w:color="auto" w:sz="4" w:space="0"/>
            </w:tcBorders>
            <w:noWrap/>
            <w:vAlign w:val="center"/>
          </w:tcPr>
          <w:p>
            <w:pPr>
              <w:widowControl/>
              <w:jc w:val="center"/>
              <w:rPr>
                <w:rFonts w:ascii="仿宋_GB2312" w:eastAsia="仿宋_GB2312"/>
                <w:sz w:val="28"/>
                <w:szCs w:val="28"/>
              </w:rPr>
            </w:pPr>
            <w:r>
              <w:rPr>
                <w:rFonts w:hint="eastAsia" w:ascii="仿宋_GB2312" w:hAnsi="仿宋" w:eastAsia="仿宋_GB2312" w:cs="Times New Roman"/>
                <w:color w:val="auto"/>
                <w:sz w:val="28"/>
                <w:szCs w:val="28"/>
                <w:lang w:eastAsia="zh-CN"/>
              </w:rPr>
              <w:t>需求调查覆盖率</w:t>
            </w:r>
          </w:p>
        </w:tc>
        <w:tc>
          <w:tcPr>
            <w:tcW w:w="848" w:type="pct"/>
            <w:tcBorders>
              <w:top w:val="nil"/>
              <w:left w:val="nil"/>
              <w:bottom w:val="single" w:color="auto" w:sz="4" w:space="0"/>
              <w:right w:val="single" w:color="auto" w:sz="4" w:space="0"/>
            </w:tcBorders>
            <w:noWrap/>
            <w:vAlign w:val="center"/>
          </w:tcPr>
          <w:p>
            <w:pPr>
              <w:widowControl/>
              <w:jc w:val="center"/>
              <w:rPr>
                <w:rFonts w:ascii="仿宋_GB2312" w:eastAsia="仿宋_GB2312"/>
                <w:sz w:val="28"/>
                <w:szCs w:val="28"/>
              </w:rPr>
            </w:pPr>
            <w:r>
              <w:rPr>
                <w:rFonts w:hint="eastAsia" w:ascii="仿宋_GB2312" w:hAnsi="仿宋" w:eastAsia="仿宋_GB2312" w:cs="Times New Roman"/>
                <w:color w:val="auto"/>
                <w:sz w:val="28"/>
                <w:szCs w:val="28"/>
                <w:lang w:eastAsia="zh-CN"/>
              </w:rPr>
              <w:t>≥</w:t>
            </w:r>
          </w:p>
        </w:tc>
        <w:tc>
          <w:tcPr>
            <w:tcW w:w="707" w:type="pct"/>
            <w:tcBorders>
              <w:top w:val="nil"/>
              <w:left w:val="nil"/>
              <w:bottom w:val="single" w:color="auto" w:sz="4" w:space="0"/>
              <w:right w:val="single" w:color="auto" w:sz="4" w:space="0"/>
            </w:tcBorders>
            <w:noWrap/>
            <w:vAlign w:val="center"/>
          </w:tcPr>
          <w:p>
            <w:pPr>
              <w:widowControl/>
              <w:jc w:val="center"/>
              <w:rPr>
                <w:rFonts w:ascii="仿宋_GB2312" w:eastAsia="仿宋_GB2312"/>
                <w:sz w:val="28"/>
                <w:szCs w:val="28"/>
              </w:rPr>
            </w:pPr>
            <w:r>
              <w:rPr>
                <w:rFonts w:hint="eastAsia" w:ascii="仿宋_GB2312" w:hAnsi="仿宋" w:eastAsia="仿宋_GB2312" w:cs="Times New Roman"/>
                <w:color w:val="auto"/>
                <w:sz w:val="28"/>
                <w:szCs w:val="28"/>
                <w:lang w:val="en-US" w:eastAsia="zh-CN"/>
              </w:rPr>
              <w:t>90</w:t>
            </w:r>
          </w:p>
        </w:tc>
        <w:tc>
          <w:tcPr>
            <w:tcW w:w="910" w:type="pct"/>
            <w:tcBorders>
              <w:top w:val="nil"/>
              <w:left w:val="nil"/>
              <w:bottom w:val="single" w:color="auto" w:sz="4" w:space="0"/>
              <w:right w:val="single" w:color="auto" w:sz="4" w:space="0"/>
            </w:tcBorders>
            <w:vAlign w:val="center"/>
          </w:tcPr>
          <w:p>
            <w:pPr>
              <w:widowControl/>
              <w:jc w:val="center"/>
              <w:rPr>
                <w:rFonts w:ascii="仿宋_GB2312" w:eastAsia="仿宋_GB2312"/>
                <w:sz w:val="28"/>
                <w:szCs w:val="28"/>
              </w:rPr>
            </w:pPr>
            <w:r>
              <w:rPr>
                <w:rFonts w:hint="eastAsia" w:ascii="仿宋_GB2312" w:hAnsi="仿宋" w:eastAsia="仿宋_GB2312" w:cs="Times New Roman"/>
                <w:color w:val="auto"/>
                <w:sz w:val="28"/>
                <w:szCs w:val="28"/>
                <w:lang w:val="en-US" w:eastAsia="zh-CN"/>
              </w:rPr>
              <w:t>%</w:t>
            </w:r>
          </w:p>
        </w:tc>
        <w:tc>
          <w:tcPr>
            <w:tcW w:w="777" w:type="pct"/>
            <w:tcBorders>
              <w:top w:val="nil"/>
              <w:left w:val="nil"/>
              <w:bottom w:val="single" w:color="auto" w:sz="4" w:space="0"/>
              <w:right w:val="single" w:color="auto" w:sz="4" w:space="0"/>
            </w:tcBorders>
            <w:vAlign w:val="center"/>
          </w:tcPr>
          <w:p>
            <w:pPr>
              <w:widowControl/>
              <w:jc w:val="center"/>
              <w:rPr>
                <w:rFonts w:ascii="仿宋_GB2312" w:eastAsia="仿宋_GB2312"/>
                <w:sz w:val="28"/>
                <w:szCs w:val="28"/>
              </w:rPr>
            </w:pPr>
            <w:r>
              <w:rPr>
                <w:rFonts w:hint="eastAsia" w:ascii="仿宋_GB2312" w:hAnsi="仿宋" w:eastAsia="仿宋_GB2312" w:cs="Times New Roman"/>
                <w:color w:val="auto"/>
                <w:sz w:val="28"/>
                <w:szCs w:val="28"/>
                <w:lang w:val="en-US" w:eastAsia="zh-CN"/>
              </w:rPr>
              <w:t>30%</w:t>
            </w:r>
          </w:p>
        </w:tc>
      </w:tr>
      <w:tr>
        <w:tblPrEx>
          <w:tblCellMar>
            <w:top w:w="0" w:type="dxa"/>
            <w:left w:w="108" w:type="dxa"/>
            <w:bottom w:w="0" w:type="dxa"/>
            <w:right w:w="108" w:type="dxa"/>
          </w:tblCellMar>
        </w:tblPrEx>
        <w:trPr>
          <w:trHeight w:val="275" w:hRule="atLeast"/>
        </w:trPr>
        <w:tc>
          <w:tcPr>
            <w:tcW w:w="484" w:type="pct"/>
            <w:tcBorders>
              <w:top w:val="nil"/>
              <w:left w:val="single" w:color="auto" w:sz="4" w:space="0"/>
              <w:bottom w:val="single" w:color="auto" w:sz="4" w:space="0"/>
              <w:right w:val="single" w:color="auto" w:sz="4" w:space="0"/>
            </w:tcBorders>
            <w:noWrap/>
            <w:vAlign w:val="center"/>
          </w:tcPr>
          <w:p>
            <w:pPr>
              <w:widowControl/>
              <w:jc w:val="center"/>
              <w:rPr>
                <w:rFonts w:ascii="仿宋_GB2312" w:eastAsia="仿宋_GB2312"/>
                <w:sz w:val="28"/>
                <w:szCs w:val="28"/>
              </w:rPr>
            </w:pPr>
            <w:r>
              <w:rPr>
                <w:rFonts w:ascii="仿宋_GB2312" w:hAnsi="仿宋" w:eastAsia="仿宋_GB2312" w:cs="Times New Roman"/>
                <w:color w:val="auto"/>
                <w:sz w:val="28"/>
                <w:szCs w:val="28"/>
              </w:rPr>
              <w:t>2</w:t>
            </w:r>
          </w:p>
        </w:tc>
        <w:tc>
          <w:tcPr>
            <w:tcW w:w="1272" w:type="pct"/>
            <w:tcBorders>
              <w:top w:val="nil"/>
              <w:left w:val="nil"/>
              <w:bottom w:val="single" w:color="auto" w:sz="4" w:space="0"/>
              <w:right w:val="single" w:color="auto" w:sz="4" w:space="0"/>
            </w:tcBorders>
            <w:noWrap/>
            <w:vAlign w:val="center"/>
          </w:tcPr>
          <w:p>
            <w:pPr>
              <w:widowControl/>
              <w:jc w:val="center"/>
              <w:rPr>
                <w:rFonts w:ascii="仿宋_GB2312" w:eastAsia="仿宋_GB2312"/>
                <w:sz w:val="28"/>
                <w:szCs w:val="28"/>
              </w:rPr>
            </w:pPr>
            <w:r>
              <w:rPr>
                <w:rFonts w:hint="eastAsia" w:ascii="仿宋_GB2312" w:hAnsi="仿宋" w:eastAsia="仿宋_GB2312" w:cs="Times New Roman"/>
                <w:color w:val="auto"/>
                <w:sz w:val="28"/>
                <w:szCs w:val="28"/>
                <w:lang w:eastAsia="zh-CN"/>
              </w:rPr>
              <w:t>康复覆盖率</w:t>
            </w:r>
          </w:p>
        </w:tc>
        <w:tc>
          <w:tcPr>
            <w:tcW w:w="848" w:type="pct"/>
            <w:tcBorders>
              <w:top w:val="nil"/>
              <w:left w:val="nil"/>
              <w:bottom w:val="single" w:color="auto" w:sz="4" w:space="0"/>
              <w:right w:val="single" w:color="auto" w:sz="4" w:space="0"/>
            </w:tcBorders>
            <w:noWrap/>
            <w:vAlign w:val="center"/>
          </w:tcPr>
          <w:p>
            <w:pPr>
              <w:widowControl/>
              <w:jc w:val="center"/>
              <w:rPr>
                <w:rFonts w:ascii="仿宋_GB2312" w:eastAsia="仿宋_GB2312"/>
                <w:sz w:val="28"/>
                <w:szCs w:val="28"/>
              </w:rPr>
            </w:pPr>
            <w:r>
              <w:rPr>
                <w:rFonts w:hint="eastAsia" w:ascii="仿宋_GB2312" w:hAnsi="仿宋" w:eastAsia="仿宋_GB2312" w:cs="Times New Roman"/>
                <w:color w:val="auto"/>
                <w:sz w:val="28"/>
                <w:szCs w:val="28"/>
                <w:lang w:eastAsia="zh-CN"/>
              </w:rPr>
              <w:t>≥</w:t>
            </w:r>
          </w:p>
        </w:tc>
        <w:tc>
          <w:tcPr>
            <w:tcW w:w="707" w:type="pct"/>
            <w:tcBorders>
              <w:top w:val="nil"/>
              <w:left w:val="nil"/>
              <w:bottom w:val="single" w:color="auto" w:sz="4" w:space="0"/>
              <w:right w:val="single" w:color="auto" w:sz="4" w:space="0"/>
            </w:tcBorders>
            <w:noWrap/>
            <w:vAlign w:val="center"/>
          </w:tcPr>
          <w:p>
            <w:pPr>
              <w:widowControl/>
              <w:jc w:val="center"/>
              <w:rPr>
                <w:rFonts w:ascii="仿宋_GB2312" w:eastAsia="仿宋_GB2312"/>
                <w:sz w:val="28"/>
                <w:szCs w:val="28"/>
              </w:rPr>
            </w:pPr>
            <w:r>
              <w:rPr>
                <w:rFonts w:hint="eastAsia" w:ascii="仿宋_GB2312" w:hAnsi="仿宋" w:eastAsia="仿宋_GB2312" w:cs="Times New Roman"/>
                <w:color w:val="auto"/>
                <w:sz w:val="28"/>
                <w:szCs w:val="28"/>
                <w:lang w:val="en-US" w:eastAsia="zh-CN"/>
              </w:rPr>
              <w:t>90</w:t>
            </w:r>
          </w:p>
        </w:tc>
        <w:tc>
          <w:tcPr>
            <w:tcW w:w="910" w:type="pct"/>
            <w:tcBorders>
              <w:top w:val="nil"/>
              <w:left w:val="nil"/>
              <w:bottom w:val="single" w:color="auto" w:sz="4" w:space="0"/>
              <w:right w:val="single" w:color="auto" w:sz="4" w:space="0"/>
            </w:tcBorders>
            <w:vAlign w:val="center"/>
          </w:tcPr>
          <w:p>
            <w:pPr>
              <w:widowControl/>
              <w:jc w:val="center"/>
              <w:rPr>
                <w:rFonts w:ascii="仿宋_GB2312" w:eastAsia="仿宋_GB2312"/>
                <w:sz w:val="28"/>
                <w:szCs w:val="28"/>
              </w:rPr>
            </w:pPr>
            <w:r>
              <w:rPr>
                <w:rFonts w:hint="eastAsia" w:ascii="仿宋_GB2312" w:hAnsi="仿宋" w:eastAsia="仿宋_GB2312" w:cs="Times New Roman"/>
                <w:color w:val="auto"/>
                <w:sz w:val="28"/>
                <w:szCs w:val="28"/>
                <w:lang w:val="en-US" w:eastAsia="zh-CN"/>
              </w:rPr>
              <w:t>%</w:t>
            </w:r>
          </w:p>
        </w:tc>
        <w:tc>
          <w:tcPr>
            <w:tcW w:w="777" w:type="pct"/>
            <w:vMerge w:val="restart"/>
            <w:tcBorders>
              <w:top w:val="nil"/>
              <w:left w:val="nil"/>
              <w:right w:val="single" w:color="auto" w:sz="4" w:space="0"/>
            </w:tcBorders>
            <w:vAlign w:val="center"/>
          </w:tcPr>
          <w:p>
            <w:pPr>
              <w:widowControl/>
              <w:jc w:val="center"/>
              <w:rPr>
                <w:rFonts w:ascii="仿宋_GB2312" w:eastAsia="仿宋_GB2312"/>
                <w:sz w:val="28"/>
                <w:szCs w:val="28"/>
              </w:rPr>
            </w:pPr>
            <w:r>
              <w:rPr>
                <w:rFonts w:hint="eastAsia" w:ascii="仿宋_GB2312" w:hAnsi="仿宋" w:eastAsia="仿宋_GB2312" w:cs="Times New Roman"/>
                <w:color w:val="auto"/>
                <w:sz w:val="28"/>
                <w:szCs w:val="28"/>
                <w:lang w:val="en-US" w:eastAsia="zh-CN"/>
              </w:rPr>
              <w:t>30%</w:t>
            </w:r>
          </w:p>
        </w:tc>
      </w:tr>
      <w:tr>
        <w:tblPrEx>
          <w:tblCellMar>
            <w:top w:w="0" w:type="dxa"/>
            <w:left w:w="108" w:type="dxa"/>
            <w:bottom w:w="0" w:type="dxa"/>
            <w:right w:w="108" w:type="dxa"/>
          </w:tblCellMar>
        </w:tblPrEx>
        <w:trPr>
          <w:trHeight w:val="275" w:hRule="atLeast"/>
        </w:trPr>
        <w:tc>
          <w:tcPr>
            <w:tcW w:w="484" w:type="pct"/>
            <w:tcBorders>
              <w:top w:val="nil"/>
              <w:left w:val="single" w:color="auto" w:sz="4" w:space="0"/>
              <w:bottom w:val="single" w:color="auto" w:sz="4" w:space="0"/>
              <w:right w:val="single" w:color="auto" w:sz="4" w:space="0"/>
            </w:tcBorders>
            <w:noWrap/>
            <w:vAlign w:val="center"/>
          </w:tcPr>
          <w:p>
            <w:pPr>
              <w:widowControl/>
              <w:jc w:val="center"/>
              <w:rPr>
                <w:rFonts w:ascii="仿宋_GB2312" w:eastAsia="仿宋_GB2312"/>
                <w:sz w:val="28"/>
                <w:szCs w:val="28"/>
              </w:rPr>
            </w:pPr>
            <w:r>
              <w:rPr>
                <w:rFonts w:ascii="仿宋_GB2312" w:hAnsi="仿宋" w:eastAsia="仿宋_GB2312" w:cs="Times New Roman"/>
                <w:color w:val="auto"/>
                <w:sz w:val="28"/>
                <w:szCs w:val="28"/>
              </w:rPr>
              <w:t>3</w:t>
            </w:r>
          </w:p>
        </w:tc>
        <w:tc>
          <w:tcPr>
            <w:tcW w:w="1272" w:type="pct"/>
            <w:tcBorders>
              <w:top w:val="nil"/>
              <w:left w:val="nil"/>
              <w:bottom w:val="single" w:color="auto" w:sz="4" w:space="0"/>
              <w:right w:val="single" w:color="auto" w:sz="4" w:space="0"/>
            </w:tcBorders>
            <w:noWrap/>
            <w:vAlign w:val="center"/>
          </w:tcPr>
          <w:p>
            <w:pPr>
              <w:widowControl/>
              <w:jc w:val="center"/>
              <w:rPr>
                <w:rFonts w:ascii="仿宋_GB2312" w:eastAsia="仿宋_GB2312"/>
                <w:sz w:val="28"/>
                <w:szCs w:val="28"/>
              </w:rPr>
            </w:pPr>
            <w:r>
              <w:rPr>
                <w:rFonts w:hint="eastAsia" w:ascii="仿宋_GB2312" w:hAnsi="仿宋" w:eastAsia="仿宋_GB2312" w:cs="Times New Roman"/>
                <w:color w:val="auto"/>
                <w:sz w:val="28"/>
                <w:szCs w:val="28"/>
                <w:lang w:eastAsia="zh-CN"/>
              </w:rPr>
              <w:t>满意度</w:t>
            </w:r>
          </w:p>
        </w:tc>
        <w:tc>
          <w:tcPr>
            <w:tcW w:w="848" w:type="pct"/>
            <w:tcBorders>
              <w:top w:val="nil"/>
              <w:left w:val="nil"/>
              <w:bottom w:val="single" w:color="auto" w:sz="4" w:space="0"/>
              <w:right w:val="single" w:color="auto" w:sz="4" w:space="0"/>
            </w:tcBorders>
            <w:noWrap/>
            <w:vAlign w:val="center"/>
          </w:tcPr>
          <w:p>
            <w:pPr>
              <w:widowControl/>
              <w:jc w:val="center"/>
              <w:rPr>
                <w:rFonts w:ascii="仿宋_GB2312" w:eastAsia="仿宋_GB2312"/>
                <w:sz w:val="28"/>
                <w:szCs w:val="28"/>
              </w:rPr>
            </w:pPr>
            <w:r>
              <w:rPr>
                <w:rFonts w:hint="eastAsia" w:ascii="仿宋_GB2312" w:hAnsi="仿宋" w:eastAsia="仿宋_GB2312" w:cs="Times New Roman"/>
                <w:color w:val="auto"/>
                <w:sz w:val="28"/>
                <w:szCs w:val="28"/>
                <w:lang w:eastAsia="zh-CN"/>
              </w:rPr>
              <w:t>≥</w:t>
            </w:r>
          </w:p>
        </w:tc>
        <w:tc>
          <w:tcPr>
            <w:tcW w:w="707" w:type="pct"/>
            <w:tcBorders>
              <w:top w:val="nil"/>
              <w:left w:val="nil"/>
              <w:bottom w:val="single" w:color="auto" w:sz="4" w:space="0"/>
              <w:right w:val="single" w:color="auto" w:sz="4" w:space="0"/>
            </w:tcBorders>
            <w:noWrap/>
            <w:vAlign w:val="center"/>
          </w:tcPr>
          <w:p>
            <w:pPr>
              <w:widowControl/>
              <w:jc w:val="center"/>
              <w:rPr>
                <w:rFonts w:ascii="仿宋_GB2312" w:eastAsia="仿宋_GB2312"/>
                <w:sz w:val="28"/>
                <w:szCs w:val="28"/>
              </w:rPr>
            </w:pPr>
            <w:r>
              <w:rPr>
                <w:rFonts w:hint="eastAsia" w:ascii="仿宋_GB2312" w:hAnsi="仿宋" w:eastAsia="仿宋_GB2312" w:cs="Times New Roman"/>
                <w:color w:val="auto"/>
                <w:sz w:val="28"/>
                <w:szCs w:val="28"/>
                <w:lang w:val="en-US" w:eastAsia="zh-CN"/>
              </w:rPr>
              <w:t>90</w:t>
            </w:r>
          </w:p>
        </w:tc>
        <w:tc>
          <w:tcPr>
            <w:tcW w:w="910" w:type="pct"/>
            <w:tcBorders>
              <w:top w:val="nil"/>
              <w:left w:val="nil"/>
              <w:bottom w:val="single" w:color="auto" w:sz="4" w:space="0"/>
              <w:right w:val="single" w:color="auto" w:sz="4" w:space="0"/>
            </w:tcBorders>
            <w:vAlign w:val="center"/>
          </w:tcPr>
          <w:p>
            <w:pPr>
              <w:widowControl/>
              <w:jc w:val="center"/>
              <w:rPr>
                <w:rFonts w:ascii="仿宋_GB2312" w:eastAsia="仿宋_GB2312"/>
                <w:sz w:val="28"/>
                <w:szCs w:val="28"/>
              </w:rPr>
            </w:pPr>
            <w:r>
              <w:rPr>
                <w:rFonts w:hint="eastAsia" w:ascii="仿宋_GB2312" w:hAnsi="仿宋" w:eastAsia="仿宋_GB2312" w:cs="Times New Roman"/>
                <w:color w:val="auto"/>
                <w:sz w:val="28"/>
                <w:szCs w:val="28"/>
                <w:lang w:val="en-US" w:eastAsia="zh-CN"/>
              </w:rPr>
              <w:t>%</w:t>
            </w:r>
          </w:p>
        </w:tc>
        <w:tc>
          <w:tcPr>
            <w:tcW w:w="777" w:type="pct"/>
            <w:vMerge w:val="continue"/>
            <w:tcBorders>
              <w:left w:val="nil"/>
              <w:bottom w:val="single" w:color="auto" w:sz="4" w:space="0"/>
              <w:right w:val="single" w:color="auto" w:sz="4" w:space="0"/>
            </w:tcBorders>
            <w:vAlign w:val="center"/>
          </w:tcPr>
          <w:p>
            <w:pPr>
              <w:widowControl/>
              <w:jc w:val="center"/>
              <w:rPr>
                <w:rFonts w:ascii="仿宋_GB2312" w:eastAsia="仿宋_GB2312"/>
                <w:sz w:val="28"/>
                <w:szCs w:val="28"/>
              </w:rPr>
            </w:pPr>
          </w:p>
        </w:tc>
      </w:tr>
    </w:tbl>
    <w:p>
      <w:pPr>
        <w:spacing w:line="580" w:lineRule="exact"/>
        <w:ind w:firstLine="641"/>
        <w:rPr>
          <w:rFonts w:hint="eastAsia" w:ascii="楷体_GB2312" w:hAnsi="Calibri" w:eastAsia="楷体_GB2312"/>
          <w:b/>
          <w:sz w:val="32"/>
          <w:szCs w:val="32"/>
        </w:rPr>
      </w:pPr>
      <w:bookmarkStart w:id="3" w:name="_Toc268005761"/>
      <w:r>
        <w:rPr>
          <w:rFonts w:hint="eastAsia" w:ascii="楷体_GB2312" w:eastAsia="楷体_GB2312"/>
          <w:b/>
          <w:sz w:val="32"/>
          <w:szCs w:val="32"/>
        </w:rPr>
        <w:t>(二)当年预算执行情况</w:t>
      </w:r>
      <w:bookmarkEnd w:id="3"/>
      <w:r>
        <w:rPr>
          <w:rFonts w:hint="eastAsia" w:ascii="仿宋_GB2312" w:eastAsia="仿宋_GB2312"/>
          <w:sz w:val="32"/>
          <w:szCs w:val="32"/>
        </w:rPr>
        <w:t xml:space="preserve">  </w:t>
      </w:r>
    </w:p>
    <w:p>
      <w:pPr>
        <w:spacing w:line="580" w:lineRule="exact"/>
        <w:ind w:firstLine="641"/>
        <w:rPr>
          <w:rFonts w:hint="eastAsia" w:ascii="仿宋_GB2312" w:eastAsia="仿宋_GB2312"/>
          <w:sz w:val="32"/>
          <w:szCs w:val="32"/>
        </w:rPr>
      </w:pPr>
      <w:r>
        <w:rPr>
          <w:rFonts w:hint="eastAsia" w:ascii="仿宋_GB2312" w:eastAsia="仿宋_GB2312"/>
          <w:sz w:val="32"/>
          <w:szCs w:val="32"/>
        </w:rPr>
        <w:t>2025年全年预算数91,983,989.38元，其中，基本支出预算数11,139,428.73元，项目支出预算数80,844,560.65元。全年支出64,916,381.63元，其中，基本支出11,139,428.73元，项目支出53,776,952.90元。预算执行率为</w:t>
      </w:r>
      <w:r>
        <w:rPr>
          <w:rFonts w:hint="eastAsia" w:ascii="仿宋_GB2312" w:eastAsia="仿宋_GB2312"/>
          <w:sz w:val="32"/>
          <w:szCs w:val="32"/>
          <w:lang w:val="en-US" w:eastAsia="zh-CN"/>
        </w:rPr>
        <w:t>70.6</w:t>
      </w:r>
      <w:r>
        <w:rPr>
          <w:rFonts w:hint="eastAsia" w:ascii="仿宋_GB2312" w:eastAsia="仿宋_GB2312"/>
          <w:sz w:val="32"/>
          <w:szCs w:val="32"/>
        </w:rPr>
        <w:t xml:space="preserve">%。(与决算数据保持一致)                                  </w:t>
      </w:r>
    </w:p>
    <w:p>
      <w:pPr>
        <w:spacing w:line="580" w:lineRule="exact"/>
        <w:ind w:firstLine="641"/>
        <w:rPr>
          <w:rFonts w:hint="eastAsia" w:ascii="仿宋_GB2312" w:eastAsia="仿宋_GB2312"/>
          <w:sz w:val="32"/>
          <w:szCs w:val="32"/>
        </w:rPr>
      </w:pPr>
      <w:r>
        <w:rPr>
          <w:rFonts w:hint="eastAsia" w:ascii="仿宋_GB2312" w:eastAsia="仿宋_GB2312"/>
          <w:sz w:val="32"/>
          <w:szCs w:val="32"/>
        </w:rPr>
        <w:t>2025年年末结转结余资金总额为</w:t>
      </w:r>
      <w:r>
        <w:rPr>
          <w:rFonts w:hint="eastAsia" w:ascii="仿宋_GB2312" w:eastAsia="仿宋_GB2312"/>
          <w:sz w:val="32"/>
          <w:szCs w:val="32"/>
          <w:lang w:val="en-US" w:eastAsia="zh-CN"/>
        </w:rPr>
        <w:t>27,067,607.75</w:t>
      </w:r>
      <w:r>
        <w:rPr>
          <w:rFonts w:hint="eastAsia" w:ascii="仿宋_GB2312" w:eastAsia="仿宋_GB2312"/>
          <w:sz w:val="32"/>
          <w:szCs w:val="32"/>
        </w:rPr>
        <w:t>元，全年支出预算数为64,916,381.63元，资金结转结余率为</w:t>
      </w:r>
      <w:r>
        <w:rPr>
          <w:rFonts w:hint="eastAsia" w:ascii="仿宋_GB2312" w:eastAsia="仿宋_GB2312"/>
          <w:sz w:val="32"/>
          <w:szCs w:val="32"/>
          <w:lang w:val="en-US" w:eastAsia="zh-CN"/>
        </w:rPr>
        <w:t>29.4</w:t>
      </w:r>
      <w:r>
        <w:rPr>
          <w:rFonts w:hint="eastAsia" w:ascii="仿宋_GB2312" w:eastAsia="仿宋_GB2312"/>
          <w:sz w:val="32"/>
          <w:szCs w:val="32"/>
        </w:rPr>
        <w:t>%；2024年年末结转结余资金总额为2,211,744.08元，全年支出预算数为</w:t>
      </w:r>
      <w:r>
        <w:rPr>
          <w:rFonts w:hint="eastAsia" w:ascii="仿宋_GB2312" w:eastAsia="仿宋_GB2312"/>
          <w:sz w:val="32"/>
          <w:szCs w:val="32"/>
          <w:lang w:val="en-US" w:eastAsia="zh-CN"/>
        </w:rPr>
        <w:t>79,708,235.54</w:t>
      </w:r>
      <w:r>
        <w:rPr>
          <w:rFonts w:hint="eastAsia" w:ascii="仿宋_GB2312" w:eastAsia="仿宋_GB2312"/>
          <w:sz w:val="32"/>
          <w:szCs w:val="32"/>
        </w:rPr>
        <w:t>元，资金结转结余率为</w:t>
      </w:r>
      <w:r>
        <w:rPr>
          <w:rFonts w:hint="eastAsia" w:ascii="仿宋_GB2312" w:eastAsia="仿宋_GB2312"/>
          <w:sz w:val="32"/>
          <w:szCs w:val="32"/>
          <w:lang w:val="en-US" w:eastAsia="zh-CN"/>
        </w:rPr>
        <w:t>2.7</w:t>
      </w:r>
      <w:r>
        <w:rPr>
          <w:rFonts w:hint="eastAsia" w:ascii="仿宋_GB2312" w:eastAsia="仿宋_GB2312"/>
          <w:sz w:val="32"/>
          <w:szCs w:val="32"/>
        </w:rPr>
        <w:t>%；2025年度部门结转结余率较上一年上升了</w:t>
      </w:r>
      <w:r>
        <w:rPr>
          <w:rFonts w:hint="eastAsia" w:ascii="仿宋_GB2312" w:eastAsia="仿宋_GB2312"/>
          <w:sz w:val="32"/>
          <w:szCs w:val="32"/>
          <w:lang w:val="en-US" w:eastAsia="zh-CN"/>
        </w:rPr>
        <w:t>1123.8</w:t>
      </w:r>
      <w:r>
        <w:rPr>
          <w:rFonts w:hint="eastAsia" w:ascii="仿宋_GB2312" w:eastAsia="仿宋_GB2312"/>
          <w:sz w:val="32"/>
          <w:szCs w:val="32"/>
        </w:rPr>
        <w:t>%。</w:t>
      </w:r>
    </w:p>
    <w:p>
      <w:pPr>
        <w:spacing w:line="580" w:lineRule="exact"/>
        <w:ind w:firstLine="641"/>
        <w:rPr>
          <w:rFonts w:hint="eastAsia" w:ascii="楷体_GB2312" w:eastAsia="楷体_GB2312"/>
          <w:b/>
          <w:sz w:val="32"/>
          <w:szCs w:val="32"/>
        </w:rPr>
      </w:pPr>
      <w:r>
        <w:rPr>
          <w:rFonts w:hint="eastAsia" w:ascii="楷体_GB2312" w:eastAsia="楷体_GB2312"/>
          <w:b/>
          <w:sz w:val="32"/>
          <w:szCs w:val="32"/>
        </w:rPr>
        <w:t>（三）整体绩效目标实现情况</w:t>
      </w:r>
    </w:p>
    <w:p>
      <w:pPr>
        <w:spacing w:line="580" w:lineRule="exact"/>
        <w:ind w:firstLine="641"/>
        <w:rPr>
          <w:rFonts w:hint="eastAsia" w:ascii="仿宋_GB2312" w:eastAsia="仿宋_GB2312"/>
          <w:sz w:val="32"/>
          <w:szCs w:val="32"/>
        </w:rPr>
      </w:pPr>
      <w:r>
        <w:rPr>
          <w:rFonts w:hint="eastAsia" w:ascii="仿宋_GB2312" w:eastAsia="仿宋_GB2312"/>
          <w:sz w:val="32"/>
          <w:szCs w:val="32"/>
        </w:rPr>
        <w:t>1.产出完成情况分析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（1）产出数量：本区约2.7万残疾人；</w:t>
      </w:r>
    </w:p>
    <w:p>
      <w:pPr>
        <w:spacing w:line="580" w:lineRule="exact"/>
        <w:ind w:firstLine="640"/>
        <w:rPr>
          <w:rFonts w:hint="eastAsia" w:ascii="仿宋_GB2312" w:eastAsia="仿宋_GB2312"/>
          <w:sz w:val="32"/>
          <w:szCs w:val="32"/>
        </w:rPr>
      </w:pPr>
      <w:r>
        <w:rPr>
          <w:rFonts w:hint="eastAsia" w:ascii="仿宋_GB2312" w:eastAsia="仿宋_GB2312"/>
          <w:sz w:val="32"/>
          <w:szCs w:val="32"/>
        </w:rPr>
        <w:t>（2）产出质量：根据市残联相关政策标准；</w:t>
      </w:r>
    </w:p>
    <w:p>
      <w:pPr>
        <w:spacing w:line="580" w:lineRule="exact"/>
        <w:ind w:firstLine="640"/>
        <w:rPr>
          <w:rFonts w:hint="eastAsia" w:ascii="仿宋_GB2312" w:eastAsia="仿宋_GB2312"/>
          <w:sz w:val="32"/>
          <w:szCs w:val="32"/>
        </w:rPr>
      </w:pPr>
      <w:r>
        <w:rPr>
          <w:rFonts w:hint="eastAsia" w:ascii="仿宋_GB2312" w:eastAsia="仿宋_GB2312"/>
          <w:sz w:val="32"/>
          <w:szCs w:val="32"/>
        </w:rPr>
        <w:t>（3）产出进度：2025.1.1-2025.12.31；</w:t>
      </w:r>
    </w:p>
    <w:p>
      <w:pPr>
        <w:spacing w:line="580" w:lineRule="exact"/>
        <w:ind w:firstLine="640"/>
        <w:rPr>
          <w:rFonts w:hint="eastAsia" w:ascii="仿宋_GB2312" w:eastAsia="仿宋_GB2312"/>
          <w:sz w:val="32"/>
          <w:szCs w:val="32"/>
        </w:rPr>
      </w:pPr>
      <w:r>
        <w:rPr>
          <w:rFonts w:hint="eastAsia" w:ascii="仿宋_GB2312" w:eastAsia="仿宋_GB2312"/>
          <w:sz w:val="32"/>
          <w:szCs w:val="32"/>
        </w:rPr>
        <w:t>（4）产出成本：数量指标：总成本91,983,989.38元，控制在此预算范围内。</w:t>
      </w:r>
    </w:p>
    <w:p>
      <w:pPr>
        <w:spacing w:line="580" w:lineRule="exact"/>
        <w:ind w:firstLine="640"/>
        <w:rPr>
          <w:rFonts w:hint="eastAsia" w:ascii="仿宋_GB2312" w:eastAsia="仿宋_GB2312"/>
          <w:sz w:val="32"/>
          <w:szCs w:val="32"/>
        </w:rPr>
      </w:pPr>
      <w:r>
        <w:rPr>
          <w:rFonts w:hint="eastAsia" w:ascii="仿宋_GB2312" w:eastAsia="仿宋_GB2312"/>
          <w:sz w:val="32"/>
          <w:szCs w:val="32"/>
        </w:rPr>
        <w:t>2.效果实现情况分析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（1）经济效益：不涉及；</w:t>
      </w:r>
    </w:p>
    <w:p>
      <w:pPr>
        <w:spacing w:line="580" w:lineRule="exact"/>
        <w:ind w:firstLine="640"/>
        <w:rPr>
          <w:rFonts w:hint="eastAsia" w:ascii="仿宋_GB2312" w:eastAsia="仿宋_GB2312"/>
          <w:sz w:val="32"/>
          <w:szCs w:val="32"/>
        </w:rPr>
      </w:pPr>
      <w:r>
        <w:rPr>
          <w:rFonts w:hint="eastAsia" w:ascii="仿宋_GB2312" w:eastAsia="仿宋_GB2312"/>
          <w:sz w:val="32"/>
          <w:szCs w:val="32"/>
        </w:rPr>
        <w:t>（2）社会效益：康复覆盖率大于90%；</w:t>
      </w:r>
    </w:p>
    <w:p>
      <w:pPr>
        <w:spacing w:line="580" w:lineRule="exact"/>
        <w:ind w:firstLine="640"/>
        <w:rPr>
          <w:rFonts w:hint="eastAsia" w:ascii="仿宋_GB2312" w:eastAsia="仿宋_GB2312"/>
          <w:sz w:val="32"/>
          <w:szCs w:val="32"/>
        </w:rPr>
      </w:pPr>
      <w:r>
        <w:rPr>
          <w:rFonts w:hint="eastAsia" w:ascii="仿宋_GB2312" w:eastAsia="仿宋_GB2312"/>
          <w:sz w:val="32"/>
          <w:szCs w:val="32"/>
        </w:rPr>
        <w:t>（3）环境效益：不涉及；</w:t>
      </w:r>
    </w:p>
    <w:p>
      <w:pPr>
        <w:spacing w:line="580" w:lineRule="exact"/>
        <w:ind w:firstLine="640"/>
        <w:rPr>
          <w:rFonts w:hint="eastAsia" w:ascii="仿宋_GB2312" w:eastAsia="仿宋_GB2312"/>
          <w:sz w:val="32"/>
          <w:szCs w:val="32"/>
        </w:rPr>
      </w:pPr>
      <w:r>
        <w:rPr>
          <w:rFonts w:hint="eastAsia" w:ascii="仿宋_GB2312" w:eastAsia="仿宋_GB2312"/>
          <w:sz w:val="32"/>
          <w:szCs w:val="32"/>
        </w:rPr>
        <w:t>（4）可持续影响：不涉及；</w:t>
      </w:r>
    </w:p>
    <w:p>
      <w:pPr>
        <w:spacing w:line="580" w:lineRule="exact"/>
        <w:ind w:firstLine="640"/>
        <w:rPr>
          <w:rFonts w:hint="eastAsia" w:ascii="仿宋_GB2312" w:eastAsia="仿宋_GB2312"/>
          <w:sz w:val="32"/>
          <w:szCs w:val="32"/>
        </w:rPr>
      </w:pPr>
      <w:r>
        <w:rPr>
          <w:rFonts w:hint="eastAsia" w:ascii="仿宋_GB2312" w:eastAsia="仿宋_GB2312"/>
          <w:sz w:val="32"/>
          <w:szCs w:val="32"/>
        </w:rPr>
        <w:t>（5）服务对象满意度：基本满意。</w:t>
      </w:r>
    </w:p>
    <w:p>
      <w:pPr>
        <w:spacing w:line="580" w:lineRule="exact"/>
        <w:ind w:firstLine="640"/>
        <w:rPr>
          <w:rFonts w:hint="eastAsia" w:ascii="楷体_GB2312" w:eastAsia="楷体_GB2312"/>
          <w:b/>
          <w:sz w:val="32"/>
          <w:szCs w:val="32"/>
        </w:rPr>
      </w:pPr>
      <w:r>
        <w:rPr>
          <w:rFonts w:hint="eastAsia" w:ascii="楷体_GB2312" w:eastAsia="楷体_GB2312"/>
          <w:b/>
          <w:sz w:val="32"/>
          <w:szCs w:val="32"/>
        </w:rPr>
        <w:t>（四）预算管理情况分析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1.财务管理：</w:t>
      </w:r>
    </w:p>
    <w:p>
      <w:pPr>
        <w:spacing w:line="580" w:lineRule="exact"/>
        <w:ind w:firstLine="640"/>
        <w:rPr>
          <w:rFonts w:hint="eastAsia" w:ascii="仿宋_GB2312" w:eastAsia="仿宋_GB2312"/>
          <w:sz w:val="32"/>
          <w:szCs w:val="32"/>
        </w:rPr>
      </w:pPr>
      <w:r>
        <w:rPr>
          <w:rFonts w:hint="eastAsia" w:ascii="仿宋_GB2312" w:eastAsia="仿宋_GB2312"/>
          <w:sz w:val="32"/>
          <w:szCs w:val="32"/>
        </w:rPr>
        <w:t>在财务方面严格做到如下几点：</w:t>
      </w:r>
    </w:p>
    <w:p>
      <w:pPr>
        <w:spacing w:line="580" w:lineRule="exact"/>
        <w:ind w:firstLine="640"/>
        <w:rPr>
          <w:rFonts w:hint="eastAsia" w:ascii="仿宋_GB2312" w:eastAsia="仿宋_GB2312"/>
          <w:sz w:val="32"/>
          <w:szCs w:val="32"/>
        </w:rPr>
      </w:pPr>
      <w:r>
        <w:rPr>
          <w:rFonts w:hint="eastAsia" w:ascii="仿宋_GB2312" w:eastAsia="仿宋_GB2312"/>
          <w:sz w:val="32"/>
          <w:szCs w:val="32"/>
        </w:rPr>
        <w:t>（1）严格按照转移支付管理制度以及资金管理办法规定的范围和标准分配资金；</w:t>
      </w:r>
    </w:p>
    <w:p>
      <w:pPr>
        <w:spacing w:line="580" w:lineRule="exact"/>
        <w:ind w:firstLine="640"/>
        <w:rPr>
          <w:rFonts w:hint="eastAsia" w:ascii="仿宋_GB2312" w:eastAsia="仿宋_GB2312"/>
          <w:sz w:val="32"/>
          <w:szCs w:val="32"/>
        </w:rPr>
      </w:pPr>
      <w:r>
        <w:rPr>
          <w:rFonts w:hint="eastAsia" w:ascii="仿宋_GB2312" w:eastAsia="仿宋_GB2312"/>
          <w:sz w:val="32"/>
          <w:szCs w:val="32"/>
        </w:rPr>
        <w:t>（2）严格按照预算法及其实施条例、转移支付管理制度规定以及资金管理办法规定的实现要求分解下达；</w:t>
      </w:r>
    </w:p>
    <w:p>
      <w:pPr>
        <w:spacing w:line="580" w:lineRule="exact"/>
        <w:ind w:firstLine="640"/>
        <w:rPr>
          <w:rFonts w:hint="eastAsia" w:ascii="仿宋_GB2312" w:eastAsia="仿宋_GB2312"/>
          <w:sz w:val="32"/>
          <w:szCs w:val="32"/>
        </w:rPr>
      </w:pPr>
      <w:r>
        <w:rPr>
          <w:rFonts w:hint="eastAsia" w:ascii="仿宋_GB2312" w:eastAsia="仿宋_GB2312"/>
          <w:sz w:val="32"/>
          <w:szCs w:val="32"/>
        </w:rPr>
        <w:t>（3）严格按照国库集中支付制度有关规定支付资金，未出现违规将资金从国库转入财政专户或支付到预算单位实有资金账户等问题；</w:t>
      </w:r>
    </w:p>
    <w:p>
      <w:pPr>
        <w:spacing w:line="580" w:lineRule="exact"/>
        <w:ind w:firstLine="640"/>
        <w:rPr>
          <w:rFonts w:hint="eastAsia" w:ascii="仿宋_GB2312" w:eastAsia="仿宋_GB2312"/>
          <w:sz w:val="32"/>
          <w:szCs w:val="32"/>
        </w:rPr>
      </w:pPr>
      <w:r>
        <w:rPr>
          <w:rFonts w:hint="eastAsia" w:ascii="仿宋_GB2312" w:eastAsia="仿宋_GB2312"/>
          <w:sz w:val="32"/>
          <w:szCs w:val="32"/>
        </w:rPr>
        <w:t>（4）严格按照下达预算的科目和项目执行，未出现节流、挤占、挪用或擅自调整等问题；</w:t>
      </w:r>
    </w:p>
    <w:p>
      <w:pPr>
        <w:spacing w:line="580" w:lineRule="exact"/>
        <w:ind w:firstLine="640"/>
        <w:rPr>
          <w:rFonts w:hint="eastAsia" w:ascii="仿宋_GB2312" w:eastAsia="仿宋_GB2312"/>
          <w:sz w:val="32"/>
          <w:szCs w:val="32"/>
        </w:rPr>
      </w:pPr>
      <w:r>
        <w:rPr>
          <w:rFonts w:hint="eastAsia" w:ascii="仿宋_GB2312" w:eastAsia="仿宋_GB2312"/>
          <w:sz w:val="32"/>
          <w:szCs w:val="32"/>
        </w:rPr>
        <w:t>（5）在细化下达预算时同步下达绩效目标，将有关资金纳入本级预算或对下转移支付绩效管理，开展绩效监控和绩效评价。</w:t>
      </w:r>
    </w:p>
    <w:p>
      <w:pPr>
        <w:spacing w:line="580" w:lineRule="exact"/>
        <w:ind w:firstLine="640"/>
        <w:rPr>
          <w:rFonts w:hint="eastAsia" w:ascii="仿宋_GB2312" w:eastAsia="仿宋_GB2312"/>
          <w:sz w:val="32"/>
          <w:szCs w:val="32"/>
        </w:rPr>
      </w:pPr>
      <w:r>
        <w:rPr>
          <w:rFonts w:hint="eastAsia" w:ascii="仿宋_GB2312" w:eastAsia="仿宋_GB2312"/>
          <w:sz w:val="32"/>
          <w:szCs w:val="32"/>
        </w:rPr>
        <w:t>2.资产管理</w:t>
      </w:r>
    </w:p>
    <w:p>
      <w:pPr>
        <w:spacing w:line="580" w:lineRule="exact"/>
        <w:ind w:firstLine="640"/>
        <w:rPr>
          <w:rFonts w:hint="eastAsia" w:ascii="仿宋_GB2312" w:eastAsia="仿宋_GB2312"/>
          <w:sz w:val="32"/>
          <w:szCs w:val="32"/>
        </w:rPr>
      </w:pPr>
      <w:r>
        <w:rPr>
          <w:rFonts w:hint="eastAsia" w:ascii="仿宋_GB2312" w:eastAsia="仿宋_GB2312"/>
          <w:sz w:val="32"/>
          <w:szCs w:val="32"/>
        </w:rPr>
        <w:t>我单位2025年度固定资产由房屋、车辆、办公家具、残疾人康复器材等构成。</w:t>
      </w:r>
    </w:p>
    <w:p>
      <w:pPr>
        <w:spacing w:line="580" w:lineRule="exact"/>
        <w:ind w:firstLine="640"/>
        <w:rPr>
          <w:rFonts w:hint="eastAsia" w:ascii="仿宋_GB2312" w:eastAsia="仿宋_GB2312"/>
          <w:sz w:val="32"/>
          <w:szCs w:val="32"/>
        </w:rPr>
      </w:pPr>
      <w:r>
        <w:rPr>
          <w:rFonts w:hint="eastAsia" w:ascii="仿宋_GB2312" w:eastAsia="仿宋_GB2312"/>
          <w:sz w:val="32"/>
          <w:szCs w:val="32"/>
        </w:rPr>
        <w:t>3.绩效管理</w:t>
      </w:r>
    </w:p>
    <w:p>
      <w:pPr>
        <w:spacing w:line="580" w:lineRule="exact"/>
        <w:ind w:firstLine="640"/>
        <w:rPr>
          <w:rFonts w:hint="eastAsia" w:ascii="仿宋_GB2312" w:eastAsia="仿宋_GB2312"/>
          <w:sz w:val="32"/>
          <w:szCs w:val="32"/>
        </w:rPr>
      </w:pPr>
      <w:r>
        <w:rPr>
          <w:rFonts w:hint="eastAsia" w:ascii="仿宋_GB2312" w:eastAsia="仿宋_GB2312"/>
          <w:sz w:val="32"/>
          <w:szCs w:val="32"/>
        </w:rPr>
        <w:t>（1）预算绩效管理制度情况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2025年度我单位严格执行已建立的预算管理制度，由各业务科室根据残疾人相关政策及本年度实际支出数制定下一年度预算项目，后经财务部门汇总并上报主管领导，再上报理事长办公会，待理事长办公会研究确定后上报财政主管科室。在预算执行过程中，若政策变动或者市残联布置临时事项，预算执行部门提出预算调整申请并附初步方案。除此之外2025年度我单位严格按照财政部门的相关要求，顺利完成预算公开工作。</w:t>
      </w:r>
    </w:p>
    <w:p>
      <w:pPr>
        <w:spacing w:line="580" w:lineRule="exact"/>
        <w:ind w:firstLine="640"/>
        <w:rPr>
          <w:rFonts w:hint="eastAsia" w:ascii="仿宋_GB2312" w:eastAsia="仿宋_GB2312"/>
          <w:sz w:val="32"/>
          <w:szCs w:val="32"/>
        </w:rPr>
      </w:pPr>
      <w:r>
        <w:rPr>
          <w:rFonts w:hint="eastAsia" w:ascii="仿宋_GB2312" w:eastAsia="仿宋_GB2312"/>
          <w:sz w:val="32"/>
          <w:szCs w:val="32"/>
        </w:rPr>
        <w:t>（2）绩效目标管理情况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2025年部门预算项目</w:t>
      </w:r>
      <w:r>
        <w:rPr>
          <w:rFonts w:hint="eastAsia" w:ascii="仿宋_GB2312" w:eastAsia="仿宋_GB2312"/>
          <w:sz w:val="32"/>
          <w:szCs w:val="32"/>
          <w:lang w:val="en-US" w:eastAsia="zh-CN"/>
        </w:rPr>
        <w:t>31</w:t>
      </w:r>
      <w:r>
        <w:rPr>
          <w:rFonts w:hint="eastAsia" w:ascii="仿宋_GB2312" w:eastAsia="仿宋_GB2312"/>
          <w:sz w:val="32"/>
          <w:szCs w:val="32"/>
        </w:rPr>
        <w:t>个，部门预算公开绩效目标的预算项目</w:t>
      </w:r>
      <w:r>
        <w:rPr>
          <w:rFonts w:hint="eastAsia" w:ascii="仿宋_GB2312" w:eastAsia="仿宋_GB2312"/>
          <w:sz w:val="32"/>
          <w:szCs w:val="32"/>
          <w:lang w:val="en-US" w:eastAsia="zh-CN"/>
        </w:rPr>
        <w:t>31</w:t>
      </w:r>
      <w:r>
        <w:rPr>
          <w:rFonts w:hint="eastAsia" w:ascii="仿宋_GB2312" w:eastAsia="仿宋_GB2312"/>
          <w:sz w:val="32"/>
          <w:szCs w:val="32"/>
        </w:rPr>
        <w:t>个，占本部门全部预算项目的</w:t>
      </w:r>
      <w:r>
        <w:rPr>
          <w:rFonts w:hint="eastAsia" w:ascii="仿宋_GB2312" w:eastAsia="仿宋_GB2312"/>
          <w:sz w:val="32"/>
          <w:szCs w:val="32"/>
          <w:lang w:val="en-US" w:eastAsia="zh-CN"/>
        </w:rPr>
        <w:t>100</w:t>
      </w:r>
      <w:r>
        <w:rPr>
          <w:rFonts w:hint="eastAsia" w:ascii="仿宋_GB2312" w:eastAsia="仿宋_GB2312"/>
          <w:sz w:val="32"/>
          <w:szCs w:val="32"/>
        </w:rPr>
        <w:t>%。</w:t>
      </w:r>
    </w:p>
    <w:p>
      <w:pPr>
        <w:spacing w:line="580" w:lineRule="exact"/>
        <w:ind w:firstLine="640"/>
        <w:rPr>
          <w:rFonts w:hint="eastAsia" w:ascii="仿宋_GB2312" w:eastAsia="仿宋_GB2312"/>
          <w:sz w:val="32"/>
          <w:szCs w:val="32"/>
        </w:rPr>
      </w:pPr>
      <w:r>
        <w:rPr>
          <w:rFonts w:hint="eastAsia" w:ascii="仿宋_GB2312" w:eastAsia="仿宋_GB2312"/>
          <w:sz w:val="32"/>
          <w:szCs w:val="32"/>
        </w:rPr>
        <w:t>（3）绩效自评情况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2025年对本部门及所属单位2024年项目支出实施了绩效自评，评价项目</w:t>
      </w:r>
      <w:r>
        <w:rPr>
          <w:rFonts w:hint="eastAsia" w:ascii="仿宋_GB2312" w:eastAsia="仿宋_GB2312"/>
          <w:sz w:val="32"/>
          <w:szCs w:val="32"/>
          <w:lang w:val="en-US" w:eastAsia="zh-CN"/>
        </w:rPr>
        <w:t>43</w:t>
      </w:r>
      <w:r>
        <w:rPr>
          <w:rFonts w:hint="eastAsia" w:ascii="仿宋_GB2312" w:eastAsia="仿宋_GB2312"/>
          <w:sz w:val="32"/>
          <w:szCs w:val="32"/>
        </w:rPr>
        <w:t>个，涉及金额68,854,397.02元。</w:t>
      </w:r>
    </w:p>
    <w:p>
      <w:pPr>
        <w:spacing w:line="580" w:lineRule="exact"/>
        <w:ind w:firstLine="640"/>
        <w:rPr>
          <w:rFonts w:hint="eastAsia" w:ascii="楷体_GB2312" w:eastAsia="楷体_GB2312"/>
          <w:b/>
          <w:sz w:val="32"/>
          <w:szCs w:val="32"/>
        </w:rPr>
      </w:pPr>
      <w:r>
        <w:rPr>
          <w:rFonts w:hint="eastAsia" w:ascii="楷体_GB2312" w:eastAsia="楷体_GB2312"/>
          <w:b/>
          <w:sz w:val="32"/>
          <w:szCs w:val="32"/>
        </w:rPr>
        <w:t>（五）总体评价结论</w:t>
      </w:r>
    </w:p>
    <w:p>
      <w:pPr>
        <w:spacing w:line="580" w:lineRule="exact"/>
        <w:ind w:firstLine="640"/>
        <w:rPr>
          <w:rFonts w:hint="eastAsia" w:ascii="仿宋_GB2312" w:eastAsia="仿宋_GB2312"/>
          <w:sz w:val="32"/>
          <w:szCs w:val="32"/>
        </w:rPr>
      </w:pPr>
      <w:r>
        <w:rPr>
          <w:rFonts w:hint="eastAsia" w:ascii="仿宋_GB2312" w:eastAsia="仿宋_GB2312"/>
          <w:sz w:val="32"/>
          <w:szCs w:val="32"/>
        </w:rPr>
        <w:t>1.评价得分情况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绩效自评总分：89.11分</w:t>
      </w:r>
    </w:p>
    <w:p>
      <w:pPr>
        <w:spacing w:line="580" w:lineRule="exact"/>
        <w:ind w:firstLine="640"/>
        <w:rPr>
          <w:rFonts w:hint="eastAsia" w:ascii="仿宋_GB2312" w:eastAsia="仿宋_GB2312"/>
          <w:sz w:val="32"/>
          <w:szCs w:val="32"/>
        </w:rPr>
      </w:pPr>
      <w:r>
        <w:rPr>
          <w:rFonts w:hint="eastAsia" w:ascii="仿宋_GB2312" w:eastAsia="仿宋_GB2312"/>
          <w:sz w:val="32"/>
          <w:szCs w:val="32"/>
        </w:rPr>
        <w:t>绩效自评等级：良好</w:t>
      </w:r>
    </w:p>
    <w:p>
      <w:pPr>
        <w:spacing w:line="580" w:lineRule="exact"/>
        <w:ind w:firstLine="640"/>
        <w:rPr>
          <w:rFonts w:hint="eastAsia" w:ascii="仿宋_GB2312" w:eastAsia="仿宋_GB2312"/>
          <w:sz w:val="32"/>
          <w:szCs w:val="32"/>
        </w:rPr>
      </w:pPr>
      <w:r>
        <w:rPr>
          <w:rFonts w:hint="eastAsia" w:ascii="仿宋_GB2312" w:eastAsia="仿宋_GB2312"/>
          <w:sz w:val="32"/>
          <w:szCs w:val="32"/>
        </w:rPr>
        <w:t>2.存在的问题及原因分析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存在资金结余是因为2025年12月11日下达了第二批转移支付资金，由于下达时间较晚，故未能及时支付。</w:t>
      </w:r>
    </w:p>
    <w:p>
      <w:pPr>
        <w:spacing w:line="580" w:lineRule="exact"/>
        <w:ind w:firstLine="640"/>
        <w:rPr>
          <w:rFonts w:hint="eastAsia" w:ascii="仿宋_GB2312" w:eastAsia="仿宋_GB2312"/>
          <w:sz w:val="32"/>
          <w:szCs w:val="32"/>
        </w:rPr>
      </w:pPr>
      <w:r>
        <w:rPr>
          <w:rFonts w:hint="eastAsia" w:ascii="仿宋_GB2312" w:eastAsia="仿宋_GB2312"/>
          <w:sz w:val="32"/>
          <w:szCs w:val="32"/>
        </w:rPr>
        <w:t>3.改进措施</w:t>
      </w:r>
    </w:p>
    <w:bookmarkEnd w:id="2"/>
    <w:p>
      <w:pPr>
        <w:spacing w:line="580" w:lineRule="exact"/>
        <w:ind w:firstLine="640"/>
        <w:rPr>
          <w:rFonts w:hint="eastAsia" w:ascii="仿宋_GB2312" w:eastAsia="仿宋_GB2312"/>
          <w:sz w:val="32"/>
          <w:szCs w:val="32"/>
        </w:rPr>
      </w:pPr>
      <w:r>
        <w:rPr>
          <w:rFonts w:hint="eastAsia" w:ascii="仿宋_GB2312" w:eastAsia="仿宋_GB2312"/>
          <w:sz w:val="32"/>
          <w:szCs w:val="32"/>
        </w:rPr>
        <w:t>今后我单位将提前谋划，加强统筹安排项目预算，积极与市残联、区财政沟通，确保项目资金发挥应有的效益，充分保障残疾人群体的合法权益。</w:t>
      </w:r>
    </w:p>
    <w:p>
      <w:pPr>
        <w:spacing w:line="580" w:lineRule="exact"/>
        <w:ind w:firstLine="640"/>
        <w:rPr>
          <w:rFonts w:hint="eastAsia" w:ascii="黑体" w:hAnsi="黑体" w:eastAsia="黑体"/>
          <w:sz w:val="32"/>
          <w:szCs w:val="32"/>
        </w:rPr>
      </w:pPr>
      <w:r>
        <w:rPr>
          <w:rFonts w:hint="eastAsia" w:ascii="黑体" w:hAnsi="黑体" w:eastAsia="黑体"/>
          <w:sz w:val="32"/>
          <w:szCs w:val="32"/>
        </w:rPr>
        <w:t>二、项目支出绩效自评情况</w:t>
      </w:r>
    </w:p>
    <w:p>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（一）绩效自评开展总体情况</w:t>
      </w:r>
    </w:p>
    <w:p>
      <w:pPr>
        <w:spacing w:line="580" w:lineRule="exact"/>
        <w:ind w:firstLine="809" w:firstLineChars="253"/>
        <w:rPr>
          <w:rFonts w:hint="eastAsia" w:ascii="仿宋_GB2312" w:hAnsi="Calibri" w:eastAsia="仿宋_GB2312"/>
          <w:sz w:val="32"/>
          <w:szCs w:val="32"/>
        </w:rPr>
      </w:pPr>
      <w:r>
        <w:rPr>
          <w:rFonts w:hint="eastAsia" w:ascii="仿宋_GB2312" w:eastAsia="仿宋_GB2312"/>
          <w:sz w:val="32"/>
          <w:szCs w:val="32"/>
        </w:rPr>
        <w:t>2025年度区财政批复项目支出预算项目</w:t>
      </w:r>
      <w:r>
        <w:rPr>
          <w:rFonts w:hint="eastAsia" w:ascii="仿宋_GB2312" w:eastAsia="仿宋_GB2312"/>
          <w:sz w:val="32"/>
          <w:szCs w:val="32"/>
          <w:lang w:val="en-US" w:eastAsia="zh-CN"/>
        </w:rPr>
        <w:t>28</w:t>
      </w:r>
      <w:r>
        <w:rPr>
          <w:rFonts w:hint="eastAsia" w:ascii="仿宋_GB2312" w:eastAsia="仿宋_GB2312"/>
          <w:sz w:val="32"/>
          <w:szCs w:val="32"/>
        </w:rPr>
        <w:t>个，涉及金额59</w:t>
      </w:r>
      <w:r>
        <w:rPr>
          <w:rFonts w:hint="eastAsia" w:ascii="仿宋_GB2312" w:eastAsia="仿宋_GB2312"/>
          <w:sz w:val="32"/>
          <w:szCs w:val="32"/>
          <w:lang w:val="en-US" w:eastAsia="zh-CN"/>
        </w:rPr>
        <w:t>,</w:t>
      </w:r>
      <w:r>
        <w:rPr>
          <w:rFonts w:hint="eastAsia" w:ascii="仿宋_GB2312" w:eastAsia="仿宋_GB2312"/>
          <w:sz w:val="32"/>
          <w:szCs w:val="32"/>
        </w:rPr>
        <w:t>55</w:t>
      </w:r>
      <w:r>
        <w:rPr>
          <w:rFonts w:hint="eastAsia" w:ascii="仿宋_GB2312" w:eastAsia="仿宋_GB2312"/>
          <w:sz w:val="32"/>
          <w:szCs w:val="32"/>
          <w:lang w:val="en-US" w:eastAsia="zh-CN"/>
        </w:rPr>
        <w:t>0,000</w:t>
      </w:r>
      <w:r>
        <w:rPr>
          <w:rFonts w:hint="eastAsia" w:ascii="仿宋_GB2312" w:eastAsia="仿宋_GB2312"/>
          <w:sz w:val="32"/>
          <w:szCs w:val="32"/>
        </w:rPr>
        <w:t>元。本次实施绩效自评项目</w:t>
      </w:r>
      <w:r>
        <w:rPr>
          <w:rFonts w:hint="eastAsia" w:ascii="仿宋_GB2312" w:eastAsia="仿宋_GB2312"/>
          <w:sz w:val="32"/>
          <w:szCs w:val="32"/>
          <w:lang w:val="en-US" w:eastAsia="zh-CN"/>
        </w:rPr>
        <w:t>28</w:t>
      </w:r>
      <w:r>
        <w:rPr>
          <w:rFonts w:hint="eastAsia" w:ascii="仿宋_GB2312" w:eastAsia="仿宋_GB2312"/>
          <w:sz w:val="32"/>
          <w:szCs w:val="32"/>
        </w:rPr>
        <w:t>个，涉及金额59</w:t>
      </w:r>
      <w:r>
        <w:rPr>
          <w:rFonts w:hint="eastAsia" w:ascii="仿宋_GB2312" w:eastAsia="仿宋_GB2312"/>
          <w:sz w:val="32"/>
          <w:szCs w:val="32"/>
          <w:lang w:val="en-US" w:eastAsia="zh-CN"/>
        </w:rPr>
        <w:t>,</w:t>
      </w:r>
      <w:r>
        <w:rPr>
          <w:rFonts w:hint="eastAsia" w:ascii="仿宋_GB2312" w:eastAsia="仿宋_GB2312"/>
          <w:sz w:val="32"/>
          <w:szCs w:val="32"/>
        </w:rPr>
        <w:t>55</w:t>
      </w:r>
      <w:r>
        <w:rPr>
          <w:rFonts w:hint="eastAsia" w:ascii="仿宋_GB2312" w:eastAsia="仿宋_GB2312"/>
          <w:sz w:val="32"/>
          <w:szCs w:val="32"/>
          <w:lang w:val="en-US" w:eastAsia="zh-CN"/>
        </w:rPr>
        <w:t>0,000</w:t>
      </w:r>
      <w:r>
        <w:rPr>
          <w:rFonts w:hint="eastAsia" w:ascii="仿宋_GB2312" w:eastAsia="仿宋_GB2312"/>
          <w:sz w:val="32"/>
          <w:szCs w:val="32"/>
        </w:rPr>
        <w:t>元。评价得分在90分（含90分）以上的</w:t>
      </w:r>
      <w:r>
        <w:rPr>
          <w:rFonts w:hint="eastAsia" w:ascii="仿宋_GB2312" w:eastAsia="仿宋_GB2312"/>
          <w:sz w:val="32"/>
          <w:szCs w:val="32"/>
          <w:lang w:val="en-US" w:eastAsia="zh-CN"/>
        </w:rPr>
        <w:t>28</w:t>
      </w:r>
      <w:r>
        <w:rPr>
          <w:rFonts w:hint="eastAsia" w:ascii="仿宋_GB2312" w:eastAsia="仿宋_GB2312"/>
          <w:sz w:val="32"/>
          <w:szCs w:val="32"/>
        </w:rPr>
        <w:t>个，评价得分在80-90分（含80分）的</w:t>
      </w:r>
      <w:r>
        <w:rPr>
          <w:rFonts w:hint="eastAsia" w:ascii="仿宋_GB2312" w:eastAsia="仿宋_GB2312"/>
          <w:sz w:val="32"/>
          <w:szCs w:val="32"/>
          <w:lang w:val="en-US" w:eastAsia="zh-CN"/>
        </w:rPr>
        <w:t>0</w:t>
      </w:r>
      <w:r>
        <w:rPr>
          <w:rFonts w:hint="eastAsia" w:ascii="仿宋_GB2312" w:eastAsia="仿宋_GB2312"/>
          <w:sz w:val="32"/>
          <w:szCs w:val="32"/>
        </w:rPr>
        <w:t>个，评价得分在60-80分（含60分）的</w:t>
      </w:r>
      <w:r>
        <w:rPr>
          <w:rFonts w:hint="eastAsia" w:ascii="仿宋_GB2312" w:eastAsia="仿宋_GB2312"/>
          <w:sz w:val="32"/>
          <w:szCs w:val="32"/>
          <w:lang w:val="en-US" w:eastAsia="zh-CN"/>
        </w:rPr>
        <w:t>0</w:t>
      </w:r>
      <w:r>
        <w:rPr>
          <w:rFonts w:hint="eastAsia" w:ascii="仿宋_GB2312" w:eastAsia="仿宋_GB2312"/>
          <w:sz w:val="32"/>
          <w:szCs w:val="32"/>
        </w:rPr>
        <w:t>个，评价得分在60分以下的</w:t>
      </w:r>
      <w:r>
        <w:rPr>
          <w:rFonts w:hint="eastAsia" w:ascii="仿宋_GB2312" w:eastAsia="仿宋_GB2312"/>
          <w:sz w:val="32"/>
          <w:szCs w:val="32"/>
          <w:lang w:val="en-US" w:eastAsia="zh-CN"/>
        </w:rPr>
        <w:t>0</w:t>
      </w:r>
      <w:r>
        <w:rPr>
          <w:rFonts w:hint="eastAsia" w:ascii="仿宋_GB2312" w:eastAsia="仿宋_GB2312"/>
          <w:sz w:val="32"/>
          <w:szCs w:val="32"/>
        </w:rPr>
        <w:t>个。</w:t>
      </w:r>
      <w:bookmarkStart w:id="4" w:name="_GoBack"/>
      <w:bookmarkEnd w:id="4"/>
    </w:p>
    <w:p>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（二）重点支出项目绩效自评报告</w:t>
      </w:r>
    </w:p>
    <w:p>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rPr>
        <w:t>请参考《关于开展2025年度项目支出绩效自评工作的通知》（门财绩效[2026]72号）要求，将本部门撰写的《重点支出项目绩效自评报告》电子版汇总到1个文件夹中，作为部门决算草案的附件1，并随决算全部公开。</w:t>
      </w:r>
    </w:p>
    <w:p>
      <w:pPr>
        <w:spacing w:line="580" w:lineRule="exact"/>
        <w:ind w:firstLine="640"/>
        <w:rPr>
          <w:rFonts w:hint="eastAsia" w:ascii="楷体_GB2312" w:hAnsi="仿宋" w:eastAsia="楷体_GB2312"/>
          <w:b/>
          <w:sz w:val="32"/>
          <w:szCs w:val="32"/>
        </w:rPr>
      </w:pPr>
      <w:r>
        <w:rPr>
          <w:rFonts w:hint="eastAsia" w:ascii="楷体_GB2312" w:hAnsi="仿宋" w:eastAsia="楷体_GB2312"/>
          <w:b/>
          <w:sz w:val="32"/>
          <w:szCs w:val="32"/>
        </w:rPr>
        <w:t>（三）项目支出绩效自评表</w:t>
      </w:r>
    </w:p>
    <w:p>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rPr>
        <w:t>请参考《关于开展2025年度项目支出绩效自评工作的通知》（门财绩效[2026]72号）</w:t>
      </w:r>
      <w:r>
        <w:rPr>
          <w:rFonts w:hint="eastAsia" w:ascii="仿宋_GB2312" w:eastAsia="仿宋_GB2312"/>
          <w:b/>
          <w:sz w:val="32"/>
          <w:szCs w:val="32"/>
        </w:rPr>
        <w:t>及决算公开培训要求</w:t>
      </w:r>
      <w:r>
        <w:rPr>
          <w:rFonts w:hint="eastAsia" w:ascii="仿宋_GB2312" w:eastAsia="仿宋_GB2312"/>
          <w:sz w:val="32"/>
          <w:szCs w:val="32"/>
        </w:rPr>
        <w:t>，将本部门本单位拟公开的《项目支出绩效自评表》电子版汇总到1个文件夹中，作为部门决算草案的附件2，并随决算全部公开。</w:t>
      </w:r>
    </w:p>
    <w:p>
      <w:pPr>
        <w:spacing w:line="580" w:lineRule="exact"/>
        <w:ind w:firstLine="640" w:firstLineChars="200"/>
        <w:outlineLvl w:val="0"/>
        <w:rPr>
          <w:rFonts w:hint="eastAsia" w:ascii="仿宋_GB2312" w:eastAsia="仿宋_GB2312"/>
          <w:b/>
          <w:sz w:val="32"/>
          <w:szCs w:val="32"/>
        </w:rPr>
      </w:pPr>
      <w:r>
        <w:rPr>
          <w:rFonts w:hint="eastAsia" w:ascii="仿宋_GB2312" w:eastAsia="仿宋_GB2312"/>
          <w:b/>
          <w:sz w:val="32"/>
          <w:szCs w:val="32"/>
        </w:rPr>
        <w:t>（注：一级预算部门“一、二”均公开；二级预算单位仅公开“二（三）”。）</w:t>
      </w:r>
    </w:p>
    <w:p>
      <w:pPr>
        <w:spacing w:line="580" w:lineRule="exact"/>
        <w:ind w:firstLine="800" w:firstLineChars="250"/>
        <w:rPr>
          <w:rFonts w:hint="eastAsia" w:ascii="仿宋_GB2312" w:eastAsia="仿宋_GB2312"/>
          <w:sz w:val="32"/>
          <w:szCs w:val="32"/>
        </w:rPr>
      </w:pPr>
      <w:r>
        <w:rPr>
          <w:rFonts w:hint="eastAsia" w:ascii="仿宋_GB2312" w:eastAsia="仿宋_GB2312"/>
          <w:sz w:val="32"/>
          <w:szCs w:val="32"/>
        </w:rPr>
        <w:t>附件：1.重点支出项目绩效自评报告</w:t>
      </w:r>
    </w:p>
    <w:p>
      <w:pPr>
        <w:spacing w:line="580" w:lineRule="exact"/>
        <w:ind w:firstLine="1760" w:firstLineChars="550"/>
        <w:rPr>
          <w:rFonts w:hint="eastAsia" w:ascii="仿宋_GB2312" w:eastAsia="仿宋_GB2312"/>
          <w:sz w:val="32"/>
          <w:szCs w:val="32"/>
        </w:rPr>
      </w:pPr>
      <w:r>
        <w:rPr>
          <w:rFonts w:hint="eastAsia" w:ascii="仿宋_GB2312" w:eastAsia="仿宋_GB2312"/>
          <w:sz w:val="32"/>
          <w:szCs w:val="32"/>
        </w:rPr>
        <w:t>2.项目支出绩效自评表</w:t>
      </w:r>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Droid Sans">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3</w:t>
    </w:r>
    <w:r>
      <w:fldChar w:fldCharType="end"/>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16</w:t>
    </w:r>
    <w:r>
      <w:fldChar w:fldCharType="end"/>
    </w:r>
  </w:p>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15</w:t>
    </w:r>
    <w:r>
      <w:fldChar w:fldCharType="end"/>
    </w:r>
  </w:p>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9B77A7"/>
    <w:rsid w:val="02F120AB"/>
    <w:rsid w:val="032B5196"/>
    <w:rsid w:val="04C3537C"/>
    <w:rsid w:val="079004AC"/>
    <w:rsid w:val="0BA148CA"/>
    <w:rsid w:val="0C1165C4"/>
    <w:rsid w:val="0D6D544B"/>
    <w:rsid w:val="0DD136FE"/>
    <w:rsid w:val="0F8E2C57"/>
    <w:rsid w:val="1059665E"/>
    <w:rsid w:val="10AC13BA"/>
    <w:rsid w:val="11980797"/>
    <w:rsid w:val="145A6C1B"/>
    <w:rsid w:val="14B73493"/>
    <w:rsid w:val="167A2FF9"/>
    <w:rsid w:val="17E05399"/>
    <w:rsid w:val="18581C69"/>
    <w:rsid w:val="186D28E5"/>
    <w:rsid w:val="1AEC0734"/>
    <w:rsid w:val="1C203C3A"/>
    <w:rsid w:val="1DEF20B0"/>
    <w:rsid w:val="214243FA"/>
    <w:rsid w:val="21AD613C"/>
    <w:rsid w:val="22467189"/>
    <w:rsid w:val="257A14F5"/>
    <w:rsid w:val="27196C26"/>
    <w:rsid w:val="29EF086F"/>
    <w:rsid w:val="2A014A0F"/>
    <w:rsid w:val="2EFFE297"/>
    <w:rsid w:val="301437CA"/>
    <w:rsid w:val="32791381"/>
    <w:rsid w:val="349D1F0A"/>
    <w:rsid w:val="34DD0473"/>
    <w:rsid w:val="3C181CA7"/>
    <w:rsid w:val="3C684897"/>
    <w:rsid w:val="41C6204F"/>
    <w:rsid w:val="433E495C"/>
    <w:rsid w:val="489F2FD7"/>
    <w:rsid w:val="4AC27CB3"/>
    <w:rsid w:val="4BF72BEF"/>
    <w:rsid w:val="4FA90297"/>
    <w:rsid w:val="4FC41A43"/>
    <w:rsid w:val="51DB3C59"/>
    <w:rsid w:val="550C0952"/>
    <w:rsid w:val="55762E42"/>
    <w:rsid w:val="57A7B272"/>
    <w:rsid w:val="58470068"/>
    <w:rsid w:val="58747CAC"/>
    <w:rsid w:val="5A1720F9"/>
    <w:rsid w:val="5B9C37C2"/>
    <w:rsid w:val="5BA7C654"/>
    <w:rsid w:val="60A54109"/>
    <w:rsid w:val="61D01CDF"/>
    <w:rsid w:val="64C0607C"/>
    <w:rsid w:val="65756C86"/>
    <w:rsid w:val="674D385B"/>
    <w:rsid w:val="676F09E1"/>
    <w:rsid w:val="71793A80"/>
    <w:rsid w:val="7357290B"/>
    <w:rsid w:val="798524E4"/>
    <w:rsid w:val="7A7F1C49"/>
    <w:rsid w:val="7B5B7AE6"/>
    <w:rsid w:val="7B7B6628"/>
    <w:rsid w:val="7BA7071E"/>
    <w:rsid w:val="7BDF6DA8"/>
    <w:rsid w:val="7BDF7589"/>
    <w:rsid w:val="7C7EDC1A"/>
    <w:rsid w:val="7CCED98D"/>
    <w:rsid w:val="7D08410F"/>
    <w:rsid w:val="7D2759BE"/>
    <w:rsid w:val="7DB96DED"/>
    <w:rsid w:val="7DD3AD81"/>
    <w:rsid w:val="7F7FE70F"/>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Normal (Web)"/>
    <w:basedOn w:val="1"/>
    <w:unhideWhenUsed/>
    <w:qFormat/>
    <w:uiPriority w:val="0"/>
    <w:pPr>
      <w:spacing w:before="100" w:beforeAutospacing="1" w:after="100" w:afterAutospacing="1"/>
      <w:ind w:right="238"/>
      <w:jc w:val="left"/>
    </w:pPr>
    <w:rPr>
      <w:b/>
      <w:kern w:val="0"/>
      <w:sz w:val="24"/>
      <w:szCs w:val="20"/>
    </w:rPr>
  </w:style>
  <w:style w:type="character" w:styleId="12">
    <w:name w:val="Strong"/>
    <w:qFormat/>
    <w:uiPriority w:val="0"/>
    <w:rPr>
      <w:b/>
    </w:rPr>
  </w:style>
  <w:style w:type="character" w:styleId="13">
    <w:name w:val="page number"/>
    <w:qFormat/>
    <w:uiPriority w:val="0"/>
  </w:style>
  <w:style w:type="character" w:customStyle="1" w:styleId="14">
    <w:name w:val="页脚 Char"/>
    <w:link w:val="7"/>
    <w:qFormat/>
    <w:uiPriority w:val="0"/>
    <w:rPr>
      <w:rFonts w:eastAsia="宋体"/>
      <w:kern w:val="2"/>
      <w:sz w:val="18"/>
      <w:szCs w:val="18"/>
      <w:lang w:val="en-US" w:eastAsia="zh-CN" w:bidi="ar-SA"/>
    </w:rPr>
  </w:style>
  <w:style w:type="character" w:customStyle="1" w:styleId="15">
    <w:name w:val="页眉 Char"/>
    <w:link w:val="8"/>
    <w:qFormat/>
    <w:uiPriority w:val="0"/>
    <w:rPr>
      <w:rFonts w:ascii="Calibri" w:hAnsi="Calibri" w:eastAsia="宋体"/>
      <w:kern w:val="2"/>
      <w:sz w:val="18"/>
      <w:szCs w:val="18"/>
      <w:lang w:val="en-US" w:eastAsia="zh-CN" w:bidi="ar-SA"/>
    </w:rPr>
  </w:style>
  <w:style w:type="paragraph" w:customStyle="1" w:styleId="16">
    <w:name w:val="Char Char Char Char Char Char Char"/>
    <w:basedOn w:val="1"/>
    <w:qFormat/>
    <w:uiPriority w:val="0"/>
    <w:rPr>
      <w:rFonts w:ascii="Tahoma" w:hAnsi="Tahoma"/>
      <w:sz w:val="24"/>
      <w:szCs w:val="20"/>
    </w:rPr>
  </w:style>
  <w:style w:type="paragraph" w:customStyle="1" w:styleId="17">
    <w:name w:val="Char1 Char Char Char"/>
    <w:basedOn w:val="1"/>
    <w:qFormat/>
    <w:uiPriority w:val="0"/>
    <w:pPr>
      <w:widowControl/>
      <w:spacing w:after="160" w:line="240" w:lineRule="exact"/>
      <w:jc w:val="left"/>
    </w:pPr>
    <w:rPr>
      <w:szCs w:val="20"/>
    </w:rPr>
  </w:style>
  <w:style w:type="paragraph" w:customStyle="1" w:styleId="18">
    <w:name w:val="Char"/>
    <w:basedOn w:val="1"/>
    <w:qFormat/>
    <w:uiPriority w:val="0"/>
    <w:rPr>
      <w:rFonts w:ascii="Tahoma" w:hAnsi="Tahoma"/>
      <w:sz w:val="24"/>
      <w:szCs w:val="20"/>
    </w:rPr>
  </w:style>
  <w:style w:type="paragraph" w:customStyle="1" w:styleId="19">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6491.64</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2"/>
              <c:layout>
                <c:manualLayout>
                  <c:x val="-0.03900372940115"/>
                  <c:y val="0.0328271436107878"/>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0389887693586102"/>
                  <c:y val="0.010511229510062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1113.94</c:v>
                </c:pt>
                <c:pt idx="1">
                  <c:v>5377.7</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16</Pages>
  <Words>3958</Words>
  <Characters>6108</Characters>
  <Lines>47</Lines>
  <Paragraphs>13</Paragraphs>
  <TotalTime>0</TotalTime>
  <ScaleCrop>false</ScaleCrop>
  <LinksUpToDate>false</LinksUpToDate>
  <CharactersWithSpaces>6191</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user</cp:lastModifiedBy>
  <cp:lastPrinted>2020-08-07T11:39:00Z</cp:lastPrinted>
  <dcterms:modified xsi:type="dcterms:W3CDTF">2026-08-27T06:09:28Z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435078ACFECC4A5A8A519EF4C3681114_13</vt:lpwstr>
  </property>
  <property fmtid="{D5CDD505-2E9C-101B-9397-08002B2CF9AE}" pid="4" name="KSOTemplateDocerSaveRecord">
    <vt:lpwstr>eyJoZGlkIjoiYjNlN2I2OGQxOGI1NmIxMWI3ZTg2MzgyOGIwNzE1YjAiLCJ1c2VySWQiOiI2NzgwOTI3MjgifQ==</vt:lpwstr>
  </property>
</Properties>
</file>