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BBCFD5">
      <w:pPr>
        <w:jc w:val="center"/>
        <w:rPr>
          <w:rFonts w:ascii="仿宋_GB2312" w:eastAsia="仿宋_GB2312"/>
          <w:b/>
          <w:sz w:val="32"/>
          <w:szCs w:val="32"/>
        </w:rPr>
      </w:pPr>
    </w:p>
    <w:p w14:paraId="0F45AC10">
      <w:pPr>
        <w:jc w:val="center"/>
        <w:rPr>
          <w:rFonts w:ascii="黑体" w:eastAsia="黑体"/>
          <w:sz w:val="72"/>
          <w:szCs w:val="72"/>
        </w:rPr>
      </w:pPr>
    </w:p>
    <w:p w14:paraId="485EDEC1">
      <w:pPr>
        <w:jc w:val="center"/>
        <w:rPr>
          <w:rFonts w:ascii="黑体" w:eastAsia="黑体"/>
          <w:sz w:val="72"/>
          <w:szCs w:val="72"/>
        </w:rPr>
      </w:pPr>
    </w:p>
    <w:p w14:paraId="66AE6508">
      <w:pPr>
        <w:jc w:val="center"/>
        <w:rPr>
          <w:rFonts w:ascii="黑体" w:eastAsia="黑体"/>
          <w:sz w:val="72"/>
          <w:szCs w:val="72"/>
        </w:rPr>
      </w:pPr>
    </w:p>
    <w:p w14:paraId="2D45DC3C">
      <w:pPr>
        <w:jc w:val="center"/>
        <w:rPr>
          <w:rFonts w:ascii="黑体" w:eastAsia="黑体"/>
          <w:sz w:val="72"/>
          <w:szCs w:val="72"/>
        </w:rPr>
      </w:pPr>
    </w:p>
    <w:p w14:paraId="0089116C">
      <w:pPr>
        <w:jc w:val="center"/>
        <w:rPr>
          <w:rFonts w:ascii="黑体" w:eastAsia="黑体"/>
          <w:sz w:val="72"/>
          <w:szCs w:val="72"/>
        </w:rPr>
      </w:pPr>
      <w:r>
        <w:rPr>
          <w:rFonts w:hint="eastAsia" w:ascii="黑体" w:eastAsia="黑体"/>
          <w:sz w:val="72"/>
          <w:szCs w:val="72"/>
        </w:rPr>
        <w:t>2025年度部门决算（公开</w:t>
      </w:r>
      <w:r>
        <w:rPr>
          <w:rFonts w:ascii="黑体" w:eastAsia="黑体"/>
          <w:sz w:val="72"/>
          <w:szCs w:val="72"/>
        </w:rPr>
        <w:t>）</w:t>
      </w:r>
    </w:p>
    <w:p w14:paraId="46C04600">
      <w:pPr>
        <w:jc w:val="center"/>
        <w:rPr>
          <w:rFonts w:ascii="黑体" w:eastAsia="黑体"/>
          <w:sz w:val="52"/>
          <w:szCs w:val="52"/>
        </w:rPr>
      </w:pPr>
    </w:p>
    <w:p w14:paraId="3D63B829">
      <w:pPr>
        <w:jc w:val="center"/>
        <w:rPr>
          <w:rFonts w:ascii="黑体" w:eastAsia="黑体"/>
          <w:sz w:val="52"/>
          <w:szCs w:val="52"/>
        </w:rPr>
      </w:pPr>
    </w:p>
    <w:p w14:paraId="097D3314">
      <w:pPr>
        <w:jc w:val="center"/>
        <w:rPr>
          <w:rFonts w:ascii="黑体" w:eastAsia="黑体"/>
          <w:sz w:val="52"/>
          <w:szCs w:val="52"/>
        </w:rPr>
      </w:pPr>
    </w:p>
    <w:p w14:paraId="3BF8DB14">
      <w:pPr>
        <w:jc w:val="center"/>
        <w:rPr>
          <w:rFonts w:ascii="黑体" w:eastAsia="黑体"/>
          <w:sz w:val="52"/>
          <w:szCs w:val="52"/>
        </w:rPr>
      </w:pPr>
    </w:p>
    <w:p w14:paraId="28BFC0B1">
      <w:pPr>
        <w:jc w:val="center"/>
        <w:rPr>
          <w:rFonts w:ascii="黑体" w:eastAsia="黑体"/>
          <w:sz w:val="32"/>
          <w:szCs w:val="32"/>
        </w:rPr>
      </w:pPr>
    </w:p>
    <w:p w14:paraId="6BEDD76E">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14:paraId="63F26BF3">
      <w:pPr>
        <w:spacing w:line="500" w:lineRule="exact"/>
        <w:ind w:firstLine="645"/>
        <w:jc w:val="center"/>
        <w:rPr>
          <w:rFonts w:ascii="宋体" w:hAnsi="宋体" w:cs="宋体"/>
          <w:b/>
          <w:bCs/>
          <w:kern w:val="0"/>
          <w:sz w:val="36"/>
          <w:szCs w:val="36"/>
        </w:rPr>
      </w:pPr>
    </w:p>
    <w:p w14:paraId="1F814904">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14:paraId="39B42F7D">
      <w:pPr>
        <w:tabs>
          <w:tab w:val="center" w:pos="6979"/>
        </w:tabs>
        <w:spacing w:line="500" w:lineRule="exact"/>
        <w:ind w:firstLine="2400" w:firstLineChars="6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14:paraId="624D9EE6">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14:paraId="31493734">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14:paraId="4D2FCF14">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14:paraId="13E36746">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14:paraId="5CC6C143">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14:paraId="2DEA5510">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14:paraId="51505E66">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14:paraId="6C1C0431">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14:paraId="5FF69611">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14:paraId="02A07C79">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14:paraId="1F8C5C68">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14:paraId="63F13409">
      <w:pPr>
        <w:tabs>
          <w:tab w:val="center" w:pos="6979"/>
        </w:tabs>
        <w:spacing w:line="500" w:lineRule="exact"/>
        <w:ind w:firstLine="1600" w:firstLineChars="4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14:paraId="466C16F6">
      <w:pPr>
        <w:tabs>
          <w:tab w:val="center" w:pos="6979"/>
        </w:tabs>
        <w:spacing w:line="500" w:lineRule="exact"/>
        <w:ind w:firstLine="1600" w:firstLineChars="400"/>
        <w:jc w:val="left"/>
        <w:rPr>
          <w:rFonts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14:paraId="7D3EF810">
      <w:pPr>
        <w:tabs>
          <w:tab w:val="center" w:pos="6979"/>
        </w:tabs>
        <w:spacing w:before="156" w:beforeLines="50" w:after="156" w:afterLines="50"/>
        <w:jc w:val="center"/>
        <w:rPr>
          <w:rFonts w:ascii="宋体" w:hAnsi="宋体" w:cs="宋体"/>
          <w:b/>
          <w:bCs/>
          <w:spacing w:val="40"/>
          <w:kern w:val="0"/>
          <w:sz w:val="32"/>
          <w:szCs w:val="32"/>
        </w:rPr>
      </w:pPr>
    </w:p>
    <w:p w14:paraId="70AE1E0A">
      <w:pPr>
        <w:tabs>
          <w:tab w:val="center" w:pos="6979"/>
        </w:tabs>
        <w:spacing w:before="156" w:beforeLines="50" w:after="156" w:afterLines="50"/>
        <w:jc w:val="center"/>
        <w:rPr>
          <w:rFonts w:ascii="宋体" w:hAnsi="宋体" w:cs="宋体"/>
          <w:b/>
          <w:bCs/>
          <w:spacing w:val="40"/>
          <w:kern w:val="0"/>
          <w:sz w:val="32"/>
          <w:szCs w:val="32"/>
        </w:rPr>
      </w:pPr>
    </w:p>
    <w:p w14:paraId="3D2D3228">
      <w:pPr>
        <w:tabs>
          <w:tab w:val="center" w:pos="6979"/>
        </w:tabs>
        <w:spacing w:before="156" w:beforeLines="50" w:after="156" w:afterLines="50"/>
        <w:jc w:val="center"/>
        <w:rPr>
          <w:rFonts w:ascii="宋体" w:hAnsi="宋体" w:cs="宋体"/>
          <w:b/>
          <w:bCs/>
          <w:spacing w:val="40"/>
          <w:kern w:val="0"/>
          <w:sz w:val="32"/>
          <w:szCs w:val="32"/>
        </w:rPr>
      </w:pPr>
    </w:p>
    <w:p w14:paraId="24B0C840">
      <w:pPr>
        <w:tabs>
          <w:tab w:val="center" w:pos="6979"/>
        </w:tabs>
        <w:spacing w:before="156" w:beforeLines="50" w:after="156" w:afterLines="50"/>
        <w:jc w:val="center"/>
        <w:rPr>
          <w:rFonts w:ascii="宋体" w:hAnsi="宋体" w:cs="宋体"/>
          <w:b/>
          <w:bCs/>
          <w:spacing w:val="40"/>
          <w:kern w:val="0"/>
          <w:sz w:val="32"/>
          <w:szCs w:val="32"/>
        </w:rPr>
      </w:pPr>
    </w:p>
    <w:p w14:paraId="0B4D41CF">
      <w:pPr>
        <w:tabs>
          <w:tab w:val="center" w:pos="6979"/>
        </w:tabs>
        <w:spacing w:before="156" w:beforeLines="50" w:after="156" w:afterLines="50"/>
        <w:jc w:val="center"/>
        <w:rPr>
          <w:rFonts w:ascii="宋体" w:hAnsi="宋体" w:cs="宋体"/>
          <w:b/>
          <w:bCs/>
          <w:spacing w:val="40"/>
          <w:kern w:val="0"/>
          <w:sz w:val="32"/>
          <w:szCs w:val="32"/>
        </w:rPr>
      </w:pPr>
    </w:p>
    <w:p w14:paraId="2E9C73EC">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第一部分 2025年度部门决算报表</w:t>
      </w:r>
    </w:p>
    <w:p w14:paraId="65856B37">
      <w:pPr>
        <w:pStyle w:val="2"/>
        <w:rPr>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14:paraId="22712C3E">
      <w:pPr>
        <w:tabs>
          <w:tab w:val="center" w:pos="6979"/>
        </w:tabs>
        <w:spacing w:before="156" w:beforeLines="50" w:after="156" w:afterLines="50"/>
        <w:jc w:val="center"/>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2025年度部门决算说明</w:t>
      </w:r>
    </w:p>
    <w:p w14:paraId="438EFA0A">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一、部门/单位基本情况</w:t>
      </w:r>
    </w:p>
    <w:p w14:paraId="066C9D76">
      <w:pPr>
        <w:tabs>
          <w:tab w:val="center" w:pos="6979"/>
        </w:tabs>
        <w:spacing w:line="580" w:lineRule="exact"/>
        <w:ind w:firstLine="700" w:firstLineChars="250"/>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本部门职责情况</w:t>
      </w:r>
    </w:p>
    <w:p w14:paraId="012178E1">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1.贯彻执行党的宣传工作的基本路线、方针、政策和国家法律、政令，发挥舆论导向作用，开展新闻宣传。</w:t>
      </w:r>
    </w:p>
    <w:p w14:paraId="3C515FAF">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2.负责落实意识形态工作责任制，整合区级媒体资源，巩固壮大主流思想舆论。</w:t>
      </w:r>
    </w:p>
    <w:p w14:paraId="425310B3">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3.负责面向中央、市属媒体的对外宣传工作和重点媒体联络服务工作。</w:t>
      </w:r>
    </w:p>
    <w:p w14:paraId="553D1604">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4.负责本区全媒体平台融合发展工作。</w:t>
      </w:r>
    </w:p>
    <w:p w14:paraId="1BBF1FB0">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5.统筹本区新闻资源，开展全媒体产品的策划、采编、制作、发布等工作。负责本区广播电视节目的内容制作和播出。</w:t>
      </w:r>
    </w:p>
    <w:p w14:paraId="52E21E84">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6.负责全媒体平台日常运营管理工作。</w:t>
      </w:r>
    </w:p>
    <w:p w14:paraId="1E20DB1F">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7.负责广播电视的安全播出、技术服务、设备管理维护等保障工作。</w:t>
      </w:r>
    </w:p>
    <w:p w14:paraId="6073CA00">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8.协助指导本区各单位、镇街开展宣传工作。负责本区全媒体专业人员、新闻通讯员队伍建设和业务技术培训等工作。</w:t>
      </w:r>
    </w:p>
    <w:p w14:paraId="41349DDB">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9.完成区委、区政府交办的其他任务。</w:t>
      </w:r>
    </w:p>
    <w:p w14:paraId="03FC5943">
      <w:pPr>
        <w:tabs>
          <w:tab w:val="center" w:pos="6979"/>
        </w:tabs>
        <w:spacing w:line="580" w:lineRule="exact"/>
        <w:ind w:firstLine="700" w:firstLineChars="250"/>
        <w:rPr>
          <w:rFonts w:ascii="仿宋_GB2312" w:eastAsia="仿宋_GB2312"/>
          <w:sz w:val="28"/>
          <w:szCs w:val="28"/>
        </w:rPr>
      </w:pPr>
      <w:r>
        <w:rPr>
          <w:rFonts w:hint="eastAsia" w:ascii="仿宋_GB2312" w:eastAsia="仿宋_GB2312"/>
          <w:sz w:val="28"/>
          <w:szCs w:val="28"/>
        </w:rPr>
        <w:t>（二）机构</w:t>
      </w:r>
      <w:r>
        <w:rPr>
          <w:rFonts w:ascii="仿宋_GB2312" w:eastAsia="仿宋_GB2312"/>
          <w:sz w:val="28"/>
          <w:szCs w:val="28"/>
        </w:rPr>
        <w:t>设置</w:t>
      </w:r>
      <w:r>
        <w:rPr>
          <w:rFonts w:hint="eastAsia" w:ascii="仿宋_GB2312" w:eastAsia="仿宋_GB2312"/>
          <w:sz w:val="28"/>
          <w:szCs w:val="28"/>
        </w:rPr>
        <w:t>情况</w:t>
      </w:r>
    </w:p>
    <w:p w14:paraId="4526E9AE">
      <w:pPr>
        <w:tabs>
          <w:tab w:val="center" w:pos="6979"/>
        </w:tabs>
        <w:spacing w:line="580" w:lineRule="exact"/>
        <w:rPr>
          <w:rFonts w:hint="eastAsia" w:ascii="仿宋_GB2312" w:eastAsia="仿宋_GB2312"/>
          <w:sz w:val="28"/>
          <w:szCs w:val="28"/>
        </w:rPr>
      </w:pPr>
      <w:r>
        <w:rPr>
          <w:rFonts w:hint="eastAsia" w:ascii="仿宋_GB2312" w:eastAsia="仿宋_GB2312"/>
          <w:b/>
          <w:sz w:val="32"/>
          <w:szCs w:val="32"/>
        </w:rPr>
        <w:t xml:space="preserve">   </w:t>
      </w:r>
      <w:r>
        <w:rPr>
          <w:rFonts w:hint="eastAsia" w:ascii="仿宋_GB2312" w:eastAsia="仿宋_GB2312"/>
          <w:sz w:val="28"/>
          <w:szCs w:val="28"/>
        </w:rPr>
        <w:t>北京市门头沟区融媒体中心内设科室分别为：办公室、总编辑部、策划部、采访部、专题部、新媒体部、纸媒部、电台部、技术部、播出部、财务部。</w:t>
      </w:r>
    </w:p>
    <w:p w14:paraId="7CDA82BF">
      <w:pPr>
        <w:tabs>
          <w:tab w:val="center" w:pos="6979"/>
        </w:tabs>
        <w:spacing w:line="580" w:lineRule="exact"/>
        <w:rPr>
          <w:rFonts w:ascii="黑体" w:eastAsia="黑体"/>
          <w:b/>
          <w:sz w:val="28"/>
          <w:szCs w:val="28"/>
        </w:rPr>
      </w:pPr>
      <w:r>
        <w:rPr>
          <w:rFonts w:hint="eastAsia" w:ascii="黑体" w:eastAsia="黑体"/>
          <w:b/>
          <w:sz w:val="28"/>
          <w:szCs w:val="28"/>
        </w:rPr>
        <w:t>二、收入支出决算总体情况说明</w:t>
      </w:r>
    </w:p>
    <w:p w14:paraId="17F34FFA">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31</w:t>
      </w:r>
      <w:r>
        <w:rPr>
          <w:rFonts w:hint="eastAsia" w:ascii="仿宋_GB2312" w:eastAsia="仿宋_GB2312"/>
          <w:sz w:val="28"/>
          <w:szCs w:val="28"/>
          <w:lang w:val="en-US" w:eastAsia="zh-CN"/>
        </w:rPr>
        <w:t>,</w:t>
      </w:r>
      <w:r>
        <w:rPr>
          <w:rFonts w:ascii="仿宋_GB2312" w:eastAsia="仿宋_GB2312"/>
          <w:sz w:val="28"/>
          <w:szCs w:val="28"/>
        </w:rPr>
        <w:t>500</w:t>
      </w:r>
      <w:r>
        <w:rPr>
          <w:rFonts w:hint="eastAsia" w:ascii="仿宋_GB2312" w:eastAsia="仿宋_GB2312"/>
          <w:sz w:val="28"/>
          <w:szCs w:val="28"/>
          <w:lang w:val="en-US" w:eastAsia="zh-CN"/>
        </w:rPr>
        <w:t>,</w:t>
      </w:r>
      <w:r>
        <w:rPr>
          <w:rFonts w:ascii="仿宋_GB2312" w:eastAsia="仿宋_GB2312"/>
          <w:sz w:val="28"/>
          <w:szCs w:val="28"/>
        </w:rPr>
        <w:t>796.79</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减少13</w:t>
      </w:r>
      <w:r>
        <w:rPr>
          <w:rFonts w:hint="eastAsia" w:ascii="仿宋_GB2312" w:eastAsia="仿宋_GB2312"/>
          <w:sz w:val="28"/>
          <w:szCs w:val="28"/>
          <w:lang w:val="en-US" w:eastAsia="zh-CN"/>
        </w:rPr>
        <w:t>,</w:t>
      </w:r>
      <w:r>
        <w:rPr>
          <w:rFonts w:hint="eastAsia" w:ascii="仿宋_GB2312" w:eastAsia="仿宋_GB2312"/>
          <w:sz w:val="28"/>
          <w:szCs w:val="28"/>
        </w:rPr>
        <w:t>121</w:t>
      </w:r>
      <w:r>
        <w:rPr>
          <w:rFonts w:hint="eastAsia" w:ascii="仿宋_GB2312" w:eastAsia="仿宋_GB2312"/>
          <w:sz w:val="28"/>
          <w:szCs w:val="28"/>
          <w:lang w:val="en-US" w:eastAsia="zh-CN"/>
        </w:rPr>
        <w:t>,</w:t>
      </w:r>
      <w:r>
        <w:rPr>
          <w:rFonts w:hint="eastAsia" w:ascii="仿宋_GB2312" w:eastAsia="仿宋_GB2312"/>
          <w:sz w:val="28"/>
          <w:szCs w:val="28"/>
        </w:rPr>
        <w:t>425.11元，下降</w:t>
      </w:r>
      <w:r>
        <w:rPr>
          <w:rFonts w:hint="eastAsia" w:ascii="仿宋_GB2312" w:eastAsia="仿宋_GB2312"/>
          <w:sz w:val="28"/>
          <w:szCs w:val="28"/>
          <w:lang w:val="en-US" w:eastAsia="zh-CN"/>
        </w:rPr>
        <w:t>29.4</w:t>
      </w:r>
      <w:r>
        <w:rPr>
          <w:rFonts w:hint="eastAsia" w:ascii="仿宋_GB2312" w:eastAsia="仿宋_GB2312"/>
          <w:sz w:val="28"/>
          <w:szCs w:val="28"/>
        </w:rPr>
        <w:t>%。</w:t>
      </w:r>
    </w:p>
    <w:p w14:paraId="47EB0ABF">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收入决算</w:t>
      </w:r>
      <w:r>
        <w:rPr>
          <w:rFonts w:ascii="仿宋_GB2312" w:eastAsia="仿宋_GB2312"/>
          <w:sz w:val="28"/>
          <w:szCs w:val="28"/>
        </w:rPr>
        <w:t>说明</w:t>
      </w:r>
    </w:p>
    <w:p w14:paraId="473CDFA8">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2025年度本年收入合计</w:t>
      </w:r>
      <w:r>
        <w:rPr>
          <w:rFonts w:ascii="仿宋_GB2312" w:eastAsia="仿宋_GB2312"/>
          <w:sz w:val="28"/>
          <w:szCs w:val="28"/>
        </w:rPr>
        <w:t>31</w:t>
      </w:r>
      <w:r>
        <w:rPr>
          <w:rFonts w:hint="eastAsia" w:ascii="仿宋_GB2312" w:eastAsia="仿宋_GB2312"/>
          <w:sz w:val="28"/>
          <w:szCs w:val="28"/>
          <w:lang w:val="en-US" w:eastAsia="zh-CN"/>
        </w:rPr>
        <w:t>,</w:t>
      </w:r>
      <w:r>
        <w:rPr>
          <w:rFonts w:ascii="仿宋_GB2312" w:eastAsia="仿宋_GB2312"/>
          <w:sz w:val="28"/>
          <w:szCs w:val="28"/>
        </w:rPr>
        <w:t>500</w:t>
      </w:r>
      <w:r>
        <w:rPr>
          <w:rFonts w:hint="eastAsia" w:ascii="仿宋_GB2312" w:eastAsia="仿宋_GB2312"/>
          <w:sz w:val="28"/>
          <w:szCs w:val="28"/>
          <w:lang w:val="en-US" w:eastAsia="zh-CN"/>
        </w:rPr>
        <w:t>,</w:t>
      </w:r>
      <w:r>
        <w:rPr>
          <w:rFonts w:ascii="仿宋_GB2312" w:eastAsia="仿宋_GB2312"/>
          <w:sz w:val="28"/>
          <w:szCs w:val="28"/>
        </w:rPr>
        <w:t>796.79</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减少13</w:t>
      </w:r>
      <w:r>
        <w:rPr>
          <w:rFonts w:hint="eastAsia" w:ascii="仿宋_GB2312" w:eastAsia="仿宋_GB2312"/>
          <w:sz w:val="28"/>
          <w:szCs w:val="28"/>
          <w:lang w:val="en-US" w:eastAsia="zh-CN"/>
        </w:rPr>
        <w:t>,</w:t>
      </w:r>
      <w:r>
        <w:rPr>
          <w:rFonts w:hint="eastAsia" w:ascii="仿宋_GB2312" w:eastAsia="仿宋_GB2312"/>
          <w:sz w:val="28"/>
          <w:szCs w:val="28"/>
        </w:rPr>
        <w:t>121</w:t>
      </w:r>
      <w:r>
        <w:rPr>
          <w:rFonts w:hint="eastAsia" w:ascii="仿宋_GB2312" w:eastAsia="仿宋_GB2312"/>
          <w:sz w:val="28"/>
          <w:szCs w:val="28"/>
          <w:lang w:val="en-US" w:eastAsia="zh-CN"/>
        </w:rPr>
        <w:t>,</w:t>
      </w:r>
      <w:r>
        <w:rPr>
          <w:rFonts w:hint="eastAsia" w:ascii="仿宋_GB2312" w:eastAsia="仿宋_GB2312"/>
          <w:sz w:val="28"/>
          <w:szCs w:val="28"/>
        </w:rPr>
        <w:t>425.11元，下降</w:t>
      </w:r>
      <w:r>
        <w:rPr>
          <w:rFonts w:hint="eastAsia" w:ascii="仿宋_GB2312" w:eastAsia="仿宋_GB2312"/>
          <w:sz w:val="28"/>
          <w:szCs w:val="28"/>
          <w:lang w:val="en-US" w:eastAsia="zh-CN"/>
        </w:rPr>
        <w:t>29.4</w:t>
      </w:r>
      <w:r>
        <w:rPr>
          <w:rFonts w:hint="eastAsia" w:ascii="仿宋_GB2312" w:eastAsia="仿宋_GB2312"/>
          <w:sz w:val="28"/>
          <w:szCs w:val="28"/>
        </w:rPr>
        <w:t>%。</w:t>
      </w:r>
    </w:p>
    <w:p w14:paraId="05962177">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1.财政拨款收入</w:t>
      </w:r>
      <w:r>
        <w:rPr>
          <w:rFonts w:ascii="仿宋_GB2312" w:eastAsia="仿宋_GB2312"/>
          <w:sz w:val="28"/>
          <w:szCs w:val="28"/>
        </w:rPr>
        <w:t>31</w:t>
      </w:r>
      <w:r>
        <w:rPr>
          <w:rFonts w:hint="eastAsia" w:ascii="仿宋_GB2312" w:eastAsia="仿宋_GB2312"/>
          <w:sz w:val="28"/>
          <w:szCs w:val="28"/>
          <w:lang w:val="en-US" w:eastAsia="zh-CN"/>
        </w:rPr>
        <w:t>,</w:t>
      </w:r>
      <w:r>
        <w:rPr>
          <w:rFonts w:ascii="仿宋_GB2312" w:eastAsia="仿宋_GB2312"/>
          <w:sz w:val="28"/>
          <w:szCs w:val="28"/>
        </w:rPr>
        <w:t>500</w:t>
      </w:r>
      <w:r>
        <w:rPr>
          <w:rFonts w:hint="eastAsia" w:ascii="仿宋_GB2312" w:eastAsia="仿宋_GB2312"/>
          <w:sz w:val="28"/>
          <w:szCs w:val="28"/>
          <w:lang w:val="en-US" w:eastAsia="zh-CN"/>
        </w:rPr>
        <w:t>,</w:t>
      </w:r>
      <w:r>
        <w:rPr>
          <w:rFonts w:ascii="仿宋_GB2312" w:eastAsia="仿宋_GB2312"/>
          <w:sz w:val="28"/>
          <w:szCs w:val="28"/>
        </w:rPr>
        <w:t>796.79</w:t>
      </w:r>
      <w:r>
        <w:rPr>
          <w:rFonts w:hint="eastAsia" w:ascii="仿宋_GB2312" w:eastAsia="仿宋_GB2312"/>
          <w:sz w:val="28"/>
          <w:szCs w:val="28"/>
        </w:rPr>
        <w:t>元，占收入合计的100%。其中：一般公共预算财政拨款收入</w:t>
      </w:r>
      <w:r>
        <w:rPr>
          <w:rFonts w:ascii="仿宋_GB2312" w:eastAsia="仿宋_GB2312"/>
          <w:sz w:val="28"/>
          <w:szCs w:val="28"/>
        </w:rPr>
        <w:t>31</w:t>
      </w:r>
      <w:r>
        <w:rPr>
          <w:rFonts w:hint="eastAsia" w:ascii="仿宋_GB2312" w:eastAsia="仿宋_GB2312"/>
          <w:sz w:val="28"/>
          <w:szCs w:val="28"/>
          <w:lang w:val="en-US" w:eastAsia="zh-CN"/>
        </w:rPr>
        <w:t>,</w:t>
      </w:r>
      <w:r>
        <w:rPr>
          <w:rFonts w:ascii="仿宋_GB2312" w:eastAsia="仿宋_GB2312"/>
          <w:sz w:val="28"/>
          <w:szCs w:val="28"/>
        </w:rPr>
        <w:t>500</w:t>
      </w:r>
      <w:r>
        <w:rPr>
          <w:rFonts w:hint="eastAsia" w:ascii="仿宋_GB2312" w:eastAsia="仿宋_GB2312"/>
          <w:sz w:val="28"/>
          <w:szCs w:val="28"/>
          <w:lang w:val="en-US" w:eastAsia="zh-CN"/>
        </w:rPr>
        <w:t>,</w:t>
      </w:r>
      <w:r>
        <w:rPr>
          <w:rFonts w:ascii="仿宋_GB2312" w:eastAsia="仿宋_GB2312"/>
          <w:sz w:val="28"/>
          <w:szCs w:val="28"/>
        </w:rPr>
        <w:t>796.79</w:t>
      </w:r>
      <w:r>
        <w:rPr>
          <w:rFonts w:hint="eastAsia" w:ascii="仿宋_GB2312" w:eastAsia="仿宋_GB2312"/>
          <w:sz w:val="28"/>
          <w:szCs w:val="28"/>
        </w:rPr>
        <w:t>元，占收入合计的100%；政府性基金预算财政拨款收入</w:t>
      </w:r>
      <w:r>
        <w:rPr>
          <w:rFonts w:ascii="仿宋_GB2312" w:eastAsia="仿宋_GB2312"/>
          <w:sz w:val="28"/>
          <w:szCs w:val="28"/>
        </w:rPr>
        <w:t>0</w:t>
      </w:r>
      <w:r>
        <w:rPr>
          <w:rFonts w:hint="eastAsia" w:ascii="仿宋_GB2312" w:eastAsia="仿宋_GB2312"/>
          <w:sz w:val="28"/>
          <w:szCs w:val="28"/>
        </w:rPr>
        <w:t>元，占收入合计的0%；国有资本经营预算财政拨款收入</w:t>
      </w:r>
      <w:r>
        <w:rPr>
          <w:rFonts w:ascii="仿宋_GB2312" w:eastAsia="仿宋_GB2312"/>
          <w:sz w:val="28"/>
          <w:szCs w:val="28"/>
        </w:rPr>
        <w:t>0</w:t>
      </w:r>
      <w:r>
        <w:rPr>
          <w:rFonts w:hint="eastAsia" w:ascii="仿宋_GB2312" w:eastAsia="仿宋_GB2312"/>
          <w:sz w:val="28"/>
          <w:szCs w:val="28"/>
        </w:rPr>
        <w:t>元，占收入合计的0%；</w:t>
      </w:r>
    </w:p>
    <w:p w14:paraId="777FB055">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2.上级补助收入</w:t>
      </w:r>
      <w:r>
        <w:rPr>
          <w:rFonts w:ascii="仿宋_GB2312" w:eastAsia="仿宋_GB2312"/>
          <w:sz w:val="28"/>
          <w:szCs w:val="28"/>
        </w:rPr>
        <w:t>0</w:t>
      </w:r>
      <w:r>
        <w:rPr>
          <w:rFonts w:hint="eastAsia" w:ascii="仿宋_GB2312" w:eastAsia="仿宋_GB2312"/>
          <w:sz w:val="28"/>
          <w:szCs w:val="28"/>
        </w:rPr>
        <w:t>元，占收入合计的0%；</w:t>
      </w:r>
    </w:p>
    <w:p w14:paraId="74CB2AA8">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3.事业收入</w:t>
      </w:r>
      <w:r>
        <w:rPr>
          <w:rFonts w:ascii="仿宋_GB2312" w:eastAsia="仿宋_GB2312"/>
          <w:sz w:val="28"/>
          <w:szCs w:val="28"/>
        </w:rPr>
        <w:t>0</w:t>
      </w:r>
      <w:r>
        <w:rPr>
          <w:rFonts w:hint="eastAsia" w:ascii="仿宋_GB2312" w:eastAsia="仿宋_GB2312"/>
          <w:sz w:val="28"/>
          <w:szCs w:val="28"/>
        </w:rPr>
        <w:t>元，占收入合计的0%；</w:t>
      </w:r>
    </w:p>
    <w:p w14:paraId="2CD88A61">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0</w:t>
      </w:r>
      <w:r>
        <w:rPr>
          <w:rFonts w:hint="eastAsia" w:ascii="仿宋_GB2312" w:eastAsia="仿宋_GB2312"/>
          <w:sz w:val="28"/>
          <w:szCs w:val="28"/>
        </w:rPr>
        <w:t>元，占收入合计的0%；</w:t>
      </w:r>
    </w:p>
    <w:p w14:paraId="1D801ECE">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rPr>
        <w:t>元，占收入合计的0%；</w:t>
      </w:r>
    </w:p>
    <w:p w14:paraId="2F7DD9AA">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6.其他收入</w:t>
      </w:r>
      <w:r>
        <w:rPr>
          <w:rFonts w:ascii="仿宋_GB2312" w:eastAsia="仿宋_GB2312"/>
          <w:sz w:val="28"/>
          <w:szCs w:val="28"/>
        </w:rPr>
        <w:t>0</w:t>
      </w:r>
      <w:r>
        <w:rPr>
          <w:rFonts w:hint="eastAsia" w:ascii="仿宋_GB2312" w:eastAsia="仿宋_GB2312"/>
          <w:sz w:val="28"/>
          <w:szCs w:val="28"/>
        </w:rPr>
        <w:t>元，占收入合计的0%。</w:t>
      </w:r>
    </w:p>
    <w:p w14:paraId="26E6F1BD">
      <w:pPr>
        <w:pStyle w:val="2"/>
        <w:jc w:val="center"/>
      </w:pPr>
      <w:r>
        <w:rPr>
          <w:rFonts w:hint="eastAsia" w:ascii="仿宋_GB2312" w:eastAsia="仿宋_GB2312"/>
          <w:color w:val="000000"/>
          <w:sz w:val="32"/>
        </w:rPr>
        <w:t>图1：收入决算</w:t>
      </w:r>
    </w:p>
    <w:p w14:paraId="789EA5F7">
      <w:pPr>
        <w:pStyle w:val="3"/>
        <w:ind w:firstLine="420"/>
        <w:jc w:val="center"/>
      </w:pPr>
      <w:r>
        <w:drawing>
          <wp:inline distT="0" distB="0" distL="0" distR="0">
            <wp:extent cx="4036695" cy="2328545"/>
            <wp:effectExtent l="0" t="0" r="20955" b="14605"/>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30E6452">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14:paraId="640C1AB4">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2025年度本年支出合计</w:t>
      </w:r>
      <w:r>
        <w:rPr>
          <w:rFonts w:ascii="仿宋_GB2312" w:eastAsia="仿宋_GB2312"/>
          <w:sz w:val="28"/>
          <w:szCs w:val="28"/>
        </w:rPr>
        <w:t>31</w:t>
      </w:r>
      <w:r>
        <w:rPr>
          <w:rFonts w:hint="eastAsia" w:ascii="仿宋_GB2312" w:eastAsia="仿宋_GB2312"/>
          <w:sz w:val="28"/>
          <w:szCs w:val="28"/>
          <w:lang w:val="en-US" w:eastAsia="zh-CN"/>
        </w:rPr>
        <w:t>,</w:t>
      </w:r>
      <w:r>
        <w:rPr>
          <w:rFonts w:ascii="仿宋_GB2312" w:eastAsia="仿宋_GB2312"/>
          <w:sz w:val="28"/>
          <w:szCs w:val="28"/>
        </w:rPr>
        <w:t>500</w:t>
      </w:r>
      <w:r>
        <w:rPr>
          <w:rFonts w:hint="eastAsia" w:ascii="仿宋_GB2312" w:eastAsia="仿宋_GB2312"/>
          <w:sz w:val="28"/>
          <w:szCs w:val="28"/>
          <w:lang w:val="en-US" w:eastAsia="zh-CN"/>
        </w:rPr>
        <w:t>,</w:t>
      </w:r>
      <w:r>
        <w:rPr>
          <w:rFonts w:ascii="仿宋_GB2312" w:eastAsia="仿宋_GB2312"/>
          <w:sz w:val="28"/>
          <w:szCs w:val="28"/>
        </w:rPr>
        <w:t>796.79</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减少13</w:t>
      </w:r>
      <w:r>
        <w:rPr>
          <w:rFonts w:hint="eastAsia" w:ascii="仿宋_GB2312" w:eastAsia="仿宋_GB2312"/>
          <w:sz w:val="28"/>
          <w:szCs w:val="28"/>
          <w:lang w:val="en-US" w:eastAsia="zh-CN"/>
        </w:rPr>
        <w:t>,</w:t>
      </w:r>
      <w:r>
        <w:rPr>
          <w:rFonts w:hint="eastAsia" w:ascii="仿宋_GB2312" w:eastAsia="仿宋_GB2312"/>
          <w:sz w:val="28"/>
          <w:szCs w:val="28"/>
        </w:rPr>
        <w:t>121</w:t>
      </w:r>
      <w:r>
        <w:rPr>
          <w:rFonts w:hint="eastAsia" w:ascii="仿宋_GB2312" w:eastAsia="仿宋_GB2312"/>
          <w:sz w:val="28"/>
          <w:szCs w:val="28"/>
          <w:lang w:val="en-US" w:eastAsia="zh-CN"/>
        </w:rPr>
        <w:t>,</w:t>
      </w:r>
      <w:r>
        <w:rPr>
          <w:rFonts w:hint="eastAsia" w:ascii="仿宋_GB2312" w:eastAsia="仿宋_GB2312"/>
          <w:sz w:val="28"/>
          <w:szCs w:val="28"/>
        </w:rPr>
        <w:t>425.11元，下降</w:t>
      </w:r>
      <w:r>
        <w:rPr>
          <w:rFonts w:hint="eastAsia" w:ascii="仿宋_GB2312" w:eastAsia="仿宋_GB2312"/>
          <w:sz w:val="28"/>
          <w:szCs w:val="28"/>
          <w:lang w:val="en-US" w:eastAsia="zh-CN"/>
        </w:rPr>
        <w:t>29.4</w:t>
      </w:r>
      <w:r>
        <w:rPr>
          <w:rFonts w:hint="eastAsia" w:ascii="仿宋_GB2312" w:eastAsia="仿宋_GB2312"/>
          <w:sz w:val="28"/>
          <w:szCs w:val="28"/>
        </w:rPr>
        <w:t>%，其中：基本支出</w:t>
      </w:r>
      <w:r>
        <w:rPr>
          <w:rFonts w:ascii="仿宋_GB2312" w:eastAsia="仿宋_GB2312"/>
          <w:sz w:val="28"/>
          <w:szCs w:val="28"/>
        </w:rPr>
        <w:t>17</w:t>
      </w:r>
      <w:r>
        <w:rPr>
          <w:rFonts w:hint="eastAsia" w:ascii="仿宋_GB2312" w:eastAsia="仿宋_GB2312"/>
          <w:sz w:val="28"/>
          <w:szCs w:val="28"/>
          <w:lang w:val="en-US" w:eastAsia="zh-CN"/>
        </w:rPr>
        <w:t>,</w:t>
      </w:r>
      <w:r>
        <w:rPr>
          <w:rFonts w:ascii="仿宋_GB2312" w:eastAsia="仿宋_GB2312"/>
          <w:sz w:val="28"/>
          <w:szCs w:val="28"/>
        </w:rPr>
        <w:t>951</w:t>
      </w:r>
      <w:r>
        <w:rPr>
          <w:rFonts w:hint="eastAsia" w:ascii="仿宋_GB2312" w:eastAsia="仿宋_GB2312"/>
          <w:sz w:val="28"/>
          <w:szCs w:val="28"/>
          <w:lang w:val="en-US" w:eastAsia="zh-CN"/>
        </w:rPr>
        <w:t>,</w:t>
      </w:r>
      <w:r>
        <w:rPr>
          <w:rFonts w:ascii="仿宋_GB2312" w:eastAsia="仿宋_GB2312"/>
          <w:sz w:val="28"/>
          <w:szCs w:val="28"/>
        </w:rPr>
        <w:t>214.09</w:t>
      </w:r>
      <w:r>
        <w:rPr>
          <w:rFonts w:hint="eastAsia" w:ascii="仿宋_GB2312" w:eastAsia="仿宋_GB2312"/>
          <w:sz w:val="28"/>
          <w:szCs w:val="28"/>
        </w:rPr>
        <w:t>元，占支出合计的</w:t>
      </w:r>
      <w:r>
        <w:rPr>
          <w:rFonts w:hint="eastAsia" w:ascii="仿宋_GB2312" w:eastAsia="仿宋_GB2312"/>
          <w:sz w:val="28"/>
          <w:szCs w:val="28"/>
          <w:lang w:val="en-US" w:eastAsia="zh-CN"/>
        </w:rPr>
        <w:t>57</w:t>
      </w:r>
      <w:r>
        <w:rPr>
          <w:rFonts w:hint="eastAsia" w:ascii="仿宋_GB2312" w:eastAsia="仿宋_GB2312"/>
          <w:sz w:val="28"/>
          <w:szCs w:val="28"/>
        </w:rPr>
        <w:t>%；项目支出</w:t>
      </w:r>
      <w:r>
        <w:rPr>
          <w:rFonts w:ascii="仿宋_GB2312" w:eastAsia="仿宋_GB2312"/>
          <w:sz w:val="28"/>
          <w:szCs w:val="28"/>
        </w:rPr>
        <w:t>13</w:t>
      </w:r>
      <w:r>
        <w:rPr>
          <w:rFonts w:hint="eastAsia" w:ascii="仿宋_GB2312" w:eastAsia="仿宋_GB2312"/>
          <w:sz w:val="28"/>
          <w:szCs w:val="28"/>
          <w:lang w:val="en-US" w:eastAsia="zh-CN"/>
        </w:rPr>
        <w:t>,</w:t>
      </w:r>
      <w:r>
        <w:rPr>
          <w:rFonts w:ascii="仿宋_GB2312" w:eastAsia="仿宋_GB2312"/>
          <w:sz w:val="28"/>
          <w:szCs w:val="28"/>
        </w:rPr>
        <w:t>549</w:t>
      </w:r>
      <w:r>
        <w:rPr>
          <w:rFonts w:hint="eastAsia" w:ascii="仿宋_GB2312" w:eastAsia="仿宋_GB2312"/>
          <w:sz w:val="28"/>
          <w:szCs w:val="28"/>
          <w:lang w:val="en-US" w:eastAsia="zh-CN"/>
        </w:rPr>
        <w:t>,</w:t>
      </w:r>
      <w:r>
        <w:rPr>
          <w:rFonts w:ascii="仿宋_GB2312" w:eastAsia="仿宋_GB2312"/>
          <w:sz w:val="28"/>
          <w:szCs w:val="28"/>
        </w:rPr>
        <w:t>582.7</w:t>
      </w:r>
      <w:r>
        <w:rPr>
          <w:rFonts w:hint="eastAsia" w:ascii="仿宋_GB2312" w:eastAsia="仿宋_GB2312"/>
          <w:sz w:val="28"/>
          <w:szCs w:val="28"/>
        </w:rPr>
        <w:t>元，占支出合计的43%;上缴上级支出</w:t>
      </w:r>
      <w:r>
        <w:rPr>
          <w:rFonts w:ascii="仿宋_GB2312" w:eastAsia="仿宋_GB2312"/>
          <w:sz w:val="28"/>
          <w:szCs w:val="28"/>
        </w:rPr>
        <w:t>0</w:t>
      </w:r>
      <w:r>
        <w:rPr>
          <w:rFonts w:hint="eastAsia" w:ascii="仿宋_GB2312" w:eastAsia="仿宋_GB2312"/>
          <w:sz w:val="28"/>
          <w:szCs w:val="28"/>
        </w:rPr>
        <w:t>元，占支出合计的0%；经营支出</w:t>
      </w:r>
      <w:r>
        <w:rPr>
          <w:rFonts w:ascii="仿宋_GB2312" w:eastAsia="仿宋_GB2312"/>
          <w:sz w:val="28"/>
          <w:szCs w:val="28"/>
        </w:rPr>
        <w:t>0</w:t>
      </w:r>
      <w:r>
        <w:rPr>
          <w:rFonts w:hint="eastAsia" w:ascii="仿宋_GB2312" w:eastAsia="仿宋_GB2312"/>
          <w:sz w:val="28"/>
          <w:szCs w:val="28"/>
        </w:rPr>
        <w:t>元，占支出合计的0%；对附属单位补助支出</w:t>
      </w:r>
      <w:r>
        <w:rPr>
          <w:rFonts w:ascii="仿宋_GB2312" w:eastAsia="仿宋_GB2312"/>
          <w:sz w:val="28"/>
          <w:szCs w:val="28"/>
        </w:rPr>
        <w:t>0</w:t>
      </w:r>
      <w:r>
        <w:rPr>
          <w:rFonts w:hint="eastAsia" w:ascii="仿宋_GB2312" w:eastAsia="仿宋_GB2312"/>
          <w:sz w:val="28"/>
          <w:szCs w:val="28"/>
        </w:rPr>
        <w:t>元，占支出合计的0%。</w:t>
      </w:r>
    </w:p>
    <w:p w14:paraId="31263D95">
      <w:pPr>
        <w:pStyle w:val="2"/>
        <w:ind w:firstLine="5772" w:firstLineChars="1804"/>
        <w:rPr>
          <w:rFonts w:ascii="仿宋_GB2312" w:eastAsia="仿宋_GB2312"/>
          <w:color w:val="000000"/>
          <w:sz w:val="32"/>
        </w:rPr>
      </w:pPr>
      <w:r>
        <w:rPr>
          <w:rFonts w:hint="eastAsia" w:ascii="仿宋_GB2312" w:eastAsia="仿宋_GB2312"/>
          <w:color w:val="000000"/>
          <w:sz w:val="32"/>
        </w:rPr>
        <w:t>图2：支出决算</w:t>
      </w:r>
    </w:p>
    <w:p w14:paraId="224D794B">
      <w:pPr>
        <w:jc w:val="center"/>
        <w:rPr>
          <w:rFonts w:ascii="黑体" w:eastAsia="黑体"/>
          <w:b/>
          <w:sz w:val="28"/>
          <w:szCs w:val="28"/>
        </w:rPr>
      </w:pPr>
      <w:r>
        <w:drawing>
          <wp:inline distT="0" distB="0" distL="114300" distR="114300">
            <wp:extent cx="4572000" cy="2743200"/>
            <wp:effectExtent l="4445" t="4445" r="14605" b="1460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3102097">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14:paraId="10F8B31F">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2025年度财政拨款收、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31</w:t>
      </w:r>
      <w:r>
        <w:rPr>
          <w:rFonts w:hint="eastAsia" w:ascii="仿宋_GB2312" w:eastAsia="仿宋_GB2312"/>
          <w:sz w:val="28"/>
          <w:szCs w:val="28"/>
          <w:lang w:val="en-US" w:eastAsia="zh-CN"/>
        </w:rPr>
        <w:t>,</w:t>
      </w:r>
      <w:r>
        <w:rPr>
          <w:rFonts w:ascii="仿宋_GB2312" w:eastAsia="仿宋_GB2312"/>
          <w:sz w:val="28"/>
          <w:szCs w:val="28"/>
        </w:rPr>
        <w:t>500</w:t>
      </w:r>
      <w:r>
        <w:rPr>
          <w:rFonts w:hint="eastAsia" w:ascii="仿宋_GB2312" w:eastAsia="仿宋_GB2312"/>
          <w:sz w:val="28"/>
          <w:szCs w:val="28"/>
          <w:lang w:val="en-US" w:eastAsia="zh-CN"/>
        </w:rPr>
        <w:t>,</w:t>
      </w:r>
      <w:r>
        <w:rPr>
          <w:rFonts w:ascii="仿宋_GB2312" w:eastAsia="仿宋_GB2312"/>
          <w:sz w:val="28"/>
          <w:szCs w:val="28"/>
        </w:rPr>
        <w:t>796.79</w:t>
      </w:r>
      <w:r>
        <w:rPr>
          <w:rFonts w:hint="eastAsia" w:ascii="仿宋_GB2312" w:eastAsia="仿宋_GB2312"/>
          <w:sz w:val="28"/>
          <w:szCs w:val="28"/>
        </w:rPr>
        <w:t>元，比上年减少13</w:t>
      </w:r>
      <w:r>
        <w:rPr>
          <w:rFonts w:hint="eastAsia" w:ascii="仿宋_GB2312" w:eastAsia="仿宋_GB2312"/>
          <w:sz w:val="28"/>
          <w:szCs w:val="28"/>
          <w:lang w:val="en-US" w:eastAsia="zh-CN"/>
        </w:rPr>
        <w:t>,</w:t>
      </w:r>
      <w:r>
        <w:rPr>
          <w:rFonts w:hint="eastAsia" w:ascii="仿宋_GB2312" w:eastAsia="仿宋_GB2312"/>
          <w:sz w:val="28"/>
          <w:szCs w:val="28"/>
        </w:rPr>
        <w:t>121</w:t>
      </w:r>
      <w:r>
        <w:rPr>
          <w:rFonts w:hint="eastAsia" w:ascii="仿宋_GB2312" w:eastAsia="仿宋_GB2312"/>
          <w:sz w:val="28"/>
          <w:szCs w:val="28"/>
          <w:lang w:val="en-US" w:eastAsia="zh-CN"/>
        </w:rPr>
        <w:t>,</w:t>
      </w:r>
      <w:r>
        <w:rPr>
          <w:rFonts w:hint="eastAsia" w:ascii="仿宋_GB2312" w:eastAsia="仿宋_GB2312"/>
          <w:sz w:val="28"/>
          <w:szCs w:val="28"/>
        </w:rPr>
        <w:t>425.11元，下降</w:t>
      </w:r>
      <w:r>
        <w:rPr>
          <w:rFonts w:hint="eastAsia" w:ascii="仿宋_GB2312" w:eastAsia="仿宋_GB2312"/>
          <w:sz w:val="28"/>
          <w:szCs w:val="28"/>
          <w:lang w:val="en-US" w:eastAsia="zh-CN"/>
        </w:rPr>
        <w:t>29.4</w:t>
      </w:r>
      <w:r>
        <w:rPr>
          <w:rFonts w:hint="eastAsia" w:ascii="仿宋_GB2312" w:eastAsia="仿宋_GB2312"/>
          <w:sz w:val="28"/>
          <w:szCs w:val="28"/>
        </w:rPr>
        <w:t>%。主要原因：本年度仅支付数字融媒矩阵项目尾款及质保金。</w:t>
      </w:r>
    </w:p>
    <w:p w14:paraId="2AD2FB00">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四、一般公共预算财政拨款支出决算情况说明</w:t>
      </w:r>
    </w:p>
    <w:p w14:paraId="0AB49EB2">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（一）一般公共预算财政拨款支出决算总体情况</w:t>
      </w:r>
    </w:p>
    <w:p w14:paraId="54F7B9D9">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2025年度一般公共预算财政拨款支出</w:t>
      </w:r>
      <w:r>
        <w:rPr>
          <w:rFonts w:ascii="仿宋_GB2312" w:eastAsia="仿宋_GB2312"/>
          <w:sz w:val="28"/>
          <w:szCs w:val="28"/>
        </w:rPr>
        <w:t>31</w:t>
      </w:r>
      <w:r>
        <w:rPr>
          <w:rFonts w:hint="eastAsia" w:ascii="仿宋_GB2312" w:eastAsia="仿宋_GB2312"/>
          <w:sz w:val="28"/>
          <w:szCs w:val="28"/>
          <w:lang w:val="en-US" w:eastAsia="zh-CN"/>
        </w:rPr>
        <w:t>,</w:t>
      </w:r>
      <w:r>
        <w:rPr>
          <w:rFonts w:ascii="仿宋_GB2312" w:eastAsia="仿宋_GB2312"/>
          <w:sz w:val="28"/>
          <w:szCs w:val="28"/>
        </w:rPr>
        <w:t>500</w:t>
      </w:r>
      <w:r>
        <w:rPr>
          <w:rFonts w:hint="eastAsia" w:ascii="仿宋_GB2312" w:eastAsia="仿宋_GB2312"/>
          <w:sz w:val="28"/>
          <w:szCs w:val="28"/>
          <w:lang w:val="en-US" w:eastAsia="zh-CN"/>
        </w:rPr>
        <w:t>,</w:t>
      </w:r>
      <w:r>
        <w:rPr>
          <w:rFonts w:ascii="仿宋_GB2312" w:eastAsia="仿宋_GB2312"/>
          <w:sz w:val="28"/>
          <w:szCs w:val="28"/>
        </w:rPr>
        <w:t>796.79</w:t>
      </w:r>
      <w:r>
        <w:rPr>
          <w:rFonts w:hint="eastAsia" w:ascii="仿宋_GB2312" w:eastAsia="仿宋_GB2312"/>
          <w:sz w:val="28"/>
          <w:szCs w:val="28"/>
        </w:rPr>
        <w:t>元，主要用于以下方面（按大类）：文化旅游体育与传媒支出30,976,074.79元，占本年财政拨款支出</w:t>
      </w:r>
      <w:r>
        <w:rPr>
          <w:rFonts w:hint="eastAsia" w:ascii="仿宋_GB2312" w:eastAsia="仿宋_GB2312"/>
          <w:sz w:val="28"/>
          <w:szCs w:val="28"/>
          <w:lang w:val="en-US" w:eastAsia="zh-CN"/>
        </w:rPr>
        <w:t>98.3</w:t>
      </w:r>
      <w:r>
        <w:rPr>
          <w:rFonts w:hint="eastAsia" w:ascii="仿宋_GB2312" w:eastAsia="仿宋_GB2312"/>
          <w:sz w:val="28"/>
          <w:szCs w:val="28"/>
        </w:rPr>
        <w:t>%社会保障和就业支出499,312</w:t>
      </w:r>
      <w:r>
        <w:rPr>
          <w:rFonts w:hint="eastAsia" w:ascii="仿宋_GB2312" w:eastAsia="仿宋_GB2312"/>
          <w:sz w:val="28"/>
          <w:szCs w:val="28"/>
          <w:lang w:eastAsia="zh-CN"/>
        </w:rPr>
        <w:t>元，</w:t>
      </w:r>
      <w:r>
        <w:rPr>
          <w:rFonts w:hint="eastAsia" w:ascii="仿宋_GB2312" w:eastAsia="仿宋_GB2312"/>
          <w:sz w:val="28"/>
          <w:szCs w:val="28"/>
        </w:rPr>
        <w:t>占本年财政拨款支出</w:t>
      </w:r>
      <w:r>
        <w:rPr>
          <w:rFonts w:hint="eastAsia" w:ascii="仿宋_GB2312" w:eastAsia="仿宋_GB2312"/>
          <w:sz w:val="28"/>
          <w:szCs w:val="28"/>
          <w:lang w:val="en-US" w:eastAsia="zh-CN"/>
        </w:rPr>
        <w:t>1.6%</w:t>
      </w:r>
      <w:r>
        <w:rPr>
          <w:rFonts w:hint="eastAsia" w:ascii="仿宋_GB2312" w:eastAsia="仿宋_GB2312"/>
          <w:sz w:val="28"/>
          <w:szCs w:val="28"/>
        </w:rPr>
        <w:t>；资源勘探工业信息等支出25,410</w:t>
      </w:r>
      <w:r>
        <w:rPr>
          <w:rFonts w:hint="eastAsia" w:ascii="仿宋_GB2312" w:eastAsia="仿宋_GB2312"/>
          <w:sz w:val="28"/>
          <w:szCs w:val="28"/>
          <w:lang w:eastAsia="zh-CN"/>
        </w:rPr>
        <w:t>元，</w:t>
      </w:r>
      <w:r>
        <w:rPr>
          <w:rFonts w:hint="eastAsia" w:ascii="仿宋_GB2312" w:eastAsia="仿宋_GB2312"/>
          <w:sz w:val="28"/>
          <w:szCs w:val="28"/>
        </w:rPr>
        <w:t>占本年财政拨款支出</w:t>
      </w:r>
      <w:r>
        <w:rPr>
          <w:rFonts w:hint="eastAsia" w:ascii="仿宋_GB2312" w:eastAsia="仿宋_GB2312"/>
          <w:sz w:val="28"/>
          <w:szCs w:val="28"/>
          <w:lang w:val="en-US" w:eastAsia="zh-CN"/>
        </w:rPr>
        <w:t>0.1%</w:t>
      </w:r>
      <w:r>
        <w:rPr>
          <w:rFonts w:hint="eastAsia" w:ascii="仿宋_GB2312" w:eastAsia="仿宋_GB2312"/>
          <w:sz w:val="28"/>
          <w:szCs w:val="28"/>
        </w:rPr>
        <w:t>。</w:t>
      </w:r>
    </w:p>
    <w:p w14:paraId="0166AC7F">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（二）一般公共预算财政拨款支出决算具体情况</w:t>
      </w:r>
    </w:p>
    <w:p w14:paraId="5E610F33">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1、“文化旅游体育与传媒支出”（类）2025年度年初预算30</w:t>
      </w:r>
      <w:r>
        <w:rPr>
          <w:rFonts w:hint="eastAsia" w:ascii="仿宋_GB2312" w:eastAsia="仿宋_GB2312"/>
          <w:sz w:val="28"/>
          <w:szCs w:val="28"/>
          <w:lang w:val="en-US" w:eastAsia="zh-CN"/>
        </w:rPr>
        <w:t>,</w:t>
      </w:r>
      <w:r>
        <w:rPr>
          <w:rFonts w:hint="eastAsia" w:ascii="仿宋_GB2312" w:eastAsia="仿宋_GB2312"/>
          <w:sz w:val="28"/>
          <w:szCs w:val="28"/>
        </w:rPr>
        <w:t>828</w:t>
      </w:r>
      <w:r>
        <w:rPr>
          <w:rFonts w:hint="eastAsia" w:ascii="仿宋_GB2312" w:eastAsia="仿宋_GB2312"/>
          <w:sz w:val="28"/>
          <w:szCs w:val="28"/>
          <w:lang w:val="en-US" w:eastAsia="zh-CN"/>
        </w:rPr>
        <w:t>,</w:t>
      </w:r>
      <w:r>
        <w:rPr>
          <w:rFonts w:hint="eastAsia" w:ascii="仿宋_GB2312" w:eastAsia="仿宋_GB2312"/>
          <w:sz w:val="28"/>
          <w:szCs w:val="28"/>
        </w:rPr>
        <w:t>895.48元，2025年度决算30,976,074.79元，完成年初预算的</w:t>
      </w:r>
      <w:r>
        <w:rPr>
          <w:rFonts w:hint="eastAsia" w:ascii="仿宋_GB2312" w:eastAsia="仿宋_GB2312"/>
          <w:sz w:val="28"/>
          <w:szCs w:val="28"/>
          <w:lang w:val="en-US" w:eastAsia="zh-CN"/>
        </w:rPr>
        <w:t>100.5</w:t>
      </w:r>
      <w:r>
        <w:rPr>
          <w:rFonts w:hint="eastAsia" w:ascii="仿宋_GB2312" w:eastAsia="仿宋_GB2312"/>
          <w:sz w:val="28"/>
          <w:szCs w:val="28"/>
        </w:rPr>
        <w:t>%。</w:t>
      </w:r>
    </w:p>
    <w:p w14:paraId="4903DC84">
      <w:pPr>
        <w:autoSpaceDE w:val="0"/>
        <w:autoSpaceDN w:val="0"/>
        <w:adjustRightInd w:val="0"/>
        <w:spacing w:line="580" w:lineRule="exact"/>
        <w:jc w:val="left"/>
        <w:rPr>
          <w:rFonts w:ascii="仿宋_GB2312" w:eastAsia="仿宋_GB2312"/>
          <w:sz w:val="28"/>
          <w:szCs w:val="28"/>
        </w:rPr>
      </w:pPr>
      <w:r>
        <w:rPr>
          <w:rFonts w:hint="eastAsia" w:ascii="仿宋_GB2312" w:eastAsia="仿宋_GB2312"/>
          <w:sz w:val="28"/>
          <w:szCs w:val="28"/>
        </w:rPr>
        <w:t>其中：</w:t>
      </w:r>
    </w:p>
    <w:p w14:paraId="4BE23DBA">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“文化和旅游”（款，下同）2025年度年初预算13</w:t>
      </w:r>
      <w:r>
        <w:rPr>
          <w:rFonts w:hint="eastAsia" w:ascii="仿宋_GB2312" w:eastAsia="仿宋_GB2312"/>
          <w:sz w:val="28"/>
          <w:szCs w:val="28"/>
          <w:lang w:val="en-US" w:eastAsia="zh-CN"/>
        </w:rPr>
        <w:t>,</w:t>
      </w:r>
      <w:r>
        <w:rPr>
          <w:rFonts w:hint="eastAsia" w:ascii="仿宋_GB2312" w:eastAsia="仿宋_GB2312"/>
          <w:sz w:val="28"/>
          <w:szCs w:val="28"/>
        </w:rPr>
        <w:t>254</w:t>
      </w:r>
      <w:r>
        <w:rPr>
          <w:rFonts w:hint="eastAsia" w:ascii="仿宋_GB2312" w:eastAsia="仿宋_GB2312"/>
          <w:sz w:val="28"/>
          <w:szCs w:val="28"/>
          <w:lang w:val="en-US" w:eastAsia="zh-CN"/>
        </w:rPr>
        <w:t>,</w:t>
      </w:r>
      <w:r>
        <w:rPr>
          <w:rFonts w:hint="eastAsia" w:ascii="仿宋_GB2312" w:eastAsia="仿宋_GB2312"/>
          <w:sz w:val="28"/>
          <w:szCs w:val="28"/>
        </w:rPr>
        <w:t>369.7元，2025年度决算13,254,102.7元，完成年初预算的</w:t>
      </w:r>
      <w:r>
        <w:rPr>
          <w:rFonts w:hint="eastAsia" w:ascii="仿宋_GB2312" w:eastAsia="仿宋_GB2312"/>
          <w:sz w:val="28"/>
          <w:szCs w:val="28"/>
          <w:lang w:val="en-US" w:eastAsia="zh-CN"/>
        </w:rPr>
        <w:t>100</w:t>
      </w:r>
      <w:r>
        <w:rPr>
          <w:rFonts w:hint="eastAsia" w:ascii="仿宋_GB2312" w:eastAsia="仿宋_GB2312"/>
          <w:sz w:val="28"/>
          <w:szCs w:val="28"/>
        </w:rPr>
        <w:t>%。</w:t>
      </w:r>
    </w:p>
    <w:p w14:paraId="113627D2">
      <w:pPr>
        <w:spacing w:line="580" w:lineRule="exact"/>
        <w:ind w:firstLine="560" w:firstLineChars="200"/>
        <w:rPr>
          <w:rFonts w:ascii="仿宋_GB2312" w:eastAsia="仿宋_GB2312"/>
          <w:sz w:val="28"/>
          <w:szCs w:val="28"/>
        </w:rPr>
      </w:pPr>
      <w:r>
        <w:rPr>
          <w:rFonts w:hint="eastAsia" w:ascii="仿宋_GB2312" w:eastAsia="仿宋_GB2312"/>
          <w:sz w:val="28"/>
          <w:szCs w:val="28"/>
        </w:rPr>
        <w:t>“广播电视”（款，下同）2025年度年初预算17</w:t>
      </w:r>
      <w:r>
        <w:rPr>
          <w:rFonts w:hint="eastAsia" w:ascii="仿宋_GB2312" w:eastAsia="仿宋_GB2312"/>
          <w:sz w:val="28"/>
          <w:szCs w:val="28"/>
          <w:lang w:val="en-US" w:eastAsia="zh-CN"/>
        </w:rPr>
        <w:t>,</w:t>
      </w:r>
      <w:r>
        <w:rPr>
          <w:rFonts w:hint="eastAsia" w:ascii="仿宋_GB2312" w:eastAsia="仿宋_GB2312"/>
          <w:sz w:val="28"/>
          <w:szCs w:val="28"/>
        </w:rPr>
        <w:t>574</w:t>
      </w:r>
      <w:r>
        <w:rPr>
          <w:rFonts w:hint="eastAsia" w:ascii="仿宋_GB2312" w:eastAsia="仿宋_GB2312"/>
          <w:sz w:val="28"/>
          <w:szCs w:val="28"/>
          <w:lang w:val="en-US" w:eastAsia="zh-CN"/>
        </w:rPr>
        <w:t>,</w:t>
      </w:r>
      <w:r>
        <w:rPr>
          <w:rFonts w:hint="eastAsia" w:ascii="仿宋_GB2312" w:eastAsia="仿宋_GB2312"/>
          <w:sz w:val="28"/>
          <w:szCs w:val="28"/>
        </w:rPr>
        <w:t>525.78元，2025年度决算17,721,972.09元，完成年初预算的</w:t>
      </w:r>
      <w:r>
        <w:rPr>
          <w:rFonts w:hint="eastAsia" w:ascii="仿宋_GB2312" w:eastAsia="仿宋_GB2312"/>
          <w:sz w:val="28"/>
          <w:szCs w:val="28"/>
          <w:lang w:val="en-US" w:eastAsia="zh-CN"/>
        </w:rPr>
        <w:t>100.8</w:t>
      </w:r>
      <w:r>
        <w:rPr>
          <w:rFonts w:hint="eastAsia" w:ascii="仿宋_GB2312" w:eastAsia="仿宋_GB2312"/>
          <w:sz w:val="28"/>
          <w:szCs w:val="28"/>
        </w:rPr>
        <w:t>%。主要原因：</w:t>
      </w:r>
      <w:r>
        <w:rPr>
          <w:rFonts w:hint="eastAsia" w:ascii="仿宋_GB2312" w:eastAsia="仿宋_GB2312"/>
          <w:sz w:val="28"/>
          <w:szCs w:val="28"/>
          <w:highlight w:val="none"/>
          <w:lang w:eastAsia="zh-CN"/>
        </w:rPr>
        <w:t>基本工资、工作津贴调整</w:t>
      </w:r>
      <w:r>
        <w:rPr>
          <w:rFonts w:hint="eastAsia" w:ascii="仿宋_GB2312" w:eastAsia="仿宋_GB2312"/>
          <w:sz w:val="28"/>
          <w:szCs w:val="28"/>
          <w:highlight w:val="none"/>
        </w:rPr>
        <w:t>。</w:t>
      </w:r>
    </w:p>
    <w:p w14:paraId="69ED5D03">
      <w:pPr>
        <w:spacing w:line="580" w:lineRule="exact"/>
        <w:ind w:firstLine="560" w:firstLineChars="200"/>
        <w:rPr>
          <w:rFonts w:ascii="仿宋_GB2312" w:eastAsia="仿宋_GB2312"/>
          <w:sz w:val="28"/>
          <w:szCs w:val="28"/>
        </w:rPr>
      </w:pPr>
      <w:r>
        <w:rPr>
          <w:rFonts w:hint="eastAsia" w:ascii="仿宋_GB2312" w:eastAsia="仿宋_GB2312"/>
          <w:sz w:val="28"/>
          <w:szCs w:val="28"/>
        </w:rPr>
        <w:t>2、“社会保障和就业支出”(类)2025年度年初预算282</w:t>
      </w:r>
      <w:r>
        <w:rPr>
          <w:rFonts w:hint="eastAsia" w:ascii="仿宋_GB2312" w:eastAsia="仿宋_GB2312"/>
          <w:sz w:val="28"/>
          <w:szCs w:val="28"/>
          <w:lang w:val="en-US" w:eastAsia="zh-CN"/>
        </w:rPr>
        <w:t>,</w:t>
      </w:r>
      <w:r>
        <w:rPr>
          <w:rFonts w:hint="eastAsia" w:ascii="仿宋_GB2312" w:eastAsia="仿宋_GB2312"/>
          <w:sz w:val="28"/>
          <w:szCs w:val="28"/>
        </w:rPr>
        <w:t>842元，2025年度决算499,312元，完成年初预算的</w:t>
      </w:r>
      <w:r>
        <w:rPr>
          <w:rFonts w:hint="eastAsia" w:ascii="仿宋_GB2312" w:eastAsia="仿宋_GB2312"/>
          <w:sz w:val="28"/>
          <w:szCs w:val="28"/>
          <w:lang w:val="en-US" w:eastAsia="zh-CN"/>
        </w:rPr>
        <w:t>176.5</w:t>
      </w:r>
      <w:r>
        <w:rPr>
          <w:rFonts w:hint="eastAsia" w:ascii="仿宋_GB2312" w:eastAsia="仿宋_GB2312"/>
          <w:sz w:val="28"/>
          <w:szCs w:val="28"/>
        </w:rPr>
        <w:t>%。其中：</w:t>
      </w:r>
    </w:p>
    <w:p w14:paraId="2EC57B8F">
      <w:pPr>
        <w:spacing w:line="580" w:lineRule="exact"/>
        <w:ind w:firstLine="560" w:firstLineChars="200"/>
        <w:rPr>
          <w:rFonts w:hint="eastAsia" w:ascii="仿宋_GB2312" w:eastAsia="仿宋_GB2312"/>
          <w:sz w:val="28"/>
          <w:szCs w:val="28"/>
          <w:highlight w:val="none"/>
        </w:rPr>
      </w:pPr>
      <w:r>
        <w:rPr>
          <w:rFonts w:hint="eastAsia" w:ascii="仿宋_GB2312" w:eastAsia="仿宋_GB2312"/>
          <w:sz w:val="28"/>
          <w:szCs w:val="28"/>
        </w:rPr>
        <w:t>“行政事业单位养老支出”（款）2025年度年初预算282</w:t>
      </w:r>
      <w:r>
        <w:rPr>
          <w:rFonts w:hint="eastAsia" w:ascii="仿宋_GB2312" w:eastAsia="仿宋_GB2312"/>
          <w:sz w:val="28"/>
          <w:szCs w:val="28"/>
          <w:lang w:val="en-US" w:eastAsia="zh-CN"/>
        </w:rPr>
        <w:t>,</w:t>
      </w:r>
      <w:r>
        <w:rPr>
          <w:rFonts w:hint="eastAsia" w:ascii="仿宋_GB2312" w:eastAsia="仿宋_GB2312"/>
          <w:sz w:val="28"/>
          <w:szCs w:val="28"/>
        </w:rPr>
        <w:t>842元，2025年度决算499,312元，完成年初预算的</w:t>
      </w:r>
      <w:r>
        <w:rPr>
          <w:rFonts w:hint="eastAsia" w:ascii="仿宋_GB2312" w:eastAsia="仿宋_GB2312"/>
          <w:sz w:val="28"/>
          <w:szCs w:val="28"/>
          <w:lang w:val="en-US" w:eastAsia="zh-CN"/>
        </w:rPr>
        <w:t>176.5</w:t>
      </w:r>
      <w:r>
        <w:rPr>
          <w:rFonts w:hint="eastAsia" w:ascii="仿宋_GB2312" w:eastAsia="仿宋_GB2312"/>
          <w:sz w:val="28"/>
          <w:szCs w:val="28"/>
        </w:rPr>
        <w:t>%。主要原因：</w:t>
      </w:r>
      <w:r>
        <w:rPr>
          <w:rFonts w:hint="eastAsia" w:ascii="仿宋_GB2312" w:eastAsia="仿宋_GB2312"/>
          <w:sz w:val="28"/>
          <w:szCs w:val="28"/>
          <w:highlight w:val="none"/>
          <w:lang w:eastAsia="zh-CN"/>
        </w:rPr>
        <w:t>退休去世</w:t>
      </w:r>
      <w:r>
        <w:rPr>
          <w:rFonts w:hint="eastAsia" w:ascii="仿宋_GB2312" w:eastAsia="仿宋_GB2312"/>
          <w:sz w:val="28"/>
          <w:szCs w:val="28"/>
          <w:highlight w:val="none"/>
          <w:lang w:val="en-US" w:eastAsia="zh-CN"/>
        </w:rPr>
        <w:t>1人，追加抚恤金</w:t>
      </w:r>
      <w:r>
        <w:rPr>
          <w:rFonts w:hint="eastAsia" w:ascii="仿宋_GB2312" w:eastAsia="仿宋_GB2312"/>
          <w:sz w:val="28"/>
          <w:szCs w:val="28"/>
          <w:highlight w:val="none"/>
        </w:rPr>
        <w:t>。</w:t>
      </w:r>
    </w:p>
    <w:p w14:paraId="40C51458">
      <w:pPr>
        <w:spacing w:line="580" w:lineRule="exact"/>
        <w:ind w:firstLine="560" w:firstLineChars="200"/>
        <w:rPr>
          <w:rFonts w:ascii="仿宋_GB2312" w:eastAsia="仿宋_GB2312"/>
          <w:sz w:val="28"/>
          <w:szCs w:val="28"/>
        </w:rPr>
      </w:pPr>
      <w:r>
        <w:rPr>
          <w:rFonts w:hint="eastAsia" w:ascii="仿宋_GB2312" w:eastAsia="仿宋_GB2312"/>
          <w:sz w:val="28"/>
          <w:szCs w:val="28"/>
          <w:lang w:val="en-US" w:eastAsia="zh-CN"/>
        </w:rPr>
        <w:t>3</w:t>
      </w:r>
      <w:r>
        <w:rPr>
          <w:rFonts w:hint="eastAsia" w:ascii="仿宋_GB2312" w:eastAsia="仿宋_GB2312"/>
          <w:sz w:val="28"/>
          <w:szCs w:val="28"/>
        </w:rPr>
        <w:t>、“</w:t>
      </w:r>
      <w:r>
        <w:rPr>
          <w:rFonts w:hint="eastAsia" w:ascii="仿宋_GB2312" w:eastAsia="仿宋_GB2312"/>
          <w:sz w:val="28"/>
          <w:szCs w:val="28"/>
          <w:highlight w:val="none"/>
          <w:lang w:eastAsia="zh-CN"/>
        </w:rPr>
        <w:t>资源勘探工业信息等支出</w:t>
      </w:r>
      <w:r>
        <w:rPr>
          <w:rFonts w:hint="eastAsia" w:ascii="仿宋_GB2312" w:eastAsia="仿宋_GB2312"/>
          <w:sz w:val="28"/>
          <w:szCs w:val="28"/>
        </w:rPr>
        <w:t>”(类)2025年度年初预算</w:t>
      </w:r>
      <w:r>
        <w:rPr>
          <w:rFonts w:hint="eastAsia" w:ascii="仿宋_GB2312" w:eastAsia="仿宋_GB2312"/>
          <w:sz w:val="28"/>
          <w:szCs w:val="28"/>
          <w:lang w:val="en-US" w:eastAsia="zh-CN"/>
        </w:rPr>
        <w:t>0</w:t>
      </w:r>
      <w:r>
        <w:rPr>
          <w:rFonts w:hint="eastAsia" w:ascii="仿宋_GB2312" w:eastAsia="仿宋_GB2312"/>
          <w:sz w:val="28"/>
          <w:szCs w:val="28"/>
        </w:rPr>
        <w:t>元，2025年度决算25,410元。其中：</w:t>
      </w:r>
    </w:p>
    <w:p w14:paraId="53D58253">
      <w:pPr>
        <w:spacing w:line="580" w:lineRule="exact"/>
        <w:ind w:firstLine="560" w:firstLineChars="200"/>
        <w:rPr>
          <w:rFonts w:hint="eastAsia" w:ascii="仿宋_GB2312" w:eastAsia="仿宋_GB2312"/>
          <w:sz w:val="28"/>
          <w:szCs w:val="28"/>
          <w:highlight w:val="none"/>
        </w:rPr>
      </w:pPr>
      <w:r>
        <w:rPr>
          <w:rFonts w:hint="eastAsia" w:ascii="仿宋_GB2312" w:eastAsia="仿宋_GB2312"/>
          <w:sz w:val="28"/>
          <w:szCs w:val="28"/>
        </w:rPr>
        <w:t>“制造业”（款）2025年度年初预算</w:t>
      </w:r>
      <w:r>
        <w:rPr>
          <w:rFonts w:hint="eastAsia" w:ascii="仿宋_GB2312" w:eastAsia="仿宋_GB2312"/>
          <w:sz w:val="28"/>
          <w:szCs w:val="28"/>
          <w:lang w:val="en-US" w:eastAsia="zh-CN"/>
        </w:rPr>
        <w:t>0</w:t>
      </w:r>
      <w:r>
        <w:rPr>
          <w:rFonts w:hint="eastAsia" w:ascii="仿宋_GB2312" w:eastAsia="仿宋_GB2312"/>
          <w:sz w:val="28"/>
          <w:szCs w:val="28"/>
        </w:rPr>
        <w:t>元，2025年度决算25,410元。主要原因：</w:t>
      </w:r>
      <w:r>
        <w:rPr>
          <w:rFonts w:hint="eastAsia" w:ascii="仿宋_GB2312" w:eastAsia="仿宋_GB2312"/>
          <w:sz w:val="28"/>
          <w:szCs w:val="28"/>
          <w:highlight w:val="none"/>
          <w:lang w:eastAsia="zh-CN"/>
        </w:rPr>
        <w:t>追加能力提升设备采购项目尾款</w:t>
      </w:r>
      <w:r>
        <w:rPr>
          <w:rFonts w:hint="eastAsia" w:ascii="仿宋_GB2312" w:eastAsia="仿宋_GB2312"/>
          <w:sz w:val="28"/>
          <w:szCs w:val="28"/>
          <w:highlight w:val="none"/>
        </w:rPr>
        <w:t>。</w:t>
      </w:r>
    </w:p>
    <w:p w14:paraId="0283F063">
      <w:pPr>
        <w:spacing w:line="580" w:lineRule="exact"/>
        <w:ind w:firstLine="560" w:firstLineChars="200"/>
        <w:rPr>
          <w:rFonts w:ascii="仿宋_GB2312" w:eastAsia="仿宋_GB2312"/>
          <w:sz w:val="28"/>
          <w:szCs w:val="28"/>
        </w:rPr>
      </w:pPr>
      <w:r>
        <w:rPr>
          <w:rFonts w:hint="eastAsia" w:ascii="黑体" w:eastAsia="黑体"/>
          <w:b/>
          <w:sz w:val="28"/>
          <w:szCs w:val="28"/>
        </w:rPr>
        <w:t>五、政府性基金预算财政拨款支出决算情况说明</w:t>
      </w:r>
    </w:p>
    <w:p w14:paraId="756EAD75">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（一）政府性基金预算财政拨款支出决算总体情况</w:t>
      </w:r>
    </w:p>
    <w:p w14:paraId="1430C74E">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2025年度政府性基金预算财政拨款支出</w:t>
      </w:r>
      <w:r>
        <w:rPr>
          <w:rFonts w:ascii="仿宋_GB2312" w:eastAsia="仿宋_GB2312"/>
          <w:sz w:val="28"/>
          <w:szCs w:val="28"/>
        </w:rPr>
        <w:t>0</w:t>
      </w:r>
      <w:r>
        <w:rPr>
          <w:rFonts w:hint="eastAsia" w:ascii="仿宋_GB2312" w:eastAsia="仿宋_GB2312"/>
          <w:sz w:val="28"/>
          <w:szCs w:val="28"/>
        </w:rPr>
        <w:t>元。</w:t>
      </w:r>
    </w:p>
    <w:p w14:paraId="5D6A5D8A">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（二）政府性基金预算财政拨款支出决算具体情况</w:t>
      </w:r>
    </w:p>
    <w:p w14:paraId="4F253EDE">
      <w:pPr>
        <w:tabs>
          <w:tab w:val="center" w:pos="6979"/>
        </w:tabs>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eastAsia="zh-CN"/>
        </w:rPr>
        <w:t>本年度无此项支出。</w:t>
      </w:r>
    </w:p>
    <w:p w14:paraId="3FD21B36">
      <w:pPr>
        <w:spacing w:line="580" w:lineRule="exact"/>
        <w:ind w:firstLine="560" w:firstLineChars="200"/>
        <w:rPr>
          <w:rFonts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14:paraId="79D8D97C">
      <w:pPr>
        <w:ind w:firstLine="537" w:firstLineChars="192"/>
        <w:rPr>
          <w:rFonts w:ascii="仿宋_GB2312" w:eastAsia="仿宋_GB2312"/>
          <w:sz w:val="28"/>
          <w:szCs w:val="28"/>
        </w:rPr>
      </w:pPr>
      <w:r>
        <w:rPr>
          <w:rFonts w:hint="eastAsia" w:ascii="仿宋_GB2312" w:eastAsia="仿宋_GB2312"/>
          <w:sz w:val="28"/>
          <w:szCs w:val="28"/>
        </w:rPr>
        <w:t>2025年度国有资本经营预算财政</w:t>
      </w:r>
      <w:r>
        <w:rPr>
          <w:rFonts w:ascii="仿宋_GB2312" w:eastAsia="仿宋_GB2312"/>
          <w:sz w:val="28"/>
          <w:szCs w:val="28"/>
        </w:rPr>
        <w:t>拨款</w:t>
      </w:r>
      <w:r>
        <w:rPr>
          <w:rFonts w:hint="eastAsia" w:ascii="仿宋_GB2312" w:eastAsia="仿宋_GB2312"/>
          <w:sz w:val="28"/>
          <w:szCs w:val="28"/>
        </w:rPr>
        <w:t>收入总</w:t>
      </w:r>
      <w:r>
        <w:rPr>
          <w:rFonts w:ascii="仿宋_GB2312" w:eastAsia="仿宋_GB2312"/>
          <w:sz w:val="28"/>
          <w:szCs w:val="28"/>
        </w:rPr>
        <w:t>计0</w:t>
      </w:r>
      <w:r>
        <w:rPr>
          <w:rFonts w:hint="eastAsia" w:ascii="仿宋_GB2312" w:eastAsia="仿宋_GB2312"/>
          <w:sz w:val="28"/>
          <w:szCs w:val="28"/>
        </w:rPr>
        <w:t>元，国有资本经营预算财政</w:t>
      </w:r>
      <w:r>
        <w:rPr>
          <w:rFonts w:ascii="仿宋_GB2312" w:eastAsia="仿宋_GB2312"/>
          <w:sz w:val="28"/>
          <w:szCs w:val="28"/>
        </w:rPr>
        <w:t>拨款</w:t>
      </w:r>
      <w:r>
        <w:rPr>
          <w:rFonts w:hint="eastAsia" w:ascii="仿宋_GB2312" w:eastAsia="仿宋_GB2312"/>
          <w:sz w:val="28"/>
          <w:szCs w:val="28"/>
        </w:rPr>
        <w:t>支出总</w:t>
      </w:r>
      <w:r>
        <w:rPr>
          <w:rFonts w:ascii="仿宋_GB2312" w:eastAsia="仿宋_GB2312"/>
          <w:sz w:val="28"/>
          <w:szCs w:val="28"/>
        </w:rPr>
        <w:t>计0</w:t>
      </w:r>
      <w:r>
        <w:rPr>
          <w:rFonts w:hint="eastAsia" w:ascii="仿宋_GB2312" w:eastAsia="仿宋_GB2312"/>
          <w:sz w:val="28"/>
          <w:szCs w:val="28"/>
        </w:rPr>
        <w:t>元。</w:t>
      </w:r>
    </w:p>
    <w:p w14:paraId="053C772F">
      <w:pPr>
        <w:spacing w:line="580" w:lineRule="exact"/>
        <w:ind w:firstLine="548" w:firstLineChars="196"/>
        <w:rPr>
          <w:rFonts w:ascii="黑体" w:eastAsia="黑体"/>
          <w:sz w:val="28"/>
          <w:szCs w:val="28"/>
        </w:rPr>
      </w:pPr>
      <w:r>
        <w:rPr>
          <w:rFonts w:hint="eastAsia" w:ascii="黑体" w:eastAsia="黑体"/>
          <w:b/>
          <w:sz w:val="28"/>
          <w:szCs w:val="28"/>
        </w:rPr>
        <w:t>七、财政拨款基本支出决算情况说明</w:t>
      </w:r>
    </w:p>
    <w:p w14:paraId="6BDE3F14">
      <w:pPr>
        <w:tabs>
          <w:tab w:val="center" w:pos="6979"/>
        </w:tabs>
        <w:spacing w:line="580" w:lineRule="exact"/>
        <w:ind w:firstLine="548" w:firstLineChars="196"/>
        <w:rPr>
          <w:rFonts w:ascii="黑体" w:eastAsia="黑体"/>
          <w:b/>
          <w:sz w:val="28"/>
          <w:szCs w:val="28"/>
        </w:rPr>
      </w:pPr>
      <w:r>
        <w:rPr>
          <w:rFonts w:hint="eastAsia" w:ascii="仿宋_GB2312" w:eastAsia="仿宋_GB2312"/>
          <w:sz w:val="28"/>
          <w:szCs w:val="28"/>
        </w:rPr>
        <w:t>2025年度使用一般公共预算财政拨款安排基本支出</w:t>
      </w:r>
      <w:r>
        <w:rPr>
          <w:rFonts w:ascii="仿宋_GB2312" w:eastAsia="仿宋_GB2312"/>
          <w:sz w:val="28"/>
          <w:szCs w:val="28"/>
        </w:rPr>
        <w:t>17</w:t>
      </w:r>
      <w:r>
        <w:rPr>
          <w:rFonts w:hint="eastAsia" w:ascii="仿宋_GB2312" w:eastAsia="仿宋_GB2312"/>
          <w:sz w:val="28"/>
          <w:szCs w:val="28"/>
          <w:lang w:val="en-US" w:eastAsia="zh-CN"/>
        </w:rPr>
        <w:t>,</w:t>
      </w:r>
      <w:r>
        <w:rPr>
          <w:rFonts w:ascii="仿宋_GB2312" w:eastAsia="仿宋_GB2312"/>
          <w:sz w:val="28"/>
          <w:szCs w:val="28"/>
        </w:rPr>
        <w:t>951</w:t>
      </w:r>
      <w:r>
        <w:rPr>
          <w:rFonts w:hint="eastAsia" w:ascii="仿宋_GB2312" w:eastAsia="仿宋_GB2312"/>
          <w:sz w:val="28"/>
          <w:szCs w:val="28"/>
          <w:lang w:val="en-US" w:eastAsia="zh-CN"/>
        </w:rPr>
        <w:t>,</w:t>
      </w:r>
      <w:r>
        <w:rPr>
          <w:rFonts w:ascii="仿宋_GB2312" w:eastAsia="仿宋_GB2312"/>
          <w:sz w:val="28"/>
          <w:szCs w:val="28"/>
        </w:rPr>
        <w:t>214.09</w:t>
      </w:r>
      <w:r>
        <w:rPr>
          <w:rFonts w:hint="eastAsia" w:ascii="仿宋_GB2312" w:eastAsia="仿宋_GB2312"/>
          <w:sz w:val="28"/>
          <w:szCs w:val="28"/>
        </w:rPr>
        <w:t>元，使用政府性基金财政拨款安排基本支出</w:t>
      </w:r>
      <w:r>
        <w:rPr>
          <w:rFonts w:ascii="仿宋_GB2312" w:eastAsia="仿宋_GB2312"/>
          <w:sz w:val="28"/>
          <w:szCs w:val="28"/>
        </w:rPr>
        <w:t>0</w:t>
      </w:r>
      <w:r>
        <w:rPr>
          <w:rFonts w:hint="eastAsia" w:ascii="仿宋_GB2312" w:eastAsia="仿宋_GB2312"/>
          <w:sz w:val="28"/>
          <w:szCs w:val="28"/>
        </w:rPr>
        <w:t>元，（1）工资福利支出包括基本工资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hint="eastAsia" w:ascii="仿宋_GB2312" w:eastAsia="仿宋_GB2312"/>
          <w:sz w:val="28"/>
          <w:szCs w:val="28"/>
        </w:rPr>
        <w:t>用</w:t>
      </w:r>
      <w:r>
        <w:rPr>
          <w:rFonts w:ascii="仿宋_GB2312" w:eastAsia="仿宋_GB2312"/>
          <w:sz w:val="28"/>
          <w:szCs w:val="28"/>
        </w:rPr>
        <w:t>、其他商品和服务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rPr>
        <w:t>等</w:t>
      </w:r>
      <w:r>
        <w:rPr>
          <w:rFonts w:ascii="仿宋_GB2312" w:eastAsia="仿宋_GB2312"/>
          <w:sz w:val="28"/>
          <w:szCs w:val="28"/>
        </w:rPr>
        <w:t>。</w:t>
      </w:r>
    </w:p>
    <w:p w14:paraId="7CF6D2F2">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14:paraId="2EBCE25C">
      <w:pPr>
        <w:tabs>
          <w:tab w:val="center" w:pos="6979"/>
        </w:tabs>
        <w:jc w:val="center"/>
        <w:rPr>
          <w:rFonts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14:paraId="26D8FE9D">
      <w:pPr>
        <w:spacing w:line="560" w:lineRule="exact"/>
        <w:ind w:firstLine="560" w:firstLineChars="200"/>
        <w:rPr>
          <w:rFonts w:ascii="黑体" w:eastAsia="黑体"/>
          <w:sz w:val="28"/>
          <w:szCs w:val="28"/>
        </w:rPr>
      </w:pPr>
      <w:r>
        <w:rPr>
          <w:rFonts w:hint="eastAsia" w:ascii="黑体" w:eastAsia="黑体"/>
          <w:sz w:val="28"/>
          <w:szCs w:val="28"/>
        </w:rPr>
        <w:t>一、“三公”经费财政拨款决算情况</w:t>
      </w:r>
    </w:p>
    <w:p w14:paraId="2C40E20D">
      <w:pPr>
        <w:spacing w:line="560" w:lineRule="exact"/>
        <w:ind w:firstLine="600"/>
        <w:rPr>
          <w:rFonts w:ascii="仿宋_GB2312" w:eastAsia="仿宋_GB2312"/>
          <w:sz w:val="28"/>
          <w:szCs w:val="28"/>
        </w:rPr>
      </w:pPr>
      <w:r>
        <w:rPr>
          <w:rFonts w:hint="eastAsia" w:ascii="仿宋_GB2312" w:eastAsia="仿宋_GB2312"/>
          <w:sz w:val="28"/>
          <w:szCs w:val="28"/>
        </w:rPr>
        <w:t>2025年度“三公”经费财政拨款决算数</w:t>
      </w:r>
      <w:r>
        <w:rPr>
          <w:rFonts w:ascii="仿宋_GB2312" w:eastAsia="仿宋_GB2312"/>
          <w:sz w:val="28"/>
          <w:szCs w:val="28"/>
        </w:rPr>
        <w:t>54</w:t>
      </w:r>
      <w:r>
        <w:rPr>
          <w:rFonts w:hint="eastAsia" w:ascii="仿宋_GB2312" w:eastAsia="仿宋_GB2312"/>
          <w:sz w:val="28"/>
          <w:szCs w:val="28"/>
          <w:lang w:val="en-US" w:eastAsia="zh-CN"/>
        </w:rPr>
        <w:t>,</w:t>
      </w:r>
      <w:r>
        <w:rPr>
          <w:rFonts w:ascii="仿宋_GB2312" w:eastAsia="仿宋_GB2312"/>
          <w:sz w:val="28"/>
          <w:szCs w:val="28"/>
        </w:rPr>
        <w:t>000</w:t>
      </w:r>
      <w:r>
        <w:rPr>
          <w:rFonts w:hint="eastAsia" w:ascii="仿宋_GB2312" w:eastAsia="仿宋_GB2312"/>
          <w:sz w:val="28"/>
          <w:szCs w:val="28"/>
        </w:rPr>
        <w:t>元，比2025年度“三公”经费财政拨款年初预算</w:t>
      </w:r>
      <w:r>
        <w:rPr>
          <w:rFonts w:ascii="仿宋_GB2312" w:eastAsia="仿宋_GB2312"/>
          <w:sz w:val="28"/>
          <w:szCs w:val="28"/>
        </w:rPr>
        <w:t>62</w:t>
      </w:r>
      <w:r>
        <w:rPr>
          <w:rFonts w:hint="eastAsia" w:ascii="仿宋_GB2312" w:eastAsia="仿宋_GB2312"/>
          <w:sz w:val="28"/>
          <w:szCs w:val="28"/>
          <w:lang w:val="en-US" w:eastAsia="zh-CN"/>
        </w:rPr>
        <w:t>,</w:t>
      </w:r>
      <w:r>
        <w:rPr>
          <w:rFonts w:ascii="仿宋_GB2312" w:eastAsia="仿宋_GB2312"/>
          <w:sz w:val="28"/>
          <w:szCs w:val="28"/>
        </w:rPr>
        <w:t>500</w:t>
      </w:r>
      <w:r>
        <w:rPr>
          <w:rFonts w:hint="eastAsia" w:ascii="仿宋_GB2312" w:eastAsia="仿宋_GB2312"/>
          <w:sz w:val="28"/>
          <w:szCs w:val="28"/>
        </w:rPr>
        <w:t>元减少</w:t>
      </w:r>
      <w:r>
        <w:rPr>
          <w:rFonts w:ascii="仿宋_GB2312" w:eastAsia="仿宋_GB2312"/>
          <w:sz w:val="28"/>
          <w:szCs w:val="28"/>
        </w:rPr>
        <w:t>8</w:t>
      </w:r>
      <w:r>
        <w:rPr>
          <w:rFonts w:hint="eastAsia" w:ascii="仿宋_GB2312" w:eastAsia="仿宋_GB2312"/>
          <w:sz w:val="28"/>
          <w:szCs w:val="28"/>
          <w:lang w:val="en-US" w:eastAsia="zh-CN"/>
        </w:rPr>
        <w:t>,</w:t>
      </w:r>
      <w:r>
        <w:rPr>
          <w:rFonts w:ascii="仿宋_GB2312" w:eastAsia="仿宋_GB2312"/>
          <w:sz w:val="28"/>
          <w:szCs w:val="28"/>
        </w:rPr>
        <w:t>500</w:t>
      </w:r>
      <w:r>
        <w:rPr>
          <w:rFonts w:hint="eastAsia" w:ascii="仿宋_GB2312" w:eastAsia="仿宋_GB2312"/>
          <w:sz w:val="28"/>
          <w:szCs w:val="28"/>
        </w:rPr>
        <w:t>元。其中：</w:t>
      </w:r>
    </w:p>
    <w:p w14:paraId="35FE5B64">
      <w:pPr>
        <w:spacing w:line="560" w:lineRule="exact"/>
        <w:ind w:firstLine="600"/>
        <w:rPr>
          <w:rFonts w:ascii="仿宋_GB2312" w:eastAsia="仿宋_GB2312"/>
          <w:sz w:val="28"/>
          <w:szCs w:val="28"/>
        </w:rPr>
      </w:pPr>
      <w:r>
        <w:rPr>
          <w:rFonts w:hint="eastAsia" w:ascii="仿宋_GB2312" w:eastAsia="仿宋_GB2312"/>
          <w:sz w:val="28"/>
          <w:szCs w:val="28"/>
        </w:rPr>
        <w:t>1.因公出国（境）费用。2025年度决算数</w:t>
      </w:r>
      <w:r>
        <w:rPr>
          <w:rFonts w:ascii="仿宋_GB2312" w:eastAsia="仿宋_GB2312"/>
          <w:sz w:val="28"/>
          <w:szCs w:val="28"/>
        </w:rPr>
        <w:t>0</w:t>
      </w:r>
      <w:r>
        <w:rPr>
          <w:rFonts w:hint="eastAsia" w:ascii="仿宋_GB2312" w:eastAsia="仿宋_GB2312"/>
          <w:sz w:val="28"/>
          <w:szCs w:val="28"/>
        </w:rPr>
        <w:t>元，比2025年度年初预算数</w:t>
      </w:r>
      <w:r>
        <w:rPr>
          <w:rFonts w:ascii="仿宋_GB2312" w:eastAsia="仿宋_GB2312"/>
          <w:sz w:val="28"/>
          <w:szCs w:val="28"/>
        </w:rPr>
        <w:t>0</w:t>
      </w:r>
      <w:r>
        <w:rPr>
          <w:rFonts w:hint="eastAsia" w:ascii="仿宋_GB2312" w:eastAsia="仿宋_GB2312"/>
          <w:sz w:val="28"/>
          <w:szCs w:val="28"/>
        </w:rPr>
        <w:t>元增加（减少）</w:t>
      </w:r>
      <w:r>
        <w:rPr>
          <w:rFonts w:ascii="仿宋_GB2312" w:eastAsia="仿宋_GB2312"/>
          <w:sz w:val="28"/>
          <w:szCs w:val="28"/>
        </w:rPr>
        <w:t>0</w:t>
      </w:r>
      <w:r>
        <w:rPr>
          <w:rFonts w:hint="eastAsia" w:ascii="仿宋_GB2312" w:eastAsia="仿宋_GB2312"/>
          <w:sz w:val="28"/>
          <w:szCs w:val="28"/>
        </w:rPr>
        <w:t>元。主要原因：</w:t>
      </w:r>
      <w:r>
        <w:rPr>
          <w:rFonts w:hint="eastAsia" w:ascii="仿宋_GB2312" w:eastAsia="仿宋_GB2312"/>
          <w:sz w:val="28"/>
          <w:szCs w:val="28"/>
          <w:lang w:eastAsia="zh-CN"/>
        </w:rPr>
        <w:t>本单位无此项支出</w:t>
      </w:r>
      <w:r>
        <w:rPr>
          <w:rFonts w:hint="eastAsia" w:ascii="仿宋_GB2312" w:eastAsia="仿宋_GB2312"/>
          <w:sz w:val="28"/>
          <w:szCs w:val="28"/>
        </w:rPr>
        <w:t>；2025年度因公出国（境）费用</w:t>
      </w:r>
      <w:r>
        <w:rPr>
          <w:rFonts w:hint="eastAsia" w:ascii="仿宋_GB2312" w:eastAsia="仿宋_GB2312"/>
          <w:sz w:val="28"/>
          <w:szCs w:val="28"/>
          <w:lang w:eastAsia="zh-CN"/>
        </w:rPr>
        <w:t>无此项支出</w:t>
      </w:r>
      <w:r>
        <w:rPr>
          <w:rFonts w:hint="eastAsia" w:ascii="仿宋_GB2312" w:eastAsia="仿宋_GB2312"/>
          <w:sz w:val="28"/>
          <w:szCs w:val="28"/>
        </w:rPr>
        <w:t>，2025年度组织因公出国（境）团组0个、0人次。</w:t>
      </w:r>
    </w:p>
    <w:p w14:paraId="1C60D531">
      <w:pPr>
        <w:spacing w:line="560" w:lineRule="exact"/>
        <w:ind w:firstLine="600"/>
        <w:rPr>
          <w:rFonts w:ascii="仿宋_GB2312" w:eastAsia="仿宋_GB2312"/>
          <w:sz w:val="28"/>
          <w:szCs w:val="28"/>
        </w:rPr>
      </w:pPr>
      <w:r>
        <w:rPr>
          <w:rFonts w:hint="eastAsia" w:ascii="仿宋_GB2312" w:eastAsia="仿宋_GB2312"/>
          <w:sz w:val="28"/>
          <w:szCs w:val="28"/>
        </w:rPr>
        <w:t>2.公务接待费。2025年度决算数</w:t>
      </w:r>
      <w:r>
        <w:rPr>
          <w:rFonts w:ascii="仿宋_GB2312" w:eastAsia="仿宋_GB2312"/>
          <w:sz w:val="28"/>
          <w:szCs w:val="28"/>
        </w:rPr>
        <w:t>0</w:t>
      </w:r>
      <w:r>
        <w:rPr>
          <w:rFonts w:hint="eastAsia" w:ascii="仿宋_GB2312" w:eastAsia="仿宋_GB2312"/>
          <w:sz w:val="28"/>
          <w:szCs w:val="28"/>
        </w:rPr>
        <w:t>元，比2025年度年初预算数</w:t>
      </w:r>
      <w:r>
        <w:rPr>
          <w:rFonts w:ascii="仿宋_GB2312" w:eastAsia="仿宋_GB2312"/>
          <w:sz w:val="28"/>
          <w:szCs w:val="28"/>
        </w:rPr>
        <w:t>8</w:t>
      </w:r>
      <w:r>
        <w:rPr>
          <w:rFonts w:hint="eastAsia" w:ascii="仿宋_GB2312" w:eastAsia="仿宋_GB2312"/>
          <w:sz w:val="28"/>
          <w:szCs w:val="28"/>
          <w:lang w:val="en-US" w:eastAsia="zh-CN"/>
        </w:rPr>
        <w:t>,</w:t>
      </w:r>
      <w:r>
        <w:rPr>
          <w:rFonts w:ascii="仿宋_GB2312" w:eastAsia="仿宋_GB2312"/>
          <w:sz w:val="28"/>
          <w:szCs w:val="28"/>
        </w:rPr>
        <w:t>500</w:t>
      </w:r>
      <w:r>
        <w:rPr>
          <w:rFonts w:hint="eastAsia" w:ascii="仿宋_GB2312" w:eastAsia="仿宋_GB2312"/>
          <w:sz w:val="28"/>
          <w:szCs w:val="28"/>
        </w:rPr>
        <w:t>元减少</w:t>
      </w:r>
      <w:r>
        <w:rPr>
          <w:rFonts w:ascii="仿宋_GB2312" w:eastAsia="仿宋_GB2312"/>
          <w:sz w:val="28"/>
          <w:szCs w:val="28"/>
        </w:rPr>
        <w:t>8</w:t>
      </w:r>
      <w:r>
        <w:rPr>
          <w:rFonts w:hint="eastAsia" w:ascii="仿宋_GB2312" w:eastAsia="仿宋_GB2312"/>
          <w:sz w:val="28"/>
          <w:szCs w:val="28"/>
          <w:lang w:val="en-US" w:eastAsia="zh-CN"/>
        </w:rPr>
        <w:t>,</w:t>
      </w:r>
      <w:r>
        <w:rPr>
          <w:rFonts w:ascii="仿宋_GB2312" w:eastAsia="仿宋_GB2312"/>
          <w:sz w:val="28"/>
          <w:szCs w:val="28"/>
        </w:rPr>
        <w:t>500</w:t>
      </w:r>
      <w:r>
        <w:rPr>
          <w:rFonts w:hint="eastAsia" w:ascii="仿宋_GB2312" w:eastAsia="仿宋_GB2312"/>
          <w:sz w:val="28"/>
          <w:szCs w:val="28"/>
        </w:rPr>
        <w:t>元。主要原因：</w:t>
      </w:r>
      <w:r>
        <w:rPr>
          <w:rFonts w:hint="eastAsia" w:ascii="仿宋_GB2312" w:eastAsia="仿宋_GB2312"/>
          <w:sz w:val="28"/>
          <w:szCs w:val="28"/>
          <w:lang w:eastAsia="zh-CN"/>
        </w:rPr>
        <w:t>本单位无此项支出</w:t>
      </w:r>
      <w:r>
        <w:rPr>
          <w:rFonts w:hint="eastAsia" w:ascii="仿宋_GB2312" w:eastAsia="仿宋_GB2312"/>
          <w:sz w:val="28"/>
          <w:szCs w:val="28"/>
        </w:rPr>
        <w:t>。2025年度公务接待费</w:t>
      </w:r>
      <w:r>
        <w:rPr>
          <w:rFonts w:hint="eastAsia" w:ascii="仿宋_GB2312" w:eastAsia="仿宋_GB2312"/>
          <w:sz w:val="28"/>
          <w:szCs w:val="28"/>
          <w:lang w:eastAsia="zh-CN"/>
        </w:rPr>
        <w:t>本单位无此项支出</w:t>
      </w:r>
      <w:r>
        <w:rPr>
          <w:rFonts w:hint="eastAsia" w:ascii="仿宋_GB2312" w:eastAsia="仿宋_GB2312"/>
          <w:sz w:val="28"/>
          <w:szCs w:val="28"/>
        </w:rPr>
        <w:t>。公务接待0批次，公务接待0人次。</w:t>
      </w:r>
    </w:p>
    <w:p w14:paraId="07A86611">
      <w:pPr>
        <w:spacing w:line="560" w:lineRule="exact"/>
        <w:ind w:firstLine="560" w:firstLineChars="200"/>
        <w:rPr>
          <w:rFonts w:ascii="仿宋_GB2312" w:eastAsia="仿宋_GB2312"/>
          <w:sz w:val="28"/>
          <w:szCs w:val="28"/>
        </w:rPr>
      </w:pPr>
      <w:r>
        <w:rPr>
          <w:rFonts w:hint="eastAsia" w:ascii="仿宋_GB2312" w:eastAsia="仿宋_GB2312"/>
          <w:sz w:val="28"/>
          <w:szCs w:val="28"/>
        </w:rPr>
        <w:t>3.公务用车购置及运行维护费。2025年度决算数</w:t>
      </w:r>
      <w:r>
        <w:rPr>
          <w:rFonts w:ascii="仿宋_GB2312" w:eastAsia="仿宋_GB2312"/>
          <w:sz w:val="28"/>
          <w:szCs w:val="28"/>
        </w:rPr>
        <w:t>54</w:t>
      </w:r>
      <w:r>
        <w:rPr>
          <w:rFonts w:hint="eastAsia" w:ascii="仿宋_GB2312" w:eastAsia="仿宋_GB2312"/>
          <w:sz w:val="28"/>
          <w:szCs w:val="28"/>
          <w:lang w:val="en-US" w:eastAsia="zh-CN"/>
        </w:rPr>
        <w:t>,</w:t>
      </w:r>
      <w:r>
        <w:rPr>
          <w:rFonts w:ascii="仿宋_GB2312" w:eastAsia="仿宋_GB2312"/>
          <w:sz w:val="28"/>
          <w:szCs w:val="28"/>
        </w:rPr>
        <w:t>000</w:t>
      </w:r>
      <w:r>
        <w:rPr>
          <w:rFonts w:hint="eastAsia" w:ascii="仿宋_GB2312" w:eastAsia="仿宋_GB2312"/>
          <w:sz w:val="28"/>
          <w:szCs w:val="28"/>
        </w:rPr>
        <w:t>元，比2025年度年初预算数</w:t>
      </w:r>
      <w:r>
        <w:rPr>
          <w:rFonts w:ascii="仿宋_GB2312" w:eastAsia="仿宋_GB2312"/>
          <w:sz w:val="28"/>
          <w:szCs w:val="28"/>
        </w:rPr>
        <w:t>54</w:t>
      </w:r>
      <w:r>
        <w:rPr>
          <w:rFonts w:hint="eastAsia" w:ascii="仿宋_GB2312" w:eastAsia="仿宋_GB2312"/>
          <w:sz w:val="28"/>
          <w:szCs w:val="28"/>
          <w:lang w:val="en-US" w:eastAsia="zh-CN"/>
        </w:rPr>
        <w:t>,</w:t>
      </w:r>
      <w:r>
        <w:rPr>
          <w:rFonts w:ascii="仿宋_GB2312" w:eastAsia="仿宋_GB2312"/>
          <w:sz w:val="28"/>
          <w:szCs w:val="28"/>
        </w:rPr>
        <w:t>000</w:t>
      </w:r>
      <w:r>
        <w:rPr>
          <w:rFonts w:hint="eastAsia" w:ascii="仿宋_GB2312" w:eastAsia="仿宋_GB2312"/>
          <w:sz w:val="28"/>
          <w:szCs w:val="28"/>
        </w:rPr>
        <w:t>元增加</w:t>
      </w:r>
      <w:r>
        <w:rPr>
          <w:rFonts w:ascii="仿宋_GB2312" w:eastAsia="仿宋_GB2312"/>
          <w:sz w:val="28"/>
          <w:szCs w:val="28"/>
        </w:rPr>
        <w:t>0</w:t>
      </w:r>
      <w:r>
        <w:rPr>
          <w:rFonts w:hint="eastAsia" w:ascii="仿宋_GB2312" w:eastAsia="仿宋_GB2312"/>
          <w:sz w:val="28"/>
          <w:szCs w:val="28"/>
        </w:rPr>
        <w:t>元。其中，公务用车购置费2025年度决算数0元，主要原因：</w:t>
      </w:r>
      <w:r>
        <w:rPr>
          <w:rFonts w:hint="eastAsia" w:ascii="仿宋_GB2312" w:eastAsia="仿宋_GB2312"/>
          <w:sz w:val="28"/>
          <w:szCs w:val="28"/>
          <w:lang w:eastAsia="zh-CN"/>
        </w:rPr>
        <w:t>本单位无此项支出</w:t>
      </w:r>
      <w:r>
        <w:rPr>
          <w:rFonts w:hint="eastAsia" w:ascii="仿宋_GB2312" w:eastAsia="仿宋_GB2312"/>
          <w:sz w:val="28"/>
          <w:szCs w:val="28"/>
        </w:rPr>
        <w:t>，2025年度购置（更新）0辆。公务用车运行维护费2025年度决算数54</w:t>
      </w:r>
      <w:r>
        <w:rPr>
          <w:rFonts w:hint="eastAsia" w:ascii="仿宋_GB2312" w:eastAsia="仿宋_GB2312"/>
          <w:sz w:val="28"/>
          <w:szCs w:val="28"/>
          <w:lang w:val="en-US" w:eastAsia="zh-CN"/>
        </w:rPr>
        <w:t>,</w:t>
      </w:r>
      <w:r>
        <w:rPr>
          <w:rFonts w:hint="eastAsia" w:ascii="仿宋_GB2312" w:eastAsia="仿宋_GB2312"/>
          <w:sz w:val="28"/>
          <w:szCs w:val="28"/>
        </w:rPr>
        <w:t>000元，主要原因：</w:t>
      </w:r>
      <w:r>
        <w:rPr>
          <w:rFonts w:hint="eastAsia" w:ascii="仿宋_GB2312" w:eastAsia="仿宋_GB2312"/>
          <w:sz w:val="28"/>
          <w:szCs w:val="28"/>
          <w:lang w:eastAsia="zh-CN"/>
        </w:rPr>
        <w:t>公务车燃油费、维修费及保险等费用支出</w:t>
      </w:r>
      <w:r>
        <w:rPr>
          <w:rFonts w:hint="eastAsia" w:ascii="仿宋_GB2312" w:eastAsia="仿宋_GB2312"/>
          <w:sz w:val="28"/>
          <w:szCs w:val="28"/>
        </w:rPr>
        <w:t>。2025年度公务用车保有量</w:t>
      </w:r>
      <w:r>
        <w:rPr>
          <w:rFonts w:ascii="仿宋_GB2312" w:eastAsia="仿宋_GB2312"/>
          <w:sz w:val="28"/>
          <w:szCs w:val="28"/>
        </w:rPr>
        <w:t>3</w:t>
      </w:r>
      <w:r>
        <w:rPr>
          <w:rFonts w:hint="eastAsia" w:ascii="仿宋_GB2312" w:eastAsia="仿宋_GB2312"/>
          <w:sz w:val="28"/>
          <w:szCs w:val="28"/>
        </w:rPr>
        <w:t>辆。</w:t>
      </w:r>
    </w:p>
    <w:p w14:paraId="13D873A2">
      <w:pPr>
        <w:tabs>
          <w:tab w:val="center" w:pos="6979"/>
        </w:tabs>
        <w:ind w:firstLine="554" w:firstLineChars="198"/>
        <w:rPr>
          <w:rFonts w:ascii="黑体" w:eastAsia="黑体"/>
          <w:sz w:val="28"/>
          <w:szCs w:val="28"/>
        </w:rPr>
      </w:pPr>
      <w:r>
        <w:rPr>
          <w:rFonts w:hint="eastAsia" w:ascii="黑体" w:eastAsia="黑体"/>
          <w:sz w:val="28"/>
          <w:szCs w:val="28"/>
        </w:rPr>
        <w:t>二、机关运行经费支出情况</w:t>
      </w:r>
    </w:p>
    <w:p w14:paraId="61B45706">
      <w:pPr>
        <w:ind w:firstLine="537" w:firstLineChars="192"/>
        <w:rPr>
          <w:rFonts w:ascii="仿宋_GB2312" w:eastAsia="仿宋_GB2312"/>
          <w:sz w:val="28"/>
          <w:szCs w:val="28"/>
        </w:rPr>
      </w:pPr>
      <w:r>
        <w:rPr>
          <w:rFonts w:hint="eastAsia" w:ascii="仿宋_GB2312" w:eastAsia="仿宋_GB2312"/>
          <w:sz w:val="28"/>
          <w:szCs w:val="28"/>
        </w:rPr>
        <w:t>本部门2025年无机关运行经费。</w:t>
      </w:r>
    </w:p>
    <w:p w14:paraId="7FBE223A">
      <w:pPr>
        <w:ind w:left="540"/>
        <w:rPr>
          <w:rFonts w:ascii="黑体" w:eastAsia="黑体"/>
          <w:sz w:val="28"/>
          <w:szCs w:val="28"/>
        </w:rPr>
      </w:pPr>
      <w:r>
        <w:rPr>
          <w:rFonts w:hint="eastAsia" w:ascii="黑体" w:eastAsia="黑体"/>
          <w:sz w:val="28"/>
          <w:szCs w:val="28"/>
        </w:rPr>
        <w:t>三、政府采购支出情况</w:t>
      </w:r>
    </w:p>
    <w:p w14:paraId="53E5E35F">
      <w:pPr>
        <w:ind w:firstLine="537" w:firstLineChars="192"/>
        <w:rPr>
          <w:rFonts w:ascii="仿宋_GB2312" w:eastAsia="仿宋_GB2312"/>
          <w:sz w:val="28"/>
          <w:szCs w:val="28"/>
        </w:rPr>
      </w:pPr>
      <w:r>
        <w:rPr>
          <w:rFonts w:hint="eastAsia" w:ascii="仿宋_GB2312" w:eastAsia="仿宋_GB2312"/>
          <w:sz w:val="28"/>
          <w:szCs w:val="28"/>
        </w:rPr>
        <w:t>2025年度政府采购支出总额</w:t>
      </w:r>
      <w:r>
        <w:rPr>
          <w:rFonts w:ascii="仿宋_GB2312" w:eastAsia="仿宋_GB2312"/>
          <w:sz w:val="28"/>
          <w:szCs w:val="28"/>
        </w:rPr>
        <w:t>3</w:t>
      </w:r>
      <w:r>
        <w:rPr>
          <w:rFonts w:hint="eastAsia" w:ascii="仿宋_GB2312" w:eastAsia="仿宋_GB2312"/>
          <w:sz w:val="28"/>
          <w:szCs w:val="28"/>
          <w:lang w:val="en-US" w:eastAsia="zh-CN"/>
        </w:rPr>
        <w:t>,</w:t>
      </w:r>
      <w:r>
        <w:rPr>
          <w:rFonts w:ascii="仿宋_GB2312" w:eastAsia="仿宋_GB2312"/>
          <w:sz w:val="28"/>
          <w:szCs w:val="28"/>
        </w:rPr>
        <w:t>147</w:t>
      </w:r>
      <w:r>
        <w:rPr>
          <w:rFonts w:hint="eastAsia" w:ascii="仿宋_GB2312" w:eastAsia="仿宋_GB2312"/>
          <w:sz w:val="28"/>
          <w:szCs w:val="28"/>
          <w:lang w:val="en-US" w:eastAsia="zh-CN"/>
        </w:rPr>
        <w:t>,</w:t>
      </w:r>
      <w:r>
        <w:rPr>
          <w:rFonts w:ascii="仿宋_GB2312" w:eastAsia="仿宋_GB2312"/>
          <w:sz w:val="28"/>
          <w:szCs w:val="28"/>
        </w:rPr>
        <w:t>700</w:t>
      </w:r>
      <w:r>
        <w:rPr>
          <w:rFonts w:hint="eastAsia" w:ascii="仿宋_GB2312" w:eastAsia="仿宋_GB2312"/>
          <w:sz w:val="28"/>
          <w:szCs w:val="28"/>
        </w:rPr>
        <w:t>元，其中：政府采购货物支出</w:t>
      </w:r>
      <w:r>
        <w:rPr>
          <w:rFonts w:ascii="仿宋_GB2312" w:eastAsia="仿宋_GB2312"/>
          <w:sz w:val="28"/>
          <w:szCs w:val="28"/>
        </w:rPr>
        <w:t>3</w:t>
      </w:r>
      <w:r>
        <w:rPr>
          <w:rFonts w:hint="eastAsia" w:ascii="仿宋_GB2312" w:eastAsia="仿宋_GB2312"/>
          <w:sz w:val="28"/>
          <w:szCs w:val="28"/>
          <w:lang w:val="en-US" w:eastAsia="zh-CN"/>
        </w:rPr>
        <w:t>,</w:t>
      </w:r>
      <w:r>
        <w:rPr>
          <w:rFonts w:ascii="仿宋_GB2312" w:eastAsia="仿宋_GB2312"/>
          <w:sz w:val="28"/>
          <w:szCs w:val="28"/>
        </w:rPr>
        <w:t>100</w:t>
      </w:r>
      <w:r>
        <w:rPr>
          <w:rFonts w:hint="eastAsia" w:ascii="仿宋_GB2312" w:eastAsia="仿宋_GB2312"/>
          <w:sz w:val="28"/>
          <w:szCs w:val="28"/>
          <w:lang w:val="en-US" w:eastAsia="zh-CN"/>
        </w:rPr>
        <w:t>,</w:t>
      </w:r>
      <w:r>
        <w:rPr>
          <w:rFonts w:ascii="仿宋_GB2312" w:eastAsia="仿宋_GB2312"/>
          <w:sz w:val="28"/>
          <w:szCs w:val="28"/>
        </w:rPr>
        <w:t>820</w:t>
      </w:r>
      <w:r>
        <w:rPr>
          <w:rFonts w:hint="eastAsia" w:ascii="仿宋_GB2312" w:eastAsia="仿宋_GB2312"/>
          <w:sz w:val="28"/>
          <w:szCs w:val="28"/>
        </w:rPr>
        <w:t>元，政府采购工程支出</w:t>
      </w:r>
      <w:r>
        <w:rPr>
          <w:rFonts w:ascii="仿宋_GB2312" w:eastAsia="仿宋_GB2312"/>
          <w:sz w:val="28"/>
          <w:szCs w:val="28"/>
        </w:rPr>
        <w:t>0</w:t>
      </w:r>
      <w:r>
        <w:rPr>
          <w:rFonts w:hint="eastAsia" w:ascii="仿宋_GB2312" w:eastAsia="仿宋_GB2312"/>
          <w:sz w:val="28"/>
          <w:szCs w:val="28"/>
        </w:rPr>
        <w:t>元，政府采购服务支出</w:t>
      </w:r>
      <w:r>
        <w:rPr>
          <w:rFonts w:ascii="仿宋_GB2312" w:eastAsia="仿宋_GB2312"/>
          <w:sz w:val="28"/>
          <w:szCs w:val="28"/>
        </w:rPr>
        <w:t>46</w:t>
      </w:r>
      <w:r>
        <w:rPr>
          <w:rFonts w:hint="eastAsia" w:ascii="仿宋_GB2312" w:eastAsia="仿宋_GB2312"/>
          <w:sz w:val="28"/>
          <w:szCs w:val="28"/>
          <w:lang w:val="en-US" w:eastAsia="zh-CN"/>
        </w:rPr>
        <w:t>,</w:t>
      </w:r>
      <w:r>
        <w:rPr>
          <w:rFonts w:ascii="仿宋_GB2312" w:eastAsia="仿宋_GB2312"/>
          <w:sz w:val="28"/>
          <w:szCs w:val="28"/>
        </w:rPr>
        <w:t>880</w:t>
      </w:r>
      <w:r>
        <w:rPr>
          <w:rFonts w:hint="eastAsia" w:ascii="仿宋_GB2312" w:eastAsia="仿宋_GB2312"/>
          <w:sz w:val="28"/>
          <w:szCs w:val="28"/>
        </w:rPr>
        <w:t>元。授予中小企业合同金额</w:t>
      </w:r>
      <w:r>
        <w:rPr>
          <w:rFonts w:ascii="仿宋_GB2312" w:eastAsia="仿宋_GB2312"/>
          <w:sz w:val="28"/>
          <w:szCs w:val="28"/>
        </w:rPr>
        <w:t>3</w:t>
      </w:r>
      <w:r>
        <w:rPr>
          <w:rFonts w:hint="eastAsia" w:ascii="仿宋_GB2312" w:eastAsia="仿宋_GB2312"/>
          <w:sz w:val="28"/>
          <w:szCs w:val="28"/>
          <w:lang w:val="en-US" w:eastAsia="zh-CN"/>
        </w:rPr>
        <w:t>,</w:t>
      </w:r>
      <w:r>
        <w:rPr>
          <w:rFonts w:ascii="仿宋_GB2312" w:eastAsia="仿宋_GB2312"/>
          <w:sz w:val="28"/>
          <w:szCs w:val="28"/>
        </w:rPr>
        <w:t>123</w:t>
      </w:r>
      <w:r>
        <w:rPr>
          <w:rFonts w:hint="eastAsia" w:ascii="仿宋_GB2312" w:eastAsia="仿宋_GB2312"/>
          <w:sz w:val="28"/>
          <w:szCs w:val="28"/>
          <w:lang w:val="en-US" w:eastAsia="zh-CN"/>
        </w:rPr>
        <w:t>,</w:t>
      </w:r>
      <w:r>
        <w:rPr>
          <w:rFonts w:ascii="仿宋_GB2312" w:eastAsia="仿宋_GB2312"/>
          <w:sz w:val="28"/>
          <w:szCs w:val="28"/>
        </w:rPr>
        <w:t>238</w:t>
      </w:r>
      <w:r>
        <w:rPr>
          <w:rFonts w:hint="eastAsia" w:ascii="仿宋_GB2312" w:eastAsia="仿宋_GB2312"/>
          <w:sz w:val="28"/>
          <w:szCs w:val="28"/>
        </w:rPr>
        <w:t>元，占政府采购支出总额的99.2%，其中：授予小微企业合同金额</w:t>
      </w:r>
      <w:r>
        <w:rPr>
          <w:rFonts w:ascii="仿宋_GB2312" w:eastAsia="仿宋_GB2312"/>
          <w:sz w:val="28"/>
          <w:szCs w:val="28"/>
        </w:rPr>
        <w:t>43</w:t>
      </w:r>
      <w:r>
        <w:rPr>
          <w:rFonts w:hint="eastAsia" w:ascii="仿宋_GB2312" w:eastAsia="仿宋_GB2312"/>
          <w:sz w:val="28"/>
          <w:szCs w:val="28"/>
          <w:lang w:val="en-US" w:eastAsia="zh-CN"/>
        </w:rPr>
        <w:t>,</w:t>
      </w:r>
      <w:r>
        <w:rPr>
          <w:rFonts w:ascii="仿宋_GB2312" w:eastAsia="仿宋_GB2312"/>
          <w:sz w:val="28"/>
          <w:szCs w:val="28"/>
        </w:rPr>
        <w:t>418</w:t>
      </w:r>
      <w:r>
        <w:rPr>
          <w:rFonts w:hint="eastAsia" w:ascii="仿宋_GB2312" w:eastAsia="仿宋_GB2312"/>
          <w:sz w:val="28"/>
          <w:szCs w:val="28"/>
        </w:rPr>
        <w:t>元，占政府采购支出总额的</w:t>
      </w:r>
      <w:r>
        <w:rPr>
          <w:rFonts w:ascii="仿宋_GB2312" w:eastAsia="仿宋_GB2312"/>
          <w:sz w:val="28"/>
          <w:szCs w:val="28"/>
        </w:rPr>
        <w:t>1.</w:t>
      </w:r>
      <w:r>
        <w:rPr>
          <w:rFonts w:hint="eastAsia" w:ascii="仿宋_GB2312" w:eastAsia="仿宋_GB2312"/>
          <w:sz w:val="28"/>
          <w:szCs w:val="28"/>
          <w:lang w:val="en-US" w:eastAsia="zh-CN"/>
        </w:rPr>
        <w:t>4</w:t>
      </w:r>
      <w:r>
        <w:rPr>
          <w:rFonts w:hint="eastAsia" w:ascii="仿宋_GB2312" w:eastAsia="仿宋_GB2312"/>
          <w:sz w:val="28"/>
          <w:szCs w:val="28"/>
        </w:rPr>
        <w:t>%。</w:t>
      </w:r>
    </w:p>
    <w:p w14:paraId="5058978A">
      <w:pPr>
        <w:ind w:firstLine="560" w:firstLineChars="200"/>
        <w:rPr>
          <w:rFonts w:ascii="黑体" w:eastAsia="黑体"/>
          <w:sz w:val="28"/>
          <w:szCs w:val="28"/>
          <w:highlight w:val="yellow"/>
        </w:rPr>
      </w:pPr>
      <w:r>
        <w:rPr>
          <w:rFonts w:hint="eastAsia" w:ascii="黑体" w:eastAsia="黑体"/>
          <w:sz w:val="28"/>
          <w:szCs w:val="28"/>
        </w:rPr>
        <w:t>四、国有资产占用情况</w:t>
      </w:r>
    </w:p>
    <w:p w14:paraId="2278D8D3">
      <w:pPr>
        <w:ind w:firstLine="560" w:firstLineChars="200"/>
        <w:rPr>
          <w:rFonts w:ascii="仿宋_GB2312" w:eastAsia="仿宋_GB2312"/>
          <w:sz w:val="32"/>
          <w:szCs w:val="32"/>
        </w:rPr>
      </w:pPr>
      <w:r>
        <w:rPr>
          <w:rFonts w:hint="eastAsia" w:ascii="仿宋_GB2312" w:eastAsia="仿宋_GB2312"/>
          <w:sz w:val="28"/>
          <w:szCs w:val="28"/>
        </w:rPr>
        <w:t>截至12月31日，北京市门头沟区融媒体中心（部门）共有车辆3台；单位价值100</w:t>
      </w:r>
      <w:r>
        <w:rPr>
          <w:rFonts w:hint="eastAsia" w:ascii="仿宋_GB2312" w:eastAsia="仿宋_GB2312"/>
          <w:sz w:val="28"/>
          <w:szCs w:val="28"/>
          <w:lang w:eastAsia="zh-CN"/>
        </w:rPr>
        <w:t>万</w:t>
      </w:r>
      <w:r>
        <w:rPr>
          <w:rFonts w:hint="eastAsia" w:ascii="仿宋_GB2312" w:eastAsia="仿宋_GB2312"/>
          <w:sz w:val="28"/>
          <w:szCs w:val="28"/>
        </w:rPr>
        <w:t>元（含）以上的设备6台（套）。</w:t>
      </w:r>
    </w:p>
    <w:p w14:paraId="2AC3F26A">
      <w:pPr>
        <w:ind w:firstLine="560" w:firstLineChars="200"/>
        <w:jc w:val="left"/>
        <w:rPr>
          <w:rFonts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14:paraId="791FEAC9">
      <w:pPr>
        <w:ind w:firstLine="560" w:firstLineChars="200"/>
        <w:rPr>
          <w:rFonts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14:paraId="45D44A53">
      <w:pPr>
        <w:ind w:firstLine="560" w:firstLineChars="200"/>
        <w:rPr>
          <w:rFonts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14:paraId="47BDD8B3">
      <w:pPr>
        <w:ind w:firstLine="560" w:firstLineChars="200"/>
        <w:rPr>
          <w:rFonts w:ascii="仿宋_GB2312" w:eastAsia="仿宋_GB2312"/>
          <w:sz w:val="28"/>
          <w:szCs w:val="28"/>
        </w:rPr>
      </w:pPr>
      <w:r>
        <w:rPr>
          <w:rFonts w:hint="eastAsia" w:ascii="仿宋_GB2312" w:eastAsia="仿宋_GB2312"/>
          <w:sz w:val="28"/>
          <w:szCs w:val="28"/>
        </w:rPr>
        <w:t>3.“三公”经费：是指单位通过财政拨款资金安排的因公出国（境）费、公务用车购置及运行费和公务接待费。</w:t>
      </w:r>
    </w:p>
    <w:p w14:paraId="3A6A2A4C">
      <w:pPr>
        <w:ind w:firstLine="560" w:firstLineChars="200"/>
      </w:pPr>
      <w:r>
        <w:rPr>
          <w:rFonts w:hint="eastAsia" w:ascii="仿宋_GB2312" w:eastAsia="仿宋_GB2312"/>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14:paraId="175BD686">
      <w:pPr>
        <w:ind w:firstLine="560" w:firstLineChars="200"/>
        <w:rPr>
          <w:rFonts w:ascii="仿宋_GB2312" w:eastAsia="仿宋_GB2312"/>
          <w:sz w:val="28"/>
          <w:szCs w:val="28"/>
        </w:rPr>
      </w:pPr>
      <w:r>
        <w:rPr>
          <w:rFonts w:hint="eastAsia" w:ascii="仿宋_GB2312" w:eastAsia="仿宋_GB2312"/>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14:paraId="607E9289">
      <w:pPr>
        <w:ind w:firstLine="420" w:firstLineChars="150"/>
        <w:rPr>
          <w:rFonts w:hint="default" w:ascii="仿宋_GB2312" w:eastAsia="仿宋_GB2312"/>
          <w:sz w:val="28"/>
          <w:szCs w:val="28"/>
          <w:lang w:val="en-US" w:eastAsia="zh-CN"/>
        </w:rPr>
      </w:pPr>
      <w:r>
        <w:rPr>
          <w:rFonts w:hint="eastAsia" w:ascii="仿宋_GB2312" w:eastAsia="仿宋_GB2312"/>
          <w:sz w:val="28"/>
          <w:szCs w:val="28"/>
        </w:rPr>
        <w:t>6.</w:t>
      </w:r>
      <w:r>
        <w:rPr>
          <w:rFonts w:hint="eastAsia" w:ascii="仿宋_GB2312" w:eastAsia="仿宋_GB2312"/>
          <w:sz w:val="28"/>
          <w:szCs w:val="28"/>
          <w:lang w:val="en-US" w:eastAsia="zh-CN"/>
        </w:rPr>
        <w:t>融媒体：包含微博、微信，网站等新兴媒体和传统媒体的统称。</w:t>
      </w:r>
    </w:p>
    <w:p w14:paraId="4A481D18">
      <w:pPr>
        <w:ind w:firstLine="420" w:firstLineChars="150"/>
        <w:rPr>
          <w:rFonts w:ascii="仿宋_GB2312" w:eastAsia="仿宋_GB2312"/>
          <w:sz w:val="28"/>
          <w:szCs w:val="28"/>
        </w:rPr>
      </w:pPr>
    </w:p>
    <w:p w14:paraId="744E3A48">
      <w:pPr>
        <w:rPr>
          <w:rFonts w:ascii="黑体" w:eastAsia="黑体"/>
          <w:sz w:val="32"/>
          <w:szCs w:val="32"/>
        </w:rPr>
      </w:pPr>
    </w:p>
    <w:p w14:paraId="71EF33BA">
      <w:pPr>
        <w:tabs>
          <w:tab w:val="center" w:pos="6979"/>
        </w:tabs>
        <w:spacing w:line="580" w:lineRule="exact"/>
        <w:ind w:firstLine="720" w:firstLineChars="200"/>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第四部分2025年度部门绩效评价情况</w:t>
      </w:r>
    </w:p>
    <w:p w14:paraId="33FF8C19">
      <w:pPr>
        <w:tabs>
          <w:tab w:val="center" w:pos="6979"/>
        </w:tabs>
        <w:spacing w:line="580" w:lineRule="exact"/>
        <w:ind w:firstLine="560" w:firstLineChars="200"/>
        <w:jc w:val="center"/>
        <w:rPr>
          <w:rFonts w:hint="eastAsia" w:ascii="华文中宋" w:hAnsi="华文中宋" w:eastAsia="华文中宋"/>
          <w:sz w:val="28"/>
          <w:szCs w:val="28"/>
        </w:rPr>
      </w:pPr>
    </w:p>
    <w:p w14:paraId="0F171F8A">
      <w:pPr>
        <w:spacing w:line="580" w:lineRule="exact"/>
        <w:ind w:firstLine="640" w:firstLineChars="200"/>
        <w:rPr>
          <w:rFonts w:hint="eastAsia" w:ascii="黑体" w:hAnsi="黑体" w:eastAsia="黑体"/>
          <w:sz w:val="32"/>
          <w:szCs w:val="32"/>
        </w:rPr>
      </w:pPr>
      <w:r>
        <w:rPr>
          <w:rFonts w:hint="eastAsia" w:ascii="黑体" w:eastAsia="黑体"/>
          <w:sz w:val="32"/>
          <w:szCs w:val="32"/>
        </w:rPr>
        <w:t xml:space="preserve"> </w:t>
      </w:r>
      <w:r>
        <w:rPr>
          <w:rFonts w:hint="eastAsia" w:ascii="黑体" w:hAnsi="黑体" w:eastAsia="黑体"/>
          <w:sz w:val="32"/>
          <w:szCs w:val="32"/>
        </w:rPr>
        <w:t>一、部门整体绩效评价报告</w:t>
      </w:r>
    </w:p>
    <w:p w14:paraId="3739EE99">
      <w:pPr>
        <w:spacing w:line="580" w:lineRule="exact"/>
        <w:ind w:firstLine="640"/>
        <w:rPr>
          <w:rFonts w:hint="eastAsia" w:ascii="楷体_GB2312" w:hAnsi="Calibri" w:eastAsia="楷体_GB2312"/>
          <w:b/>
          <w:sz w:val="32"/>
          <w:szCs w:val="32"/>
        </w:rPr>
      </w:pPr>
      <w:r>
        <w:rPr>
          <w:rFonts w:hint="eastAsia" w:ascii="楷体_GB2312" w:eastAsia="楷体_GB2312"/>
          <w:b/>
          <w:sz w:val="32"/>
          <w:szCs w:val="32"/>
        </w:rPr>
        <w:t>（一）部门概况</w:t>
      </w:r>
    </w:p>
    <w:p w14:paraId="2AFE4065">
      <w:pPr>
        <w:spacing w:line="580" w:lineRule="exact"/>
        <w:ind w:firstLine="640"/>
        <w:rPr>
          <w:rFonts w:hint="eastAsia" w:ascii="仿宋_GB2312" w:eastAsia="仿宋_GB2312"/>
          <w:sz w:val="32"/>
          <w:szCs w:val="32"/>
        </w:rPr>
      </w:pPr>
      <w:bookmarkStart w:id="0" w:name="_Toc268005755"/>
      <w:bookmarkStart w:id="1" w:name="_Toc268005759"/>
      <w:bookmarkStart w:id="2" w:name="_Toc263686375"/>
      <w:r>
        <w:rPr>
          <w:rFonts w:hint="eastAsia" w:ascii="仿宋_GB2312" w:eastAsia="仿宋_GB2312"/>
          <w:sz w:val="32"/>
          <w:szCs w:val="32"/>
        </w:rPr>
        <w:t>1.部门职责情况</w:t>
      </w:r>
    </w:p>
    <w:p w14:paraId="536C7654">
      <w:pPr>
        <w:spacing w:line="580" w:lineRule="exact"/>
        <w:ind w:firstLine="640"/>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rPr>
        <w:t>1</w:t>
      </w:r>
      <w:r>
        <w:rPr>
          <w:rFonts w:hint="eastAsia" w:ascii="仿宋_GB2312" w:eastAsia="仿宋_GB2312"/>
          <w:sz w:val="32"/>
          <w:szCs w:val="32"/>
          <w:lang w:eastAsia="zh-CN"/>
        </w:rPr>
        <w:t>）</w:t>
      </w:r>
      <w:r>
        <w:rPr>
          <w:rFonts w:hint="eastAsia" w:ascii="仿宋_GB2312" w:eastAsia="仿宋_GB2312"/>
          <w:sz w:val="32"/>
          <w:szCs w:val="32"/>
        </w:rPr>
        <w:t>、宣传党和国家的路线、方针、政策和法律、政令，发挥舆论导向作用。</w:t>
      </w:r>
    </w:p>
    <w:p w14:paraId="055EBAF7">
      <w:pPr>
        <w:spacing w:line="580" w:lineRule="exact"/>
        <w:ind w:firstLine="640"/>
        <w:rPr>
          <w:rFonts w:hint="eastAsia" w:ascii="仿宋_GB2312" w:eastAsia="仿宋_GB2312"/>
          <w:sz w:val="32"/>
          <w:szCs w:val="32"/>
        </w:rPr>
      </w:pPr>
      <w:r>
        <w:rPr>
          <w:rFonts w:hint="eastAsia" w:ascii="仿宋_GB2312" w:eastAsia="仿宋_GB2312"/>
          <w:sz w:val="32"/>
          <w:szCs w:val="32"/>
          <w:lang w:eastAsia="zh-CN"/>
        </w:rPr>
        <w:t>（2）</w:t>
      </w:r>
      <w:r>
        <w:rPr>
          <w:rFonts w:hint="eastAsia" w:ascii="仿宋_GB2312" w:eastAsia="仿宋_GB2312"/>
          <w:sz w:val="32"/>
          <w:szCs w:val="32"/>
        </w:rPr>
        <w:t>、负责本区内外宣传报道，传播新闻信息，组织落实本区对外新闻发布工作，开展新闻发布活动，指导本区各单位做好新闻宣传工作。</w:t>
      </w:r>
    </w:p>
    <w:p w14:paraId="63ADE49B">
      <w:pPr>
        <w:spacing w:line="580" w:lineRule="exact"/>
        <w:ind w:firstLine="640"/>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rPr>
        <w:t>3</w:t>
      </w:r>
      <w:r>
        <w:rPr>
          <w:rFonts w:hint="eastAsia" w:ascii="仿宋_GB2312" w:eastAsia="仿宋_GB2312"/>
          <w:sz w:val="32"/>
          <w:szCs w:val="32"/>
          <w:lang w:eastAsia="zh-CN"/>
        </w:rPr>
        <w:t>）</w:t>
      </w:r>
      <w:r>
        <w:rPr>
          <w:rFonts w:hint="eastAsia" w:ascii="仿宋_GB2312" w:eastAsia="仿宋_GB2312"/>
          <w:sz w:val="32"/>
          <w:szCs w:val="32"/>
        </w:rPr>
        <w:t>、负责区委、区政府中心工作和重大工作部署的新闻宣传、策划工作，落实本区舆论宣传引导工作。</w:t>
      </w:r>
    </w:p>
    <w:p w14:paraId="6A6D8C7A">
      <w:pPr>
        <w:spacing w:line="580" w:lineRule="exact"/>
        <w:ind w:firstLine="640"/>
        <w:rPr>
          <w:rFonts w:hint="eastAsia" w:ascii="仿宋_GB2312" w:eastAsia="仿宋_GB2312"/>
          <w:sz w:val="32"/>
          <w:szCs w:val="32"/>
        </w:rPr>
      </w:pPr>
      <w:r>
        <w:rPr>
          <w:rFonts w:hint="eastAsia" w:ascii="仿宋_GB2312" w:eastAsia="仿宋_GB2312"/>
          <w:sz w:val="32"/>
          <w:szCs w:val="32"/>
          <w:lang w:val="en-US" w:eastAsia="zh-CN"/>
        </w:rPr>
        <w:t>(</w:t>
      </w:r>
      <w:r>
        <w:rPr>
          <w:rFonts w:hint="eastAsia" w:ascii="仿宋_GB2312" w:eastAsia="仿宋_GB2312"/>
          <w:sz w:val="32"/>
          <w:szCs w:val="32"/>
        </w:rPr>
        <w:t>4</w:t>
      </w:r>
      <w:r>
        <w:rPr>
          <w:rFonts w:hint="eastAsia" w:ascii="仿宋_GB2312" w:eastAsia="仿宋_GB2312"/>
          <w:sz w:val="32"/>
          <w:szCs w:val="32"/>
          <w:lang w:val="en-US" w:eastAsia="zh-CN"/>
        </w:rPr>
        <w:t>)</w:t>
      </w:r>
      <w:r>
        <w:rPr>
          <w:rFonts w:hint="eastAsia" w:ascii="仿宋_GB2312" w:eastAsia="仿宋_GB2312"/>
          <w:sz w:val="32"/>
          <w:szCs w:val="32"/>
        </w:rPr>
        <w:t>、负责《京西时报》等区属内部资料性刊物、门头沟新闻网的规划、采编、推广、出版等工作。</w:t>
      </w:r>
    </w:p>
    <w:p w14:paraId="052BAEF8">
      <w:pPr>
        <w:spacing w:line="580" w:lineRule="exact"/>
        <w:ind w:firstLine="640"/>
        <w:rPr>
          <w:rFonts w:hint="eastAsia" w:ascii="仿宋_GB2312" w:eastAsia="仿宋_GB2312"/>
          <w:sz w:val="32"/>
          <w:szCs w:val="32"/>
        </w:rPr>
      </w:pPr>
      <w:r>
        <w:rPr>
          <w:rFonts w:hint="eastAsia" w:ascii="仿宋_GB2312" w:eastAsia="仿宋_GB2312"/>
          <w:sz w:val="32"/>
          <w:szCs w:val="32"/>
          <w:lang w:val="en-US" w:eastAsia="zh-CN"/>
        </w:rPr>
        <w:t>(</w:t>
      </w:r>
      <w:r>
        <w:rPr>
          <w:rFonts w:hint="eastAsia" w:ascii="仿宋_GB2312" w:eastAsia="仿宋_GB2312"/>
          <w:sz w:val="32"/>
          <w:szCs w:val="32"/>
        </w:rPr>
        <w:t>5</w:t>
      </w:r>
      <w:r>
        <w:rPr>
          <w:rFonts w:hint="eastAsia" w:ascii="仿宋_GB2312" w:eastAsia="仿宋_GB2312"/>
          <w:sz w:val="32"/>
          <w:szCs w:val="32"/>
          <w:lang w:val="en-US" w:eastAsia="zh-CN"/>
        </w:rPr>
        <w:t>)</w:t>
      </w:r>
      <w:r>
        <w:rPr>
          <w:rFonts w:hint="eastAsia" w:ascii="仿宋_GB2312" w:eastAsia="仿宋_GB2312"/>
          <w:sz w:val="32"/>
          <w:szCs w:val="32"/>
        </w:rPr>
        <w:t>、负责广播电视节目制作，专题广播、广播电视节目播出，广播电视的咨询指导等工作。</w:t>
      </w:r>
    </w:p>
    <w:p w14:paraId="397CC0AB">
      <w:pPr>
        <w:spacing w:line="580" w:lineRule="exact"/>
        <w:ind w:firstLine="640"/>
        <w:rPr>
          <w:rFonts w:hint="eastAsia" w:ascii="仿宋_GB2312" w:eastAsia="仿宋_GB2312"/>
          <w:sz w:val="32"/>
          <w:szCs w:val="32"/>
        </w:rPr>
      </w:pPr>
      <w:r>
        <w:rPr>
          <w:rFonts w:hint="eastAsia" w:ascii="仿宋_GB2312" w:eastAsia="仿宋_GB2312"/>
          <w:sz w:val="32"/>
          <w:szCs w:val="32"/>
          <w:lang w:val="en-US" w:eastAsia="zh-CN"/>
        </w:rPr>
        <w:t>(</w:t>
      </w:r>
      <w:r>
        <w:rPr>
          <w:rFonts w:hint="eastAsia" w:ascii="仿宋_GB2312" w:eastAsia="仿宋_GB2312"/>
          <w:sz w:val="32"/>
          <w:szCs w:val="32"/>
        </w:rPr>
        <w:t>6</w:t>
      </w:r>
      <w:r>
        <w:rPr>
          <w:rFonts w:hint="eastAsia" w:ascii="仿宋_GB2312" w:eastAsia="仿宋_GB2312"/>
          <w:sz w:val="32"/>
          <w:szCs w:val="32"/>
          <w:lang w:val="en-US" w:eastAsia="zh-CN"/>
        </w:rPr>
        <w:t>)</w:t>
      </w:r>
      <w:r>
        <w:rPr>
          <w:rFonts w:hint="eastAsia" w:ascii="仿宋_GB2312" w:eastAsia="仿宋_GB2312"/>
          <w:sz w:val="32"/>
          <w:szCs w:val="32"/>
        </w:rPr>
        <w:t>、负责本区广播电视专业人员、新闻通讯员队伍建设和业务技术培训等工作。</w:t>
      </w:r>
    </w:p>
    <w:p w14:paraId="07617C63">
      <w:pPr>
        <w:spacing w:line="580" w:lineRule="exact"/>
        <w:ind w:firstLine="640"/>
        <w:rPr>
          <w:rFonts w:hint="eastAsia" w:ascii="仿宋_GB2312" w:eastAsia="仿宋_GB2312"/>
          <w:sz w:val="32"/>
          <w:szCs w:val="32"/>
        </w:rPr>
      </w:pPr>
      <w:r>
        <w:rPr>
          <w:rFonts w:hint="eastAsia" w:ascii="仿宋_GB2312" w:eastAsia="仿宋_GB2312"/>
          <w:sz w:val="32"/>
          <w:szCs w:val="32"/>
          <w:lang w:val="en-US" w:eastAsia="zh-CN"/>
        </w:rPr>
        <w:t>(</w:t>
      </w:r>
      <w:r>
        <w:rPr>
          <w:rFonts w:hint="eastAsia" w:ascii="仿宋_GB2312" w:eastAsia="仿宋_GB2312"/>
          <w:sz w:val="32"/>
          <w:szCs w:val="32"/>
        </w:rPr>
        <w:t>7</w:t>
      </w:r>
      <w:r>
        <w:rPr>
          <w:rFonts w:hint="eastAsia" w:ascii="仿宋_GB2312" w:eastAsia="仿宋_GB2312"/>
          <w:sz w:val="32"/>
          <w:szCs w:val="32"/>
          <w:lang w:val="en-US" w:eastAsia="zh-CN"/>
        </w:rPr>
        <w:t>)</w:t>
      </w:r>
      <w:r>
        <w:rPr>
          <w:rFonts w:hint="eastAsia" w:ascii="仿宋_GB2312" w:eastAsia="仿宋_GB2312"/>
          <w:sz w:val="32"/>
          <w:szCs w:val="32"/>
        </w:rPr>
        <w:t>、承担本区广播、电视、报纸与新媒体新技术新业态融合发展工作，推进新闻信息一次采集、多种生成、多元传播。</w:t>
      </w:r>
    </w:p>
    <w:p w14:paraId="1E398B24">
      <w:pPr>
        <w:spacing w:line="580" w:lineRule="exact"/>
        <w:ind w:firstLine="640"/>
        <w:rPr>
          <w:rFonts w:hint="eastAsia" w:ascii="仿宋_GB2312" w:eastAsia="仿宋_GB2312"/>
          <w:sz w:val="32"/>
          <w:szCs w:val="32"/>
        </w:rPr>
      </w:pPr>
      <w:r>
        <w:rPr>
          <w:rFonts w:hint="eastAsia" w:ascii="仿宋_GB2312" w:eastAsia="仿宋_GB2312"/>
          <w:sz w:val="32"/>
          <w:szCs w:val="32"/>
          <w:lang w:val="en-US" w:eastAsia="zh-CN"/>
        </w:rPr>
        <w:t>(</w:t>
      </w:r>
      <w:r>
        <w:rPr>
          <w:rFonts w:hint="eastAsia" w:ascii="仿宋_GB2312" w:eastAsia="仿宋_GB2312"/>
          <w:sz w:val="32"/>
          <w:szCs w:val="32"/>
        </w:rPr>
        <w:t>8</w:t>
      </w:r>
      <w:r>
        <w:rPr>
          <w:rFonts w:hint="eastAsia" w:ascii="仿宋_GB2312" w:eastAsia="仿宋_GB2312"/>
          <w:sz w:val="32"/>
          <w:szCs w:val="32"/>
          <w:lang w:val="en-US" w:eastAsia="zh-CN"/>
        </w:rPr>
        <w:t>)</w:t>
      </w:r>
      <w:r>
        <w:rPr>
          <w:rFonts w:hint="eastAsia" w:ascii="仿宋_GB2312" w:eastAsia="仿宋_GB2312"/>
          <w:sz w:val="32"/>
          <w:szCs w:val="32"/>
        </w:rPr>
        <w:t>、完成区委、区政府交办的其他任务。</w:t>
      </w:r>
    </w:p>
    <w:p w14:paraId="52B30773">
      <w:pPr>
        <w:spacing w:line="580" w:lineRule="exact"/>
        <w:ind w:firstLine="640"/>
        <w:rPr>
          <w:rFonts w:hint="eastAsia" w:ascii="仿宋_GB2312" w:eastAsia="仿宋_GB2312"/>
          <w:sz w:val="32"/>
          <w:szCs w:val="32"/>
        </w:rPr>
      </w:pPr>
      <w:r>
        <w:rPr>
          <w:rFonts w:hint="eastAsia" w:ascii="仿宋_GB2312" w:eastAsia="仿宋_GB2312"/>
          <w:sz w:val="32"/>
          <w:szCs w:val="32"/>
        </w:rPr>
        <w:t>2.部门机构设置情况</w:t>
      </w:r>
    </w:p>
    <w:p w14:paraId="77733F5F">
      <w:pPr>
        <w:spacing w:line="580" w:lineRule="exact"/>
        <w:ind w:firstLine="640"/>
        <w:rPr>
          <w:rFonts w:hint="eastAsia" w:ascii="仿宋_GB2312" w:eastAsia="仿宋_GB2312"/>
          <w:sz w:val="32"/>
          <w:szCs w:val="32"/>
          <w:lang w:val="en-US" w:eastAsia="zh-CN"/>
        </w:rPr>
      </w:pPr>
      <w:r>
        <w:rPr>
          <w:rFonts w:hint="eastAsia" w:ascii="仿宋_GB2312" w:eastAsia="仿宋_GB2312"/>
          <w:sz w:val="32"/>
          <w:szCs w:val="32"/>
        </w:rPr>
        <w:t>本部门内设科室11个</w:t>
      </w:r>
      <w:r>
        <w:rPr>
          <w:rFonts w:hint="eastAsia" w:ascii="仿宋_GB2312" w:eastAsia="仿宋_GB2312"/>
          <w:sz w:val="32"/>
          <w:szCs w:val="32"/>
          <w:lang w:eastAsia="zh-CN"/>
        </w:rPr>
        <w:t>。</w:t>
      </w:r>
    </w:p>
    <w:p w14:paraId="299B6EB3">
      <w:pPr>
        <w:spacing w:line="580" w:lineRule="exact"/>
        <w:ind w:firstLine="640"/>
        <w:rPr>
          <w:rFonts w:hint="eastAsia" w:ascii="仿宋_GB2312" w:eastAsia="仿宋_GB2312"/>
          <w:sz w:val="32"/>
          <w:szCs w:val="32"/>
        </w:rPr>
      </w:pPr>
      <w:r>
        <w:rPr>
          <w:rFonts w:hint="eastAsia" w:ascii="仿宋_GB2312" w:eastAsia="仿宋_GB2312"/>
          <w:sz w:val="32"/>
          <w:szCs w:val="32"/>
        </w:rPr>
        <w:t>3.2025年主要工作任务</w:t>
      </w:r>
    </w:p>
    <w:bookmarkEnd w:id="0"/>
    <w:p w14:paraId="61C34D6C">
      <w:pPr>
        <w:spacing w:line="520" w:lineRule="exact"/>
        <w:ind w:firstLine="640"/>
        <w:rPr>
          <w:rFonts w:hint="eastAsia" w:ascii="仿宋_GB2312" w:eastAsia="仿宋_GB2312"/>
          <w:sz w:val="28"/>
          <w:szCs w:val="28"/>
        </w:rPr>
      </w:pPr>
      <w:r>
        <w:rPr>
          <w:rFonts w:hint="eastAsia" w:ascii="仿宋_GB2312" w:eastAsia="仿宋_GB2312"/>
          <w:sz w:val="28"/>
          <w:szCs w:val="28"/>
        </w:rPr>
        <w:t>建设以媒体融合及新闻指挥调度系统为目标的区级融媒体平台，初步实现平台、信源、产品、渠道、技术、人才等五方面的融合，以丰富多样的传播形态和传播样式，体现党的意志、反映党的主张，真正实现对阵地、导向、队伍的管理，进一步提升政府媒体平台的传播力、引导力、影响力、公信力，为牢牢把握正确舆论导向筑牢工作基础，为地区各项事业发展提供有力的舆论保障。</w:t>
      </w:r>
    </w:p>
    <w:p w14:paraId="60F3CCE8">
      <w:pPr>
        <w:spacing w:line="580" w:lineRule="exact"/>
        <w:ind w:firstLine="640"/>
        <w:rPr>
          <w:rFonts w:hint="eastAsia" w:ascii="仿宋_GB2312" w:eastAsia="仿宋_GB2312"/>
          <w:sz w:val="32"/>
          <w:szCs w:val="32"/>
        </w:rPr>
      </w:pPr>
      <w:r>
        <w:rPr>
          <w:rFonts w:hint="eastAsia" w:ascii="仿宋_GB2312" w:eastAsia="仿宋_GB2312"/>
          <w:sz w:val="32"/>
          <w:szCs w:val="32"/>
        </w:rPr>
        <w:t>4.部门</w:t>
      </w:r>
      <w:bookmarkEnd w:id="1"/>
      <w:r>
        <w:rPr>
          <w:rFonts w:hint="eastAsia" w:ascii="仿宋_GB2312" w:eastAsia="仿宋_GB2312"/>
          <w:sz w:val="32"/>
          <w:szCs w:val="32"/>
        </w:rPr>
        <w:t>整体绩效目标设立情况</w:t>
      </w:r>
    </w:p>
    <w:tbl>
      <w:tblPr>
        <w:tblStyle w:val="10"/>
        <w:tblW w:w="5000" w:type="pct"/>
        <w:tblInd w:w="0" w:type="dxa"/>
        <w:tblLayout w:type="autofit"/>
        <w:tblCellMar>
          <w:top w:w="0" w:type="dxa"/>
          <w:left w:w="108" w:type="dxa"/>
          <w:bottom w:w="0" w:type="dxa"/>
          <w:right w:w="108" w:type="dxa"/>
        </w:tblCellMar>
      </w:tblPr>
      <w:tblGrid>
        <w:gridCol w:w="1908"/>
        <w:gridCol w:w="3296"/>
        <w:gridCol w:w="2420"/>
        <w:gridCol w:w="1918"/>
        <w:gridCol w:w="2427"/>
        <w:gridCol w:w="2817"/>
      </w:tblGrid>
      <w:tr w14:paraId="1FC20C81">
        <w:tblPrEx>
          <w:tblCellMar>
            <w:top w:w="0" w:type="dxa"/>
            <w:left w:w="108" w:type="dxa"/>
            <w:bottom w:w="0" w:type="dxa"/>
            <w:right w:w="108" w:type="dxa"/>
          </w:tblCellMar>
        </w:tblPrEx>
        <w:trPr>
          <w:trHeight w:val="275" w:hRule="atLeast"/>
        </w:trPr>
        <w:tc>
          <w:tcPr>
            <w:tcW w:w="680" w:type="pct"/>
            <w:tcBorders>
              <w:top w:val="single" w:color="auto" w:sz="4" w:space="0"/>
              <w:left w:val="single" w:color="auto" w:sz="4" w:space="0"/>
              <w:bottom w:val="single" w:color="auto" w:sz="4" w:space="0"/>
              <w:right w:val="single" w:color="auto" w:sz="4" w:space="0"/>
            </w:tcBorders>
            <w:noWrap/>
            <w:vAlign w:val="bottom"/>
          </w:tcPr>
          <w:p w14:paraId="38DA3EE2">
            <w:pPr>
              <w:spacing w:line="520" w:lineRule="exact"/>
              <w:jc w:val="center"/>
              <w:rPr>
                <w:rFonts w:hint="eastAsia" w:ascii="仿宋_GB2312" w:eastAsia="仿宋_GB2312"/>
                <w:sz w:val="28"/>
                <w:szCs w:val="28"/>
              </w:rPr>
            </w:pPr>
            <w:r>
              <w:rPr>
                <w:rFonts w:hint="eastAsia" w:ascii="仿宋_GB2312" w:eastAsia="仿宋_GB2312"/>
                <w:sz w:val="28"/>
                <w:szCs w:val="28"/>
              </w:rPr>
              <w:t>序号</w:t>
            </w:r>
          </w:p>
        </w:tc>
        <w:tc>
          <w:tcPr>
            <w:tcW w:w="941" w:type="pct"/>
            <w:tcBorders>
              <w:top w:val="single" w:color="auto" w:sz="4" w:space="0"/>
              <w:left w:val="nil"/>
              <w:bottom w:val="single" w:color="auto" w:sz="4" w:space="0"/>
              <w:right w:val="single" w:color="auto" w:sz="4" w:space="0"/>
            </w:tcBorders>
            <w:noWrap/>
            <w:vAlign w:val="bottom"/>
          </w:tcPr>
          <w:p w14:paraId="08992F2D">
            <w:pPr>
              <w:spacing w:line="520" w:lineRule="exact"/>
              <w:jc w:val="center"/>
              <w:rPr>
                <w:rFonts w:hint="eastAsia" w:ascii="仿宋_GB2312" w:eastAsia="仿宋_GB2312"/>
                <w:sz w:val="28"/>
                <w:szCs w:val="28"/>
              </w:rPr>
            </w:pPr>
            <w:r>
              <w:rPr>
                <w:rFonts w:hint="eastAsia" w:ascii="仿宋_GB2312" w:eastAsia="仿宋_GB2312"/>
                <w:sz w:val="28"/>
                <w:szCs w:val="28"/>
              </w:rPr>
              <w:t>三级指标</w:t>
            </w:r>
          </w:p>
        </w:tc>
        <w:tc>
          <w:tcPr>
            <w:tcW w:w="853" w:type="pct"/>
            <w:tcBorders>
              <w:top w:val="single" w:color="auto" w:sz="4" w:space="0"/>
              <w:left w:val="nil"/>
              <w:bottom w:val="single" w:color="auto" w:sz="4" w:space="0"/>
              <w:right w:val="single" w:color="auto" w:sz="4" w:space="0"/>
            </w:tcBorders>
            <w:noWrap/>
            <w:vAlign w:val="bottom"/>
          </w:tcPr>
          <w:p w14:paraId="554E2DC0">
            <w:pPr>
              <w:spacing w:line="520" w:lineRule="exact"/>
              <w:jc w:val="center"/>
              <w:rPr>
                <w:rFonts w:hint="eastAsia" w:ascii="仿宋_GB2312" w:eastAsia="仿宋_GB2312"/>
                <w:sz w:val="28"/>
                <w:szCs w:val="28"/>
              </w:rPr>
            </w:pPr>
            <w:r>
              <w:rPr>
                <w:rFonts w:hint="eastAsia" w:ascii="仿宋_GB2312" w:eastAsia="仿宋_GB2312"/>
                <w:sz w:val="28"/>
                <w:szCs w:val="28"/>
              </w:rPr>
              <w:t>指标性质</w:t>
            </w:r>
          </w:p>
        </w:tc>
        <w:tc>
          <w:tcPr>
            <w:tcW w:w="683" w:type="pct"/>
            <w:tcBorders>
              <w:top w:val="single" w:color="auto" w:sz="4" w:space="0"/>
              <w:left w:val="nil"/>
              <w:bottom w:val="single" w:color="auto" w:sz="4" w:space="0"/>
              <w:right w:val="single" w:color="auto" w:sz="4" w:space="0"/>
            </w:tcBorders>
            <w:noWrap/>
            <w:vAlign w:val="bottom"/>
          </w:tcPr>
          <w:p w14:paraId="441CC92D">
            <w:pPr>
              <w:spacing w:line="520" w:lineRule="exact"/>
              <w:jc w:val="center"/>
              <w:rPr>
                <w:rFonts w:hint="eastAsia" w:ascii="仿宋_GB2312" w:eastAsia="仿宋_GB2312"/>
                <w:sz w:val="28"/>
                <w:szCs w:val="28"/>
              </w:rPr>
            </w:pPr>
            <w:r>
              <w:rPr>
                <w:rFonts w:hint="eastAsia" w:ascii="仿宋_GB2312" w:eastAsia="仿宋_GB2312"/>
                <w:sz w:val="28"/>
                <w:szCs w:val="28"/>
              </w:rPr>
              <w:t>指标值</w:t>
            </w:r>
          </w:p>
        </w:tc>
        <w:tc>
          <w:tcPr>
            <w:tcW w:w="855" w:type="pct"/>
            <w:tcBorders>
              <w:top w:val="single" w:color="auto" w:sz="4" w:space="0"/>
              <w:left w:val="nil"/>
              <w:bottom w:val="single" w:color="auto" w:sz="4" w:space="0"/>
              <w:right w:val="single" w:color="auto" w:sz="4" w:space="0"/>
            </w:tcBorders>
          </w:tcPr>
          <w:p w14:paraId="5094B1FB">
            <w:pPr>
              <w:spacing w:line="520" w:lineRule="exact"/>
              <w:jc w:val="center"/>
              <w:rPr>
                <w:rFonts w:hint="eastAsia" w:ascii="仿宋_GB2312" w:eastAsia="仿宋_GB2312"/>
                <w:sz w:val="28"/>
                <w:szCs w:val="28"/>
              </w:rPr>
            </w:pPr>
            <w:r>
              <w:rPr>
                <w:rFonts w:hint="eastAsia" w:ascii="仿宋_GB2312" w:eastAsia="仿宋_GB2312"/>
                <w:sz w:val="28"/>
                <w:szCs w:val="28"/>
              </w:rPr>
              <w:t>度量单位</w:t>
            </w:r>
          </w:p>
        </w:tc>
        <w:tc>
          <w:tcPr>
            <w:tcW w:w="987" w:type="pct"/>
            <w:tcBorders>
              <w:top w:val="single" w:color="auto" w:sz="4" w:space="0"/>
              <w:left w:val="nil"/>
              <w:bottom w:val="single" w:color="auto" w:sz="4" w:space="0"/>
              <w:right w:val="single" w:color="auto" w:sz="4" w:space="0"/>
            </w:tcBorders>
          </w:tcPr>
          <w:p w14:paraId="06FA6298">
            <w:pPr>
              <w:spacing w:line="520" w:lineRule="exact"/>
              <w:jc w:val="center"/>
              <w:rPr>
                <w:rFonts w:hint="eastAsia" w:ascii="仿宋_GB2312" w:eastAsia="仿宋_GB2312"/>
                <w:sz w:val="28"/>
                <w:szCs w:val="28"/>
              </w:rPr>
            </w:pPr>
            <w:r>
              <w:rPr>
                <w:rFonts w:hint="eastAsia" w:ascii="仿宋_GB2312" w:eastAsia="仿宋_GB2312"/>
                <w:sz w:val="28"/>
                <w:szCs w:val="28"/>
              </w:rPr>
              <w:t>指标权重</w:t>
            </w:r>
          </w:p>
        </w:tc>
      </w:tr>
      <w:tr w14:paraId="0F84FEEB">
        <w:tblPrEx>
          <w:tblCellMar>
            <w:top w:w="0" w:type="dxa"/>
            <w:left w:w="108" w:type="dxa"/>
            <w:bottom w:w="0" w:type="dxa"/>
            <w:right w:w="108" w:type="dxa"/>
          </w:tblCellMar>
        </w:tblPrEx>
        <w:trPr>
          <w:trHeight w:val="275" w:hRule="atLeast"/>
        </w:trPr>
        <w:tc>
          <w:tcPr>
            <w:tcW w:w="6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074B71">
            <w:pPr>
              <w:widowControl/>
              <w:jc w:val="center"/>
              <w:rPr>
                <w:rFonts w:hint="eastAsia" w:ascii="仿宋_GB2312" w:hAnsi="仿宋" w:eastAsia="仿宋_GB2312" w:cs="Times New Roman"/>
                <w:kern w:val="2"/>
                <w:sz w:val="28"/>
                <w:szCs w:val="28"/>
                <w:lang w:val="en-US" w:eastAsia="zh-CN" w:bidi="ar-SA"/>
              </w:rPr>
            </w:pPr>
            <w:r>
              <w:rPr>
                <w:rFonts w:ascii="仿宋_GB2312" w:hAnsi="仿宋" w:eastAsia="仿宋_GB2312" w:cs="Times New Roman"/>
                <w:sz w:val="28"/>
                <w:szCs w:val="28"/>
              </w:rPr>
              <w:t>1</w:t>
            </w:r>
          </w:p>
        </w:tc>
        <w:tc>
          <w:tcPr>
            <w:tcW w:w="94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7CD94A1">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eastAsia="zh-CN"/>
              </w:rPr>
              <w:t>产出指标质量指标正确率</w:t>
            </w:r>
          </w:p>
        </w:tc>
        <w:tc>
          <w:tcPr>
            <w:tcW w:w="85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7F228DB">
            <w:pPr>
              <w:widowControl/>
              <w:spacing w:line="240" w:lineRule="auto"/>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w:t>
            </w:r>
          </w:p>
        </w:tc>
        <w:tc>
          <w:tcPr>
            <w:tcW w:w="68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BB5E4B">
            <w:pPr>
              <w:widowControl/>
              <w:spacing w:line="240" w:lineRule="auto"/>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90</w:t>
            </w:r>
          </w:p>
        </w:tc>
        <w:tc>
          <w:tcPr>
            <w:tcW w:w="855" w:type="pct"/>
            <w:tcBorders>
              <w:top w:val="single" w:color="auto" w:sz="4" w:space="0"/>
              <w:left w:val="single" w:color="auto" w:sz="4" w:space="0"/>
              <w:bottom w:val="single" w:color="auto" w:sz="4" w:space="0"/>
              <w:right w:val="single" w:color="auto" w:sz="4" w:space="0"/>
            </w:tcBorders>
            <w:shd w:val="clear" w:color="auto" w:fill="auto"/>
            <w:vAlign w:val="center"/>
          </w:tcPr>
          <w:p w14:paraId="3286A966">
            <w:pPr>
              <w:widowControl/>
              <w:spacing w:line="240" w:lineRule="auto"/>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w:t>
            </w:r>
          </w:p>
        </w:tc>
        <w:tc>
          <w:tcPr>
            <w:tcW w:w="987" w:type="pct"/>
            <w:tcBorders>
              <w:top w:val="single" w:color="auto" w:sz="4" w:space="0"/>
              <w:left w:val="single" w:color="auto" w:sz="4" w:space="0"/>
              <w:bottom w:val="single" w:color="auto" w:sz="4" w:space="0"/>
              <w:right w:val="single" w:color="auto" w:sz="4" w:space="0"/>
            </w:tcBorders>
            <w:shd w:val="clear" w:color="auto" w:fill="auto"/>
            <w:vAlign w:val="center"/>
          </w:tcPr>
          <w:p w14:paraId="6AF0BF06">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20</w:t>
            </w:r>
          </w:p>
        </w:tc>
      </w:tr>
      <w:tr w14:paraId="103FE317">
        <w:tblPrEx>
          <w:tblCellMar>
            <w:top w:w="0" w:type="dxa"/>
            <w:left w:w="108" w:type="dxa"/>
            <w:bottom w:w="0" w:type="dxa"/>
            <w:right w:w="108" w:type="dxa"/>
          </w:tblCellMar>
        </w:tblPrEx>
        <w:trPr>
          <w:trHeight w:val="275" w:hRule="atLeast"/>
        </w:trPr>
        <w:tc>
          <w:tcPr>
            <w:tcW w:w="6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7322BA">
            <w:pPr>
              <w:widowControl/>
              <w:jc w:val="center"/>
              <w:rPr>
                <w:rFonts w:hint="eastAsia" w:ascii="仿宋_GB2312" w:hAnsi="仿宋" w:eastAsia="仿宋_GB2312" w:cs="Times New Roman"/>
                <w:kern w:val="2"/>
                <w:sz w:val="28"/>
                <w:szCs w:val="28"/>
                <w:lang w:val="en-US" w:eastAsia="zh-CN" w:bidi="ar-SA"/>
              </w:rPr>
            </w:pPr>
            <w:r>
              <w:rPr>
                <w:rFonts w:ascii="仿宋_GB2312" w:hAnsi="仿宋" w:eastAsia="仿宋_GB2312" w:cs="Times New Roman"/>
                <w:sz w:val="28"/>
                <w:szCs w:val="28"/>
              </w:rPr>
              <w:t>2</w:t>
            </w:r>
          </w:p>
        </w:tc>
        <w:tc>
          <w:tcPr>
            <w:tcW w:w="94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70BE473">
            <w:pPr>
              <w:widowControl/>
              <w:jc w:val="center"/>
              <w:rPr>
                <w:rFonts w:hint="eastAsia" w:ascii="仿宋_GB2312" w:hAnsi="仿宋" w:eastAsia="仿宋_GB2312" w:cs="Times New Roman"/>
                <w:sz w:val="28"/>
                <w:szCs w:val="28"/>
              </w:rPr>
            </w:pPr>
            <w:r>
              <w:rPr>
                <w:rFonts w:hint="eastAsia" w:ascii="仿宋_GB2312" w:hAnsi="仿宋" w:eastAsia="仿宋_GB2312" w:cs="Times New Roman"/>
                <w:sz w:val="28"/>
                <w:szCs w:val="28"/>
              </w:rPr>
              <w:t>电视节目购置</w:t>
            </w:r>
          </w:p>
          <w:p w14:paraId="25025242">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rPr>
              <w:t>持续影响指标播出天数</w:t>
            </w:r>
          </w:p>
        </w:tc>
        <w:tc>
          <w:tcPr>
            <w:tcW w:w="85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7DCEF5B">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rPr>
              <w:t>≤</w:t>
            </w:r>
          </w:p>
        </w:tc>
        <w:tc>
          <w:tcPr>
            <w:tcW w:w="68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437609">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365</w:t>
            </w:r>
          </w:p>
        </w:tc>
        <w:tc>
          <w:tcPr>
            <w:tcW w:w="855" w:type="pct"/>
            <w:tcBorders>
              <w:top w:val="single" w:color="auto" w:sz="4" w:space="0"/>
              <w:left w:val="single" w:color="auto" w:sz="4" w:space="0"/>
              <w:bottom w:val="single" w:color="auto" w:sz="4" w:space="0"/>
              <w:right w:val="single" w:color="auto" w:sz="4" w:space="0"/>
            </w:tcBorders>
            <w:shd w:val="clear" w:color="auto" w:fill="auto"/>
            <w:vAlign w:val="center"/>
          </w:tcPr>
          <w:p w14:paraId="4DC82F71">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eastAsia="zh-CN"/>
              </w:rPr>
              <w:t>天</w:t>
            </w:r>
          </w:p>
        </w:tc>
        <w:tc>
          <w:tcPr>
            <w:tcW w:w="987" w:type="pct"/>
            <w:tcBorders>
              <w:top w:val="single" w:color="auto" w:sz="4" w:space="0"/>
              <w:left w:val="single" w:color="auto" w:sz="4" w:space="0"/>
              <w:bottom w:val="single" w:color="auto" w:sz="4" w:space="0"/>
              <w:right w:val="single" w:color="auto" w:sz="4" w:space="0"/>
            </w:tcBorders>
            <w:shd w:val="clear" w:color="auto" w:fill="auto"/>
            <w:vAlign w:val="center"/>
          </w:tcPr>
          <w:p w14:paraId="5116F02E">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20</w:t>
            </w:r>
          </w:p>
        </w:tc>
      </w:tr>
      <w:tr w14:paraId="08F84FA9">
        <w:tblPrEx>
          <w:tblCellMar>
            <w:top w:w="0" w:type="dxa"/>
            <w:left w:w="108" w:type="dxa"/>
            <w:bottom w:w="0" w:type="dxa"/>
            <w:right w:w="108" w:type="dxa"/>
          </w:tblCellMar>
        </w:tblPrEx>
        <w:trPr>
          <w:trHeight w:val="275" w:hRule="atLeast"/>
        </w:trPr>
        <w:tc>
          <w:tcPr>
            <w:tcW w:w="6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DAB1BF0">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3</w:t>
            </w:r>
          </w:p>
        </w:tc>
        <w:tc>
          <w:tcPr>
            <w:tcW w:w="94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CA77762">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eastAsia="zh-CN"/>
              </w:rPr>
              <w:t>设备</w:t>
            </w:r>
            <w:r>
              <w:rPr>
                <w:rFonts w:hint="eastAsia" w:ascii="仿宋_GB2312" w:hAnsi="仿宋" w:eastAsia="仿宋_GB2312" w:cs="Times New Roman"/>
                <w:sz w:val="28"/>
                <w:szCs w:val="28"/>
              </w:rPr>
              <w:t>正常运行天数</w:t>
            </w:r>
          </w:p>
        </w:tc>
        <w:tc>
          <w:tcPr>
            <w:tcW w:w="85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844E1EB">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w:t>
            </w:r>
          </w:p>
        </w:tc>
        <w:tc>
          <w:tcPr>
            <w:tcW w:w="68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8328D0">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365</w:t>
            </w:r>
          </w:p>
        </w:tc>
        <w:tc>
          <w:tcPr>
            <w:tcW w:w="855" w:type="pct"/>
            <w:tcBorders>
              <w:top w:val="single" w:color="auto" w:sz="4" w:space="0"/>
              <w:left w:val="single" w:color="auto" w:sz="4" w:space="0"/>
              <w:bottom w:val="single" w:color="auto" w:sz="4" w:space="0"/>
              <w:right w:val="single" w:color="auto" w:sz="4" w:space="0"/>
            </w:tcBorders>
            <w:shd w:val="clear" w:color="auto" w:fill="auto"/>
            <w:vAlign w:val="center"/>
          </w:tcPr>
          <w:p w14:paraId="4ABEC57A">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eastAsia="zh-CN"/>
              </w:rPr>
              <w:t>天</w:t>
            </w:r>
          </w:p>
        </w:tc>
        <w:tc>
          <w:tcPr>
            <w:tcW w:w="987" w:type="pct"/>
            <w:tcBorders>
              <w:top w:val="single" w:color="auto" w:sz="4" w:space="0"/>
              <w:left w:val="single" w:color="auto" w:sz="4" w:space="0"/>
              <w:bottom w:val="single" w:color="auto" w:sz="4" w:space="0"/>
              <w:right w:val="single" w:color="auto" w:sz="4" w:space="0"/>
            </w:tcBorders>
            <w:shd w:val="clear" w:color="auto" w:fill="auto"/>
            <w:vAlign w:val="center"/>
          </w:tcPr>
          <w:p w14:paraId="3F88BEDE">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20</w:t>
            </w:r>
          </w:p>
        </w:tc>
      </w:tr>
      <w:tr w14:paraId="317D3194">
        <w:tblPrEx>
          <w:tblCellMar>
            <w:top w:w="0" w:type="dxa"/>
            <w:left w:w="108" w:type="dxa"/>
            <w:bottom w:w="0" w:type="dxa"/>
            <w:right w:w="108" w:type="dxa"/>
          </w:tblCellMar>
        </w:tblPrEx>
        <w:trPr>
          <w:trHeight w:val="275" w:hRule="atLeast"/>
        </w:trPr>
        <w:tc>
          <w:tcPr>
            <w:tcW w:w="6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C9FCF9C">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4</w:t>
            </w:r>
          </w:p>
        </w:tc>
        <w:tc>
          <w:tcPr>
            <w:tcW w:w="94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CD0695D">
            <w:pPr>
              <w:widowControl/>
              <w:jc w:val="center"/>
              <w:rPr>
                <w:rFonts w:hint="eastAsia" w:ascii="仿宋_GB2312" w:hAnsi="仿宋" w:eastAsia="仿宋_GB2312" w:cs="Times New Roman"/>
                <w:sz w:val="28"/>
                <w:szCs w:val="28"/>
              </w:rPr>
            </w:pPr>
            <w:r>
              <w:rPr>
                <w:rFonts w:hint="eastAsia" w:ascii="仿宋_GB2312" w:hAnsi="仿宋" w:eastAsia="仿宋_GB2312" w:cs="Times New Roman"/>
                <w:sz w:val="28"/>
                <w:szCs w:val="28"/>
              </w:rPr>
              <w:t>融媒体云设备运维</w:t>
            </w:r>
          </w:p>
          <w:p w14:paraId="05BC194F">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rPr>
              <w:t>投诉次数</w:t>
            </w:r>
          </w:p>
        </w:tc>
        <w:tc>
          <w:tcPr>
            <w:tcW w:w="85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FB44CE">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rPr>
              <w:t>≤</w:t>
            </w:r>
          </w:p>
        </w:tc>
        <w:tc>
          <w:tcPr>
            <w:tcW w:w="68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75DB2D">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10</w:t>
            </w:r>
          </w:p>
        </w:tc>
        <w:tc>
          <w:tcPr>
            <w:tcW w:w="855" w:type="pct"/>
            <w:tcBorders>
              <w:top w:val="single" w:color="auto" w:sz="4" w:space="0"/>
              <w:left w:val="single" w:color="auto" w:sz="4" w:space="0"/>
              <w:bottom w:val="single" w:color="auto" w:sz="4" w:space="0"/>
              <w:right w:val="single" w:color="auto" w:sz="4" w:space="0"/>
            </w:tcBorders>
            <w:shd w:val="clear" w:color="auto" w:fill="auto"/>
            <w:vAlign w:val="center"/>
          </w:tcPr>
          <w:p w14:paraId="3F0E9C5E">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eastAsia="zh-CN"/>
              </w:rPr>
              <w:t>次</w:t>
            </w:r>
          </w:p>
        </w:tc>
        <w:tc>
          <w:tcPr>
            <w:tcW w:w="987" w:type="pct"/>
            <w:tcBorders>
              <w:top w:val="single" w:color="auto" w:sz="4" w:space="0"/>
              <w:left w:val="single" w:color="auto" w:sz="4" w:space="0"/>
              <w:bottom w:val="single" w:color="auto" w:sz="4" w:space="0"/>
              <w:right w:val="single" w:color="auto" w:sz="4" w:space="0"/>
            </w:tcBorders>
            <w:shd w:val="clear" w:color="auto" w:fill="auto"/>
            <w:vAlign w:val="center"/>
          </w:tcPr>
          <w:p w14:paraId="27012FC3">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20</w:t>
            </w:r>
          </w:p>
        </w:tc>
      </w:tr>
      <w:tr w14:paraId="782092C0">
        <w:tblPrEx>
          <w:tblCellMar>
            <w:top w:w="0" w:type="dxa"/>
            <w:left w:w="108" w:type="dxa"/>
            <w:bottom w:w="0" w:type="dxa"/>
            <w:right w:w="108" w:type="dxa"/>
          </w:tblCellMar>
        </w:tblPrEx>
        <w:trPr>
          <w:trHeight w:val="275" w:hRule="atLeast"/>
        </w:trPr>
        <w:tc>
          <w:tcPr>
            <w:tcW w:w="68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ABA4FF6">
            <w:pPr>
              <w:widowControl/>
              <w:jc w:val="center"/>
              <w:rPr>
                <w:rFonts w:hint="eastAsia" w:ascii="仿宋_GB2312" w:hAnsi="仿宋" w:eastAsia="仿宋_GB2312" w:cs="Times New Roman"/>
                <w:kern w:val="2"/>
                <w:sz w:val="28"/>
                <w:szCs w:val="28"/>
                <w:lang w:val="en-US" w:eastAsia="zh-CN" w:bidi="ar-SA"/>
              </w:rPr>
            </w:pPr>
            <w:bookmarkStart w:id="3" w:name="_Toc268005761"/>
            <w:r>
              <w:rPr>
                <w:rFonts w:hint="eastAsia" w:ascii="仿宋_GB2312" w:hAnsi="仿宋" w:eastAsia="仿宋_GB2312" w:cs="Times New Roman"/>
                <w:sz w:val="28"/>
                <w:szCs w:val="28"/>
                <w:lang w:val="en-US" w:eastAsia="zh-CN"/>
              </w:rPr>
              <w:t>5</w:t>
            </w:r>
          </w:p>
        </w:tc>
        <w:tc>
          <w:tcPr>
            <w:tcW w:w="94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5D24374">
            <w:pPr>
              <w:widowControl/>
              <w:jc w:val="center"/>
              <w:rPr>
                <w:rFonts w:hint="eastAsia" w:ascii="仿宋_GB2312" w:hAnsi="仿宋" w:eastAsia="仿宋_GB2312" w:cs="Times New Roman"/>
                <w:sz w:val="28"/>
                <w:szCs w:val="28"/>
              </w:rPr>
            </w:pPr>
            <w:r>
              <w:rPr>
                <w:rFonts w:hint="eastAsia" w:ascii="仿宋_GB2312" w:hAnsi="仿宋" w:eastAsia="仿宋_GB2312" w:cs="Times New Roman"/>
                <w:sz w:val="28"/>
                <w:szCs w:val="28"/>
              </w:rPr>
              <w:t>《京西时报》印刷</w:t>
            </w:r>
          </w:p>
          <w:p w14:paraId="2F117110">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rPr>
              <w:t>项目建设资金</w:t>
            </w:r>
          </w:p>
        </w:tc>
        <w:tc>
          <w:tcPr>
            <w:tcW w:w="85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94563D9">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rPr>
              <w:t>≤</w:t>
            </w:r>
          </w:p>
        </w:tc>
        <w:tc>
          <w:tcPr>
            <w:tcW w:w="68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E9003D">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60.8</w:t>
            </w:r>
          </w:p>
        </w:tc>
        <w:tc>
          <w:tcPr>
            <w:tcW w:w="855" w:type="pct"/>
            <w:tcBorders>
              <w:top w:val="single" w:color="auto" w:sz="4" w:space="0"/>
              <w:left w:val="single" w:color="auto" w:sz="4" w:space="0"/>
              <w:bottom w:val="single" w:color="auto" w:sz="4" w:space="0"/>
              <w:right w:val="single" w:color="auto" w:sz="4" w:space="0"/>
            </w:tcBorders>
            <w:shd w:val="clear" w:color="auto" w:fill="auto"/>
            <w:vAlign w:val="center"/>
          </w:tcPr>
          <w:p w14:paraId="64017518">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eastAsia="zh-CN"/>
              </w:rPr>
              <w:t>万元</w:t>
            </w:r>
          </w:p>
        </w:tc>
        <w:tc>
          <w:tcPr>
            <w:tcW w:w="987" w:type="pct"/>
            <w:tcBorders>
              <w:top w:val="single" w:color="auto" w:sz="4" w:space="0"/>
              <w:left w:val="single" w:color="auto" w:sz="4" w:space="0"/>
              <w:bottom w:val="single" w:color="auto" w:sz="4" w:space="0"/>
              <w:right w:val="single" w:color="auto" w:sz="4" w:space="0"/>
            </w:tcBorders>
            <w:shd w:val="clear" w:color="auto" w:fill="auto"/>
            <w:vAlign w:val="center"/>
          </w:tcPr>
          <w:p w14:paraId="5A544FA1">
            <w:pPr>
              <w:widowControl/>
              <w:jc w:val="center"/>
              <w:rPr>
                <w:rFonts w:hint="eastAsia" w:ascii="仿宋_GB2312" w:hAnsi="仿宋" w:eastAsia="仿宋_GB2312" w:cs="Times New Roman"/>
                <w:kern w:val="2"/>
                <w:sz w:val="28"/>
                <w:szCs w:val="28"/>
                <w:lang w:val="en-US" w:eastAsia="zh-CN" w:bidi="ar-SA"/>
              </w:rPr>
            </w:pPr>
            <w:r>
              <w:rPr>
                <w:rFonts w:hint="eastAsia" w:ascii="仿宋_GB2312" w:hAnsi="仿宋" w:eastAsia="仿宋_GB2312" w:cs="Times New Roman"/>
                <w:sz w:val="28"/>
                <w:szCs w:val="28"/>
                <w:lang w:val="en-US" w:eastAsia="zh-CN"/>
              </w:rPr>
              <w:t>20</w:t>
            </w:r>
          </w:p>
        </w:tc>
      </w:tr>
    </w:tbl>
    <w:p w14:paraId="1D668BEA">
      <w:pPr>
        <w:spacing w:line="580" w:lineRule="exact"/>
        <w:ind w:firstLine="641"/>
        <w:rPr>
          <w:rFonts w:hint="eastAsia" w:ascii="楷体_GB2312" w:hAnsi="Calibri" w:eastAsia="楷体_GB2312"/>
          <w:b/>
          <w:sz w:val="32"/>
          <w:szCs w:val="32"/>
        </w:rPr>
      </w:pPr>
      <w:r>
        <w:rPr>
          <w:rFonts w:hint="eastAsia" w:ascii="楷体_GB2312" w:eastAsia="楷体_GB2312"/>
          <w:b/>
          <w:sz w:val="32"/>
          <w:szCs w:val="32"/>
        </w:rPr>
        <w:t>(二)当年预算执行情况</w:t>
      </w:r>
      <w:bookmarkEnd w:id="3"/>
      <w:r>
        <w:rPr>
          <w:rFonts w:hint="eastAsia" w:ascii="仿宋_GB2312" w:eastAsia="仿宋_GB2312"/>
          <w:sz w:val="32"/>
          <w:szCs w:val="32"/>
        </w:rPr>
        <w:t xml:space="preserve">  </w:t>
      </w:r>
    </w:p>
    <w:p w14:paraId="6D8EF106">
      <w:pPr>
        <w:spacing w:line="580" w:lineRule="exact"/>
        <w:ind w:firstLine="641"/>
        <w:rPr>
          <w:rFonts w:hint="eastAsia" w:ascii="仿宋_GB2312" w:eastAsia="仿宋_GB2312"/>
          <w:sz w:val="32"/>
          <w:szCs w:val="32"/>
        </w:rPr>
      </w:pPr>
      <w:r>
        <w:rPr>
          <w:rFonts w:hint="eastAsia" w:ascii="仿宋_GB2312" w:eastAsia="仿宋_GB2312"/>
          <w:sz w:val="32"/>
          <w:szCs w:val="32"/>
        </w:rPr>
        <w:t>2025年全年预算数31</w:t>
      </w:r>
      <w:r>
        <w:rPr>
          <w:rFonts w:hint="eastAsia" w:ascii="仿宋_GB2312" w:eastAsia="仿宋_GB2312"/>
          <w:sz w:val="32"/>
          <w:szCs w:val="32"/>
          <w:lang w:val="en-US" w:eastAsia="zh-CN"/>
        </w:rPr>
        <w:t>,</w:t>
      </w:r>
      <w:r>
        <w:rPr>
          <w:rFonts w:hint="eastAsia" w:ascii="仿宋_GB2312" w:eastAsia="仿宋_GB2312"/>
          <w:sz w:val="32"/>
          <w:szCs w:val="32"/>
        </w:rPr>
        <w:t>111</w:t>
      </w:r>
      <w:r>
        <w:rPr>
          <w:rFonts w:hint="eastAsia" w:ascii="仿宋_GB2312" w:eastAsia="仿宋_GB2312"/>
          <w:sz w:val="32"/>
          <w:szCs w:val="32"/>
          <w:lang w:val="en-US" w:eastAsia="zh-CN"/>
        </w:rPr>
        <w:t>,</w:t>
      </w:r>
      <w:r>
        <w:rPr>
          <w:rFonts w:hint="eastAsia" w:ascii="仿宋_GB2312" w:eastAsia="仿宋_GB2312"/>
          <w:sz w:val="32"/>
          <w:szCs w:val="32"/>
        </w:rPr>
        <w:t>737.48元，其中，基本支出预算数17</w:t>
      </w:r>
      <w:r>
        <w:rPr>
          <w:rFonts w:hint="eastAsia" w:ascii="仿宋_GB2312" w:eastAsia="仿宋_GB2312"/>
          <w:sz w:val="32"/>
          <w:szCs w:val="32"/>
          <w:lang w:val="en-US" w:eastAsia="zh-CN"/>
        </w:rPr>
        <w:t>,</w:t>
      </w:r>
      <w:r>
        <w:rPr>
          <w:rFonts w:hint="eastAsia" w:ascii="仿宋_GB2312" w:eastAsia="仿宋_GB2312"/>
          <w:sz w:val="32"/>
          <w:szCs w:val="32"/>
        </w:rPr>
        <w:t>612</w:t>
      </w:r>
      <w:r>
        <w:rPr>
          <w:rFonts w:hint="eastAsia" w:ascii="仿宋_GB2312" w:eastAsia="仿宋_GB2312"/>
          <w:sz w:val="32"/>
          <w:szCs w:val="32"/>
          <w:lang w:val="en-US" w:eastAsia="zh-CN"/>
        </w:rPr>
        <w:t>,</w:t>
      </w:r>
      <w:r>
        <w:rPr>
          <w:rFonts w:hint="eastAsia" w:ascii="仿宋_GB2312" w:eastAsia="仿宋_GB2312"/>
          <w:sz w:val="32"/>
          <w:szCs w:val="32"/>
        </w:rPr>
        <w:t>707.78元，项目支出预算数13</w:t>
      </w:r>
      <w:r>
        <w:rPr>
          <w:rFonts w:hint="eastAsia" w:ascii="仿宋_GB2312" w:eastAsia="仿宋_GB2312"/>
          <w:sz w:val="32"/>
          <w:szCs w:val="32"/>
          <w:lang w:val="en-US" w:eastAsia="zh-CN"/>
        </w:rPr>
        <w:t>,</w:t>
      </w:r>
      <w:r>
        <w:rPr>
          <w:rFonts w:hint="eastAsia" w:ascii="仿宋_GB2312" w:eastAsia="仿宋_GB2312"/>
          <w:sz w:val="32"/>
          <w:szCs w:val="32"/>
        </w:rPr>
        <w:t>499</w:t>
      </w:r>
      <w:r>
        <w:rPr>
          <w:rFonts w:hint="eastAsia" w:ascii="仿宋_GB2312" w:eastAsia="仿宋_GB2312"/>
          <w:sz w:val="32"/>
          <w:szCs w:val="32"/>
          <w:lang w:val="en-US" w:eastAsia="zh-CN"/>
        </w:rPr>
        <w:t>,</w:t>
      </w:r>
      <w:r>
        <w:rPr>
          <w:rFonts w:hint="eastAsia" w:ascii="仿宋_GB2312" w:eastAsia="仿宋_GB2312"/>
          <w:sz w:val="32"/>
          <w:szCs w:val="32"/>
        </w:rPr>
        <w:t>029.7元。全年支出31,500,796.79元，其中，基本支出17,951,214.09元，项目支出13,549,582.70元。预算执行率为</w:t>
      </w:r>
      <w:r>
        <w:rPr>
          <w:rFonts w:hint="eastAsia" w:ascii="仿宋_GB2312" w:eastAsia="仿宋_GB2312"/>
          <w:sz w:val="32"/>
          <w:szCs w:val="32"/>
          <w:lang w:val="en-US" w:eastAsia="zh-CN"/>
        </w:rPr>
        <w:t>101.25</w:t>
      </w:r>
      <w:r>
        <w:rPr>
          <w:rFonts w:hint="eastAsia" w:ascii="仿宋_GB2312" w:eastAsia="仿宋_GB2312"/>
          <w:sz w:val="32"/>
          <w:szCs w:val="32"/>
        </w:rPr>
        <w:t xml:space="preserve">%。                                  </w:t>
      </w:r>
    </w:p>
    <w:p w14:paraId="635393AD">
      <w:pPr>
        <w:spacing w:line="580" w:lineRule="exact"/>
        <w:ind w:firstLine="641"/>
        <w:rPr>
          <w:rFonts w:hint="eastAsia" w:ascii="仿宋_GB2312" w:eastAsia="仿宋_GB2312"/>
          <w:sz w:val="32"/>
          <w:szCs w:val="32"/>
        </w:rPr>
      </w:pPr>
      <w:r>
        <w:rPr>
          <w:rFonts w:hint="eastAsia" w:ascii="仿宋_GB2312" w:eastAsia="仿宋_GB2312"/>
          <w:sz w:val="32"/>
          <w:szCs w:val="32"/>
        </w:rPr>
        <w:t>2025年年末结转结余资金总额为</w:t>
      </w:r>
      <w:r>
        <w:rPr>
          <w:rFonts w:hint="eastAsia" w:ascii="仿宋_GB2312" w:eastAsia="仿宋_GB2312"/>
          <w:sz w:val="32"/>
          <w:szCs w:val="32"/>
          <w:lang w:val="en-US" w:eastAsia="zh-CN"/>
        </w:rPr>
        <w:t>0</w:t>
      </w:r>
      <w:r>
        <w:rPr>
          <w:rFonts w:hint="eastAsia" w:ascii="仿宋_GB2312" w:eastAsia="仿宋_GB2312"/>
          <w:sz w:val="32"/>
          <w:szCs w:val="32"/>
        </w:rPr>
        <w:t>元，全年支出预算数为31,500,796.79元，资金结转结余率为</w:t>
      </w:r>
      <w:r>
        <w:rPr>
          <w:rFonts w:hint="eastAsia" w:ascii="仿宋_GB2312" w:eastAsia="仿宋_GB2312"/>
          <w:sz w:val="32"/>
          <w:szCs w:val="32"/>
          <w:lang w:val="en-US" w:eastAsia="zh-CN"/>
        </w:rPr>
        <w:t>0</w:t>
      </w:r>
      <w:r>
        <w:rPr>
          <w:rFonts w:hint="eastAsia" w:ascii="仿宋_GB2312" w:eastAsia="仿宋_GB2312"/>
          <w:sz w:val="32"/>
          <w:szCs w:val="32"/>
        </w:rPr>
        <w:t>%；2024年年末结转结余资金总额为</w:t>
      </w:r>
      <w:r>
        <w:rPr>
          <w:rFonts w:hint="eastAsia" w:ascii="仿宋_GB2312" w:eastAsia="仿宋_GB2312"/>
          <w:sz w:val="32"/>
          <w:szCs w:val="32"/>
          <w:lang w:val="en-US" w:eastAsia="zh-CN"/>
        </w:rPr>
        <w:t>0</w:t>
      </w:r>
      <w:r>
        <w:rPr>
          <w:rFonts w:hint="eastAsia" w:ascii="仿宋_GB2312" w:eastAsia="仿宋_GB2312"/>
          <w:sz w:val="32"/>
          <w:szCs w:val="32"/>
        </w:rPr>
        <w:t>元，全年支出预算数为</w:t>
      </w:r>
      <w:r>
        <w:rPr>
          <w:rFonts w:hint="eastAsia" w:ascii="仿宋_GB2312" w:eastAsia="仿宋_GB2312"/>
          <w:color w:val="000000"/>
          <w:sz w:val="28"/>
          <w:szCs w:val="28"/>
        </w:rPr>
        <w:t>44,622,221.90</w:t>
      </w:r>
      <w:r>
        <w:rPr>
          <w:rFonts w:hint="eastAsia" w:ascii="仿宋_GB2312" w:eastAsia="仿宋_GB2312"/>
          <w:sz w:val="32"/>
          <w:szCs w:val="32"/>
        </w:rPr>
        <w:t>元，资金结转结余率为</w:t>
      </w:r>
      <w:r>
        <w:rPr>
          <w:rFonts w:hint="eastAsia" w:ascii="仿宋_GB2312" w:eastAsia="仿宋_GB2312"/>
          <w:sz w:val="32"/>
          <w:szCs w:val="32"/>
          <w:lang w:val="en-US" w:eastAsia="zh-CN"/>
        </w:rPr>
        <w:t>0</w:t>
      </w:r>
      <w:r>
        <w:rPr>
          <w:rFonts w:hint="eastAsia" w:ascii="仿宋_GB2312" w:eastAsia="仿宋_GB2312"/>
          <w:sz w:val="32"/>
          <w:szCs w:val="32"/>
        </w:rPr>
        <w:t>%；2025年度部门结转结余率较上一年上升</w:t>
      </w:r>
      <w:r>
        <w:rPr>
          <w:rFonts w:hint="eastAsia" w:ascii="仿宋_GB2312" w:eastAsia="仿宋_GB2312"/>
          <w:sz w:val="32"/>
          <w:szCs w:val="32"/>
          <w:lang w:val="en-US" w:eastAsia="zh-CN"/>
        </w:rPr>
        <w:t>0</w:t>
      </w:r>
      <w:r>
        <w:rPr>
          <w:rFonts w:hint="eastAsia" w:ascii="仿宋_GB2312" w:eastAsia="仿宋_GB2312"/>
          <w:sz w:val="32"/>
          <w:szCs w:val="32"/>
        </w:rPr>
        <w:t>%。</w:t>
      </w:r>
    </w:p>
    <w:p w14:paraId="5326433A">
      <w:pPr>
        <w:spacing w:line="580" w:lineRule="exact"/>
        <w:ind w:firstLine="641"/>
        <w:rPr>
          <w:rFonts w:hint="eastAsia" w:ascii="楷体_GB2312" w:eastAsia="楷体_GB2312"/>
          <w:b/>
          <w:sz w:val="32"/>
          <w:szCs w:val="32"/>
        </w:rPr>
      </w:pPr>
      <w:r>
        <w:rPr>
          <w:rFonts w:hint="eastAsia" w:ascii="楷体_GB2312" w:eastAsia="楷体_GB2312"/>
          <w:b/>
          <w:sz w:val="32"/>
          <w:szCs w:val="32"/>
        </w:rPr>
        <w:t>（三）整体绩效目标实现情况</w:t>
      </w:r>
    </w:p>
    <w:p w14:paraId="11705262">
      <w:pPr>
        <w:spacing w:line="580" w:lineRule="exact"/>
        <w:ind w:firstLine="641"/>
        <w:rPr>
          <w:rFonts w:hint="eastAsia" w:ascii="仿宋_GB2312" w:eastAsia="仿宋_GB2312"/>
          <w:sz w:val="32"/>
          <w:szCs w:val="32"/>
        </w:rPr>
      </w:pPr>
      <w:r>
        <w:rPr>
          <w:rFonts w:hint="eastAsia" w:ascii="仿宋_GB2312" w:eastAsia="仿宋_GB2312"/>
          <w:sz w:val="32"/>
          <w:szCs w:val="32"/>
        </w:rPr>
        <w:t>1.产出完成情况分析</w:t>
      </w:r>
    </w:p>
    <w:p w14:paraId="0DB5AC68">
      <w:pPr>
        <w:spacing w:line="580" w:lineRule="exact"/>
        <w:ind w:firstLine="641"/>
        <w:rPr>
          <w:rFonts w:hint="eastAsia" w:ascii="仿宋_GB2312" w:eastAsia="仿宋_GB2312"/>
          <w:sz w:val="32"/>
          <w:szCs w:val="32"/>
        </w:rPr>
      </w:pPr>
      <w:r>
        <w:rPr>
          <w:rFonts w:hint="eastAsia" w:ascii="仿宋_GB2312" w:eastAsia="仿宋_GB2312"/>
          <w:sz w:val="32"/>
          <w:szCs w:val="32"/>
        </w:rPr>
        <w:t>（1）产出数量</w:t>
      </w:r>
    </w:p>
    <w:tbl>
      <w:tblPr>
        <w:tblStyle w:val="10"/>
        <w:tblW w:w="9200" w:type="dxa"/>
        <w:tblInd w:w="108" w:type="dxa"/>
        <w:tblLayout w:type="autofit"/>
        <w:tblCellMar>
          <w:top w:w="0" w:type="dxa"/>
          <w:left w:w="108" w:type="dxa"/>
          <w:bottom w:w="0" w:type="dxa"/>
          <w:right w:w="108" w:type="dxa"/>
        </w:tblCellMar>
      </w:tblPr>
      <w:tblGrid>
        <w:gridCol w:w="880"/>
        <w:gridCol w:w="1984"/>
        <w:gridCol w:w="1701"/>
        <w:gridCol w:w="1843"/>
        <w:gridCol w:w="2792"/>
      </w:tblGrid>
      <w:tr w14:paraId="08D4D11A">
        <w:tblPrEx>
          <w:tblCellMar>
            <w:top w:w="0" w:type="dxa"/>
            <w:left w:w="108" w:type="dxa"/>
            <w:bottom w:w="0" w:type="dxa"/>
            <w:right w:w="108" w:type="dxa"/>
          </w:tblCellMar>
        </w:tblPrEx>
        <w:trPr>
          <w:trHeight w:val="510" w:hRule="atLeast"/>
        </w:trPr>
        <w:tc>
          <w:tcPr>
            <w:tcW w:w="880" w:type="dxa"/>
            <w:tcBorders>
              <w:top w:val="single" w:color="auto" w:sz="4" w:space="0"/>
              <w:left w:val="single" w:color="auto" w:sz="4" w:space="0"/>
              <w:bottom w:val="single" w:color="auto" w:sz="4" w:space="0"/>
              <w:right w:val="single" w:color="auto" w:sz="4" w:space="0"/>
            </w:tcBorders>
            <w:vAlign w:val="center"/>
          </w:tcPr>
          <w:p w14:paraId="65594344">
            <w:pPr>
              <w:spacing w:line="520" w:lineRule="exact"/>
              <w:jc w:val="center"/>
              <w:rPr>
                <w:rFonts w:hint="eastAsia" w:ascii="仿宋_GB2312" w:eastAsia="仿宋_GB2312"/>
                <w:sz w:val="28"/>
                <w:szCs w:val="28"/>
              </w:rPr>
            </w:pPr>
            <w:r>
              <w:rPr>
                <w:rFonts w:hint="eastAsia" w:ascii="仿宋_GB2312" w:eastAsia="仿宋_GB2312"/>
                <w:sz w:val="28"/>
                <w:szCs w:val="28"/>
              </w:rPr>
              <w:t>序号</w:t>
            </w:r>
          </w:p>
        </w:tc>
        <w:tc>
          <w:tcPr>
            <w:tcW w:w="1984" w:type="dxa"/>
            <w:tcBorders>
              <w:top w:val="single" w:color="auto" w:sz="4" w:space="0"/>
              <w:left w:val="nil"/>
              <w:bottom w:val="single" w:color="auto" w:sz="4" w:space="0"/>
              <w:right w:val="single" w:color="auto" w:sz="4" w:space="0"/>
            </w:tcBorders>
            <w:vAlign w:val="center"/>
          </w:tcPr>
          <w:p w14:paraId="4798C84E">
            <w:pPr>
              <w:spacing w:line="520" w:lineRule="exact"/>
              <w:jc w:val="center"/>
              <w:rPr>
                <w:rFonts w:hint="eastAsia" w:ascii="仿宋_GB2312" w:eastAsia="仿宋_GB2312"/>
                <w:sz w:val="28"/>
                <w:szCs w:val="28"/>
              </w:rPr>
            </w:pPr>
            <w:r>
              <w:rPr>
                <w:rFonts w:hint="eastAsia" w:ascii="仿宋_GB2312" w:eastAsia="仿宋_GB2312"/>
                <w:sz w:val="28"/>
                <w:szCs w:val="28"/>
              </w:rPr>
              <w:t>三级指标</w:t>
            </w:r>
          </w:p>
        </w:tc>
        <w:tc>
          <w:tcPr>
            <w:tcW w:w="1701" w:type="dxa"/>
            <w:tcBorders>
              <w:top w:val="single" w:color="auto" w:sz="4" w:space="0"/>
              <w:left w:val="nil"/>
              <w:bottom w:val="single" w:color="auto" w:sz="4" w:space="0"/>
              <w:right w:val="single" w:color="auto" w:sz="4" w:space="0"/>
            </w:tcBorders>
            <w:vAlign w:val="center"/>
          </w:tcPr>
          <w:p w14:paraId="55EE9AD0">
            <w:pPr>
              <w:spacing w:line="520" w:lineRule="exact"/>
              <w:jc w:val="center"/>
              <w:rPr>
                <w:rFonts w:hint="eastAsia" w:ascii="仿宋_GB2312" w:eastAsia="仿宋_GB2312"/>
                <w:sz w:val="28"/>
                <w:szCs w:val="28"/>
              </w:rPr>
            </w:pPr>
            <w:r>
              <w:rPr>
                <w:rFonts w:hint="eastAsia" w:ascii="仿宋_GB2312" w:eastAsia="仿宋_GB2312"/>
                <w:sz w:val="28"/>
                <w:szCs w:val="28"/>
              </w:rPr>
              <w:t>计划值</w:t>
            </w:r>
          </w:p>
        </w:tc>
        <w:tc>
          <w:tcPr>
            <w:tcW w:w="1843" w:type="dxa"/>
            <w:tcBorders>
              <w:top w:val="single" w:color="auto" w:sz="4" w:space="0"/>
              <w:left w:val="nil"/>
              <w:bottom w:val="single" w:color="auto" w:sz="4" w:space="0"/>
              <w:right w:val="single" w:color="auto" w:sz="4" w:space="0"/>
            </w:tcBorders>
            <w:vAlign w:val="center"/>
          </w:tcPr>
          <w:p w14:paraId="520680ED">
            <w:pPr>
              <w:spacing w:line="520" w:lineRule="exact"/>
              <w:jc w:val="center"/>
              <w:rPr>
                <w:rFonts w:hint="eastAsia" w:ascii="仿宋_GB2312" w:eastAsia="仿宋_GB2312"/>
                <w:sz w:val="28"/>
                <w:szCs w:val="28"/>
              </w:rPr>
            </w:pPr>
            <w:r>
              <w:rPr>
                <w:rFonts w:hint="eastAsia" w:ascii="仿宋_GB2312" w:eastAsia="仿宋_GB2312"/>
                <w:sz w:val="28"/>
                <w:szCs w:val="28"/>
              </w:rPr>
              <w:t>完成值</w:t>
            </w:r>
          </w:p>
        </w:tc>
        <w:tc>
          <w:tcPr>
            <w:tcW w:w="2792" w:type="dxa"/>
            <w:tcBorders>
              <w:top w:val="single" w:color="auto" w:sz="4" w:space="0"/>
              <w:left w:val="nil"/>
              <w:bottom w:val="single" w:color="auto" w:sz="4" w:space="0"/>
              <w:right w:val="single" w:color="auto" w:sz="4" w:space="0"/>
            </w:tcBorders>
            <w:vAlign w:val="center"/>
          </w:tcPr>
          <w:p w14:paraId="4D92A0C1">
            <w:pPr>
              <w:spacing w:line="520" w:lineRule="exact"/>
              <w:jc w:val="center"/>
              <w:rPr>
                <w:rFonts w:hint="eastAsia" w:ascii="仿宋_GB2312" w:eastAsia="仿宋_GB2312"/>
                <w:sz w:val="28"/>
                <w:szCs w:val="28"/>
              </w:rPr>
            </w:pPr>
            <w:r>
              <w:rPr>
                <w:rFonts w:hint="eastAsia" w:ascii="仿宋_GB2312" w:eastAsia="仿宋_GB2312"/>
                <w:sz w:val="28"/>
                <w:szCs w:val="28"/>
              </w:rPr>
              <w:t>偏差原因</w:t>
            </w:r>
          </w:p>
        </w:tc>
      </w:tr>
      <w:tr w14:paraId="17B91334">
        <w:tblPrEx>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shd w:val="clear" w:color="auto" w:fill="auto"/>
            <w:vAlign w:val="center"/>
          </w:tcPr>
          <w:p w14:paraId="5E3CDA4C">
            <w:pPr>
              <w:widowControl/>
              <w:spacing w:line="520" w:lineRule="exact"/>
              <w:jc w:val="center"/>
              <w:rPr>
                <w:rFonts w:hint="eastAsia" w:ascii="仿宋_GB2312" w:hAnsi="宋体" w:eastAsia="仿宋_GB2312" w:cs="宋体"/>
                <w:color w:val="000000"/>
                <w:kern w:val="0"/>
                <w:sz w:val="28"/>
                <w:szCs w:val="28"/>
                <w:lang w:val="en-US" w:eastAsia="zh-CN" w:bidi="ar-SA"/>
              </w:rPr>
            </w:pPr>
            <w:r>
              <w:rPr>
                <w:rFonts w:ascii="仿宋_GB2312" w:hAnsi="宋体" w:eastAsia="仿宋_GB2312" w:cs="宋体"/>
                <w:color w:val="000000"/>
                <w:kern w:val="0"/>
                <w:sz w:val="28"/>
                <w:szCs w:val="28"/>
              </w:rPr>
              <w:t>1</w:t>
            </w:r>
          </w:p>
        </w:tc>
        <w:tc>
          <w:tcPr>
            <w:tcW w:w="1984" w:type="dxa"/>
            <w:tcBorders>
              <w:top w:val="nil"/>
              <w:left w:val="nil"/>
              <w:bottom w:val="single" w:color="auto" w:sz="4" w:space="0"/>
              <w:right w:val="single" w:color="auto" w:sz="4" w:space="0"/>
            </w:tcBorders>
            <w:shd w:val="clear" w:color="auto" w:fill="auto"/>
            <w:vAlign w:val="center"/>
          </w:tcPr>
          <w:p w14:paraId="6390B4DF">
            <w:pPr>
              <w:widowControl/>
              <w:spacing w:line="520" w:lineRule="exact"/>
              <w:jc w:val="center"/>
              <w:rPr>
                <w:rFonts w:hint="eastAsia" w:ascii="仿宋_GB2312" w:hAnsi="宋体" w:eastAsia="仿宋_GB2312" w:cs="宋体"/>
                <w:color w:val="000000"/>
                <w:kern w:val="0"/>
                <w:sz w:val="28"/>
                <w:szCs w:val="28"/>
                <w:lang w:val="en-US" w:eastAsia="zh-CN" w:bidi="ar-SA"/>
              </w:rPr>
            </w:pPr>
            <w:r>
              <w:rPr>
                <w:rFonts w:hint="eastAsia" w:ascii="仿宋_GB2312" w:hAnsi="宋体" w:eastAsia="仿宋_GB2312" w:cs="宋体"/>
                <w:color w:val="000000"/>
                <w:kern w:val="0"/>
                <w:sz w:val="28"/>
                <w:szCs w:val="28"/>
                <w:lang w:eastAsia="zh-CN"/>
              </w:rPr>
              <w:t>设备</w:t>
            </w:r>
            <w:r>
              <w:rPr>
                <w:rFonts w:hint="eastAsia" w:ascii="仿宋_GB2312" w:hAnsi="宋体" w:eastAsia="仿宋_GB2312" w:cs="宋体"/>
                <w:color w:val="000000"/>
                <w:kern w:val="0"/>
                <w:sz w:val="28"/>
                <w:szCs w:val="28"/>
              </w:rPr>
              <w:t>正常运行天数　</w:t>
            </w:r>
          </w:p>
        </w:tc>
        <w:tc>
          <w:tcPr>
            <w:tcW w:w="1701" w:type="dxa"/>
            <w:tcBorders>
              <w:top w:val="nil"/>
              <w:left w:val="nil"/>
              <w:bottom w:val="single" w:color="auto" w:sz="4" w:space="0"/>
              <w:right w:val="single" w:color="auto" w:sz="4" w:space="0"/>
            </w:tcBorders>
            <w:shd w:val="clear" w:color="auto" w:fill="auto"/>
            <w:vAlign w:val="center"/>
          </w:tcPr>
          <w:p w14:paraId="276F3A66">
            <w:pPr>
              <w:widowControl/>
              <w:spacing w:line="520" w:lineRule="exact"/>
              <w:jc w:val="center"/>
              <w:rPr>
                <w:rFonts w:hint="eastAsia" w:ascii="仿宋_GB2312" w:hAnsi="宋体" w:eastAsia="仿宋_GB2312" w:cs="宋体"/>
                <w:color w:val="000000"/>
                <w:kern w:val="0"/>
                <w:sz w:val="28"/>
                <w:szCs w:val="28"/>
                <w:lang w:val="en-US" w:eastAsia="zh-CN" w:bidi="ar-SA"/>
              </w:rPr>
            </w:pPr>
            <w:r>
              <w:rPr>
                <w:rFonts w:hint="eastAsia" w:ascii="仿宋_GB2312" w:hAnsi="宋体" w:eastAsia="仿宋_GB2312" w:cs="宋体"/>
                <w:color w:val="000000"/>
                <w:kern w:val="0"/>
                <w:sz w:val="28"/>
                <w:szCs w:val="28"/>
              </w:rPr>
              <w:t>　</w:t>
            </w:r>
            <w:r>
              <w:rPr>
                <w:rFonts w:hint="eastAsia" w:ascii="仿宋_GB2312" w:hAnsi="宋体" w:eastAsia="仿宋_GB2312" w:cs="宋体"/>
                <w:color w:val="000000"/>
                <w:kern w:val="0"/>
                <w:sz w:val="28"/>
                <w:szCs w:val="28"/>
                <w:lang w:val="en-US" w:eastAsia="zh-CN"/>
              </w:rPr>
              <w:t>365天</w:t>
            </w:r>
          </w:p>
        </w:tc>
        <w:tc>
          <w:tcPr>
            <w:tcW w:w="1843" w:type="dxa"/>
            <w:tcBorders>
              <w:top w:val="nil"/>
              <w:left w:val="nil"/>
              <w:bottom w:val="single" w:color="auto" w:sz="4" w:space="0"/>
              <w:right w:val="single" w:color="auto" w:sz="4" w:space="0"/>
            </w:tcBorders>
            <w:shd w:val="clear" w:color="auto" w:fill="auto"/>
            <w:vAlign w:val="center"/>
          </w:tcPr>
          <w:p w14:paraId="662A62AC">
            <w:pPr>
              <w:widowControl/>
              <w:spacing w:line="520" w:lineRule="exact"/>
              <w:jc w:val="center"/>
              <w:rPr>
                <w:rFonts w:hint="eastAsia" w:ascii="仿宋_GB2312" w:hAnsi="宋体" w:eastAsia="仿宋_GB2312" w:cs="宋体"/>
                <w:color w:val="000000"/>
                <w:kern w:val="0"/>
                <w:sz w:val="28"/>
                <w:szCs w:val="28"/>
                <w:lang w:val="en-US" w:eastAsia="zh-CN" w:bidi="ar-SA"/>
              </w:rPr>
            </w:pPr>
            <w:r>
              <w:rPr>
                <w:rFonts w:hint="eastAsia" w:ascii="仿宋_GB2312" w:hAnsi="宋体" w:eastAsia="仿宋_GB2312" w:cs="宋体"/>
                <w:color w:val="000000"/>
                <w:kern w:val="0"/>
                <w:sz w:val="28"/>
                <w:szCs w:val="28"/>
              </w:rPr>
              <w:t>　　</w:t>
            </w:r>
            <w:r>
              <w:rPr>
                <w:rFonts w:hint="eastAsia" w:ascii="仿宋_GB2312" w:hAnsi="宋体" w:eastAsia="仿宋_GB2312" w:cs="宋体"/>
                <w:color w:val="000000"/>
                <w:kern w:val="0"/>
                <w:sz w:val="28"/>
                <w:szCs w:val="28"/>
                <w:lang w:val="en-US" w:eastAsia="zh-CN"/>
              </w:rPr>
              <w:t>365天</w:t>
            </w:r>
          </w:p>
        </w:tc>
        <w:tc>
          <w:tcPr>
            <w:tcW w:w="2792" w:type="dxa"/>
            <w:tcBorders>
              <w:top w:val="nil"/>
              <w:left w:val="nil"/>
              <w:bottom w:val="single" w:color="auto" w:sz="4" w:space="0"/>
              <w:right w:val="single" w:color="auto" w:sz="4" w:space="0"/>
            </w:tcBorders>
            <w:shd w:val="clear" w:color="auto" w:fill="auto"/>
            <w:vAlign w:val="center"/>
          </w:tcPr>
          <w:p w14:paraId="4E0EF940">
            <w:pPr>
              <w:widowControl/>
              <w:spacing w:line="520" w:lineRule="exact"/>
              <w:jc w:val="center"/>
              <w:rPr>
                <w:rFonts w:hint="eastAsia" w:ascii="仿宋_GB2312" w:hAnsi="宋体" w:eastAsia="仿宋_GB2312" w:cs="宋体"/>
                <w:color w:val="000000"/>
                <w:kern w:val="0"/>
                <w:sz w:val="28"/>
                <w:szCs w:val="28"/>
                <w:lang w:val="en-US" w:eastAsia="zh-CN" w:bidi="ar-SA"/>
              </w:rPr>
            </w:pPr>
            <w:r>
              <w:rPr>
                <w:rFonts w:hint="eastAsia" w:ascii="仿宋_GB2312" w:hAnsi="宋体" w:eastAsia="仿宋_GB2312" w:cs="宋体"/>
                <w:color w:val="000000"/>
                <w:kern w:val="0"/>
                <w:sz w:val="28"/>
                <w:szCs w:val="28"/>
                <w:lang w:eastAsia="zh-CN"/>
              </w:rPr>
              <w:t>无</w:t>
            </w:r>
            <w:r>
              <w:rPr>
                <w:rFonts w:hint="eastAsia" w:ascii="仿宋_GB2312" w:hAnsi="宋体" w:eastAsia="仿宋_GB2312" w:cs="宋体"/>
                <w:color w:val="000000"/>
                <w:kern w:val="0"/>
                <w:sz w:val="28"/>
                <w:szCs w:val="28"/>
              </w:rPr>
              <w:t>　</w:t>
            </w:r>
          </w:p>
        </w:tc>
      </w:tr>
    </w:tbl>
    <w:p w14:paraId="33387801">
      <w:pPr>
        <w:spacing w:line="580" w:lineRule="exact"/>
        <w:ind w:firstLine="640"/>
        <w:rPr>
          <w:rFonts w:hint="eastAsia" w:ascii="仿宋_GB2312" w:hAnsi="Calibri" w:eastAsia="仿宋_GB2312"/>
          <w:sz w:val="32"/>
          <w:szCs w:val="32"/>
        </w:rPr>
      </w:pPr>
      <w:r>
        <w:rPr>
          <w:rFonts w:hint="eastAsia" w:ascii="仿宋_GB2312" w:eastAsia="仿宋_GB2312"/>
          <w:sz w:val="32"/>
          <w:szCs w:val="32"/>
        </w:rPr>
        <w:t>（2）产出质量</w:t>
      </w:r>
    </w:p>
    <w:p w14:paraId="78E96BFC">
      <w:pPr>
        <w:spacing w:line="580" w:lineRule="exact"/>
        <w:ind w:firstLine="640"/>
        <w:rPr>
          <w:rFonts w:hint="eastAsia" w:ascii="仿宋_GB2312" w:eastAsia="仿宋_GB2312"/>
          <w:sz w:val="32"/>
          <w:szCs w:val="32"/>
        </w:rPr>
      </w:pPr>
      <w:r>
        <w:rPr>
          <w:rFonts w:hint="eastAsia" w:ascii="仿宋_GB2312" w:eastAsia="仿宋_GB2312"/>
          <w:sz w:val="32"/>
          <w:szCs w:val="32"/>
        </w:rPr>
        <w:t>工作完成质量合格率≥90%。</w:t>
      </w:r>
    </w:p>
    <w:p w14:paraId="466E92BA">
      <w:pPr>
        <w:spacing w:line="580" w:lineRule="exact"/>
        <w:ind w:firstLine="640"/>
        <w:rPr>
          <w:rFonts w:hint="eastAsia" w:ascii="仿宋_GB2312" w:eastAsia="仿宋_GB2312"/>
          <w:sz w:val="32"/>
          <w:szCs w:val="32"/>
        </w:rPr>
      </w:pPr>
      <w:r>
        <w:rPr>
          <w:rFonts w:hint="eastAsia" w:ascii="仿宋_GB2312" w:eastAsia="仿宋_GB2312"/>
          <w:sz w:val="32"/>
          <w:szCs w:val="32"/>
        </w:rPr>
        <w:t>（3）产出进度</w:t>
      </w:r>
    </w:p>
    <w:p w14:paraId="3830803C">
      <w:pPr>
        <w:spacing w:line="580" w:lineRule="exact"/>
        <w:ind w:firstLine="640"/>
        <w:rPr>
          <w:rFonts w:hint="eastAsia" w:ascii="仿宋_GB2312" w:eastAsia="仿宋_GB2312"/>
          <w:sz w:val="32"/>
          <w:szCs w:val="32"/>
        </w:rPr>
      </w:pPr>
      <w:r>
        <w:rPr>
          <w:rFonts w:hint="eastAsia" w:ascii="仿宋_GB2312" w:eastAsia="仿宋_GB2312"/>
          <w:sz w:val="32"/>
          <w:szCs w:val="32"/>
        </w:rPr>
        <w:t>在2025年末全部完成。</w:t>
      </w:r>
    </w:p>
    <w:p w14:paraId="3B7F389A">
      <w:pPr>
        <w:spacing w:line="580" w:lineRule="exact"/>
        <w:ind w:firstLine="640"/>
        <w:rPr>
          <w:rFonts w:hint="eastAsia" w:ascii="仿宋_GB2312" w:eastAsia="仿宋_GB2312"/>
          <w:sz w:val="32"/>
          <w:szCs w:val="32"/>
        </w:rPr>
      </w:pPr>
      <w:r>
        <w:rPr>
          <w:rFonts w:hint="eastAsia" w:ascii="仿宋_GB2312" w:eastAsia="仿宋_GB2312"/>
          <w:sz w:val="32"/>
          <w:szCs w:val="32"/>
        </w:rPr>
        <w:t>（4）产出成本</w:t>
      </w:r>
    </w:p>
    <w:p w14:paraId="1D426752">
      <w:pPr>
        <w:spacing w:line="580" w:lineRule="exact"/>
        <w:ind w:firstLine="640"/>
        <w:rPr>
          <w:rFonts w:hint="eastAsia" w:ascii="仿宋_GB2312" w:eastAsia="仿宋_GB2312"/>
          <w:sz w:val="32"/>
          <w:szCs w:val="32"/>
        </w:rPr>
      </w:pPr>
      <w:r>
        <w:rPr>
          <w:rFonts w:hint="eastAsia" w:ascii="仿宋_GB2312" w:eastAsia="仿宋_GB2312"/>
          <w:sz w:val="32"/>
          <w:szCs w:val="32"/>
        </w:rPr>
        <w:t>2025年度决算支出3</w:t>
      </w:r>
      <w:r>
        <w:rPr>
          <w:rFonts w:hint="eastAsia" w:ascii="仿宋_GB2312" w:eastAsia="仿宋_GB2312"/>
          <w:sz w:val="32"/>
          <w:szCs w:val="32"/>
          <w:lang w:val="en-US" w:eastAsia="zh-CN"/>
        </w:rPr>
        <w:t>,</w:t>
      </w:r>
      <w:r>
        <w:rPr>
          <w:rFonts w:hint="eastAsia" w:ascii="仿宋_GB2312" w:eastAsia="仿宋_GB2312"/>
          <w:sz w:val="32"/>
          <w:szCs w:val="32"/>
        </w:rPr>
        <w:t>150.08万元</w:t>
      </w:r>
    </w:p>
    <w:p w14:paraId="5AF29EB0">
      <w:pPr>
        <w:spacing w:line="580" w:lineRule="exact"/>
        <w:ind w:firstLine="640"/>
        <w:rPr>
          <w:rFonts w:hint="eastAsia" w:ascii="仿宋_GB2312" w:eastAsia="仿宋_GB2312"/>
          <w:sz w:val="32"/>
          <w:szCs w:val="32"/>
        </w:rPr>
      </w:pPr>
      <w:r>
        <w:rPr>
          <w:rFonts w:hint="eastAsia" w:ascii="仿宋_GB2312" w:eastAsia="仿宋_GB2312"/>
          <w:sz w:val="32"/>
          <w:szCs w:val="32"/>
        </w:rPr>
        <w:t>2.效果实现情况分析</w:t>
      </w:r>
    </w:p>
    <w:p w14:paraId="45A772A7">
      <w:pPr>
        <w:spacing w:line="580" w:lineRule="exact"/>
        <w:ind w:firstLine="640"/>
        <w:rPr>
          <w:rFonts w:hint="eastAsia" w:ascii="仿宋_GB2312" w:eastAsia="仿宋_GB2312"/>
          <w:sz w:val="32"/>
          <w:szCs w:val="32"/>
        </w:rPr>
      </w:pPr>
      <w:r>
        <w:rPr>
          <w:rFonts w:hint="eastAsia" w:ascii="仿宋_GB2312" w:eastAsia="仿宋_GB2312"/>
          <w:sz w:val="32"/>
          <w:szCs w:val="32"/>
        </w:rPr>
        <w:t>（1）经济效益</w:t>
      </w:r>
    </w:p>
    <w:p w14:paraId="260C6ED1">
      <w:pPr>
        <w:spacing w:line="580" w:lineRule="exact"/>
        <w:ind w:firstLine="640"/>
        <w:rPr>
          <w:rFonts w:hint="eastAsia" w:ascii="仿宋_GB2312" w:eastAsia="仿宋_GB2312"/>
          <w:sz w:val="32"/>
          <w:szCs w:val="32"/>
        </w:rPr>
      </w:pPr>
      <w:r>
        <w:rPr>
          <w:rFonts w:hint="eastAsia" w:ascii="仿宋_GB2312" w:eastAsia="仿宋_GB2312"/>
          <w:sz w:val="32"/>
          <w:szCs w:val="32"/>
        </w:rPr>
        <w:t>不涉及。</w:t>
      </w:r>
    </w:p>
    <w:p w14:paraId="03D410A0">
      <w:pPr>
        <w:spacing w:line="580" w:lineRule="exact"/>
        <w:ind w:firstLine="640"/>
        <w:rPr>
          <w:rFonts w:hint="eastAsia" w:ascii="仿宋_GB2312" w:eastAsia="仿宋_GB2312"/>
          <w:sz w:val="32"/>
          <w:szCs w:val="32"/>
        </w:rPr>
      </w:pPr>
      <w:r>
        <w:rPr>
          <w:rFonts w:hint="eastAsia" w:ascii="仿宋_GB2312" w:eastAsia="仿宋_GB2312"/>
          <w:sz w:val="32"/>
          <w:szCs w:val="32"/>
        </w:rPr>
        <w:t>（2）社会效益</w:t>
      </w:r>
    </w:p>
    <w:p w14:paraId="4DD8197D">
      <w:pPr>
        <w:spacing w:line="580" w:lineRule="exact"/>
        <w:ind w:firstLine="640"/>
        <w:rPr>
          <w:rFonts w:hint="eastAsia" w:ascii="仿宋_GB2312" w:eastAsia="仿宋_GB2312"/>
          <w:sz w:val="32"/>
          <w:szCs w:val="32"/>
        </w:rPr>
      </w:pPr>
      <w:r>
        <w:rPr>
          <w:rFonts w:hint="eastAsia" w:ascii="仿宋_GB2312" w:eastAsia="仿宋_GB2312"/>
          <w:sz w:val="32"/>
          <w:szCs w:val="32"/>
        </w:rPr>
        <w:t>按照区委、区政府的总体安排和部署，坚持团结、鼓劲、稳定、正面宣传为主，树立阵地意识，责任意识，关注重点、引导热点、化解难点，全面准确地做好宣传引导工作，不断推动地区社会和谐发展，成为了区委、区政府信任，广大人民群众满意，同行广泛赞誉的主流媒体。</w:t>
      </w:r>
    </w:p>
    <w:p w14:paraId="425B5425">
      <w:pPr>
        <w:spacing w:line="580" w:lineRule="exact"/>
        <w:ind w:firstLine="640"/>
        <w:rPr>
          <w:rFonts w:hint="eastAsia" w:ascii="仿宋_GB2312" w:eastAsia="仿宋_GB2312"/>
          <w:sz w:val="32"/>
          <w:szCs w:val="32"/>
        </w:rPr>
      </w:pPr>
      <w:r>
        <w:rPr>
          <w:rFonts w:hint="eastAsia" w:ascii="仿宋_GB2312" w:eastAsia="仿宋_GB2312"/>
          <w:sz w:val="32"/>
          <w:szCs w:val="32"/>
        </w:rPr>
        <w:t>（3）环境效益</w:t>
      </w:r>
    </w:p>
    <w:p w14:paraId="561C3CCE">
      <w:pPr>
        <w:spacing w:line="580" w:lineRule="exact"/>
        <w:ind w:firstLine="640"/>
        <w:rPr>
          <w:rFonts w:hint="eastAsia" w:ascii="仿宋_GB2312" w:eastAsia="仿宋_GB2312"/>
          <w:sz w:val="32"/>
          <w:szCs w:val="32"/>
        </w:rPr>
      </w:pPr>
      <w:r>
        <w:rPr>
          <w:rFonts w:hint="eastAsia" w:ascii="仿宋_GB2312" w:eastAsia="仿宋_GB2312"/>
          <w:sz w:val="32"/>
          <w:szCs w:val="32"/>
        </w:rPr>
        <w:t>不涉及。</w:t>
      </w:r>
    </w:p>
    <w:p w14:paraId="6B0FA8E7">
      <w:pPr>
        <w:spacing w:line="580" w:lineRule="exact"/>
        <w:ind w:firstLine="640"/>
        <w:rPr>
          <w:rFonts w:hint="eastAsia" w:ascii="仿宋_GB2312" w:eastAsia="仿宋_GB2312"/>
          <w:sz w:val="32"/>
          <w:szCs w:val="32"/>
        </w:rPr>
      </w:pPr>
      <w:r>
        <w:rPr>
          <w:rFonts w:hint="eastAsia" w:ascii="仿宋_GB2312" w:eastAsia="仿宋_GB2312"/>
          <w:sz w:val="32"/>
          <w:szCs w:val="32"/>
        </w:rPr>
        <w:t>（4）可持续影响</w:t>
      </w:r>
    </w:p>
    <w:p w14:paraId="03C63F7D">
      <w:pPr>
        <w:spacing w:line="580" w:lineRule="exact"/>
        <w:ind w:firstLine="640"/>
        <w:rPr>
          <w:rFonts w:hint="eastAsia" w:ascii="仿宋_GB2312" w:eastAsia="仿宋_GB2312"/>
          <w:sz w:val="32"/>
          <w:szCs w:val="32"/>
        </w:rPr>
      </w:pPr>
      <w:r>
        <w:rPr>
          <w:rFonts w:hint="eastAsia" w:ascii="仿宋_GB2312" w:eastAsia="仿宋_GB2312"/>
          <w:sz w:val="32"/>
          <w:szCs w:val="32"/>
        </w:rPr>
        <w:t>一年。</w:t>
      </w:r>
    </w:p>
    <w:p w14:paraId="39B651E9">
      <w:pPr>
        <w:numPr>
          <w:ilvl w:val="0"/>
          <w:numId w:val="1"/>
        </w:numPr>
        <w:spacing w:line="580" w:lineRule="exact"/>
        <w:ind w:firstLine="640"/>
        <w:rPr>
          <w:rFonts w:hint="eastAsia" w:ascii="仿宋_GB2312" w:eastAsia="仿宋_GB2312"/>
          <w:sz w:val="32"/>
          <w:szCs w:val="32"/>
        </w:rPr>
      </w:pPr>
      <w:r>
        <w:rPr>
          <w:rFonts w:hint="eastAsia" w:ascii="仿宋_GB2312" w:eastAsia="仿宋_GB2312"/>
          <w:sz w:val="32"/>
          <w:szCs w:val="32"/>
        </w:rPr>
        <w:t>服务对象满意度</w:t>
      </w:r>
    </w:p>
    <w:p w14:paraId="7D8941E3">
      <w:pPr>
        <w:spacing w:line="520" w:lineRule="exact"/>
        <w:ind w:firstLine="640"/>
        <w:rPr>
          <w:rFonts w:hint="eastAsia" w:ascii="仿宋_GB2312" w:eastAsia="仿宋_GB2312"/>
          <w:sz w:val="28"/>
          <w:szCs w:val="28"/>
          <w:lang w:eastAsia="zh-CN"/>
        </w:rPr>
      </w:pPr>
      <w:r>
        <w:rPr>
          <w:rFonts w:hint="eastAsia" w:ascii="仿宋_GB2312" w:eastAsia="仿宋_GB2312"/>
          <w:sz w:val="28"/>
          <w:szCs w:val="28"/>
        </w:rPr>
        <w:t>服务对象满意度达到90%以上</w:t>
      </w:r>
      <w:r>
        <w:rPr>
          <w:rFonts w:hint="eastAsia" w:ascii="仿宋_GB2312" w:eastAsia="仿宋_GB2312"/>
          <w:sz w:val="28"/>
          <w:szCs w:val="28"/>
          <w:lang w:eastAsia="zh-CN"/>
        </w:rPr>
        <w:t>。</w:t>
      </w:r>
    </w:p>
    <w:p w14:paraId="687FAF3F">
      <w:pPr>
        <w:spacing w:line="580" w:lineRule="exact"/>
        <w:ind w:firstLine="640"/>
        <w:rPr>
          <w:rFonts w:hint="eastAsia" w:ascii="楷体_GB2312" w:eastAsia="楷体_GB2312"/>
          <w:b/>
          <w:sz w:val="32"/>
          <w:szCs w:val="32"/>
        </w:rPr>
      </w:pPr>
      <w:r>
        <w:rPr>
          <w:rFonts w:hint="eastAsia" w:ascii="楷体_GB2312" w:eastAsia="楷体_GB2312"/>
          <w:b/>
          <w:sz w:val="32"/>
          <w:szCs w:val="32"/>
        </w:rPr>
        <w:t>（四）预算管理情况分析</w:t>
      </w:r>
    </w:p>
    <w:p w14:paraId="69BE5011">
      <w:pPr>
        <w:spacing w:line="580" w:lineRule="exact"/>
        <w:ind w:firstLine="640"/>
        <w:rPr>
          <w:rFonts w:hint="eastAsia" w:ascii="仿宋_GB2312" w:eastAsia="仿宋_GB2312"/>
          <w:sz w:val="32"/>
          <w:szCs w:val="32"/>
        </w:rPr>
      </w:pPr>
      <w:r>
        <w:rPr>
          <w:rFonts w:hint="eastAsia" w:ascii="仿宋_GB2312" w:eastAsia="仿宋_GB2312"/>
          <w:sz w:val="32"/>
          <w:szCs w:val="32"/>
        </w:rPr>
        <w:t>1.财务管理</w:t>
      </w:r>
    </w:p>
    <w:p w14:paraId="0934EFF8">
      <w:pPr>
        <w:spacing w:line="580" w:lineRule="exact"/>
        <w:ind w:firstLine="640"/>
        <w:rPr>
          <w:rFonts w:hint="eastAsia" w:ascii="仿宋_GB2312" w:eastAsia="仿宋_GB2312"/>
          <w:sz w:val="32"/>
          <w:szCs w:val="32"/>
        </w:rPr>
      </w:pPr>
      <w:r>
        <w:rPr>
          <w:rFonts w:hint="eastAsia" w:ascii="仿宋_GB2312" w:eastAsia="仿宋_GB2312"/>
          <w:sz w:val="32"/>
          <w:szCs w:val="32"/>
        </w:rPr>
        <w:t>建立了财务、收支和预算管理制度、内部审计制度,财务信息及资料的有专人管理、财务采取分岗相互监督的办法管理,加强财政财务管理，保障资金安全高效运行，防范财务风险。</w:t>
      </w:r>
    </w:p>
    <w:p w14:paraId="116CE0B8">
      <w:pPr>
        <w:spacing w:line="580" w:lineRule="exact"/>
        <w:ind w:firstLine="640"/>
        <w:rPr>
          <w:rFonts w:hint="eastAsia" w:ascii="仿宋_GB2312" w:eastAsia="仿宋_GB2312"/>
          <w:sz w:val="32"/>
          <w:szCs w:val="32"/>
        </w:rPr>
      </w:pPr>
      <w:r>
        <w:rPr>
          <w:rFonts w:hint="eastAsia" w:ascii="仿宋_GB2312" w:eastAsia="仿宋_GB2312"/>
          <w:sz w:val="32"/>
          <w:szCs w:val="32"/>
        </w:rPr>
        <w:t>2.资产管理</w:t>
      </w:r>
    </w:p>
    <w:p w14:paraId="1D1F3397">
      <w:pPr>
        <w:spacing w:line="580" w:lineRule="exact"/>
        <w:ind w:firstLine="640"/>
        <w:rPr>
          <w:rFonts w:hint="eastAsia" w:ascii="仿宋_GB2312" w:eastAsia="仿宋_GB2312"/>
          <w:sz w:val="32"/>
          <w:szCs w:val="32"/>
        </w:rPr>
      </w:pPr>
      <w:r>
        <w:rPr>
          <w:rFonts w:hint="eastAsia" w:ascii="仿宋_GB2312" w:eastAsia="仿宋_GB2312"/>
          <w:sz w:val="32"/>
          <w:szCs w:val="32"/>
        </w:rPr>
        <w:t>为加强固定资产管理，我单位结合实际制定了《固定资产管理规定》， 并组织开展固定资产专题培训,进一步明确职责,细化分工, 技术部负责固定资产的实物管理工作，财政部负责固定资产账务管理工作，各科室负责本科室固定资产的管理工作。</w:t>
      </w:r>
    </w:p>
    <w:p w14:paraId="54633A35">
      <w:pPr>
        <w:spacing w:line="580" w:lineRule="exact"/>
        <w:ind w:firstLine="640"/>
        <w:rPr>
          <w:rFonts w:hint="eastAsia" w:ascii="仿宋_GB2312" w:eastAsia="仿宋_GB2312"/>
          <w:sz w:val="32"/>
          <w:szCs w:val="32"/>
        </w:rPr>
      </w:pPr>
      <w:r>
        <w:rPr>
          <w:rFonts w:hint="eastAsia" w:ascii="仿宋_GB2312" w:eastAsia="仿宋_GB2312"/>
          <w:sz w:val="32"/>
          <w:szCs w:val="32"/>
        </w:rPr>
        <w:t>3.绩效管理</w:t>
      </w:r>
    </w:p>
    <w:p w14:paraId="182147ED">
      <w:pPr>
        <w:spacing w:line="580" w:lineRule="exact"/>
        <w:ind w:firstLine="640"/>
        <w:rPr>
          <w:rFonts w:hint="eastAsia" w:ascii="仿宋_GB2312" w:eastAsia="仿宋_GB2312"/>
          <w:sz w:val="32"/>
          <w:szCs w:val="32"/>
        </w:rPr>
      </w:pPr>
      <w:r>
        <w:rPr>
          <w:rFonts w:hint="eastAsia" w:ascii="仿宋_GB2312" w:eastAsia="仿宋_GB2312"/>
          <w:sz w:val="32"/>
          <w:szCs w:val="32"/>
        </w:rPr>
        <w:t>（1）预算绩效管理制度情况</w:t>
      </w:r>
    </w:p>
    <w:p w14:paraId="26DB26EA">
      <w:pPr>
        <w:spacing w:line="580" w:lineRule="exact"/>
        <w:ind w:firstLine="640"/>
        <w:rPr>
          <w:rFonts w:hint="eastAsia" w:ascii="仿宋_GB2312" w:eastAsia="仿宋_GB2312"/>
          <w:sz w:val="32"/>
          <w:szCs w:val="32"/>
        </w:rPr>
      </w:pPr>
      <w:r>
        <w:rPr>
          <w:rFonts w:hint="eastAsia" w:ascii="仿宋_GB2312" w:eastAsia="仿宋_GB2312"/>
          <w:sz w:val="32"/>
          <w:szCs w:val="32"/>
        </w:rPr>
        <w:t>严格落实《门头沟区预算绩效管理办法》文件精神，通过项目预算的编制和管理，进一步提高预算绩效管理认识。按月制定支出计划,进一步加强预算绩效动态监控管理，及时跟踪项目进度，对项目实施中存在的具体问题采取纠偏措施，2025年全年并未出现绩效跟踪项目与绩效目标相偏离的现象。</w:t>
      </w:r>
    </w:p>
    <w:p w14:paraId="1C1FFAAB">
      <w:pPr>
        <w:spacing w:line="580" w:lineRule="exact"/>
        <w:ind w:firstLine="640"/>
        <w:rPr>
          <w:rFonts w:hint="eastAsia" w:ascii="仿宋_GB2312" w:eastAsia="仿宋_GB2312"/>
          <w:sz w:val="32"/>
          <w:szCs w:val="32"/>
        </w:rPr>
      </w:pPr>
      <w:r>
        <w:rPr>
          <w:rFonts w:hint="eastAsia" w:ascii="仿宋_GB2312" w:eastAsia="仿宋_GB2312"/>
          <w:sz w:val="32"/>
          <w:szCs w:val="32"/>
        </w:rPr>
        <w:t>（2）绩效目标管理情况</w:t>
      </w:r>
    </w:p>
    <w:p w14:paraId="471CF38F">
      <w:pPr>
        <w:spacing w:line="580" w:lineRule="exact"/>
        <w:ind w:firstLine="640"/>
        <w:rPr>
          <w:rFonts w:hint="eastAsia" w:ascii="仿宋_GB2312" w:eastAsia="仿宋_GB2312"/>
          <w:sz w:val="32"/>
          <w:szCs w:val="32"/>
        </w:rPr>
      </w:pPr>
      <w:r>
        <w:rPr>
          <w:rFonts w:hint="eastAsia" w:ascii="仿宋_GB2312" w:eastAsia="仿宋_GB2312"/>
          <w:sz w:val="32"/>
          <w:szCs w:val="32"/>
        </w:rPr>
        <w:t>2025年部门预算项目</w:t>
      </w:r>
      <w:r>
        <w:rPr>
          <w:rFonts w:hint="eastAsia" w:ascii="仿宋_GB2312" w:eastAsia="仿宋_GB2312"/>
          <w:sz w:val="32"/>
          <w:szCs w:val="32"/>
          <w:lang w:val="en-US" w:eastAsia="zh-CN"/>
        </w:rPr>
        <w:t>23</w:t>
      </w:r>
      <w:r>
        <w:rPr>
          <w:rFonts w:hint="eastAsia" w:ascii="仿宋_GB2312" w:eastAsia="仿宋_GB2312"/>
          <w:sz w:val="32"/>
          <w:szCs w:val="32"/>
        </w:rPr>
        <w:t>个，部门预算公开绩效目标的预算项目</w:t>
      </w:r>
      <w:r>
        <w:rPr>
          <w:rFonts w:hint="eastAsia" w:ascii="仿宋_GB2312" w:eastAsia="仿宋_GB2312"/>
          <w:sz w:val="32"/>
          <w:szCs w:val="32"/>
          <w:lang w:val="en-US" w:eastAsia="zh-CN"/>
        </w:rPr>
        <w:t>23</w:t>
      </w:r>
      <w:r>
        <w:rPr>
          <w:rFonts w:hint="eastAsia" w:ascii="仿宋_GB2312" w:eastAsia="仿宋_GB2312"/>
          <w:sz w:val="32"/>
          <w:szCs w:val="32"/>
        </w:rPr>
        <w:t>个，占本部门全部预算项目的</w:t>
      </w:r>
      <w:r>
        <w:rPr>
          <w:rFonts w:hint="eastAsia" w:ascii="仿宋_GB2312" w:eastAsia="仿宋_GB2312"/>
          <w:sz w:val="32"/>
          <w:szCs w:val="32"/>
          <w:lang w:val="en-US" w:eastAsia="zh-CN"/>
        </w:rPr>
        <w:t>100</w:t>
      </w:r>
      <w:r>
        <w:rPr>
          <w:rFonts w:hint="eastAsia" w:ascii="仿宋_GB2312" w:eastAsia="仿宋_GB2312"/>
          <w:sz w:val="32"/>
          <w:szCs w:val="32"/>
        </w:rPr>
        <w:t>%。</w:t>
      </w:r>
    </w:p>
    <w:p w14:paraId="2A4EC4E0">
      <w:pPr>
        <w:spacing w:line="580" w:lineRule="exact"/>
        <w:ind w:firstLine="640"/>
        <w:rPr>
          <w:rFonts w:hint="eastAsia" w:ascii="仿宋_GB2312" w:eastAsia="仿宋_GB2312"/>
          <w:sz w:val="32"/>
          <w:szCs w:val="32"/>
        </w:rPr>
      </w:pPr>
      <w:r>
        <w:rPr>
          <w:rFonts w:hint="eastAsia" w:ascii="仿宋_GB2312" w:eastAsia="仿宋_GB2312"/>
          <w:sz w:val="32"/>
          <w:szCs w:val="32"/>
        </w:rPr>
        <w:t>（3）绩效自评情况</w:t>
      </w:r>
    </w:p>
    <w:p w14:paraId="751085EE">
      <w:pPr>
        <w:spacing w:line="580" w:lineRule="exact"/>
        <w:ind w:firstLine="640"/>
        <w:rPr>
          <w:rFonts w:hint="eastAsia" w:ascii="仿宋_GB2312" w:eastAsia="仿宋_GB2312"/>
          <w:sz w:val="32"/>
          <w:szCs w:val="32"/>
        </w:rPr>
      </w:pPr>
      <w:r>
        <w:rPr>
          <w:rFonts w:hint="eastAsia" w:ascii="仿宋_GB2312" w:eastAsia="仿宋_GB2312"/>
          <w:sz w:val="32"/>
          <w:szCs w:val="32"/>
        </w:rPr>
        <w:t>2025年对本部门及所属单位2024年项目支出实施了绩效自评，评价项目</w:t>
      </w:r>
      <w:r>
        <w:rPr>
          <w:rFonts w:hint="eastAsia" w:ascii="仿宋_GB2312" w:eastAsia="仿宋_GB2312"/>
          <w:sz w:val="32"/>
          <w:szCs w:val="32"/>
          <w:lang w:val="en-US" w:eastAsia="zh-CN"/>
        </w:rPr>
        <w:t>26</w:t>
      </w:r>
      <w:r>
        <w:rPr>
          <w:rFonts w:hint="eastAsia" w:ascii="仿宋_GB2312" w:eastAsia="仿宋_GB2312"/>
          <w:sz w:val="32"/>
          <w:szCs w:val="32"/>
        </w:rPr>
        <w:t>个，涉及金额27,545,609.40元。</w:t>
      </w:r>
    </w:p>
    <w:p w14:paraId="4290F35D">
      <w:pPr>
        <w:spacing w:line="580" w:lineRule="exact"/>
        <w:ind w:firstLine="640"/>
        <w:rPr>
          <w:rFonts w:hint="eastAsia" w:ascii="楷体_GB2312" w:eastAsia="楷体_GB2312"/>
          <w:b/>
          <w:sz w:val="32"/>
          <w:szCs w:val="32"/>
        </w:rPr>
      </w:pPr>
      <w:r>
        <w:rPr>
          <w:rFonts w:hint="eastAsia" w:ascii="楷体_GB2312" w:eastAsia="楷体_GB2312"/>
          <w:b/>
          <w:sz w:val="32"/>
          <w:szCs w:val="32"/>
        </w:rPr>
        <w:t>（五）总体评价结论</w:t>
      </w:r>
    </w:p>
    <w:bookmarkEnd w:id="2"/>
    <w:p w14:paraId="53654D77">
      <w:pPr>
        <w:spacing w:line="580" w:lineRule="exact"/>
        <w:ind w:firstLine="640"/>
        <w:rPr>
          <w:rFonts w:hint="eastAsia" w:ascii="仿宋_GB2312" w:eastAsia="仿宋_GB2312"/>
          <w:sz w:val="32"/>
          <w:szCs w:val="32"/>
        </w:rPr>
      </w:pPr>
      <w:r>
        <w:rPr>
          <w:rFonts w:hint="eastAsia" w:ascii="仿宋_GB2312" w:eastAsia="仿宋_GB2312"/>
          <w:sz w:val="32"/>
          <w:szCs w:val="32"/>
        </w:rPr>
        <w:t>1.评价得分情况</w:t>
      </w:r>
    </w:p>
    <w:p w14:paraId="6BA14244">
      <w:pPr>
        <w:spacing w:line="580" w:lineRule="exact"/>
        <w:ind w:firstLine="640"/>
        <w:rPr>
          <w:rFonts w:hint="eastAsia" w:ascii="仿宋_GB2312" w:eastAsia="仿宋_GB2312"/>
          <w:sz w:val="32"/>
          <w:szCs w:val="32"/>
        </w:rPr>
      </w:pPr>
      <w:r>
        <w:rPr>
          <w:rFonts w:hint="eastAsia" w:ascii="仿宋_GB2312" w:eastAsia="仿宋_GB2312"/>
          <w:sz w:val="32"/>
          <w:szCs w:val="32"/>
        </w:rPr>
        <w:t>绩效自评总分：</w:t>
      </w:r>
      <w:r>
        <w:rPr>
          <w:rFonts w:hint="eastAsia" w:ascii="仿宋_GB2312" w:eastAsia="仿宋_GB2312"/>
          <w:sz w:val="32"/>
          <w:szCs w:val="32"/>
          <w:lang w:val="en-US" w:eastAsia="zh-CN"/>
        </w:rPr>
        <w:t>100</w:t>
      </w:r>
      <w:r>
        <w:rPr>
          <w:rFonts w:hint="eastAsia" w:ascii="仿宋_GB2312" w:eastAsia="仿宋_GB2312"/>
          <w:sz w:val="32"/>
          <w:szCs w:val="32"/>
        </w:rPr>
        <w:t>分</w:t>
      </w:r>
    </w:p>
    <w:p w14:paraId="45CCA898">
      <w:pPr>
        <w:spacing w:line="580" w:lineRule="exact"/>
        <w:ind w:firstLine="640"/>
        <w:rPr>
          <w:rFonts w:hint="eastAsia" w:ascii="仿宋_GB2312" w:eastAsia="仿宋_GB2312"/>
          <w:sz w:val="32"/>
          <w:szCs w:val="32"/>
          <w:lang w:val="en-US" w:eastAsia="zh-CN"/>
        </w:rPr>
      </w:pPr>
      <w:r>
        <w:rPr>
          <w:rFonts w:hint="eastAsia" w:ascii="仿宋_GB2312" w:eastAsia="仿宋_GB2312"/>
          <w:sz w:val="32"/>
          <w:szCs w:val="32"/>
        </w:rPr>
        <w:t>绩效自评等级</w:t>
      </w:r>
      <w:r>
        <w:rPr>
          <w:rFonts w:hint="eastAsia" w:ascii="仿宋_GB2312" w:eastAsia="仿宋_GB2312"/>
          <w:sz w:val="32"/>
          <w:szCs w:val="32"/>
          <w:lang w:val="en-US" w:eastAsia="zh-CN"/>
        </w:rPr>
        <w:t>:</w:t>
      </w:r>
      <w:r>
        <w:rPr>
          <w:rFonts w:hint="eastAsia" w:ascii="仿宋_GB2312" w:eastAsia="仿宋_GB2312"/>
          <w:sz w:val="32"/>
          <w:szCs w:val="32"/>
          <w:lang w:eastAsia="zh-CN"/>
        </w:rPr>
        <w:t>优秀</w:t>
      </w:r>
    </w:p>
    <w:p w14:paraId="010F8387">
      <w:pPr>
        <w:spacing w:line="580" w:lineRule="exact"/>
        <w:ind w:firstLine="640"/>
        <w:rPr>
          <w:rFonts w:hint="eastAsia" w:ascii="仿宋_GB2312" w:eastAsia="仿宋_GB2312"/>
          <w:sz w:val="32"/>
          <w:szCs w:val="32"/>
        </w:rPr>
      </w:pPr>
      <w:r>
        <w:rPr>
          <w:rFonts w:hint="eastAsia" w:ascii="仿宋_GB2312" w:eastAsia="仿宋_GB2312"/>
          <w:sz w:val="32"/>
          <w:szCs w:val="32"/>
        </w:rPr>
        <w:t>2.存在的问题及原因分析</w:t>
      </w:r>
    </w:p>
    <w:p w14:paraId="5DFCB679">
      <w:pPr>
        <w:spacing w:line="580" w:lineRule="exact"/>
        <w:ind w:firstLine="640"/>
        <w:rPr>
          <w:rFonts w:hint="default" w:ascii="仿宋_GB2312" w:eastAsia="仿宋_GB2312"/>
          <w:sz w:val="32"/>
          <w:szCs w:val="32"/>
          <w:lang w:val="en-US" w:eastAsia="zh-CN"/>
        </w:rPr>
      </w:pPr>
      <w:r>
        <w:rPr>
          <w:rFonts w:hint="eastAsia" w:ascii="仿宋_GB2312" w:eastAsia="仿宋_GB2312"/>
          <w:sz w:val="32"/>
          <w:szCs w:val="32"/>
          <w:lang w:val="en-US" w:eastAsia="zh-CN"/>
        </w:rPr>
        <w:t>无</w:t>
      </w:r>
    </w:p>
    <w:p w14:paraId="1AD3551E">
      <w:pPr>
        <w:spacing w:line="580" w:lineRule="exact"/>
        <w:ind w:firstLine="640"/>
        <w:rPr>
          <w:rFonts w:hint="eastAsia" w:ascii="仿宋_GB2312" w:eastAsia="仿宋_GB2312"/>
          <w:sz w:val="32"/>
          <w:szCs w:val="32"/>
        </w:rPr>
      </w:pPr>
      <w:r>
        <w:rPr>
          <w:rFonts w:hint="eastAsia" w:ascii="仿宋_GB2312" w:eastAsia="仿宋_GB2312"/>
          <w:sz w:val="32"/>
          <w:szCs w:val="32"/>
        </w:rPr>
        <w:t>3.改进措施</w:t>
      </w:r>
    </w:p>
    <w:p w14:paraId="7EB15D5B">
      <w:pPr>
        <w:spacing w:line="580" w:lineRule="exact"/>
        <w:ind w:firstLine="640"/>
        <w:rPr>
          <w:rFonts w:hint="eastAsia" w:ascii="仿宋_GB2312" w:eastAsia="仿宋_GB2312"/>
          <w:sz w:val="32"/>
          <w:szCs w:val="32"/>
          <w:lang w:eastAsia="zh-CN"/>
        </w:rPr>
      </w:pPr>
      <w:r>
        <w:rPr>
          <w:rFonts w:hint="eastAsia" w:ascii="仿宋_GB2312" w:eastAsia="仿宋_GB2312"/>
          <w:sz w:val="32"/>
          <w:szCs w:val="32"/>
          <w:lang w:eastAsia="zh-CN"/>
        </w:rPr>
        <w:t>无</w:t>
      </w:r>
    </w:p>
    <w:p w14:paraId="006F6801">
      <w:pPr>
        <w:spacing w:line="580" w:lineRule="exact"/>
        <w:ind w:firstLine="640"/>
        <w:rPr>
          <w:rFonts w:hint="eastAsia" w:ascii="黑体" w:hAnsi="黑体" w:eastAsia="黑体"/>
          <w:sz w:val="32"/>
          <w:szCs w:val="32"/>
        </w:rPr>
      </w:pPr>
      <w:r>
        <w:rPr>
          <w:rFonts w:hint="eastAsia" w:ascii="黑体" w:hAnsi="黑体" w:eastAsia="黑体"/>
          <w:sz w:val="32"/>
          <w:szCs w:val="32"/>
        </w:rPr>
        <w:t>二、项目支出绩效自评情况</w:t>
      </w:r>
    </w:p>
    <w:p w14:paraId="0B8E4F7F">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（一）绩效自评开展总体情况</w:t>
      </w:r>
    </w:p>
    <w:p w14:paraId="33D567CE">
      <w:pPr>
        <w:spacing w:line="580" w:lineRule="exact"/>
        <w:ind w:firstLine="809" w:firstLineChars="253"/>
        <w:rPr>
          <w:rFonts w:hint="eastAsia" w:ascii="仿宋_GB2312" w:hAnsi="Calibri" w:eastAsia="仿宋_GB2312"/>
          <w:sz w:val="32"/>
          <w:szCs w:val="32"/>
        </w:rPr>
      </w:pPr>
      <w:r>
        <w:rPr>
          <w:rFonts w:hint="eastAsia" w:ascii="仿宋_GB2312" w:eastAsia="仿宋_GB2312"/>
          <w:sz w:val="32"/>
          <w:szCs w:val="32"/>
        </w:rPr>
        <w:t>2025年度区财政批复项目支出预算项目</w:t>
      </w:r>
      <w:r>
        <w:rPr>
          <w:rFonts w:hint="eastAsia" w:ascii="仿宋_GB2312" w:eastAsia="仿宋_GB2312"/>
          <w:sz w:val="32"/>
          <w:szCs w:val="32"/>
          <w:lang w:val="en-US" w:eastAsia="zh-CN"/>
        </w:rPr>
        <w:t>25</w:t>
      </w:r>
      <w:r>
        <w:rPr>
          <w:rFonts w:hint="eastAsia" w:ascii="仿宋_GB2312" w:eastAsia="仿宋_GB2312"/>
          <w:sz w:val="32"/>
          <w:szCs w:val="32"/>
        </w:rPr>
        <w:t>个，涉及金额13</w:t>
      </w:r>
      <w:r>
        <w:rPr>
          <w:rFonts w:hint="eastAsia" w:ascii="仿宋_GB2312" w:eastAsia="仿宋_GB2312"/>
          <w:sz w:val="32"/>
          <w:szCs w:val="32"/>
          <w:lang w:val="en-US" w:eastAsia="zh-CN"/>
        </w:rPr>
        <w:t>,</w:t>
      </w:r>
      <w:r>
        <w:rPr>
          <w:rFonts w:hint="eastAsia" w:ascii="仿宋_GB2312" w:eastAsia="仿宋_GB2312"/>
          <w:sz w:val="32"/>
          <w:szCs w:val="32"/>
        </w:rPr>
        <w:t>549</w:t>
      </w:r>
      <w:r>
        <w:rPr>
          <w:rFonts w:hint="eastAsia" w:ascii="仿宋_GB2312" w:eastAsia="仿宋_GB2312"/>
          <w:sz w:val="32"/>
          <w:szCs w:val="32"/>
          <w:lang w:val="en-US" w:eastAsia="zh-CN"/>
        </w:rPr>
        <w:t>,</w:t>
      </w:r>
      <w:r>
        <w:rPr>
          <w:rFonts w:hint="eastAsia" w:ascii="仿宋_GB2312" w:eastAsia="仿宋_GB2312"/>
          <w:sz w:val="32"/>
          <w:szCs w:val="32"/>
        </w:rPr>
        <w:t>582.7元。本次实施绩效自评项目</w:t>
      </w:r>
      <w:r>
        <w:rPr>
          <w:rFonts w:hint="eastAsia" w:ascii="仿宋_GB2312" w:eastAsia="仿宋_GB2312"/>
          <w:sz w:val="32"/>
          <w:szCs w:val="32"/>
          <w:lang w:val="en-US" w:eastAsia="zh-CN"/>
        </w:rPr>
        <w:t>25</w:t>
      </w:r>
      <w:r>
        <w:rPr>
          <w:rFonts w:hint="eastAsia" w:ascii="仿宋_GB2312" w:eastAsia="仿宋_GB2312"/>
          <w:sz w:val="32"/>
          <w:szCs w:val="32"/>
        </w:rPr>
        <w:t>个，涉及金额13</w:t>
      </w:r>
      <w:r>
        <w:rPr>
          <w:rFonts w:hint="eastAsia" w:ascii="仿宋_GB2312" w:eastAsia="仿宋_GB2312"/>
          <w:sz w:val="32"/>
          <w:szCs w:val="32"/>
          <w:lang w:val="en-US" w:eastAsia="zh-CN"/>
        </w:rPr>
        <w:t>,</w:t>
      </w:r>
      <w:r>
        <w:rPr>
          <w:rFonts w:hint="eastAsia" w:ascii="仿宋_GB2312" w:eastAsia="仿宋_GB2312"/>
          <w:sz w:val="32"/>
          <w:szCs w:val="32"/>
        </w:rPr>
        <w:t>549</w:t>
      </w:r>
      <w:r>
        <w:rPr>
          <w:rFonts w:hint="eastAsia" w:ascii="仿宋_GB2312" w:eastAsia="仿宋_GB2312"/>
          <w:sz w:val="32"/>
          <w:szCs w:val="32"/>
          <w:lang w:val="en-US" w:eastAsia="zh-CN"/>
        </w:rPr>
        <w:t>,</w:t>
      </w:r>
      <w:r>
        <w:rPr>
          <w:rFonts w:hint="eastAsia" w:ascii="仿宋_GB2312" w:eastAsia="仿宋_GB2312"/>
          <w:sz w:val="32"/>
          <w:szCs w:val="32"/>
        </w:rPr>
        <w:t>582.7元。评价得分在90分（含90分）以上的</w:t>
      </w:r>
      <w:r>
        <w:rPr>
          <w:rFonts w:hint="eastAsia" w:ascii="仿宋_GB2312" w:eastAsia="仿宋_GB2312"/>
          <w:sz w:val="32"/>
          <w:szCs w:val="32"/>
          <w:lang w:val="en-US" w:eastAsia="zh-CN"/>
        </w:rPr>
        <w:t>25</w:t>
      </w:r>
      <w:r>
        <w:rPr>
          <w:rFonts w:hint="eastAsia" w:ascii="仿宋_GB2312" w:eastAsia="仿宋_GB2312"/>
          <w:sz w:val="32"/>
          <w:szCs w:val="32"/>
        </w:rPr>
        <w:t>个，评价得分在80-90分（含80分）的</w:t>
      </w:r>
      <w:r>
        <w:rPr>
          <w:rFonts w:hint="eastAsia" w:ascii="仿宋_GB2312" w:eastAsia="仿宋_GB2312"/>
          <w:sz w:val="32"/>
          <w:szCs w:val="32"/>
          <w:lang w:val="en-US" w:eastAsia="zh-CN"/>
        </w:rPr>
        <w:t>0</w:t>
      </w:r>
      <w:r>
        <w:rPr>
          <w:rFonts w:hint="eastAsia" w:ascii="仿宋_GB2312" w:eastAsia="仿宋_GB2312"/>
          <w:sz w:val="32"/>
          <w:szCs w:val="32"/>
        </w:rPr>
        <w:t>个，评价得分在60-80分（含60分）的</w:t>
      </w:r>
      <w:r>
        <w:rPr>
          <w:rFonts w:hint="eastAsia" w:ascii="仿宋_GB2312" w:eastAsia="仿宋_GB2312"/>
          <w:sz w:val="32"/>
          <w:szCs w:val="32"/>
          <w:lang w:val="en-US" w:eastAsia="zh-CN"/>
        </w:rPr>
        <w:t>0</w:t>
      </w:r>
      <w:r>
        <w:rPr>
          <w:rFonts w:hint="eastAsia" w:ascii="仿宋_GB2312" w:eastAsia="仿宋_GB2312"/>
          <w:sz w:val="32"/>
          <w:szCs w:val="32"/>
        </w:rPr>
        <w:t>个，评价得分在60分以下的</w:t>
      </w:r>
      <w:r>
        <w:rPr>
          <w:rFonts w:hint="eastAsia" w:ascii="仿宋_GB2312" w:eastAsia="仿宋_GB2312"/>
          <w:sz w:val="32"/>
          <w:szCs w:val="32"/>
          <w:lang w:val="en-US" w:eastAsia="zh-CN"/>
        </w:rPr>
        <w:t>0</w:t>
      </w:r>
      <w:r>
        <w:rPr>
          <w:rFonts w:hint="eastAsia" w:ascii="仿宋_GB2312" w:eastAsia="仿宋_GB2312"/>
          <w:sz w:val="32"/>
          <w:szCs w:val="32"/>
        </w:rPr>
        <w:t>个。</w:t>
      </w:r>
    </w:p>
    <w:p w14:paraId="1D669136">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（二）重点支出项目绩效自评报告</w:t>
      </w:r>
    </w:p>
    <w:p w14:paraId="740D46DD">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lang w:eastAsia="zh-CN"/>
        </w:rPr>
        <w:t>详见</w:t>
      </w:r>
      <w:r>
        <w:rPr>
          <w:rFonts w:hint="eastAsia" w:ascii="仿宋_GB2312" w:eastAsia="仿宋_GB2312"/>
          <w:sz w:val="32"/>
          <w:szCs w:val="32"/>
        </w:rPr>
        <w:t>附件1。</w:t>
      </w:r>
    </w:p>
    <w:p w14:paraId="4967F868">
      <w:pPr>
        <w:spacing w:line="580" w:lineRule="exact"/>
        <w:ind w:firstLine="640"/>
        <w:rPr>
          <w:rFonts w:hint="eastAsia" w:ascii="楷体_GB2312" w:hAnsi="仿宋" w:eastAsia="楷体_GB2312"/>
          <w:b/>
          <w:sz w:val="32"/>
          <w:szCs w:val="32"/>
        </w:rPr>
      </w:pPr>
      <w:r>
        <w:rPr>
          <w:rFonts w:hint="eastAsia" w:ascii="楷体_GB2312" w:hAnsi="仿宋" w:eastAsia="楷体_GB2312"/>
          <w:b/>
          <w:sz w:val="32"/>
          <w:szCs w:val="32"/>
        </w:rPr>
        <w:t>（三）项目支出绩效自评表</w:t>
      </w:r>
    </w:p>
    <w:p w14:paraId="0F8C0F9B">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lang w:eastAsia="zh-CN"/>
        </w:rPr>
        <w:t>详见</w:t>
      </w:r>
      <w:r>
        <w:rPr>
          <w:rFonts w:hint="eastAsia" w:ascii="仿宋_GB2312" w:eastAsia="仿宋_GB2312"/>
          <w:sz w:val="32"/>
          <w:szCs w:val="32"/>
        </w:rPr>
        <w:t>附件</w:t>
      </w:r>
      <w:r>
        <w:rPr>
          <w:rFonts w:hint="eastAsia" w:ascii="仿宋_GB2312" w:eastAsia="仿宋_GB2312"/>
          <w:sz w:val="32"/>
          <w:szCs w:val="32"/>
          <w:lang w:val="en-US" w:eastAsia="zh-CN"/>
        </w:rPr>
        <w:t>2</w:t>
      </w:r>
      <w:r>
        <w:rPr>
          <w:rFonts w:hint="eastAsia" w:ascii="仿宋_GB2312" w:eastAsia="仿宋_GB2312"/>
          <w:sz w:val="32"/>
          <w:szCs w:val="32"/>
        </w:rPr>
        <w:t>。</w:t>
      </w:r>
    </w:p>
    <w:p w14:paraId="4CC38976">
      <w:pPr>
        <w:spacing w:line="580" w:lineRule="exact"/>
        <w:ind w:firstLine="640" w:firstLineChars="200"/>
        <w:outlineLvl w:val="0"/>
        <w:rPr>
          <w:rFonts w:hint="eastAsia" w:ascii="仿宋_GB2312" w:eastAsia="仿宋_GB2312"/>
          <w:b/>
          <w:sz w:val="32"/>
          <w:szCs w:val="32"/>
        </w:rPr>
      </w:pPr>
    </w:p>
    <w:p w14:paraId="2A4193E3">
      <w:pPr>
        <w:spacing w:line="580" w:lineRule="exact"/>
        <w:ind w:firstLine="800" w:firstLineChars="250"/>
        <w:rPr>
          <w:rFonts w:hint="eastAsia" w:ascii="仿宋_GB2312" w:eastAsia="仿宋_GB2312"/>
          <w:sz w:val="32"/>
          <w:szCs w:val="32"/>
        </w:rPr>
      </w:pPr>
      <w:r>
        <w:rPr>
          <w:rFonts w:hint="eastAsia" w:ascii="仿宋_GB2312" w:eastAsia="仿宋_GB2312"/>
          <w:sz w:val="32"/>
          <w:szCs w:val="32"/>
        </w:rPr>
        <w:t>附件：1.重点支出项目绩效自评报告</w:t>
      </w:r>
    </w:p>
    <w:p w14:paraId="1803C628">
      <w:pPr>
        <w:spacing w:line="580" w:lineRule="exact"/>
        <w:ind w:firstLine="1760" w:firstLineChars="550"/>
        <w:rPr>
          <w:rFonts w:hint="eastAsia" w:ascii="仿宋_GB2312" w:eastAsia="仿宋_GB2312"/>
          <w:sz w:val="32"/>
          <w:szCs w:val="32"/>
        </w:rPr>
      </w:pPr>
      <w:r>
        <w:rPr>
          <w:rFonts w:hint="eastAsia" w:ascii="仿宋_GB2312" w:eastAsia="仿宋_GB2312"/>
          <w:sz w:val="32"/>
          <w:szCs w:val="32"/>
        </w:rPr>
        <w:t>2.项目支出绩效自评表</w:t>
      </w:r>
      <w:bookmarkStart w:id="4" w:name="_GoBack"/>
      <w:bookmarkEnd w:id="4"/>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43C1E">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3</w:t>
    </w:r>
    <w:r>
      <w:fldChar w:fldCharType="end"/>
    </w:r>
  </w:p>
  <w:p w14:paraId="604167A8">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47D61">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16</w:t>
    </w:r>
    <w:r>
      <w:fldChar w:fldCharType="end"/>
    </w:r>
  </w:p>
  <w:p w14:paraId="56EEB304">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E1A1E">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15</w:t>
    </w:r>
    <w:r>
      <w:fldChar w:fldCharType="end"/>
    </w:r>
  </w:p>
  <w:p w14:paraId="0F2F1522">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C06F304"/>
    <w:multiLevelType w:val="singleLevel"/>
    <w:tmpl w:val="3C06F304"/>
    <w:lvl w:ilvl="0" w:tentative="0">
      <w:start w:val="5"/>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4C3537C"/>
    <w:rsid w:val="079004AC"/>
    <w:rsid w:val="0BA148CA"/>
    <w:rsid w:val="0C1165C4"/>
    <w:rsid w:val="0D6D544B"/>
    <w:rsid w:val="0DD136FE"/>
    <w:rsid w:val="0F8E2C57"/>
    <w:rsid w:val="1059665E"/>
    <w:rsid w:val="10AC13BA"/>
    <w:rsid w:val="11980797"/>
    <w:rsid w:val="145A6C1B"/>
    <w:rsid w:val="14B73493"/>
    <w:rsid w:val="167A2FF9"/>
    <w:rsid w:val="17E05399"/>
    <w:rsid w:val="18581C69"/>
    <w:rsid w:val="186D28E5"/>
    <w:rsid w:val="1AEC0734"/>
    <w:rsid w:val="1C203C3A"/>
    <w:rsid w:val="1DEF20B0"/>
    <w:rsid w:val="214243FA"/>
    <w:rsid w:val="21AD613C"/>
    <w:rsid w:val="22467189"/>
    <w:rsid w:val="257A14F5"/>
    <w:rsid w:val="27196C26"/>
    <w:rsid w:val="29EF086F"/>
    <w:rsid w:val="2A014A0F"/>
    <w:rsid w:val="2EFFE297"/>
    <w:rsid w:val="2F2640E7"/>
    <w:rsid w:val="301437CA"/>
    <w:rsid w:val="32791381"/>
    <w:rsid w:val="349D1F0A"/>
    <w:rsid w:val="34DD0473"/>
    <w:rsid w:val="3C181CA7"/>
    <w:rsid w:val="3C684897"/>
    <w:rsid w:val="41C6204F"/>
    <w:rsid w:val="433E495C"/>
    <w:rsid w:val="489F2FD7"/>
    <w:rsid w:val="4AC27CB3"/>
    <w:rsid w:val="4BF72BEF"/>
    <w:rsid w:val="4FA90297"/>
    <w:rsid w:val="4FC41A43"/>
    <w:rsid w:val="51DB3C59"/>
    <w:rsid w:val="550C0952"/>
    <w:rsid w:val="55762E42"/>
    <w:rsid w:val="57A7B272"/>
    <w:rsid w:val="58470068"/>
    <w:rsid w:val="58747CAC"/>
    <w:rsid w:val="5A1720F9"/>
    <w:rsid w:val="5B9C37C2"/>
    <w:rsid w:val="5BA7C654"/>
    <w:rsid w:val="60A54109"/>
    <w:rsid w:val="61D01CDF"/>
    <w:rsid w:val="64C0607C"/>
    <w:rsid w:val="65756C86"/>
    <w:rsid w:val="674D385B"/>
    <w:rsid w:val="676F09E1"/>
    <w:rsid w:val="71793A80"/>
    <w:rsid w:val="72EB5394"/>
    <w:rsid w:val="7357290B"/>
    <w:rsid w:val="73E70E2D"/>
    <w:rsid w:val="798524E4"/>
    <w:rsid w:val="7A7F1C49"/>
    <w:rsid w:val="7B5B7AE6"/>
    <w:rsid w:val="7B7B6628"/>
    <w:rsid w:val="7BA7071E"/>
    <w:rsid w:val="7BDF6DA8"/>
    <w:rsid w:val="7BDF7589"/>
    <w:rsid w:val="7C7EDC1A"/>
    <w:rsid w:val="7CCED98D"/>
    <w:rsid w:val="7D08410F"/>
    <w:rsid w:val="7D2759BE"/>
    <w:rsid w:val="7DB96DED"/>
    <w:rsid w:val="7DD3AD81"/>
    <w:rsid w:val="7EFB4B91"/>
    <w:rsid w:val="7F7FE70F"/>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qFormat/>
    <w:uiPriority w:val="0"/>
    <w:pPr>
      <w:ind w:firstLine="645"/>
    </w:pPr>
    <w:rPr>
      <w:rFonts w:ascii="仿宋_GB2312" w:hAnsi="Calibri" w:eastAsia="仿宋_GB2312"/>
      <w:sz w:val="32"/>
      <w:szCs w:val="32"/>
    </w:r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9">
    <w:name w:val="Normal (Web)"/>
    <w:basedOn w:val="1"/>
    <w:unhideWhenUsed/>
    <w:qFormat/>
    <w:uiPriority w:val="0"/>
    <w:pPr>
      <w:spacing w:before="100" w:beforeAutospacing="1" w:after="100" w:afterAutospacing="1"/>
      <w:ind w:right="238"/>
      <w:jc w:val="left"/>
    </w:pPr>
    <w:rPr>
      <w:b/>
      <w:kern w:val="0"/>
      <w:sz w:val="24"/>
      <w:szCs w:val="20"/>
    </w:rPr>
  </w:style>
  <w:style w:type="character" w:styleId="12">
    <w:name w:val="Strong"/>
    <w:qFormat/>
    <w:uiPriority w:val="0"/>
    <w:rPr>
      <w:b/>
    </w:rPr>
  </w:style>
  <w:style w:type="character" w:styleId="13">
    <w:name w:val="page number"/>
    <w:qFormat/>
    <w:uiPriority w:val="0"/>
  </w:style>
  <w:style w:type="character" w:customStyle="1" w:styleId="14">
    <w:name w:val="页脚 Char"/>
    <w:link w:val="7"/>
    <w:qFormat/>
    <w:uiPriority w:val="0"/>
    <w:rPr>
      <w:rFonts w:eastAsia="宋体"/>
      <w:kern w:val="2"/>
      <w:sz w:val="18"/>
      <w:szCs w:val="18"/>
      <w:lang w:val="en-US" w:eastAsia="zh-CN" w:bidi="ar-SA"/>
    </w:rPr>
  </w:style>
  <w:style w:type="character" w:customStyle="1" w:styleId="15">
    <w:name w:val="页眉 Char"/>
    <w:link w:val="8"/>
    <w:qFormat/>
    <w:uiPriority w:val="0"/>
    <w:rPr>
      <w:rFonts w:ascii="Calibri" w:hAnsi="Calibri" w:eastAsia="宋体"/>
      <w:kern w:val="2"/>
      <w:sz w:val="18"/>
      <w:szCs w:val="18"/>
      <w:lang w:val="en-US" w:eastAsia="zh-CN" w:bidi="ar-SA"/>
    </w:rPr>
  </w:style>
  <w:style w:type="paragraph" w:customStyle="1" w:styleId="16">
    <w:name w:val="Char Char Char Char Char Char Char"/>
    <w:basedOn w:val="1"/>
    <w:qFormat/>
    <w:uiPriority w:val="0"/>
    <w:rPr>
      <w:rFonts w:ascii="Tahoma" w:hAnsi="Tahoma"/>
      <w:sz w:val="24"/>
      <w:szCs w:val="20"/>
    </w:rPr>
  </w:style>
  <w:style w:type="paragraph" w:customStyle="1" w:styleId="17">
    <w:name w:val="Char1 Char Char Char"/>
    <w:basedOn w:val="1"/>
    <w:qFormat/>
    <w:uiPriority w:val="0"/>
    <w:pPr>
      <w:widowControl/>
      <w:spacing w:after="160" w:line="240" w:lineRule="exact"/>
      <w:jc w:val="left"/>
    </w:pPr>
    <w:rPr>
      <w:szCs w:val="20"/>
    </w:rPr>
  </w:style>
  <w:style w:type="paragraph" w:customStyle="1" w:styleId="18">
    <w:name w:val="Char"/>
    <w:basedOn w:val="1"/>
    <w:qFormat/>
    <w:uiPriority w:val="0"/>
    <w:rPr>
      <w:rFonts w:ascii="Tahoma" w:hAnsi="Tahoma"/>
      <w:sz w:val="24"/>
      <w:szCs w:val="20"/>
    </w:rPr>
  </w:style>
  <w:style w:type="paragraph" w:customStyle="1" w:styleId="19">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3150.08</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a6ac648e-c4a4-47c5-93be-d7dca0f54d79}"/>
      </c:ext>
    </c:extLst>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2"/>
              <c:layout>
                <c:manualLayout>
                  <c:x val="-0.03900372940115"/>
                  <c:y val="0.0328271436107878"/>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0389887693586102"/>
                  <c:y val="0.010511229510062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1795.12</c:v>
                </c:pt>
                <c:pt idx="1">
                  <c:v>1354.96</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5517cb27-b379-49c3-8d29-dae963eed67b}"/>
      </c:ext>
    </c:extLst>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18</Pages>
  <Words>4949</Words>
  <Characters>5816</Characters>
  <Lines>47</Lines>
  <Paragraphs>13</Paragraphs>
  <TotalTime>59</TotalTime>
  <ScaleCrop>false</ScaleCrop>
  <LinksUpToDate>false</LinksUpToDate>
  <CharactersWithSpaces>5877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2017-07-11T15:16:00Z</dcterms:created>
  <dc:creator>常程</dc:creator>
  <cp:lastModifiedBy>赵昕雅</cp:lastModifiedBy>
  <cp:lastPrinted>2020-08-07T11:39:00Z</cp:lastPrinted>
  <dcterms:modified xsi:type="dcterms:W3CDTF">2026-08-27T09:59:59Z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52BB24290B4C406A86E7C1D96733A2CE_13</vt:lpwstr>
  </property>
  <property fmtid="{D5CDD505-2E9C-101B-9397-08002B2CF9AE}" pid="4" name="KSOTemplateDocerSaveRecord">
    <vt:lpwstr>eyJoZGlkIjoiYzhlZDA1YWZlZjExYWYyMzEyMmEyNTAwMTQ4MjU0MmYiLCJ1c2VySWQiOiIyMDM4MTIzMzEifQ==</vt:lpwstr>
  </property>
</Properties>
</file>