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r>
        <w:rPr>
          <w:rFonts w:hint="eastAsia" w:ascii="仿宋_GB2312" w:eastAsia="仿宋_GB2312"/>
          <w:sz w:val="28"/>
          <w:szCs w:val="28"/>
        </w:rPr>
        <w:t>（比照</w:t>
      </w:r>
      <w:r>
        <w:rPr>
          <w:rFonts w:ascii="仿宋_GB2312" w:eastAsia="仿宋_GB2312"/>
          <w:sz w:val="28"/>
          <w:szCs w:val="28"/>
        </w:rPr>
        <w:t>预算公开</w:t>
      </w:r>
      <w:r>
        <w:rPr>
          <w:rFonts w:hint="eastAsia" w:ascii="仿宋_GB2312" w:eastAsia="仿宋_GB2312"/>
          <w:sz w:val="28"/>
          <w:szCs w:val="28"/>
        </w:rPr>
        <w:t>的内容</w:t>
      </w:r>
      <w:r>
        <w:rPr>
          <w:rFonts w:ascii="仿宋_GB2312" w:eastAsia="仿宋_GB2312"/>
          <w:sz w:val="28"/>
          <w:szCs w:val="28"/>
        </w:rPr>
        <w:t>格式）</w:t>
      </w:r>
    </w:p>
    <w:p>
      <w:pPr>
        <w:keepNext w:val="0"/>
        <w:keepLines w:val="0"/>
        <w:pageBreakBefore w:val="0"/>
        <w:tabs>
          <w:tab w:val="center" w:pos="6979"/>
        </w:tabs>
        <w:kinsoku/>
        <w:wordWrap/>
        <w:overflowPunct/>
        <w:topLinePunct w:val="0"/>
        <w:bidi w:val="0"/>
        <w:spacing w:line="560" w:lineRule="exact"/>
        <w:ind w:firstLine="560" w:firstLineChars="200"/>
        <w:rPr>
          <w:rFonts w:hint="eastAsia" w:ascii="楷体_GB2312" w:hAnsi="楷体" w:eastAsia="楷体_GB2312" w:cs="楷体"/>
          <w:sz w:val="28"/>
          <w:szCs w:val="28"/>
          <w:highlight w:val="none"/>
        </w:rPr>
      </w:pPr>
      <w:r>
        <w:rPr>
          <w:rFonts w:hint="eastAsia" w:ascii="楷体_GB2312" w:hAnsi="楷体" w:eastAsia="楷体_GB2312" w:cs="楷体"/>
          <w:sz w:val="28"/>
          <w:szCs w:val="28"/>
          <w:highlight w:val="none"/>
        </w:rPr>
        <w:t>（一）部门机构设置、职责</w:t>
      </w:r>
    </w:p>
    <w:p>
      <w:pPr>
        <w:keepNext w:val="0"/>
        <w:keepLines w:val="0"/>
        <w:pageBreakBefore w:val="0"/>
        <w:kinsoku/>
        <w:wordWrap/>
        <w:overflowPunct/>
        <w:topLinePunct w:val="0"/>
        <w:bidi w:val="0"/>
        <w:spacing w:line="560" w:lineRule="exact"/>
        <w:ind w:firstLine="560" w:firstLineChars="200"/>
        <w:rPr>
          <w:rFonts w:hint="default" w:ascii="仿宋_GB2312" w:eastAsia="仿宋_GB2312"/>
          <w:sz w:val="28"/>
          <w:szCs w:val="32"/>
          <w:highlight w:val="none"/>
          <w:lang w:val="en-US" w:eastAsia="zh-CN"/>
        </w:rPr>
      </w:pPr>
      <w:r>
        <w:rPr>
          <w:rFonts w:hint="eastAsia" w:ascii="仿宋_GB2312" w:eastAsia="仿宋_GB2312"/>
          <w:sz w:val="28"/>
          <w:szCs w:val="32"/>
          <w:highlight w:val="none"/>
          <w:lang w:val="en-US" w:eastAsia="zh-CN"/>
        </w:rPr>
        <w:t>第一条</w:t>
      </w:r>
      <w:r>
        <w:rPr>
          <w:rFonts w:hint="default" w:ascii="仿宋_GB2312" w:eastAsia="仿宋_GB2312"/>
          <w:sz w:val="28"/>
          <w:szCs w:val="32"/>
          <w:highlight w:val="none"/>
          <w:lang w:val="en-US" w:eastAsia="zh-CN"/>
        </w:rPr>
        <w:t> 加强和改进民营经济人士思想政治工作。</w:t>
      </w:r>
    </w:p>
    <w:p>
      <w:pPr>
        <w:keepNext w:val="0"/>
        <w:keepLines w:val="0"/>
        <w:pageBreakBefore w:val="0"/>
        <w:kinsoku/>
        <w:wordWrap/>
        <w:overflowPunct/>
        <w:topLinePunct w:val="0"/>
        <w:bidi w:val="0"/>
        <w:spacing w:line="560" w:lineRule="exact"/>
        <w:ind w:firstLine="560" w:firstLineChars="200"/>
        <w:rPr>
          <w:rFonts w:hint="eastAsia" w:ascii="仿宋_GB2312" w:eastAsia="仿宋_GB2312"/>
          <w:sz w:val="28"/>
          <w:szCs w:val="32"/>
          <w:highlight w:val="none"/>
          <w:lang w:val="en-US" w:eastAsia="zh-CN"/>
        </w:rPr>
      </w:pPr>
      <w:r>
        <w:rPr>
          <w:rFonts w:hint="eastAsia" w:ascii="仿宋_GB2312" w:eastAsia="仿宋_GB2312"/>
          <w:sz w:val="28"/>
          <w:szCs w:val="32"/>
          <w:highlight w:val="none"/>
          <w:lang w:val="en-US" w:eastAsia="zh-CN"/>
        </w:rPr>
        <w:t>第二条</w:t>
      </w:r>
      <w:r>
        <w:rPr>
          <w:rFonts w:hint="default" w:ascii="仿宋_GB2312" w:eastAsia="仿宋_GB2312"/>
          <w:sz w:val="28"/>
          <w:szCs w:val="32"/>
          <w:highlight w:val="none"/>
          <w:lang w:val="en-US" w:eastAsia="zh-CN"/>
        </w:rPr>
        <w:t>  参与政治协商，发挥民主监督作用，积极参政议政。</w:t>
      </w:r>
    </w:p>
    <w:p>
      <w:pPr>
        <w:keepNext w:val="0"/>
        <w:keepLines w:val="0"/>
        <w:pageBreakBefore w:val="0"/>
        <w:kinsoku/>
        <w:wordWrap/>
        <w:overflowPunct/>
        <w:topLinePunct w:val="0"/>
        <w:bidi w:val="0"/>
        <w:spacing w:line="560" w:lineRule="exact"/>
        <w:ind w:firstLine="560" w:firstLineChars="200"/>
        <w:rPr>
          <w:rFonts w:hint="eastAsia" w:ascii="仿宋_GB2312" w:eastAsia="仿宋_GB2312"/>
          <w:sz w:val="28"/>
          <w:szCs w:val="32"/>
          <w:highlight w:val="none"/>
          <w:lang w:val="en-US" w:eastAsia="zh-CN"/>
        </w:rPr>
      </w:pPr>
      <w:r>
        <w:rPr>
          <w:rFonts w:hint="eastAsia" w:ascii="仿宋_GB2312" w:eastAsia="仿宋_GB2312"/>
          <w:sz w:val="28"/>
          <w:szCs w:val="32"/>
          <w:highlight w:val="none"/>
          <w:lang w:val="en-US" w:eastAsia="zh-CN"/>
        </w:rPr>
        <w:t>第三条</w:t>
      </w:r>
      <w:r>
        <w:rPr>
          <w:rFonts w:hint="default" w:ascii="仿宋_GB2312" w:eastAsia="仿宋_GB2312"/>
          <w:sz w:val="28"/>
          <w:szCs w:val="32"/>
          <w:highlight w:val="none"/>
          <w:lang w:val="en-US" w:eastAsia="zh-CN"/>
        </w:rPr>
        <w:t>  协助政府管理和服务民营经济。</w:t>
      </w:r>
    </w:p>
    <w:p>
      <w:pPr>
        <w:keepNext w:val="0"/>
        <w:keepLines w:val="0"/>
        <w:pageBreakBefore w:val="0"/>
        <w:kinsoku/>
        <w:wordWrap/>
        <w:overflowPunct/>
        <w:topLinePunct w:val="0"/>
        <w:bidi w:val="0"/>
        <w:spacing w:line="560" w:lineRule="exact"/>
        <w:ind w:firstLine="560" w:firstLineChars="200"/>
        <w:rPr>
          <w:rFonts w:hint="eastAsia" w:ascii="仿宋_GB2312" w:eastAsia="仿宋_GB2312"/>
          <w:sz w:val="28"/>
          <w:szCs w:val="32"/>
          <w:highlight w:val="none"/>
          <w:lang w:val="en-US" w:eastAsia="zh-CN"/>
        </w:rPr>
      </w:pPr>
      <w:r>
        <w:rPr>
          <w:rFonts w:hint="eastAsia" w:ascii="仿宋_GB2312" w:eastAsia="仿宋_GB2312"/>
          <w:sz w:val="28"/>
          <w:szCs w:val="32"/>
          <w:highlight w:val="none"/>
          <w:lang w:val="en-US" w:eastAsia="zh-CN"/>
        </w:rPr>
        <w:t>第四条</w:t>
      </w:r>
      <w:r>
        <w:rPr>
          <w:rFonts w:hint="default" w:ascii="仿宋_GB2312" w:eastAsia="仿宋_GB2312"/>
          <w:sz w:val="28"/>
          <w:szCs w:val="32"/>
          <w:highlight w:val="none"/>
          <w:lang w:val="en-US" w:eastAsia="zh-CN"/>
        </w:rPr>
        <w:t>  培育和发展中国特色商会组织。</w:t>
      </w:r>
    </w:p>
    <w:p>
      <w:pPr>
        <w:keepNext w:val="0"/>
        <w:keepLines w:val="0"/>
        <w:pageBreakBefore w:val="0"/>
        <w:kinsoku/>
        <w:wordWrap/>
        <w:overflowPunct/>
        <w:topLinePunct w:val="0"/>
        <w:bidi w:val="0"/>
        <w:spacing w:line="560" w:lineRule="exact"/>
        <w:ind w:firstLine="560" w:firstLineChars="200"/>
        <w:rPr>
          <w:rFonts w:hint="default" w:ascii="仿宋_GB2312" w:eastAsia="仿宋_GB2312"/>
          <w:sz w:val="28"/>
          <w:szCs w:val="32"/>
          <w:highlight w:val="none"/>
          <w:lang w:val="en-US" w:eastAsia="zh-CN"/>
        </w:rPr>
      </w:pPr>
      <w:r>
        <w:rPr>
          <w:rFonts w:hint="eastAsia" w:ascii="仿宋_GB2312" w:eastAsia="仿宋_GB2312"/>
          <w:sz w:val="28"/>
          <w:szCs w:val="32"/>
          <w:highlight w:val="none"/>
          <w:lang w:val="en-US" w:eastAsia="zh-CN"/>
        </w:rPr>
        <w:t>第五条</w:t>
      </w:r>
      <w:r>
        <w:rPr>
          <w:rFonts w:hint="default" w:ascii="仿宋_GB2312" w:eastAsia="仿宋_GB2312"/>
          <w:sz w:val="28"/>
          <w:szCs w:val="32"/>
          <w:highlight w:val="none"/>
          <w:lang w:val="en-US" w:eastAsia="zh-CN"/>
        </w:rPr>
        <w:t>  培育和建设高素质的民营经济人士队伍。</w:t>
      </w:r>
    </w:p>
    <w:p>
      <w:pPr>
        <w:keepNext w:val="0"/>
        <w:keepLines w:val="0"/>
        <w:pageBreakBefore w:val="0"/>
        <w:kinsoku/>
        <w:wordWrap/>
        <w:overflowPunct/>
        <w:topLinePunct w:val="0"/>
        <w:bidi w:val="0"/>
        <w:spacing w:line="560" w:lineRule="exact"/>
        <w:ind w:firstLine="560" w:firstLineChars="200"/>
        <w:rPr>
          <w:rFonts w:hint="eastAsia" w:ascii="仿宋_GB2312" w:eastAsia="仿宋_GB2312"/>
          <w:sz w:val="28"/>
          <w:szCs w:val="32"/>
          <w:highlight w:val="none"/>
          <w:lang w:val="en-US" w:eastAsia="zh-CN"/>
        </w:rPr>
      </w:pPr>
      <w:r>
        <w:rPr>
          <w:rFonts w:hint="eastAsia" w:ascii="仿宋_GB2312" w:eastAsia="仿宋_GB2312"/>
          <w:sz w:val="28"/>
          <w:szCs w:val="32"/>
          <w:highlight w:val="none"/>
          <w:lang w:val="en-US" w:eastAsia="zh-CN"/>
        </w:rPr>
        <w:t>第六条</w:t>
      </w:r>
      <w:r>
        <w:rPr>
          <w:rFonts w:hint="default" w:ascii="仿宋_GB2312" w:eastAsia="仿宋_GB2312"/>
          <w:sz w:val="28"/>
          <w:szCs w:val="32"/>
          <w:highlight w:val="none"/>
          <w:lang w:val="en-US" w:eastAsia="zh-CN"/>
        </w:rPr>
        <w:t>  参与协调劳动关系，协同社会治理，促进社会和谐稳定。</w:t>
      </w:r>
    </w:p>
    <w:p>
      <w:pPr>
        <w:keepNext w:val="0"/>
        <w:keepLines w:val="0"/>
        <w:pageBreakBefore w:val="0"/>
        <w:kinsoku/>
        <w:wordWrap/>
        <w:overflowPunct/>
        <w:topLinePunct w:val="0"/>
        <w:bidi w:val="0"/>
        <w:spacing w:line="560" w:lineRule="exact"/>
        <w:ind w:firstLine="560" w:firstLineChars="200"/>
        <w:rPr>
          <w:rFonts w:hint="eastAsia" w:ascii="仿宋_GB2312" w:eastAsia="仿宋_GB2312"/>
          <w:sz w:val="28"/>
          <w:szCs w:val="32"/>
          <w:highlight w:val="none"/>
          <w:lang w:val="en-US" w:eastAsia="zh-CN"/>
        </w:rPr>
      </w:pPr>
      <w:r>
        <w:rPr>
          <w:rFonts w:hint="eastAsia" w:ascii="仿宋_GB2312" w:eastAsia="仿宋_GB2312"/>
          <w:sz w:val="28"/>
          <w:szCs w:val="32"/>
          <w:highlight w:val="none"/>
          <w:lang w:val="en-US" w:eastAsia="zh-CN"/>
        </w:rPr>
        <w:t>第七条</w:t>
      </w:r>
      <w:r>
        <w:rPr>
          <w:rFonts w:hint="default" w:ascii="仿宋_GB2312" w:eastAsia="仿宋_GB2312"/>
          <w:sz w:val="28"/>
          <w:szCs w:val="32"/>
          <w:highlight w:val="none"/>
          <w:lang w:val="en-US" w:eastAsia="zh-CN"/>
        </w:rPr>
        <w:t>  引导民营企业和民营经济人士依法治企、依法经营、依法维权。</w:t>
      </w:r>
    </w:p>
    <w:p>
      <w:pPr>
        <w:keepNext w:val="0"/>
        <w:keepLines w:val="0"/>
        <w:pageBreakBefore w:val="0"/>
        <w:kinsoku/>
        <w:wordWrap/>
        <w:overflowPunct/>
        <w:topLinePunct w:val="0"/>
        <w:bidi w:val="0"/>
        <w:spacing w:line="560" w:lineRule="exact"/>
        <w:ind w:firstLine="560" w:firstLineChars="200"/>
        <w:rPr>
          <w:rFonts w:hint="default" w:ascii="仿宋_GB2312" w:eastAsia="仿宋_GB2312"/>
          <w:sz w:val="28"/>
          <w:szCs w:val="32"/>
          <w:highlight w:val="none"/>
          <w:lang w:val="en-US" w:eastAsia="zh-CN"/>
        </w:rPr>
      </w:pPr>
      <w:r>
        <w:rPr>
          <w:rFonts w:hint="eastAsia" w:ascii="仿宋_GB2312" w:eastAsia="仿宋_GB2312"/>
          <w:sz w:val="28"/>
          <w:szCs w:val="32"/>
          <w:highlight w:val="none"/>
          <w:lang w:val="en-US" w:eastAsia="zh-CN"/>
        </w:rPr>
        <w:t>第八条</w:t>
      </w:r>
      <w:r>
        <w:rPr>
          <w:rFonts w:hint="default" w:ascii="仿宋_GB2312" w:eastAsia="仿宋_GB2312"/>
          <w:sz w:val="28"/>
          <w:szCs w:val="32"/>
          <w:highlight w:val="none"/>
          <w:lang w:val="en-US" w:eastAsia="zh-CN"/>
        </w:rPr>
        <w:t>  依法加强会产管理、经营和保护。</w:t>
      </w:r>
    </w:p>
    <w:p>
      <w:pPr>
        <w:keepNext w:val="0"/>
        <w:keepLines w:val="0"/>
        <w:pageBreakBefore w:val="0"/>
        <w:kinsoku/>
        <w:wordWrap/>
        <w:overflowPunct/>
        <w:topLinePunct w:val="0"/>
        <w:bidi w:val="0"/>
        <w:spacing w:line="560" w:lineRule="exact"/>
        <w:ind w:firstLine="560" w:firstLineChars="200"/>
        <w:rPr>
          <w:rFonts w:hint="eastAsia" w:ascii="仿宋_GB2312" w:eastAsia="仿宋_GB2312"/>
          <w:sz w:val="28"/>
          <w:szCs w:val="32"/>
          <w:highlight w:val="none"/>
        </w:rPr>
      </w:pPr>
      <w:r>
        <w:rPr>
          <w:rFonts w:hint="eastAsia" w:ascii="仿宋_GB2312" w:eastAsia="仿宋_GB2312"/>
          <w:sz w:val="28"/>
          <w:szCs w:val="32"/>
          <w:highlight w:val="none"/>
        </w:rPr>
        <w:t>（二）部门机构设置情况</w:t>
      </w:r>
    </w:p>
    <w:p>
      <w:pPr>
        <w:tabs>
          <w:tab w:val="center" w:pos="6979"/>
        </w:tabs>
        <w:spacing w:line="580" w:lineRule="exact"/>
        <w:ind w:firstLine="560" w:firstLineChars="200"/>
        <w:rPr>
          <w:rFonts w:hint="eastAsia" w:ascii="仿宋_GB2312" w:eastAsia="仿宋_GB2312"/>
          <w:b/>
          <w:sz w:val="32"/>
          <w:szCs w:val="32"/>
        </w:rPr>
      </w:pPr>
      <w:r>
        <w:rPr>
          <w:rFonts w:hint="eastAsia" w:ascii="仿宋_GB2312" w:eastAsia="仿宋_GB2312"/>
          <w:sz w:val="28"/>
          <w:szCs w:val="32"/>
          <w:highlight w:val="none"/>
          <w:lang w:eastAsia="zh-CN"/>
        </w:rPr>
        <w:t>本部门设</w:t>
      </w:r>
      <w:r>
        <w:rPr>
          <w:rFonts w:hint="eastAsia" w:ascii="仿宋_GB2312" w:eastAsia="仿宋_GB2312"/>
          <w:sz w:val="28"/>
          <w:szCs w:val="32"/>
          <w:highlight w:val="none"/>
          <w:lang w:val="en-US" w:eastAsia="zh-CN"/>
        </w:rPr>
        <w:t>1个内设机构，下设1个事业单位。</w:t>
      </w:r>
      <w:r>
        <w:rPr>
          <w:rFonts w:hint="eastAsia" w:ascii="仿宋_GB2312" w:eastAsia="仿宋_GB2312"/>
          <w:b/>
          <w:sz w:val="32"/>
          <w:szCs w:val="32"/>
        </w:rPr>
        <w:t xml:space="preserve"> </w:t>
      </w:r>
    </w:p>
    <w:p>
      <w:pPr>
        <w:tabs>
          <w:tab w:val="center" w:pos="6979"/>
        </w:tabs>
        <w:spacing w:line="580" w:lineRule="exact"/>
        <w:ind w:firstLine="640" w:firstLineChars="200"/>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2025年度收、</w:t>
      </w:r>
      <w:r>
        <w:rPr>
          <w:rFonts w:ascii="仿宋_GB2312" w:eastAsia="仿宋_GB2312"/>
          <w:sz w:val="28"/>
          <w:szCs w:val="28"/>
          <w:highlight w:val="none"/>
        </w:rPr>
        <w:t>支</w:t>
      </w:r>
      <w:r>
        <w:rPr>
          <w:rFonts w:hint="eastAsia" w:ascii="仿宋_GB2312" w:eastAsia="仿宋_GB2312"/>
          <w:sz w:val="28"/>
          <w:szCs w:val="28"/>
          <w:highlight w:val="none"/>
        </w:rPr>
        <w:t>总计</w:t>
      </w:r>
      <w:r>
        <w:rPr>
          <w:rFonts w:ascii="仿宋_GB2312" w:eastAsia="仿宋_GB2312"/>
          <w:sz w:val="28"/>
          <w:szCs w:val="28"/>
          <w:highlight w:val="none"/>
        </w:rPr>
        <w:t>4</w:t>
      </w:r>
      <w:r>
        <w:rPr>
          <w:rFonts w:hint="eastAsia" w:ascii="仿宋_GB2312" w:eastAsia="仿宋_GB2312"/>
          <w:sz w:val="28"/>
          <w:szCs w:val="28"/>
          <w:highlight w:val="none"/>
          <w:lang w:val="en-US" w:eastAsia="zh-CN"/>
        </w:rPr>
        <w:t>,</w:t>
      </w:r>
      <w:r>
        <w:rPr>
          <w:rFonts w:ascii="仿宋_GB2312" w:eastAsia="仿宋_GB2312"/>
          <w:sz w:val="28"/>
          <w:szCs w:val="28"/>
          <w:highlight w:val="none"/>
        </w:rPr>
        <w:t>415</w:t>
      </w:r>
      <w:r>
        <w:rPr>
          <w:rFonts w:hint="eastAsia" w:ascii="仿宋_GB2312" w:eastAsia="仿宋_GB2312"/>
          <w:sz w:val="28"/>
          <w:szCs w:val="28"/>
          <w:highlight w:val="none"/>
          <w:lang w:val="en-US" w:eastAsia="zh-CN"/>
        </w:rPr>
        <w:t>,</w:t>
      </w:r>
      <w:r>
        <w:rPr>
          <w:rFonts w:ascii="仿宋_GB2312" w:eastAsia="仿宋_GB2312"/>
          <w:sz w:val="28"/>
          <w:szCs w:val="28"/>
          <w:highlight w:val="none"/>
        </w:rPr>
        <w:t>454.9</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w:t>
      </w:r>
      <w:r>
        <w:rPr>
          <w:rFonts w:ascii="仿宋_GB2312" w:eastAsia="仿宋_GB2312"/>
          <w:sz w:val="28"/>
          <w:szCs w:val="28"/>
          <w:highlight w:val="none"/>
        </w:rPr>
        <w:t>比上年增加</w:t>
      </w:r>
      <w:r>
        <w:rPr>
          <w:rFonts w:hint="eastAsia" w:ascii="仿宋_GB2312" w:eastAsia="仿宋_GB2312"/>
          <w:sz w:val="28"/>
          <w:szCs w:val="28"/>
          <w:highlight w:val="none"/>
          <w:lang w:val="en-US" w:eastAsia="zh-CN"/>
        </w:rPr>
        <w:t>43,949.84</w:t>
      </w:r>
      <w:r>
        <w:rPr>
          <w:rFonts w:hint="eastAsia" w:ascii="仿宋_GB2312" w:eastAsia="仿宋_GB2312"/>
          <w:sz w:val="28"/>
          <w:szCs w:val="28"/>
          <w:highlight w:val="none"/>
        </w:rPr>
        <w:t>元，增长</w:t>
      </w:r>
      <w:r>
        <w:rPr>
          <w:rFonts w:hint="eastAsia" w:ascii="仿宋_GB2312" w:eastAsia="仿宋_GB2312"/>
          <w:sz w:val="28"/>
          <w:szCs w:val="28"/>
          <w:highlight w:val="none"/>
          <w:lang w:val="en-US" w:eastAsia="zh-CN"/>
        </w:rPr>
        <w:t>1.0</w:t>
      </w:r>
      <w:r>
        <w:rPr>
          <w:rFonts w:hint="eastAsia" w:ascii="仿宋_GB2312" w:eastAsia="仿宋_GB2312"/>
          <w:sz w:val="28"/>
          <w:szCs w:val="28"/>
          <w:highlight w:val="none"/>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2025年度本年收入合计</w:t>
      </w:r>
      <w:r>
        <w:rPr>
          <w:rFonts w:ascii="仿宋_GB2312" w:eastAsia="仿宋_GB2312"/>
          <w:sz w:val="28"/>
          <w:szCs w:val="28"/>
          <w:highlight w:val="none"/>
        </w:rPr>
        <w:t>4</w:t>
      </w:r>
      <w:r>
        <w:rPr>
          <w:rFonts w:hint="eastAsia" w:ascii="仿宋_GB2312" w:eastAsia="仿宋_GB2312"/>
          <w:sz w:val="28"/>
          <w:szCs w:val="28"/>
          <w:highlight w:val="none"/>
          <w:lang w:val="en-US" w:eastAsia="zh-CN"/>
        </w:rPr>
        <w:t>,</w:t>
      </w:r>
      <w:r>
        <w:rPr>
          <w:rFonts w:ascii="仿宋_GB2312" w:eastAsia="仿宋_GB2312"/>
          <w:sz w:val="28"/>
          <w:szCs w:val="28"/>
          <w:highlight w:val="none"/>
        </w:rPr>
        <w:t>415</w:t>
      </w:r>
      <w:r>
        <w:rPr>
          <w:rFonts w:hint="eastAsia" w:ascii="仿宋_GB2312" w:eastAsia="仿宋_GB2312"/>
          <w:sz w:val="28"/>
          <w:szCs w:val="28"/>
          <w:highlight w:val="none"/>
          <w:lang w:val="en-US" w:eastAsia="zh-CN"/>
        </w:rPr>
        <w:t>,</w:t>
      </w:r>
      <w:r>
        <w:rPr>
          <w:rFonts w:ascii="仿宋_GB2312" w:eastAsia="仿宋_GB2312"/>
          <w:sz w:val="28"/>
          <w:szCs w:val="28"/>
          <w:highlight w:val="none"/>
        </w:rPr>
        <w:t>454.9</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w:t>
      </w:r>
      <w:r>
        <w:rPr>
          <w:rFonts w:hint="eastAsia" w:ascii="仿宋_GB2312" w:eastAsia="仿宋_GB2312"/>
          <w:sz w:val="28"/>
          <w:szCs w:val="28"/>
          <w:highlight w:val="none"/>
          <w:lang w:eastAsia="zh-CN"/>
        </w:rPr>
        <w:t>，</w:t>
      </w:r>
      <w:r>
        <w:rPr>
          <w:rFonts w:ascii="仿宋_GB2312" w:eastAsia="仿宋_GB2312"/>
          <w:sz w:val="28"/>
          <w:szCs w:val="28"/>
          <w:highlight w:val="none"/>
        </w:rPr>
        <w:t>比上年增加</w:t>
      </w:r>
      <w:r>
        <w:rPr>
          <w:rFonts w:hint="eastAsia" w:ascii="仿宋_GB2312" w:eastAsia="仿宋_GB2312"/>
          <w:sz w:val="28"/>
          <w:szCs w:val="28"/>
          <w:highlight w:val="none"/>
          <w:lang w:val="en-US" w:eastAsia="zh-CN"/>
        </w:rPr>
        <w:t>43,949.84</w:t>
      </w:r>
      <w:r>
        <w:rPr>
          <w:rFonts w:hint="eastAsia" w:ascii="仿宋_GB2312" w:eastAsia="仿宋_GB2312"/>
          <w:sz w:val="28"/>
          <w:szCs w:val="28"/>
          <w:highlight w:val="none"/>
        </w:rPr>
        <w:t>元，增长</w:t>
      </w:r>
      <w:r>
        <w:rPr>
          <w:rFonts w:hint="eastAsia" w:ascii="仿宋_GB2312" w:eastAsia="仿宋_GB2312"/>
          <w:sz w:val="28"/>
          <w:szCs w:val="28"/>
          <w:highlight w:val="none"/>
          <w:lang w:val="en-US" w:eastAsia="zh-CN"/>
        </w:rPr>
        <w:t>1.0</w:t>
      </w:r>
      <w:r>
        <w:rPr>
          <w:rFonts w:hint="eastAsia" w:ascii="仿宋_GB2312" w:eastAsia="仿宋_GB2312"/>
          <w:sz w:val="28"/>
          <w:szCs w:val="28"/>
          <w:highlight w:val="none"/>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highlight w:val="none"/>
        </w:rPr>
        <w:t>1.财政拨款收入</w:t>
      </w:r>
      <w:r>
        <w:rPr>
          <w:rFonts w:ascii="仿宋_GB2312" w:eastAsia="仿宋_GB2312"/>
          <w:sz w:val="28"/>
          <w:szCs w:val="28"/>
          <w:highlight w:val="none"/>
        </w:rPr>
        <w:t>4</w:t>
      </w:r>
      <w:r>
        <w:rPr>
          <w:rFonts w:hint="eastAsia" w:ascii="仿宋_GB2312" w:eastAsia="仿宋_GB2312"/>
          <w:sz w:val="28"/>
          <w:szCs w:val="28"/>
          <w:highlight w:val="none"/>
          <w:lang w:val="en-US" w:eastAsia="zh-CN"/>
        </w:rPr>
        <w:t>,</w:t>
      </w:r>
      <w:r>
        <w:rPr>
          <w:rFonts w:ascii="仿宋_GB2312" w:eastAsia="仿宋_GB2312"/>
          <w:sz w:val="28"/>
          <w:szCs w:val="28"/>
          <w:highlight w:val="none"/>
        </w:rPr>
        <w:t>415</w:t>
      </w:r>
      <w:r>
        <w:rPr>
          <w:rFonts w:hint="eastAsia" w:ascii="仿宋_GB2312" w:eastAsia="仿宋_GB2312"/>
          <w:sz w:val="28"/>
          <w:szCs w:val="28"/>
          <w:highlight w:val="none"/>
          <w:lang w:val="en-US" w:eastAsia="zh-CN"/>
        </w:rPr>
        <w:t>,</w:t>
      </w:r>
      <w:r>
        <w:rPr>
          <w:rFonts w:ascii="仿宋_GB2312" w:eastAsia="仿宋_GB2312"/>
          <w:sz w:val="28"/>
          <w:szCs w:val="28"/>
          <w:highlight w:val="none"/>
        </w:rPr>
        <w:t>454.9</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元，占收入合计的100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%。其中：一般公共预算财政拨款收入</w:t>
      </w:r>
      <w:r>
        <w:rPr>
          <w:rFonts w:ascii="仿宋_GB2312" w:eastAsia="仿宋_GB2312"/>
          <w:sz w:val="28"/>
          <w:szCs w:val="28"/>
          <w:highlight w:val="none"/>
        </w:rPr>
        <w:t>4</w:t>
      </w:r>
      <w:r>
        <w:rPr>
          <w:rFonts w:hint="eastAsia" w:ascii="仿宋_GB2312" w:eastAsia="仿宋_GB2312"/>
          <w:sz w:val="28"/>
          <w:szCs w:val="28"/>
          <w:highlight w:val="none"/>
          <w:lang w:val="en-US" w:eastAsia="zh-CN"/>
        </w:rPr>
        <w:t>,</w:t>
      </w:r>
      <w:r>
        <w:rPr>
          <w:rFonts w:ascii="仿宋_GB2312" w:eastAsia="仿宋_GB2312"/>
          <w:sz w:val="28"/>
          <w:szCs w:val="28"/>
          <w:highlight w:val="none"/>
        </w:rPr>
        <w:t>415</w:t>
      </w:r>
      <w:r>
        <w:rPr>
          <w:rFonts w:hint="eastAsia" w:ascii="仿宋_GB2312" w:eastAsia="仿宋_GB2312"/>
          <w:sz w:val="28"/>
          <w:szCs w:val="28"/>
          <w:highlight w:val="none"/>
          <w:lang w:val="en-US" w:eastAsia="zh-CN"/>
        </w:rPr>
        <w:t>,</w:t>
      </w:r>
      <w:r>
        <w:rPr>
          <w:rFonts w:ascii="仿宋_GB2312" w:eastAsia="仿宋_GB2312"/>
          <w:sz w:val="28"/>
          <w:szCs w:val="28"/>
          <w:highlight w:val="none"/>
        </w:rPr>
        <w:t>454.9</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元，占收入合计的100</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%；政府性基金</w:t>
      </w:r>
      <w:r>
        <w:rPr>
          <w:rFonts w:hint="eastAsia" w:ascii="仿宋_GB2312" w:eastAsia="仿宋_GB2312"/>
          <w:sz w:val="28"/>
          <w:szCs w:val="28"/>
        </w:rPr>
        <w:t>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（此处插入图表，用上述收入金额制作饼状图，示例如下，无金额类型不必制图）</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w:t>
      </w:r>
      <w:r>
        <w:rPr>
          <w:rFonts w:hint="eastAsia" w:ascii="仿宋_GB2312" w:eastAsia="仿宋_GB2312"/>
          <w:sz w:val="28"/>
          <w:szCs w:val="28"/>
          <w:highlight w:val="none"/>
        </w:rPr>
        <w:t>支出合计</w:t>
      </w:r>
      <w:r>
        <w:rPr>
          <w:rFonts w:ascii="仿宋_GB2312" w:eastAsia="仿宋_GB2312"/>
          <w:sz w:val="28"/>
          <w:szCs w:val="28"/>
          <w:highlight w:val="none"/>
        </w:rPr>
        <w:t>4</w:t>
      </w:r>
      <w:r>
        <w:rPr>
          <w:rFonts w:hint="eastAsia" w:ascii="仿宋_GB2312" w:eastAsia="仿宋_GB2312"/>
          <w:sz w:val="28"/>
          <w:szCs w:val="28"/>
          <w:highlight w:val="none"/>
          <w:lang w:val="en-US" w:eastAsia="zh-CN"/>
        </w:rPr>
        <w:t>,</w:t>
      </w:r>
      <w:r>
        <w:rPr>
          <w:rFonts w:ascii="仿宋_GB2312" w:eastAsia="仿宋_GB2312"/>
          <w:sz w:val="28"/>
          <w:szCs w:val="28"/>
          <w:highlight w:val="none"/>
        </w:rPr>
        <w:t>415</w:t>
      </w:r>
      <w:r>
        <w:rPr>
          <w:rFonts w:hint="eastAsia" w:ascii="仿宋_GB2312" w:eastAsia="仿宋_GB2312"/>
          <w:sz w:val="28"/>
          <w:szCs w:val="28"/>
          <w:highlight w:val="none"/>
          <w:lang w:val="en-US" w:eastAsia="zh-CN"/>
        </w:rPr>
        <w:t>,</w:t>
      </w:r>
      <w:r>
        <w:rPr>
          <w:rFonts w:ascii="仿宋_GB2312" w:eastAsia="仿宋_GB2312"/>
          <w:sz w:val="28"/>
          <w:szCs w:val="28"/>
          <w:highlight w:val="none"/>
        </w:rPr>
        <w:t>454.9</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w:t>
      </w:r>
      <w:r>
        <w:rPr>
          <w:rFonts w:ascii="仿宋_GB2312" w:eastAsia="仿宋_GB2312"/>
          <w:sz w:val="28"/>
          <w:szCs w:val="28"/>
          <w:highlight w:val="none"/>
        </w:rPr>
        <w:t>比上年增加</w:t>
      </w:r>
      <w:r>
        <w:rPr>
          <w:rFonts w:hint="eastAsia" w:ascii="仿宋_GB2312" w:eastAsia="仿宋_GB2312"/>
          <w:sz w:val="28"/>
          <w:szCs w:val="28"/>
          <w:highlight w:val="none"/>
          <w:lang w:val="en-US" w:eastAsia="zh-CN"/>
        </w:rPr>
        <w:t>43,949.84</w:t>
      </w:r>
      <w:r>
        <w:rPr>
          <w:rFonts w:hint="eastAsia" w:ascii="仿宋_GB2312" w:eastAsia="仿宋_GB2312"/>
          <w:sz w:val="28"/>
          <w:szCs w:val="28"/>
          <w:highlight w:val="none"/>
        </w:rPr>
        <w:t>元，增长</w:t>
      </w:r>
      <w:r>
        <w:rPr>
          <w:rFonts w:hint="eastAsia" w:ascii="仿宋_GB2312" w:eastAsia="仿宋_GB2312"/>
          <w:sz w:val="28"/>
          <w:szCs w:val="28"/>
          <w:highlight w:val="none"/>
          <w:lang w:val="en-US" w:eastAsia="zh-CN"/>
        </w:rPr>
        <w:t>1.0</w:t>
      </w:r>
      <w:r>
        <w:rPr>
          <w:rFonts w:hint="eastAsia" w:ascii="仿宋_GB2312" w:eastAsia="仿宋_GB2312"/>
          <w:sz w:val="28"/>
          <w:szCs w:val="28"/>
          <w:highlight w:val="none"/>
        </w:rPr>
        <w:t>%。其中：基本支出</w:t>
      </w:r>
      <w:r>
        <w:rPr>
          <w:rFonts w:ascii="仿宋_GB2312" w:eastAsia="仿宋_GB2312"/>
          <w:sz w:val="28"/>
          <w:szCs w:val="28"/>
          <w:highlight w:val="none"/>
        </w:rPr>
        <w:t>4</w:t>
      </w:r>
      <w:r>
        <w:rPr>
          <w:rFonts w:hint="eastAsia" w:ascii="仿宋_GB2312" w:eastAsia="仿宋_GB2312"/>
          <w:sz w:val="28"/>
          <w:szCs w:val="28"/>
          <w:highlight w:val="none"/>
          <w:lang w:val="en-US" w:eastAsia="zh-CN"/>
        </w:rPr>
        <w:t>,</w:t>
      </w:r>
      <w:r>
        <w:rPr>
          <w:rFonts w:ascii="仿宋_GB2312" w:eastAsia="仿宋_GB2312"/>
          <w:sz w:val="28"/>
          <w:szCs w:val="28"/>
          <w:highlight w:val="none"/>
        </w:rPr>
        <w:t>380</w:t>
      </w:r>
      <w:r>
        <w:rPr>
          <w:rFonts w:hint="eastAsia" w:ascii="仿宋_GB2312" w:eastAsia="仿宋_GB2312"/>
          <w:sz w:val="28"/>
          <w:szCs w:val="28"/>
          <w:highlight w:val="none"/>
          <w:lang w:val="en-US" w:eastAsia="zh-CN"/>
        </w:rPr>
        <w:t>,</w:t>
      </w:r>
      <w:r>
        <w:rPr>
          <w:rFonts w:ascii="仿宋_GB2312" w:eastAsia="仿宋_GB2312"/>
          <w:sz w:val="28"/>
          <w:szCs w:val="28"/>
          <w:highlight w:val="none"/>
        </w:rPr>
        <w:t>221.9</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元，占支出合计的99.2%；项目支出</w:t>
      </w:r>
      <w:r>
        <w:rPr>
          <w:rFonts w:ascii="仿宋_GB2312" w:eastAsia="仿宋_GB2312"/>
          <w:sz w:val="28"/>
          <w:szCs w:val="28"/>
          <w:highlight w:val="none"/>
        </w:rPr>
        <w:t>35</w:t>
      </w:r>
      <w:r>
        <w:rPr>
          <w:rFonts w:hint="eastAsia" w:ascii="仿宋_GB2312" w:eastAsia="仿宋_GB2312"/>
          <w:sz w:val="28"/>
          <w:szCs w:val="28"/>
          <w:highlight w:val="none"/>
          <w:lang w:val="en-US" w:eastAsia="zh-CN"/>
        </w:rPr>
        <w:t>,</w:t>
      </w:r>
      <w:r>
        <w:rPr>
          <w:rFonts w:ascii="仿宋_GB2312" w:eastAsia="仿宋_GB2312"/>
          <w:sz w:val="28"/>
          <w:szCs w:val="28"/>
          <w:highlight w:val="none"/>
        </w:rPr>
        <w:t>233</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元，占支出合计的0.8%;上缴上级支出</w:t>
      </w:r>
      <w:r>
        <w:rPr>
          <w:rFonts w:ascii="仿宋_GB2312" w:eastAsia="仿宋_GB2312"/>
          <w:sz w:val="28"/>
          <w:szCs w:val="28"/>
          <w:highlight w:val="none"/>
        </w:rPr>
        <w:t>0</w:t>
      </w:r>
      <w:r>
        <w:rPr>
          <w:rFonts w:hint="eastAsia" w:ascii="仿宋_GB2312" w:eastAsia="仿宋_GB2312"/>
          <w:sz w:val="28"/>
          <w:szCs w:val="28"/>
          <w:highlight w:val="none"/>
        </w:rPr>
        <w:t>元，占支出合计的0%；经营支出</w:t>
      </w:r>
      <w:r>
        <w:rPr>
          <w:rFonts w:ascii="仿宋_GB2312" w:eastAsia="仿宋_GB2312"/>
          <w:sz w:val="28"/>
          <w:szCs w:val="28"/>
          <w:highlight w:val="none"/>
        </w:rPr>
        <w:t>0</w:t>
      </w:r>
      <w:r>
        <w:rPr>
          <w:rFonts w:hint="eastAsia" w:ascii="仿宋_GB2312" w:eastAsia="仿宋_GB2312"/>
          <w:sz w:val="28"/>
          <w:szCs w:val="28"/>
          <w:highlight w:val="none"/>
        </w:rPr>
        <w:t>元，占支出合计的0%；对附属单位补助支出</w:t>
      </w:r>
      <w:r>
        <w:rPr>
          <w:rFonts w:ascii="仿宋_GB2312" w:eastAsia="仿宋_GB2312"/>
          <w:sz w:val="28"/>
          <w:szCs w:val="28"/>
          <w:highlight w:val="none"/>
        </w:rPr>
        <w:t>0</w:t>
      </w:r>
      <w:r>
        <w:rPr>
          <w:rFonts w:hint="eastAsia" w:ascii="仿宋_GB2312" w:eastAsia="仿宋_GB2312"/>
          <w:sz w:val="28"/>
          <w:szCs w:val="28"/>
          <w:highlight w:val="none"/>
        </w:rPr>
        <w:t>元，占支出合计的0%。</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（此处插入图表，用上述支出金额制作饼状图，示例如下，无金额类型不必制图）</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color w:val="auto"/>
          <w:sz w:val="28"/>
          <w:szCs w:val="28"/>
          <w:highlight w:val="none"/>
        </w:rPr>
      </w:pPr>
      <w:r>
        <w:rPr>
          <w:rFonts w:hint="eastAsia" w:ascii="仿宋_GB2312" w:eastAsia="仿宋_GB2312"/>
          <w:sz w:val="28"/>
          <w:szCs w:val="28"/>
          <w:highlight w:val="none"/>
        </w:rPr>
        <w:t>2025年度财政拨款收、</w:t>
      </w:r>
      <w:r>
        <w:rPr>
          <w:rFonts w:ascii="仿宋_GB2312" w:eastAsia="仿宋_GB2312"/>
          <w:sz w:val="28"/>
          <w:szCs w:val="28"/>
          <w:highlight w:val="none"/>
        </w:rPr>
        <w:t>支</w:t>
      </w:r>
      <w:r>
        <w:rPr>
          <w:rFonts w:hint="eastAsia" w:ascii="仿宋_GB2312" w:eastAsia="仿宋_GB2312"/>
          <w:sz w:val="28"/>
          <w:szCs w:val="28"/>
          <w:highlight w:val="none"/>
        </w:rPr>
        <w:t>总计</w:t>
      </w:r>
      <w:r>
        <w:rPr>
          <w:rFonts w:ascii="仿宋_GB2312" w:eastAsia="仿宋_GB2312"/>
          <w:sz w:val="28"/>
          <w:szCs w:val="28"/>
          <w:highlight w:val="none"/>
        </w:rPr>
        <w:t>4</w:t>
      </w:r>
      <w:r>
        <w:rPr>
          <w:rFonts w:hint="eastAsia" w:ascii="仿宋_GB2312" w:eastAsia="仿宋_GB2312"/>
          <w:sz w:val="28"/>
          <w:szCs w:val="28"/>
          <w:highlight w:val="none"/>
          <w:lang w:val="en-US" w:eastAsia="zh-CN"/>
        </w:rPr>
        <w:t>,</w:t>
      </w:r>
      <w:r>
        <w:rPr>
          <w:rFonts w:ascii="仿宋_GB2312" w:eastAsia="仿宋_GB2312"/>
          <w:sz w:val="28"/>
          <w:szCs w:val="28"/>
          <w:highlight w:val="none"/>
        </w:rPr>
        <w:t>415</w:t>
      </w:r>
      <w:r>
        <w:rPr>
          <w:rFonts w:hint="eastAsia" w:ascii="仿宋_GB2312" w:eastAsia="仿宋_GB2312"/>
          <w:sz w:val="28"/>
          <w:szCs w:val="28"/>
          <w:highlight w:val="none"/>
          <w:lang w:val="en-US" w:eastAsia="zh-CN"/>
        </w:rPr>
        <w:t>,</w:t>
      </w:r>
      <w:r>
        <w:rPr>
          <w:rFonts w:ascii="仿宋_GB2312" w:eastAsia="仿宋_GB2312"/>
          <w:sz w:val="28"/>
          <w:szCs w:val="28"/>
          <w:highlight w:val="none"/>
        </w:rPr>
        <w:t>454.9</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w:t>
      </w:r>
      <w:r>
        <w:rPr>
          <w:rFonts w:ascii="仿宋_GB2312" w:eastAsia="仿宋_GB2312"/>
          <w:sz w:val="28"/>
          <w:szCs w:val="28"/>
          <w:highlight w:val="none"/>
        </w:rPr>
        <w:t>比上年增加</w:t>
      </w:r>
      <w:r>
        <w:rPr>
          <w:rFonts w:hint="eastAsia" w:ascii="仿宋_GB2312" w:eastAsia="仿宋_GB2312"/>
          <w:sz w:val="28"/>
          <w:szCs w:val="28"/>
          <w:highlight w:val="none"/>
          <w:lang w:val="en-US" w:eastAsia="zh-CN"/>
        </w:rPr>
        <w:t>43,949.84</w:t>
      </w:r>
      <w:r>
        <w:rPr>
          <w:rFonts w:hint="eastAsia" w:ascii="仿宋_GB2312" w:eastAsia="仿宋_GB2312"/>
          <w:sz w:val="28"/>
          <w:szCs w:val="28"/>
          <w:highlight w:val="none"/>
        </w:rPr>
        <w:t>元，增长</w:t>
      </w:r>
      <w:r>
        <w:rPr>
          <w:rFonts w:hint="eastAsia" w:ascii="仿宋_GB2312" w:eastAsia="仿宋_GB2312"/>
          <w:sz w:val="28"/>
          <w:szCs w:val="28"/>
          <w:highlight w:val="none"/>
          <w:lang w:val="en-US" w:eastAsia="zh-CN"/>
        </w:rPr>
        <w:t>1.0</w:t>
      </w:r>
      <w:r>
        <w:rPr>
          <w:rFonts w:hint="eastAsia" w:ascii="仿宋_GB2312" w:eastAsia="仿宋_GB2312"/>
          <w:sz w:val="28"/>
          <w:szCs w:val="28"/>
          <w:highlight w:val="none"/>
        </w:rPr>
        <w:t>%。</w:t>
      </w:r>
      <w:r>
        <w:rPr>
          <w:rFonts w:hint="eastAsia" w:ascii="仿宋_GB2312" w:eastAsia="仿宋_GB2312"/>
          <w:color w:val="auto"/>
          <w:sz w:val="28"/>
          <w:szCs w:val="28"/>
          <w:highlight w:val="none"/>
        </w:rPr>
        <w:t>主要原因：</w:t>
      </w:r>
      <w:r>
        <w:rPr>
          <w:rFonts w:hint="eastAsia" w:ascii="仿宋_GB2312" w:eastAsia="仿宋_GB2312"/>
          <w:color w:val="auto"/>
          <w:sz w:val="28"/>
          <w:szCs w:val="28"/>
          <w:highlight w:val="none"/>
          <w:lang w:eastAsia="zh-CN"/>
        </w:rPr>
        <w:t>人员工资保险增长</w:t>
      </w:r>
      <w:r>
        <w:rPr>
          <w:rFonts w:hint="eastAsia" w:ascii="仿宋_GB2312" w:eastAsia="仿宋_GB2312"/>
          <w:color w:val="auto"/>
          <w:sz w:val="28"/>
          <w:szCs w:val="28"/>
          <w:highlight w:val="none"/>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2025年度一般公共预算财政拨款支出4</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415</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454.9</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元，主要用于以下方面（按大类）：一般公共服务支出4,311,019.70元，占本年财政拨款支出</w:t>
      </w:r>
      <w:r>
        <w:rPr>
          <w:rFonts w:hint="eastAsia" w:ascii="仿宋_GB2312" w:eastAsia="仿宋_GB2312"/>
          <w:sz w:val="28"/>
          <w:szCs w:val="28"/>
          <w:highlight w:val="none"/>
          <w:lang w:val="en-US" w:eastAsia="zh-CN"/>
        </w:rPr>
        <w:t>97.6</w:t>
      </w:r>
      <w:r>
        <w:rPr>
          <w:rFonts w:hint="eastAsia" w:ascii="仿宋_GB2312" w:eastAsia="仿宋_GB2312"/>
          <w:sz w:val="28"/>
          <w:szCs w:val="28"/>
          <w:highlight w:val="none"/>
        </w:rPr>
        <w:t>%；社会保障和就业支出104,435.20</w:t>
      </w:r>
      <w:r>
        <w:rPr>
          <w:rFonts w:hint="eastAsia" w:ascii="仿宋_GB2312" w:eastAsia="仿宋_GB2312"/>
          <w:sz w:val="28"/>
          <w:szCs w:val="28"/>
          <w:highlight w:val="none"/>
          <w:lang w:eastAsia="zh-CN"/>
        </w:rPr>
        <w:t>元，占</w:t>
      </w:r>
      <w:r>
        <w:rPr>
          <w:rFonts w:hint="eastAsia" w:ascii="仿宋_GB2312" w:eastAsia="仿宋_GB2312"/>
          <w:sz w:val="28"/>
          <w:szCs w:val="28"/>
          <w:highlight w:val="none"/>
        </w:rPr>
        <w:t>本年财政拨款支出</w:t>
      </w:r>
      <w:r>
        <w:rPr>
          <w:rFonts w:hint="eastAsia" w:ascii="仿宋_GB2312" w:eastAsia="仿宋_GB2312"/>
          <w:sz w:val="28"/>
          <w:szCs w:val="28"/>
          <w:highlight w:val="none"/>
          <w:lang w:val="en-US" w:eastAsia="zh-CN"/>
        </w:rPr>
        <w:t>2.4%</w:t>
      </w:r>
      <w:r>
        <w:rPr>
          <w:rFonts w:hint="eastAsia" w:ascii="仿宋_GB2312" w:eastAsia="仿宋_GB2312"/>
          <w:sz w:val="28"/>
          <w:szCs w:val="28"/>
          <w:highlight w:val="none"/>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1、“一般公共服务支出”（类）2025年度年初预算4,311,019.70元，2025年度决算4,311,019.70元，完成年初预算的</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w:t>
      </w:r>
    </w:p>
    <w:p>
      <w:pPr>
        <w:autoSpaceDE w:val="0"/>
        <w:autoSpaceDN w:val="0"/>
        <w:adjustRightInd w:val="0"/>
        <w:spacing w:line="580" w:lineRule="exact"/>
        <w:jc w:val="left"/>
        <w:rPr>
          <w:rFonts w:ascii="仿宋_GB2312" w:eastAsia="仿宋_GB2312"/>
          <w:sz w:val="28"/>
          <w:szCs w:val="28"/>
          <w:highlight w:val="none"/>
        </w:rPr>
      </w:pPr>
      <w:r>
        <w:rPr>
          <w:rFonts w:hint="eastAsia" w:ascii="仿宋_GB2312" w:eastAsia="仿宋_GB2312"/>
          <w:sz w:val="28"/>
          <w:szCs w:val="28"/>
          <w:highlight w:val="none"/>
        </w:rPr>
        <w:t>其中：</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行政运行</w:t>
      </w:r>
      <w:r>
        <w:rPr>
          <w:rFonts w:hint="eastAsia" w:ascii="仿宋_GB2312" w:eastAsia="仿宋_GB2312"/>
          <w:sz w:val="28"/>
          <w:szCs w:val="28"/>
          <w:highlight w:val="none"/>
        </w:rPr>
        <w:t>”（款，下同）2025年度年初预算2,585,308.55元，2025年度决算2,585,308.55元，完成年初预算的</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w:t>
      </w:r>
      <w:r>
        <w:rPr>
          <w:rFonts w:hint="eastAsia" w:ascii="仿宋_GB2312" w:eastAsia="仿宋_GB2312"/>
          <w:sz w:val="28"/>
          <w:szCs w:val="28"/>
          <w:highlight w:val="none"/>
          <w:lang w:eastAsia="zh-CN"/>
        </w:rPr>
        <w:t>事业运行</w:t>
      </w:r>
      <w:r>
        <w:rPr>
          <w:rFonts w:hint="eastAsia" w:ascii="仿宋_GB2312" w:eastAsia="仿宋_GB2312"/>
          <w:sz w:val="28"/>
          <w:szCs w:val="28"/>
          <w:highlight w:val="none"/>
        </w:rPr>
        <w:t>”（款）2025年度年初预算1,690,478.15元，2025年度决算1,690,478.15元，完成年初预算的</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w:t>
      </w:r>
    </w:p>
    <w:p>
      <w:pPr>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“一般行政管理事务”（款）2025年度年初预算35,233.00元，2025年度决算35,233.00元，完成年初预算的</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lang w:eastAsia="zh-CN"/>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spacing w:line="580" w:lineRule="exact"/>
        <w:ind w:firstLine="560" w:firstLineChars="200"/>
        <w:rPr>
          <w:rFonts w:hint="eastAsia"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2025年度本单位无政府性基金预算。</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highlight w:val="yellow"/>
        </w:rPr>
      </w:pPr>
      <w:r>
        <w:rPr>
          <w:rFonts w:hint="eastAsia" w:ascii="仿宋_GB2312" w:eastAsia="仿宋_GB2312"/>
          <w:sz w:val="28"/>
          <w:szCs w:val="28"/>
          <w:highlight w:val="none"/>
        </w:rPr>
        <w:t>2025年度国有资本经营预算财政</w:t>
      </w:r>
      <w:r>
        <w:rPr>
          <w:rFonts w:ascii="仿宋_GB2312" w:eastAsia="仿宋_GB2312"/>
          <w:sz w:val="28"/>
          <w:szCs w:val="28"/>
          <w:highlight w:val="none"/>
        </w:rPr>
        <w:t>拨款</w:t>
      </w:r>
      <w:r>
        <w:rPr>
          <w:rFonts w:hint="eastAsia" w:ascii="仿宋_GB2312" w:eastAsia="仿宋_GB2312"/>
          <w:sz w:val="28"/>
          <w:szCs w:val="28"/>
          <w:highlight w:val="none"/>
        </w:rPr>
        <w:t>收入总</w:t>
      </w:r>
      <w:r>
        <w:rPr>
          <w:rFonts w:ascii="仿宋_GB2312" w:eastAsia="仿宋_GB2312"/>
          <w:sz w:val="28"/>
          <w:szCs w:val="28"/>
          <w:highlight w:val="none"/>
        </w:rPr>
        <w:t>计0</w:t>
      </w:r>
      <w:r>
        <w:rPr>
          <w:rFonts w:hint="eastAsia" w:ascii="仿宋_GB2312" w:eastAsia="仿宋_GB2312"/>
          <w:sz w:val="28"/>
          <w:szCs w:val="28"/>
          <w:highlight w:val="none"/>
        </w:rPr>
        <w:t>元，国有资本经营预算财政</w:t>
      </w:r>
      <w:r>
        <w:rPr>
          <w:rFonts w:ascii="仿宋_GB2312" w:eastAsia="仿宋_GB2312"/>
          <w:sz w:val="28"/>
          <w:szCs w:val="28"/>
          <w:highlight w:val="none"/>
        </w:rPr>
        <w:t>拨款</w:t>
      </w:r>
      <w:r>
        <w:rPr>
          <w:rFonts w:hint="eastAsia" w:ascii="仿宋_GB2312" w:eastAsia="仿宋_GB2312"/>
          <w:sz w:val="28"/>
          <w:szCs w:val="28"/>
          <w:highlight w:val="none"/>
        </w:rPr>
        <w:t>支出总</w:t>
      </w:r>
      <w:r>
        <w:rPr>
          <w:rFonts w:ascii="仿宋_GB2312" w:eastAsia="仿宋_GB2312"/>
          <w:sz w:val="28"/>
          <w:szCs w:val="28"/>
          <w:highlight w:val="none"/>
        </w:rPr>
        <w:t>计0</w:t>
      </w:r>
      <w:r>
        <w:rPr>
          <w:rFonts w:hint="eastAsia" w:ascii="仿宋_GB2312" w:eastAsia="仿宋_GB2312"/>
          <w:sz w:val="28"/>
          <w:szCs w:val="28"/>
          <w:highlight w:val="none"/>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380</w:t>
      </w:r>
      <w:r>
        <w:rPr>
          <w:rFonts w:hint="eastAsia" w:ascii="仿宋_GB2312" w:eastAsia="仿宋_GB2312"/>
          <w:sz w:val="28"/>
          <w:szCs w:val="28"/>
          <w:lang w:val="en-US" w:eastAsia="zh-CN"/>
        </w:rPr>
        <w:t>,</w:t>
      </w:r>
      <w:r>
        <w:rPr>
          <w:rFonts w:ascii="仿宋_GB2312" w:eastAsia="仿宋_GB2312"/>
          <w:sz w:val="28"/>
          <w:szCs w:val="28"/>
        </w:rPr>
        <w:t>221.9</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2025年度“三公”经费财政拨款决算数</w:t>
      </w:r>
      <w:r>
        <w:rPr>
          <w:rFonts w:ascii="仿宋_GB2312" w:eastAsia="仿宋_GB2312"/>
          <w:sz w:val="28"/>
          <w:szCs w:val="28"/>
          <w:highlight w:val="none"/>
        </w:rPr>
        <w:t>0</w:t>
      </w:r>
      <w:r>
        <w:rPr>
          <w:rFonts w:hint="eastAsia" w:ascii="仿宋_GB2312" w:eastAsia="仿宋_GB2312"/>
          <w:sz w:val="28"/>
          <w:szCs w:val="28"/>
          <w:highlight w:val="none"/>
        </w:rPr>
        <w:t>元，比2025年度“三公”经费财政拨款年初预算</w:t>
      </w:r>
      <w:r>
        <w:rPr>
          <w:rFonts w:ascii="仿宋_GB2312" w:eastAsia="仿宋_GB2312"/>
          <w:sz w:val="28"/>
          <w:szCs w:val="28"/>
          <w:highlight w:val="none"/>
        </w:rPr>
        <w:t>23</w:t>
      </w:r>
      <w:r>
        <w:rPr>
          <w:rFonts w:hint="eastAsia" w:ascii="仿宋_GB2312" w:eastAsia="仿宋_GB2312"/>
          <w:sz w:val="28"/>
          <w:szCs w:val="28"/>
          <w:highlight w:val="none"/>
          <w:lang w:val="en-US" w:eastAsia="zh-CN"/>
        </w:rPr>
        <w:t>,</w:t>
      </w:r>
      <w:r>
        <w:rPr>
          <w:rFonts w:ascii="仿宋_GB2312" w:eastAsia="仿宋_GB2312"/>
          <w:sz w:val="28"/>
          <w:szCs w:val="28"/>
          <w:highlight w:val="none"/>
        </w:rPr>
        <w:t>400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元减少</w:t>
      </w:r>
      <w:r>
        <w:rPr>
          <w:rFonts w:ascii="仿宋_GB2312" w:eastAsia="仿宋_GB2312"/>
          <w:sz w:val="28"/>
          <w:szCs w:val="28"/>
          <w:highlight w:val="none"/>
        </w:rPr>
        <w:t>23</w:t>
      </w:r>
      <w:r>
        <w:rPr>
          <w:rFonts w:hint="eastAsia" w:ascii="仿宋_GB2312" w:eastAsia="仿宋_GB2312"/>
          <w:sz w:val="28"/>
          <w:szCs w:val="28"/>
          <w:highlight w:val="none"/>
          <w:lang w:val="en-US" w:eastAsia="zh-CN"/>
        </w:rPr>
        <w:t>,</w:t>
      </w:r>
      <w:r>
        <w:rPr>
          <w:rFonts w:ascii="仿宋_GB2312" w:eastAsia="仿宋_GB2312"/>
          <w:sz w:val="28"/>
          <w:szCs w:val="28"/>
          <w:highlight w:val="none"/>
        </w:rPr>
        <w:t>400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元。其中：</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1.因公出国（境）费用。2025年度决算数</w:t>
      </w:r>
      <w:r>
        <w:rPr>
          <w:rFonts w:ascii="仿宋_GB2312" w:eastAsia="仿宋_GB2312"/>
          <w:sz w:val="28"/>
          <w:szCs w:val="28"/>
          <w:highlight w:val="none"/>
        </w:rPr>
        <w:t>0</w:t>
      </w:r>
      <w:r>
        <w:rPr>
          <w:rFonts w:hint="eastAsia" w:ascii="仿宋_GB2312" w:eastAsia="仿宋_GB2312"/>
          <w:sz w:val="28"/>
          <w:szCs w:val="28"/>
          <w:highlight w:val="none"/>
        </w:rPr>
        <w:t>元，比2025年度年初预算数</w:t>
      </w:r>
      <w:r>
        <w:rPr>
          <w:rFonts w:ascii="仿宋_GB2312" w:eastAsia="仿宋_GB2312"/>
          <w:sz w:val="28"/>
          <w:szCs w:val="28"/>
          <w:highlight w:val="none"/>
        </w:rPr>
        <w:t>0</w:t>
      </w:r>
      <w:r>
        <w:rPr>
          <w:rFonts w:hint="eastAsia" w:ascii="仿宋_GB2312" w:eastAsia="仿宋_GB2312"/>
          <w:sz w:val="28"/>
          <w:szCs w:val="28"/>
          <w:highlight w:val="none"/>
        </w:rPr>
        <w:t>元增加（减少）</w:t>
      </w:r>
      <w:r>
        <w:rPr>
          <w:rFonts w:ascii="仿宋_GB2312" w:eastAsia="仿宋_GB2312"/>
          <w:sz w:val="28"/>
          <w:szCs w:val="28"/>
          <w:highlight w:val="none"/>
        </w:rPr>
        <w:t>0</w:t>
      </w:r>
      <w:r>
        <w:rPr>
          <w:rFonts w:hint="eastAsia" w:ascii="仿宋_GB2312" w:eastAsia="仿宋_GB2312"/>
          <w:sz w:val="28"/>
          <w:szCs w:val="28"/>
          <w:highlight w:val="none"/>
        </w:rPr>
        <w:t>元。主要原因：</w:t>
      </w:r>
      <w:r>
        <w:rPr>
          <w:rFonts w:hint="eastAsia" w:ascii="仿宋_GB2312" w:eastAsia="仿宋_GB2312"/>
          <w:sz w:val="28"/>
          <w:szCs w:val="28"/>
          <w:highlight w:val="none"/>
          <w:lang w:eastAsia="zh-CN"/>
        </w:rPr>
        <w:t>我单位没有</w:t>
      </w:r>
      <w:r>
        <w:rPr>
          <w:rFonts w:hint="eastAsia" w:ascii="仿宋_GB2312" w:eastAsia="仿宋_GB2312"/>
          <w:sz w:val="28"/>
          <w:szCs w:val="28"/>
          <w:highlight w:val="none"/>
        </w:rPr>
        <w:t>因公出国（境）费用</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2025年度组织因公出国（境）团组0个、0人次。</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2.公务接待费。2025年度决算数</w:t>
      </w:r>
      <w:r>
        <w:rPr>
          <w:rFonts w:ascii="仿宋_GB2312" w:eastAsia="仿宋_GB2312"/>
          <w:sz w:val="28"/>
          <w:szCs w:val="28"/>
          <w:highlight w:val="none"/>
        </w:rPr>
        <w:t>0</w:t>
      </w:r>
      <w:r>
        <w:rPr>
          <w:rFonts w:hint="eastAsia" w:ascii="仿宋_GB2312" w:eastAsia="仿宋_GB2312"/>
          <w:sz w:val="28"/>
          <w:szCs w:val="28"/>
          <w:highlight w:val="none"/>
        </w:rPr>
        <w:t>元，比2025年度年初预算数</w:t>
      </w:r>
      <w:r>
        <w:rPr>
          <w:rFonts w:ascii="仿宋_GB2312" w:eastAsia="仿宋_GB2312"/>
          <w:sz w:val="28"/>
          <w:szCs w:val="28"/>
          <w:highlight w:val="none"/>
        </w:rPr>
        <w:t>5</w:t>
      </w:r>
      <w:r>
        <w:rPr>
          <w:rFonts w:hint="eastAsia" w:ascii="仿宋_GB2312" w:eastAsia="仿宋_GB2312"/>
          <w:sz w:val="28"/>
          <w:szCs w:val="28"/>
          <w:highlight w:val="none"/>
          <w:lang w:val="en-US" w:eastAsia="zh-CN"/>
        </w:rPr>
        <w:t>,</w:t>
      </w:r>
      <w:r>
        <w:rPr>
          <w:rFonts w:ascii="仿宋_GB2312" w:eastAsia="仿宋_GB2312"/>
          <w:sz w:val="28"/>
          <w:szCs w:val="28"/>
          <w:highlight w:val="none"/>
        </w:rPr>
        <w:t>400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元减少</w:t>
      </w:r>
      <w:r>
        <w:rPr>
          <w:rFonts w:ascii="仿宋_GB2312" w:eastAsia="仿宋_GB2312"/>
          <w:sz w:val="28"/>
          <w:szCs w:val="28"/>
          <w:highlight w:val="none"/>
        </w:rPr>
        <w:t>5</w:t>
      </w:r>
      <w:r>
        <w:rPr>
          <w:rFonts w:hint="eastAsia" w:ascii="仿宋_GB2312" w:eastAsia="仿宋_GB2312"/>
          <w:sz w:val="28"/>
          <w:szCs w:val="28"/>
          <w:highlight w:val="none"/>
          <w:lang w:val="en-US" w:eastAsia="zh-CN"/>
        </w:rPr>
        <w:t>,</w:t>
      </w:r>
      <w:r>
        <w:rPr>
          <w:rFonts w:ascii="仿宋_GB2312" w:eastAsia="仿宋_GB2312"/>
          <w:sz w:val="28"/>
          <w:szCs w:val="28"/>
          <w:highlight w:val="none"/>
        </w:rPr>
        <w:t>400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元。主要原因：</w:t>
      </w:r>
      <w:r>
        <w:rPr>
          <w:rFonts w:hint="eastAsia" w:ascii="仿宋_GB2312" w:eastAsia="仿宋_GB2312"/>
          <w:sz w:val="28"/>
          <w:szCs w:val="28"/>
          <w:highlight w:val="none"/>
          <w:lang w:eastAsia="zh-CN"/>
        </w:rPr>
        <w:t>我单位</w:t>
      </w:r>
      <w:r>
        <w:rPr>
          <w:rFonts w:hint="eastAsia" w:ascii="仿宋_GB2312" w:eastAsia="仿宋_GB2312"/>
          <w:sz w:val="28"/>
          <w:szCs w:val="28"/>
          <w:highlight w:val="none"/>
          <w:lang w:val="en-US" w:eastAsia="zh-CN"/>
        </w:rPr>
        <w:t>2025年没有公务接待</w:t>
      </w:r>
      <w:r>
        <w:rPr>
          <w:rFonts w:hint="eastAsia" w:ascii="仿宋_GB2312" w:eastAsia="仿宋_GB2312"/>
          <w:sz w:val="28"/>
          <w:szCs w:val="28"/>
          <w:highlight w:val="none"/>
        </w:rPr>
        <w:t>。公务接待0批次，公务接待0人次。</w:t>
      </w:r>
    </w:p>
    <w:p>
      <w:pPr>
        <w:spacing w:line="56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3.公务用车购置及运行维护费。2025年度决算数</w:t>
      </w:r>
      <w:r>
        <w:rPr>
          <w:rFonts w:ascii="仿宋_GB2312" w:eastAsia="仿宋_GB2312"/>
          <w:sz w:val="28"/>
          <w:szCs w:val="28"/>
          <w:highlight w:val="none"/>
        </w:rPr>
        <w:t>0</w:t>
      </w:r>
      <w:r>
        <w:rPr>
          <w:rFonts w:hint="eastAsia" w:ascii="仿宋_GB2312" w:eastAsia="仿宋_GB2312"/>
          <w:sz w:val="28"/>
          <w:szCs w:val="28"/>
          <w:highlight w:val="none"/>
        </w:rPr>
        <w:t>元，比2025年度年初预算数</w:t>
      </w:r>
      <w:r>
        <w:rPr>
          <w:rFonts w:ascii="仿宋_GB2312" w:eastAsia="仿宋_GB2312"/>
          <w:sz w:val="28"/>
          <w:szCs w:val="28"/>
          <w:highlight w:val="none"/>
        </w:rPr>
        <w:t>18</w:t>
      </w:r>
      <w:r>
        <w:rPr>
          <w:rFonts w:hint="eastAsia" w:ascii="仿宋_GB2312" w:eastAsia="仿宋_GB2312"/>
          <w:sz w:val="28"/>
          <w:szCs w:val="28"/>
          <w:highlight w:val="none"/>
          <w:lang w:val="en-US" w:eastAsia="zh-CN"/>
        </w:rPr>
        <w:t>,</w:t>
      </w:r>
      <w:r>
        <w:rPr>
          <w:rFonts w:ascii="仿宋_GB2312" w:eastAsia="仿宋_GB2312"/>
          <w:sz w:val="28"/>
          <w:szCs w:val="28"/>
          <w:highlight w:val="none"/>
        </w:rPr>
        <w:t>000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元减少</w:t>
      </w:r>
      <w:r>
        <w:rPr>
          <w:rFonts w:ascii="仿宋_GB2312" w:eastAsia="仿宋_GB2312"/>
          <w:sz w:val="28"/>
          <w:szCs w:val="28"/>
          <w:highlight w:val="none"/>
        </w:rPr>
        <w:t>18</w:t>
      </w:r>
      <w:r>
        <w:rPr>
          <w:rFonts w:hint="eastAsia" w:ascii="仿宋_GB2312" w:eastAsia="仿宋_GB2312"/>
          <w:sz w:val="28"/>
          <w:szCs w:val="28"/>
          <w:highlight w:val="none"/>
          <w:lang w:val="en-US" w:eastAsia="zh-CN"/>
        </w:rPr>
        <w:t>,</w:t>
      </w:r>
      <w:r>
        <w:rPr>
          <w:rFonts w:ascii="仿宋_GB2312" w:eastAsia="仿宋_GB2312"/>
          <w:sz w:val="28"/>
          <w:szCs w:val="28"/>
          <w:highlight w:val="none"/>
        </w:rPr>
        <w:t>000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元。其中，公务用车购置费2025年度决算数0元，主要原因：</w:t>
      </w:r>
      <w:r>
        <w:rPr>
          <w:rFonts w:hint="eastAsia" w:ascii="仿宋_GB2312" w:eastAsia="仿宋_GB2312"/>
          <w:sz w:val="28"/>
          <w:szCs w:val="28"/>
          <w:highlight w:val="none"/>
          <w:lang w:eastAsia="zh-CN"/>
        </w:rPr>
        <w:t>我单位</w:t>
      </w:r>
      <w:r>
        <w:rPr>
          <w:rFonts w:hint="eastAsia" w:ascii="仿宋_GB2312" w:eastAsia="仿宋_GB2312"/>
          <w:sz w:val="28"/>
          <w:szCs w:val="28"/>
          <w:highlight w:val="none"/>
          <w:lang w:val="en-US" w:eastAsia="zh-CN"/>
        </w:rPr>
        <w:t>2025年没有公务用车购置费</w:t>
      </w:r>
      <w:r>
        <w:rPr>
          <w:rFonts w:hint="eastAsia" w:ascii="仿宋_GB2312" w:eastAsia="仿宋_GB2312"/>
          <w:sz w:val="28"/>
          <w:szCs w:val="28"/>
          <w:highlight w:val="none"/>
        </w:rPr>
        <w:t>，2025年度购置（更新）0辆。公务用车运行维护费2025年度决算数0元，主要原因：</w:t>
      </w:r>
      <w:r>
        <w:rPr>
          <w:rFonts w:hint="eastAsia" w:ascii="仿宋_GB2312" w:eastAsia="仿宋_GB2312"/>
          <w:sz w:val="28"/>
          <w:szCs w:val="28"/>
          <w:highlight w:val="none"/>
          <w:lang w:eastAsia="zh-CN"/>
        </w:rPr>
        <w:t>单位公车已于</w:t>
      </w:r>
      <w:r>
        <w:rPr>
          <w:rFonts w:hint="eastAsia" w:ascii="仿宋_GB2312" w:eastAsia="仿宋_GB2312"/>
          <w:sz w:val="28"/>
          <w:szCs w:val="28"/>
          <w:highlight w:val="none"/>
          <w:lang w:val="en-US" w:eastAsia="zh-CN"/>
        </w:rPr>
        <w:t>2025年报废</w:t>
      </w:r>
      <w:r>
        <w:rPr>
          <w:rFonts w:hint="eastAsia" w:ascii="仿宋_GB2312" w:eastAsia="仿宋_GB2312"/>
          <w:sz w:val="28"/>
          <w:szCs w:val="28"/>
          <w:highlight w:val="none"/>
        </w:rPr>
        <w:t>。2025年度公务用车保有量</w:t>
      </w:r>
      <w:r>
        <w:rPr>
          <w:rFonts w:ascii="仿宋_GB2312" w:eastAsia="仿宋_GB2312"/>
          <w:sz w:val="28"/>
          <w:szCs w:val="28"/>
          <w:highlight w:val="none"/>
        </w:rPr>
        <w:t>0</w:t>
      </w:r>
      <w:r>
        <w:rPr>
          <w:rFonts w:hint="eastAsia" w:ascii="仿宋_GB2312" w:eastAsia="仿宋_GB2312"/>
          <w:sz w:val="28"/>
          <w:szCs w:val="28"/>
          <w:highlight w:val="none"/>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2025年度机关运行经费支出合计197</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353.47元，比上年增加</w:t>
      </w:r>
      <w:r>
        <w:rPr>
          <w:rFonts w:hint="eastAsia" w:ascii="仿宋_GB2312" w:eastAsia="仿宋_GB2312"/>
          <w:sz w:val="28"/>
          <w:szCs w:val="28"/>
          <w:highlight w:val="none"/>
          <w:lang w:val="en-US" w:eastAsia="zh-CN"/>
        </w:rPr>
        <w:t>715.93</w:t>
      </w:r>
      <w:r>
        <w:rPr>
          <w:rFonts w:hint="eastAsia" w:ascii="仿宋_GB2312" w:eastAsia="仿宋_GB2312"/>
          <w:sz w:val="28"/>
          <w:szCs w:val="28"/>
          <w:highlight w:val="none"/>
        </w:rPr>
        <w:t>元，增加原因：</w:t>
      </w:r>
      <w:r>
        <w:rPr>
          <w:rFonts w:hint="eastAsia" w:ascii="仿宋_GB2312" w:eastAsia="仿宋_GB2312"/>
          <w:sz w:val="28"/>
          <w:szCs w:val="28"/>
          <w:highlight w:val="none"/>
          <w:lang w:eastAsia="zh-CN"/>
        </w:rPr>
        <w:t>单位日常运营需要</w:t>
      </w:r>
      <w:r>
        <w:rPr>
          <w:rFonts w:hint="eastAsia" w:ascii="仿宋_GB2312" w:eastAsia="仿宋_GB2312"/>
          <w:sz w:val="28"/>
          <w:szCs w:val="28"/>
          <w:highlight w:val="none"/>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2025年度政府采购支出总额</w:t>
      </w:r>
      <w:r>
        <w:rPr>
          <w:rFonts w:ascii="仿宋_GB2312" w:eastAsia="仿宋_GB2312"/>
          <w:sz w:val="28"/>
          <w:szCs w:val="28"/>
          <w:highlight w:val="none"/>
        </w:rPr>
        <w:t>41</w:t>
      </w:r>
      <w:r>
        <w:rPr>
          <w:rFonts w:hint="eastAsia" w:ascii="仿宋_GB2312" w:eastAsia="仿宋_GB2312"/>
          <w:sz w:val="28"/>
          <w:szCs w:val="28"/>
          <w:highlight w:val="none"/>
          <w:lang w:val="en-US" w:eastAsia="zh-CN"/>
        </w:rPr>
        <w:t>,</w:t>
      </w:r>
      <w:r>
        <w:rPr>
          <w:rFonts w:ascii="仿宋_GB2312" w:eastAsia="仿宋_GB2312"/>
          <w:sz w:val="28"/>
          <w:szCs w:val="28"/>
          <w:highlight w:val="none"/>
        </w:rPr>
        <w:t>261</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元，其中：政府采购货物支出</w:t>
      </w:r>
      <w:r>
        <w:rPr>
          <w:rFonts w:ascii="仿宋_GB2312" w:eastAsia="仿宋_GB2312"/>
          <w:sz w:val="28"/>
          <w:szCs w:val="28"/>
          <w:highlight w:val="none"/>
        </w:rPr>
        <w:t>7</w:t>
      </w:r>
      <w:r>
        <w:rPr>
          <w:rFonts w:hint="eastAsia" w:ascii="仿宋_GB2312" w:eastAsia="仿宋_GB2312"/>
          <w:sz w:val="28"/>
          <w:szCs w:val="28"/>
          <w:highlight w:val="none"/>
          <w:lang w:val="en-US" w:eastAsia="zh-CN"/>
        </w:rPr>
        <w:t>,</w:t>
      </w:r>
      <w:r>
        <w:rPr>
          <w:rFonts w:ascii="仿宋_GB2312" w:eastAsia="仿宋_GB2312"/>
          <w:sz w:val="28"/>
          <w:szCs w:val="28"/>
          <w:highlight w:val="none"/>
        </w:rPr>
        <w:t>511</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元，政府采购工程支出</w:t>
      </w:r>
      <w:r>
        <w:rPr>
          <w:rFonts w:ascii="仿宋_GB2312" w:eastAsia="仿宋_GB2312"/>
          <w:sz w:val="28"/>
          <w:szCs w:val="28"/>
          <w:highlight w:val="none"/>
        </w:rPr>
        <w:t>0</w:t>
      </w:r>
      <w:r>
        <w:rPr>
          <w:rFonts w:hint="eastAsia" w:ascii="仿宋_GB2312" w:eastAsia="仿宋_GB2312"/>
          <w:sz w:val="28"/>
          <w:szCs w:val="28"/>
          <w:highlight w:val="none"/>
        </w:rPr>
        <w:t>元，政府采购服务支出</w:t>
      </w:r>
      <w:r>
        <w:rPr>
          <w:rFonts w:ascii="仿宋_GB2312" w:eastAsia="仿宋_GB2312"/>
          <w:sz w:val="28"/>
          <w:szCs w:val="28"/>
          <w:highlight w:val="none"/>
        </w:rPr>
        <w:t>33</w:t>
      </w:r>
      <w:r>
        <w:rPr>
          <w:rFonts w:hint="eastAsia" w:ascii="仿宋_GB2312" w:eastAsia="仿宋_GB2312"/>
          <w:sz w:val="28"/>
          <w:szCs w:val="28"/>
          <w:highlight w:val="none"/>
          <w:lang w:val="en-US" w:eastAsia="zh-CN"/>
        </w:rPr>
        <w:t>,</w:t>
      </w:r>
      <w:r>
        <w:rPr>
          <w:rFonts w:ascii="仿宋_GB2312" w:eastAsia="仿宋_GB2312"/>
          <w:sz w:val="28"/>
          <w:szCs w:val="28"/>
          <w:highlight w:val="none"/>
        </w:rPr>
        <w:t>750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元。授予中小企业合同金额</w:t>
      </w:r>
      <w:r>
        <w:rPr>
          <w:rFonts w:ascii="仿宋_GB2312" w:eastAsia="仿宋_GB2312"/>
          <w:sz w:val="28"/>
          <w:szCs w:val="28"/>
          <w:highlight w:val="none"/>
        </w:rPr>
        <w:t>23</w:t>
      </w:r>
      <w:r>
        <w:rPr>
          <w:rFonts w:hint="eastAsia" w:ascii="仿宋_GB2312" w:eastAsia="仿宋_GB2312"/>
          <w:sz w:val="28"/>
          <w:szCs w:val="28"/>
          <w:highlight w:val="none"/>
          <w:lang w:val="en-US" w:eastAsia="zh-CN"/>
        </w:rPr>
        <w:t>,</w:t>
      </w:r>
      <w:r>
        <w:rPr>
          <w:rFonts w:ascii="仿宋_GB2312" w:eastAsia="仿宋_GB2312"/>
          <w:sz w:val="28"/>
          <w:szCs w:val="28"/>
          <w:highlight w:val="none"/>
        </w:rPr>
        <w:t>261</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元，占政府采购支出总额的56.</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%，其中：授予小微企业合同金额</w:t>
      </w:r>
      <w:r>
        <w:rPr>
          <w:rFonts w:ascii="仿宋_GB2312" w:eastAsia="仿宋_GB2312"/>
          <w:sz w:val="28"/>
          <w:szCs w:val="28"/>
          <w:highlight w:val="none"/>
        </w:rPr>
        <w:t>23</w:t>
      </w:r>
      <w:r>
        <w:rPr>
          <w:rFonts w:hint="eastAsia" w:ascii="仿宋_GB2312" w:eastAsia="仿宋_GB2312"/>
          <w:sz w:val="28"/>
          <w:szCs w:val="28"/>
          <w:highlight w:val="none"/>
          <w:lang w:val="en-US" w:eastAsia="zh-CN"/>
        </w:rPr>
        <w:t>,</w:t>
      </w:r>
      <w:r>
        <w:rPr>
          <w:rFonts w:ascii="仿宋_GB2312" w:eastAsia="仿宋_GB2312"/>
          <w:sz w:val="28"/>
          <w:szCs w:val="28"/>
          <w:highlight w:val="none"/>
        </w:rPr>
        <w:t>261</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元，占政府采购支出总额的</w:t>
      </w:r>
      <w:r>
        <w:rPr>
          <w:rFonts w:ascii="仿宋_GB2312" w:eastAsia="仿宋_GB2312"/>
          <w:sz w:val="28"/>
          <w:szCs w:val="28"/>
          <w:highlight w:val="none"/>
        </w:rPr>
        <w:t>56.</w:t>
      </w: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highlight w:val="none"/>
        </w:rPr>
      </w:pPr>
      <w:r>
        <w:rPr>
          <w:rFonts w:hint="eastAsia" w:ascii="仿宋_GB2312" w:eastAsia="仿宋_GB2312"/>
          <w:sz w:val="28"/>
          <w:szCs w:val="28"/>
          <w:highlight w:val="none"/>
        </w:rPr>
        <w:t>截至12月31日，北京市门头沟区工商业联合会共有车辆0台；单位价值100</w:t>
      </w:r>
      <w:r>
        <w:rPr>
          <w:rFonts w:hint="eastAsia" w:ascii="仿宋_GB2312" w:eastAsia="仿宋_GB2312"/>
          <w:sz w:val="28"/>
          <w:szCs w:val="28"/>
          <w:highlight w:val="none"/>
          <w:lang w:eastAsia="zh-CN"/>
        </w:rPr>
        <w:t>万</w:t>
      </w:r>
      <w:r>
        <w:rPr>
          <w:rFonts w:hint="eastAsia" w:ascii="仿宋_GB2312" w:eastAsia="仿宋_GB2312"/>
          <w:sz w:val="28"/>
          <w:szCs w:val="28"/>
          <w:highlight w:val="none"/>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keepNext w:val="0"/>
        <w:keepLines w:val="0"/>
        <w:pageBreakBefore w:val="0"/>
        <w:kinsoku/>
        <w:wordWrap/>
        <w:overflowPunct/>
        <w:topLinePunct w:val="0"/>
        <w:bidi w:val="0"/>
        <w:spacing w:line="560" w:lineRule="exact"/>
        <w:ind w:firstLine="420" w:firstLineChars="150"/>
        <w:rPr>
          <w:rFonts w:hint="eastAsia" w:ascii="仿宋_GB2312" w:eastAsia="仿宋_GB2312"/>
          <w:sz w:val="28"/>
          <w:szCs w:val="28"/>
          <w:highlight w:val="none"/>
        </w:rPr>
      </w:pPr>
      <w:r>
        <w:rPr>
          <w:rFonts w:hint="eastAsia" w:ascii="仿宋_GB2312" w:eastAsia="仿宋_GB2312"/>
          <w:sz w:val="28"/>
          <w:szCs w:val="28"/>
          <w:highlight w:val="none"/>
        </w:rPr>
        <w:t>6.</w:t>
      </w:r>
      <w:r>
        <w:rPr>
          <w:rFonts w:hint="eastAsia" w:ascii="仿宋_GB2312" w:eastAsia="仿宋_GB2312"/>
          <w:sz w:val="28"/>
          <w:szCs w:val="28"/>
          <w:highlight w:val="none"/>
          <w:lang w:eastAsia="zh-CN"/>
        </w:rPr>
        <w:t>区工商联非公党建项目：</w:t>
      </w:r>
      <w:r>
        <w:rPr>
          <w:rFonts w:hint="eastAsia" w:ascii="仿宋_GB2312" w:eastAsia="仿宋_GB2312"/>
          <w:sz w:val="28"/>
          <w:szCs w:val="28"/>
          <w:highlight w:val="none"/>
        </w:rPr>
        <w:t>发挥党和政府联系</w:t>
      </w:r>
      <w:r>
        <w:rPr>
          <w:rFonts w:hint="eastAsia" w:ascii="仿宋_GB2312" w:eastAsia="仿宋_GB2312"/>
          <w:sz w:val="28"/>
          <w:szCs w:val="28"/>
          <w:highlight w:val="none"/>
          <w:lang w:eastAsia="zh-CN"/>
        </w:rPr>
        <w:t>民营经济人士</w:t>
      </w:r>
      <w:r>
        <w:rPr>
          <w:rFonts w:hint="eastAsia" w:ascii="仿宋_GB2312" w:eastAsia="仿宋_GB2312"/>
          <w:sz w:val="28"/>
          <w:szCs w:val="28"/>
          <w:highlight w:val="none"/>
        </w:rPr>
        <w:t>的桥梁和纽带的作用，</w:t>
      </w:r>
      <w:r>
        <w:rPr>
          <w:rFonts w:hint="eastAsia" w:ascii="仿宋_GB2312" w:eastAsia="仿宋_GB2312"/>
          <w:sz w:val="28"/>
          <w:szCs w:val="28"/>
          <w:highlight w:val="none"/>
          <w:lang w:eastAsia="zh-CN"/>
        </w:rPr>
        <w:t>做好</w:t>
      </w:r>
      <w:r>
        <w:rPr>
          <w:rFonts w:hint="eastAsia" w:ascii="仿宋_GB2312" w:eastAsia="仿宋_GB2312"/>
          <w:sz w:val="28"/>
          <w:szCs w:val="28"/>
          <w:highlight w:val="none"/>
        </w:rPr>
        <w:t>政府管理和服务</w:t>
      </w:r>
      <w:r>
        <w:rPr>
          <w:rFonts w:hint="eastAsia" w:ascii="仿宋_GB2312" w:eastAsia="仿宋_GB2312"/>
          <w:sz w:val="28"/>
          <w:szCs w:val="28"/>
          <w:highlight w:val="none"/>
          <w:lang w:eastAsia="zh-CN"/>
        </w:rPr>
        <w:t>民营</w:t>
      </w:r>
      <w:r>
        <w:rPr>
          <w:rFonts w:hint="eastAsia" w:ascii="仿宋_GB2312" w:eastAsia="仿宋_GB2312"/>
          <w:sz w:val="28"/>
          <w:szCs w:val="28"/>
          <w:highlight w:val="none"/>
        </w:rPr>
        <w:t>经济的助手。加强</w:t>
      </w:r>
      <w:r>
        <w:rPr>
          <w:rFonts w:hint="eastAsia" w:ascii="仿宋_GB2312" w:eastAsia="仿宋_GB2312"/>
          <w:sz w:val="28"/>
          <w:szCs w:val="28"/>
          <w:highlight w:val="none"/>
          <w:lang w:eastAsia="zh-CN"/>
        </w:rPr>
        <w:t>民营经济人士</w:t>
      </w:r>
      <w:r>
        <w:rPr>
          <w:rFonts w:hint="eastAsia" w:ascii="仿宋_GB2312" w:eastAsia="仿宋_GB2312"/>
          <w:sz w:val="28"/>
          <w:szCs w:val="28"/>
          <w:highlight w:val="none"/>
        </w:rPr>
        <w:t>的思想政治工作，教育引导</w:t>
      </w:r>
      <w:r>
        <w:rPr>
          <w:rFonts w:hint="eastAsia" w:ascii="仿宋_GB2312" w:eastAsia="仿宋_GB2312"/>
          <w:sz w:val="28"/>
          <w:szCs w:val="28"/>
          <w:highlight w:val="none"/>
          <w:lang w:eastAsia="zh-CN"/>
        </w:rPr>
        <w:t>民营经济人士</w:t>
      </w:r>
      <w:r>
        <w:rPr>
          <w:rFonts w:hint="eastAsia" w:ascii="仿宋_GB2312" w:eastAsia="仿宋_GB2312"/>
          <w:sz w:val="28"/>
          <w:szCs w:val="28"/>
          <w:highlight w:val="none"/>
        </w:rPr>
        <w:t>健康成长。利用</w:t>
      </w:r>
      <w:r>
        <w:rPr>
          <w:rFonts w:hint="eastAsia" w:ascii="仿宋_GB2312" w:eastAsia="仿宋_GB2312"/>
          <w:sz w:val="28"/>
          <w:szCs w:val="28"/>
          <w:highlight w:val="none"/>
          <w:lang w:eastAsia="zh-CN"/>
        </w:rPr>
        <w:t>会议</w:t>
      </w:r>
      <w:r>
        <w:rPr>
          <w:rFonts w:hint="eastAsia" w:ascii="仿宋_GB2312" w:eastAsia="仿宋_GB2312"/>
          <w:sz w:val="28"/>
          <w:szCs w:val="28"/>
          <w:highlight w:val="none"/>
        </w:rPr>
        <w:t>、培训等多种形式，宣传党和国家关于发展</w:t>
      </w:r>
      <w:r>
        <w:rPr>
          <w:rFonts w:hint="eastAsia" w:ascii="仿宋_GB2312" w:eastAsia="仿宋_GB2312"/>
          <w:sz w:val="28"/>
          <w:szCs w:val="28"/>
          <w:highlight w:val="none"/>
          <w:lang w:eastAsia="zh-CN"/>
        </w:rPr>
        <w:t>民营</w:t>
      </w:r>
      <w:r>
        <w:rPr>
          <w:rFonts w:hint="eastAsia" w:ascii="仿宋_GB2312" w:eastAsia="仿宋_GB2312"/>
          <w:sz w:val="28"/>
          <w:szCs w:val="28"/>
          <w:highlight w:val="none"/>
        </w:rPr>
        <w:t>经济的方针政策；</w:t>
      </w:r>
      <w:r>
        <w:rPr>
          <w:rFonts w:hint="eastAsia" w:ascii="仿宋_GB2312" w:eastAsia="仿宋_GB2312"/>
          <w:sz w:val="28"/>
          <w:szCs w:val="28"/>
          <w:highlight w:val="none"/>
          <w:lang w:eastAsia="zh-CN"/>
        </w:rPr>
        <w:t>将党的声音传递到民营领域，坚定民营经济人士听跟走的信心和决心。</w:t>
      </w:r>
    </w:p>
    <w:p>
      <w:pPr>
        <w:ind w:firstLine="560" w:firstLineChars="200"/>
        <w:rPr>
          <w:rFonts w:ascii="仿宋_GB2312" w:eastAsia="仿宋_GB2312"/>
          <w:bCs/>
          <w:sz w:val="28"/>
          <w:szCs w:val="28"/>
          <w:highlight w:val="yellow"/>
        </w:rPr>
      </w:pP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lang w:val="en-US" w:eastAsia="zh-CN"/>
        </w:rPr>
      </w:pPr>
      <w:bookmarkStart w:id="0" w:name="_Toc268005755"/>
      <w:r>
        <w:rPr>
          <w:rFonts w:hint="eastAsia" w:ascii="仿宋_GB2312" w:eastAsia="仿宋_GB2312"/>
          <w:sz w:val="32"/>
          <w:szCs w:val="32"/>
          <w:lang w:val="en-US" w:eastAsia="zh-CN"/>
        </w:rPr>
        <w:t>1.部门职责情况</w:t>
      </w:r>
    </w:p>
    <w:p>
      <w:pPr>
        <w:keepNext w:val="0"/>
        <w:keepLines w:val="0"/>
        <w:pageBreakBefore w:val="0"/>
        <w:widowControl/>
        <w:kinsoku/>
        <w:wordWrap/>
        <w:overflowPunct/>
        <w:topLinePunct w:val="0"/>
        <w:autoSpaceDE/>
        <w:autoSpaceDN/>
        <w:bidi w:val="0"/>
        <w:spacing w:line="560" w:lineRule="exact"/>
        <w:ind w:firstLine="640" w:firstLineChars="200"/>
        <w:textAlignment w:val="auto"/>
        <w:outlineLvl w:val="9"/>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第一条</w:t>
      </w:r>
      <w:r>
        <w:rPr>
          <w:rFonts w:hint="default" w:ascii="仿宋_GB2312" w:hAnsi="宋体" w:eastAsia="仿宋_GB2312" w:cs="宋体"/>
          <w:kern w:val="0"/>
          <w:sz w:val="32"/>
          <w:szCs w:val="32"/>
          <w:lang w:val="en-US" w:eastAsia="zh-CN"/>
        </w:rPr>
        <w:t> </w:t>
      </w:r>
      <w:r>
        <w:rPr>
          <w:rFonts w:hint="eastAsia" w:ascii="仿宋_GB2312" w:hAnsi="宋体" w:eastAsia="仿宋_GB2312" w:cs="宋体"/>
          <w:kern w:val="0"/>
          <w:sz w:val="32"/>
          <w:szCs w:val="32"/>
          <w:lang w:val="en-US" w:eastAsia="zh-CN"/>
        </w:rPr>
        <w:t xml:space="preserve">  </w:t>
      </w:r>
      <w:r>
        <w:rPr>
          <w:rFonts w:hint="default" w:ascii="仿宋_GB2312" w:hAnsi="宋体" w:eastAsia="仿宋_GB2312" w:cs="宋体"/>
          <w:kern w:val="0"/>
          <w:sz w:val="32"/>
          <w:szCs w:val="32"/>
          <w:lang w:val="en-US" w:eastAsia="zh-CN"/>
        </w:rPr>
        <w:t>加强和改进民营经济人士思想政治工作。</w:t>
      </w:r>
    </w:p>
    <w:p>
      <w:pPr>
        <w:keepNext w:val="0"/>
        <w:keepLines w:val="0"/>
        <w:pageBreakBefore w:val="0"/>
        <w:widowControl/>
        <w:kinsoku/>
        <w:wordWrap/>
        <w:overflowPunct/>
        <w:topLinePunct w:val="0"/>
        <w:autoSpaceDE/>
        <w:autoSpaceDN/>
        <w:bidi w:val="0"/>
        <w:spacing w:line="560" w:lineRule="exact"/>
        <w:ind w:firstLine="640" w:firstLineChars="200"/>
        <w:textAlignment w:val="auto"/>
        <w:outlineLvl w:val="9"/>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第二条</w:t>
      </w:r>
      <w:r>
        <w:rPr>
          <w:rFonts w:hint="default" w:ascii="仿宋_GB2312" w:hAnsi="宋体" w:eastAsia="仿宋_GB2312" w:cs="宋体"/>
          <w:kern w:val="0"/>
          <w:sz w:val="32"/>
          <w:szCs w:val="32"/>
          <w:lang w:val="en-US" w:eastAsia="zh-CN"/>
        </w:rPr>
        <w:t>  参与政治协商，发挥民主监督作用，积极参政议政。</w:t>
      </w:r>
    </w:p>
    <w:p>
      <w:pPr>
        <w:keepNext w:val="0"/>
        <w:keepLines w:val="0"/>
        <w:pageBreakBefore w:val="0"/>
        <w:widowControl/>
        <w:kinsoku/>
        <w:wordWrap/>
        <w:overflowPunct/>
        <w:topLinePunct w:val="0"/>
        <w:autoSpaceDE/>
        <w:autoSpaceDN/>
        <w:bidi w:val="0"/>
        <w:spacing w:line="560" w:lineRule="exact"/>
        <w:ind w:firstLine="640" w:firstLineChars="200"/>
        <w:textAlignment w:val="auto"/>
        <w:outlineLvl w:val="9"/>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第三条</w:t>
      </w:r>
      <w:r>
        <w:rPr>
          <w:rFonts w:hint="default" w:ascii="仿宋_GB2312" w:hAnsi="宋体" w:eastAsia="仿宋_GB2312" w:cs="宋体"/>
          <w:kern w:val="0"/>
          <w:sz w:val="32"/>
          <w:szCs w:val="32"/>
          <w:lang w:val="en-US" w:eastAsia="zh-CN"/>
        </w:rPr>
        <w:t>  协助政府管理和服务民营经济。</w:t>
      </w:r>
    </w:p>
    <w:p>
      <w:pPr>
        <w:keepNext w:val="0"/>
        <w:keepLines w:val="0"/>
        <w:pageBreakBefore w:val="0"/>
        <w:widowControl/>
        <w:kinsoku/>
        <w:wordWrap/>
        <w:overflowPunct/>
        <w:topLinePunct w:val="0"/>
        <w:autoSpaceDE/>
        <w:autoSpaceDN/>
        <w:bidi w:val="0"/>
        <w:spacing w:line="560" w:lineRule="exact"/>
        <w:ind w:firstLine="640" w:firstLineChars="200"/>
        <w:textAlignment w:val="auto"/>
        <w:outlineLvl w:val="9"/>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第四条</w:t>
      </w:r>
      <w:r>
        <w:rPr>
          <w:rFonts w:hint="default" w:ascii="仿宋_GB2312" w:hAnsi="宋体" w:eastAsia="仿宋_GB2312" w:cs="宋体"/>
          <w:kern w:val="0"/>
          <w:sz w:val="32"/>
          <w:szCs w:val="32"/>
          <w:lang w:val="en-US" w:eastAsia="zh-CN"/>
        </w:rPr>
        <w:t>  培育和发展中国特色商会组织。</w:t>
      </w:r>
    </w:p>
    <w:p>
      <w:pPr>
        <w:keepNext w:val="0"/>
        <w:keepLines w:val="0"/>
        <w:pageBreakBefore w:val="0"/>
        <w:widowControl/>
        <w:kinsoku/>
        <w:wordWrap/>
        <w:overflowPunct/>
        <w:topLinePunct w:val="0"/>
        <w:autoSpaceDE/>
        <w:autoSpaceDN/>
        <w:bidi w:val="0"/>
        <w:spacing w:line="560" w:lineRule="exact"/>
        <w:ind w:firstLine="640" w:firstLineChars="200"/>
        <w:textAlignment w:val="auto"/>
        <w:outlineLvl w:val="9"/>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第五条</w:t>
      </w:r>
      <w:r>
        <w:rPr>
          <w:rFonts w:hint="default" w:ascii="仿宋_GB2312" w:hAnsi="宋体" w:eastAsia="仿宋_GB2312" w:cs="宋体"/>
          <w:kern w:val="0"/>
          <w:sz w:val="32"/>
          <w:szCs w:val="32"/>
          <w:lang w:val="en-US" w:eastAsia="zh-CN"/>
        </w:rPr>
        <w:t>  培育和建设高素质的民营经济人士队伍。</w:t>
      </w:r>
    </w:p>
    <w:p>
      <w:pPr>
        <w:keepNext w:val="0"/>
        <w:keepLines w:val="0"/>
        <w:pageBreakBefore w:val="0"/>
        <w:widowControl/>
        <w:kinsoku/>
        <w:wordWrap/>
        <w:overflowPunct/>
        <w:topLinePunct w:val="0"/>
        <w:autoSpaceDE/>
        <w:autoSpaceDN/>
        <w:bidi w:val="0"/>
        <w:spacing w:line="560" w:lineRule="exact"/>
        <w:ind w:firstLine="640" w:firstLineChars="200"/>
        <w:textAlignment w:val="auto"/>
        <w:outlineLvl w:val="9"/>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第六条</w:t>
      </w:r>
      <w:r>
        <w:rPr>
          <w:rFonts w:hint="default" w:ascii="仿宋_GB2312" w:hAnsi="宋体" w:eastAsia="仿宋_GB2312" w:cs="宋体"/>
          <w:kern w:val="0"/>
          <w:sz w:val="32"/>
          <w:szCs w:val="32"/>
          <w:lang w:val="en-US" w:eastAsia="zh-CN"/>
        </w:rPr>
        <w:t>  参与协调劳动关系，协同社会治理，促进社会和谐稳定。</w:t>
      </w:r>
    </w:p>
    <w:p>
      <w:pPr>
        <w:keepNext w:val="0"/>
        <w:keepLines w:val="0"/>
        <w:pageBreakBefore w:val="0"/>
        <w:widowControl/>
        <w:kinsoku/>
        <w:wordWrap/>
        <w:overflowPunct/>
        <w:topLinePunct w:val="0"/>
        <w:autoSpaceDE/>
        <w:autoSpaceDN/>
        <w:bidi w:val="0"/>
        <w:spacing w:line="560" w:lineRule="exact"/>
        <w:ind w:firstLine="640" w:firstLineChars="200"/>
        <w:textAlignment w:val="auto"/>
        <w:outlineLvl w:val="9"/>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第七条</w:t>
      </w:r>
      <w:r>
        <w:rPr>
          <w:rFonts w:hint="default" w:ascii="仿宋_GB2312" w:hAnsi="宋体" w:eastAsia="仿宋_GB2312" w:cs="宋体"/>
          <w:kern w:val="0"/>
          <w:sz w:val="32"/>
          <w:szCs w:val="32"/>
          <w:lang w:val="en-US" w:eastAsia="zh-CN"/>
        </w:rPr>
        <w:t>  引导民营企业和民营经济人士依法治企、依法经营、依法维权。</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第八条</w:t>
      </w:r>
      <w:r>
        <w:rPr>
          <w:rFonts w:hint="default" w:ascii="仿宋_GB2312" w:hAnsi="宋体" w:eastAsia="仿宋_GB2312" w:cs="宋体"/>
          <w:kern w:val="0"/>
          <w:sz w:val="32"/>
          <w:szCs w:val="32"/>
          <w:lang w:val="en-US" w:eastAsia="zh-CN"/>
        </w:rPr>
        <w:t>  依法加强会产管理、经营和保护。</w:t>
      </w:r>
    </w:p>
    <w:p>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部门机构设置情况</w:t>
      </w:r>
    </w:p>
    <w:p>
      <w:pPr>
        <w:keepNext w:val="0"/>
        <w:keepLines w:val="0"/>
        <w:pageBreakBefore w:val="0"/>
        <w:widowControl/>
        <w:kinsoku/>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本部门共设1个内设机构，下设1个事业单位。</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keepNext w:val="0"/>
        <w:keepLines w:val="0"/>
        <w:pageBreakBefore w:val="0"/>
        <w:kinsoku/>
        <w:wordWrap/>
        <w:overflowPunct/>
        <w:topLinePunct w:val="0"/>
        <w:autoSpaceDE/>
        <w:autoSpaceDN/>
        <w:bidi w:val="0"/>
        <w:spacing w:beforeLines="0" w:afterLines="0" w:line="560" w:lineRule="exact"/>
        <w:ind w:firstLine="636"/>
        <w:textAlignment w:val="auto"/>
        <w:rPr>
          <w:rFonts w:hint="eastAsia"/>
        </w:rPr>
      </w:pPr>
      <w:r>
        <w:rPr>
          <w:rFonts w:hint="eastAsia" w:ascii="仿宋_GB2312" w:hAnsi="仿宋_GB2312" w:eastAsia="仿宋_GB2312" w:cs="仿宋_GB2312"/>
          <w:color w:val="auto"/>
          <w:sz w:val="32"/>
          <w:szCs w:val="24"/>
        </w:rPr>
        <w:t>本年度基本支出</w:t>
      </w:r>
      <w:r>
        <w:rPr>
          <w:rFonts w:hint="eastAsia" w:ascii="仿宋_GB2312" w:hAnsi="仿宋_GB2312" w:eastAsia="仿宋_GB2312" w:cs="仿宋_GB2312"/>
          <w:color w:val="auto"/>
          <w:sz w:val="32"/>
          <w:szCs w:val="24"/>
          <w:lang w:val="en-US" w:eastAsia="zh-CN"/>
        </w:rPr>
        <w:t>4,380,221.90</w:t>
      </w:r>
      <w:r>
        <w:rPr>
          <w:rFonts w:hint="eastAsia" w:ascii="仿宋_GB2312" w:hAnsi="仿宋_GB2312" w:eastAsia="仿宋_GB2312" w:cs="仿宋_GB2312"/>
          <w:color w:val="auto"/>
          <w:sz w:val="32"/>
          <w:szCs w:val="24"/>
        </w:rPr>
        <w:t>元，用于人员经费及日常公用经费支出，保障我单位正常运转</w:t>
      </w:r>
      <w:r>
        <w:rPr>
          <w:rFonts w:hint="eastAsia" w:ascii="仿宋_GB2312" w:hAnsi="仿宋_GB2312" w:eastAsia="仿宋_GB2312" w:cs="仿宋_GB2312"/>
          <w:color w:val="auto"/>
          <w:sz w:val="32"/>
          <w:szCs w:val="24"/>
          <w:lang w:eastAsia="zh-CN"/>
        </w:rPr>
        <w:t>，为</w:t>
      </w:r>
      <w:r>
        <w:rPr>
          <w:rFonts w:hint="eastAsia" w:ascii="仿宋_GB2312" w:hAnsi="仿宋_GB2312" w:eastAsia="仿宋_GB2312" w:cs="仿宋_GB2312"/>
          <w:color w:val="auto"/>
          <w:sz w:val="32"/>
          <w:szCs w:val="24"/>
        </w:rPr>
        <w:t>各项工作开展</w:t>
      </w:r>
      <w:r>
        <w:rPr>
          <w:rFonts w:hint="eastAsia" w:ascii="仿宋_GB2312" w:hAnsi="仿宋_GB2312" w:eastAsia="仿宋_GB2312" w:cs="仿宋_GB2312"/>
          <w:color w:val="auto"/>
          <w:sz w:val="32"/>
          <w:szCs w:val="24"/>
          <w:lang w:eastAsia="zh-CN"/>
        </w:rPr>
        <w:t>提供基础保障</w:t>
      </w:r>
      <w:r>
        <w:rPr>
          <w:rFonts w:hint="eastAsia" w:ascii="仿宋_GB2312" w:hAnsi="仿宋_GB2312" w:eastAsia="仿宋_GB2312" w:cs="仿宋_GB2312"/>
          <w:color w:val="auto"/>
          <w:sz w:val="32"/>
          <w:szCs w:val="24"/>
        </w:rPr>
        <w:t>。项目支出</w:t>
      </w:r>
      <w:r>
        <w:rPr>
          <w:rFonts w:hint="eastAsia" w:ascii="仿宋_GB2312" w:hAnsi="仿宋_GB2312" w:eastAsia="仿宋_GB2312" w:cs="仿宋_GB2312"/>
          <w:color w:val="auto"/>
          <w:sz w:val="32"/>
          <w:szCs w:val="24"/>
          <w:lang w:val="en-US" w:eastAsia="zh-CN"/>
        </w:rPr>
        <w:t>35,233.00</w:t>
      </w:r>
      <w:r>
        <w:rPr>
          <w:rFonts w:hint="eastAsia" w:ascii="仿宋_GB2312" w:hAnsi="仿宋_GB2312" w:eastAsia="仿宋_GB2312" w:cs="仿宋_GB2312"/>
          <w:color w:val="auto"/>
          <w:sz w:val="32"/>
          <w:szCs w:val="24"/>
        </w:rPr>
        <w:t>元，主要用于我单位</w:t>
      </w:r>
      <w:r>
        <w:rPr>
          <w:rFonts w:hint="eastAsia" w:ascii="仿宋_GB2312" w:hAnsi="仿宋_GB2312" w:eastAsia="仿宋_GB2312" w:cs="仿宋_GB2312"/>
          <w:color w:val="auto"/>
          <w:sz w:val="32"/>
          <w:szCs w:val="24"/>
          <w:lang w:eastAsia="zh-CN"/>
        </w:rPr>
        <w:t>召开执常委会、开展理想信念教育活动</w:t>
      </w:r>
      <w:r>
        <w:rPr>
          <w:rFonts w:hint="eastAsia" w:ascii="仿宋_GB2312" w:hAnsi="仿宋_GB2312" w:eastAsia="仿宋_GB2312" w:cs="仿宋_GB2312"/>
          <w:color w:val="auto"/>
          <w:sz w:val="32"/>
          <w:szCs w:val="24"/>
        </w:rPr>
        <w:t>等支出。</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5"/>
        <w:tblW w:w="14786" w:type="dxa"/>
        <w:tblInd w:w="0" w:type="dxa"/>
        <w:tblLayout w:type="fixed"/>
        <w:tblCellMar>
          <w:top w:w="0" w:type="dxa"/>
          <w:left w:w="108" w:type="dxa"/>
          <w:bottom w:w="0" w:type="dxa"/>
          <w:right w:w="108" w:type="dxa"/>
        </w:tblCellMar>
      </w:tblPr>
      <w:tblGrid>
        <w:gridCol w:w="2011"/>
        <w:gridCol w:w="2783"/>
        <w:gridCol w:w="2523"/>
        <w:gridCol w:w="2020"/>
        <w:gridCol w:w="2529"/>
        <w:gridCol w:w="2920"/>
      </w:tblGrid>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bottom"/>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仿宋" w:eastAsia="仿宋_GB2312" w:cs="Times New Roman"/>
                <w:sz w:val="28"/>
                <w:szCs w:val="28"/>
              </w:rPr>
              <w:t>序号</w:t>
            </w:r>
          </w:p>
        </w:tc>
        <w:tc>
          <w:tcPr>
            <w:tcW w:w="2783" w:type="dxa"/>
            <w:tcBorders>
              <w:top w:val="single" w:color="auto" w:sz="4" w:space="0"/>
              <w:left w:val="nil"/>
              <w:bottom w:val="single" w:color="auto" w:sz="4" w:space="0"/>
              <w:right w:val="single" w:color="auto" w:sz="4" w:space="0"/>
            </w:tcBorders>
            <w:vAlign w:val="bottom"/>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仿宋" w:eastAsia="仿宋_GB2312" w:cs="Times New Roman"/>
                <w:sz w:val="28"/>
                <w:szCs w:val="28"/>
              </w:rPr>
              <w:t>三级指标</w:t>
            </w:r>
          </w:p>
        </w:tc>
        <w:tc>
          <w:tcPr>
            <w:tcW w:w="2523" w:type="dxa"/>
            <w:tcBorders>
              <w:top w:val="single" w:color="auto" w:sz="4" w:space="0"/>
              <w:left w:val="nil"/>
              <w:bottom w:val="single" w:color="auto" w:sz="4" w:space="0"/>
              <w:right w:val="single" w:color="auto" w:sz="4" w:space="0"/>
            </w:tcBorders>
            <w:vAlign w:val="bottom"/>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仿宋" w:eastAsia="仿宋_GB2312" w:cs="Times New Roman"/>
                <w:sz w:val="28"/>
                <w:szCs w:val="28"/>
              </w:rPr>
              <w:t>指标性质</w:t>
            </w:r>
          </w:p>
        </w:tc>
        <w:tc>
          <w:tcPr>
            <w:tcW w:w="2020" w:type="dxa"/>
            <w:tcBorders>
              <w:top w:val="single" w:color="auto" w:sz="4" w:space="0"/>
              <w:left w:val="nil"/>
              <w:bottom w:val="single" w:color="auto" w:sz="4" w:space="0"/>
              <w:right w:val="single" w:color="auto" w:sz="4" w:space="0"/>
            </w:tcBorders>
            <w:vAlign w:val="bottom"/>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仿宋" w:eastAsia="仿宋_GB2312" w:cs="Times New Roman"/>
                <w:sz w:val="28"/>
                <w:szCs w:val="28"/>
              </w:rPr>
              <w:t>指标值</w:t>
            </w:r>
          </w:p>
        </w:tc>
        <w:tc>
          <w:tcPr>
            <w:tcW w:w="2529" w:type="dxa"/>
            <w:tcBorders>
              <w:top w:val="single" w:color="auto" w:sz="4" w:space="0"/>
              <w:left w:val="nil"/>
              <w:bottom w:val="single" w:color="auto" w:sz="4" w:space="0"/>
              <w:right w:val="single" w:color="auto" w:sz="4" w:space="0"/>
            </w:tcBorders>
            <w:vAlign w:val="top"/>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仿宋" w:eastAsia="仿宋_GB2312" w:cs="Times New Roman"/>
                <w:sz w:val="28"/>
                <w:szCs w:val="28"/>
              </w:rPr>
              <w:t>度量单位</w:t>
            </w:r>
          </w:p>
        </w:tc>
        <w:tc>
          <w:tcPr>
            <w:tcW w:w="2920" w:type="dxa"/>
            <w:tcBorders>
              <w:top w:val="single" w:color="auto" w:sz="4" w:space="0"/>
              <w:left w:val="nil"/>
              <w:bottom w:val="single" w:color="auto" w:sz="4" w:space="0"/>
              <w:right w:val="single" w:color="auto" w:sz="4" w:space="0"/>
            </w:tcBorders>
            <w:vAlign w:val="top"/>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仿宋" w:eastAsia="仿宋_GB2312" w:cs="Times New Roman"/>
                <w:sz w:val="28"/>
                <w:szCs w:val="28"/>
              </w:rPr>
              <w:t>指标权重</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keepNext w:val="0"/>
              <w:keepLines w:val="0"/>
              <w:pageBreakBefore w:val="0"/>
              <w:widowControl/>
              <w:numPr>
                <w:ilvl w:val="0"/>
                <w:numId w:val="0"/>
              </w:numPr>
              <w:kinsoku/>
              <w:wordWrap/>
              <w:overflowPunct/>
              <w:topLinePunct w:val="0"/>
              <w:bidi w:val="0"/>
              <w:spacing w:line="560" w:lineRule="exact"/>
              <w:ind w:left="0" w:leftChars="0" w:firstLine="0" w:firstLineChars="0"/>
              <w:jc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1</w:t>
            </w:r>
          </w:p>
        </w:tc>
        <w:tc>
          <w:tcPr>
            <w:tcW w:w="2783"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完成工商联日常工作</w:t>
            </w:r>
          </w:p>
        </w:tc>
        <w:tc>
          <w:tcPr>
            <w:tcW w:w="2523"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kinsoku/>
              <w:wordWrap/>
              <w:overflowPunct/>
              <w:topLinePunct w:val="0"/>
              <w:bidi w:val="0"/>
              <w:spacing w:line="560" w:lineRule="exact"/>
              <w:ind w:left="0" w:leftChars="0" w:firstLine="0" w:firstLineChars="0"/>
              <w:jc w:val="center"/>
              <w:rPr>
                <w:rFonts w:hint="eastAsia" w:ascii="仿宋_GB2312" w:eastAsia="仿宋_GB2312"/>
                <w:sz w:val="28"/>
                <w:szCs w:val="28"/>
              </w:rPr>
            </w:pPr>
            <w:r>
              <w:rPr>
                <w:rFonts w:hint="eastAsia" w:ascii="仿宋_GB2312" w:hAnsi="仿宋" w:eastAsia="仿宋_GB2312" w:cs="Times New Roman"/>
                <w:sz w:val="20"/>
                <w:szCs w:val="20"/>
                <w:lang w:eastAsia="zh-CN"/>
              </w:rPr>
              <w:t>常规</w:t>
            </w:r>
          </w:p>
        </w:tc>
        <w:tc>
          <w:tcPr>
            <w:tcW w:w="2020"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kinsoku/>
              <w:wordWrap/>
              <w:overflowPunct/>
              <w:topLinePunct w:val="0"/>
              <w:bidi w:val="0"/>
              <w:spacing w:line="560" w:lineRule="exact"/>
              <w:ind w:left="0" w:leftChars="0" w:firstLine="0" w:firstLineChars="0"/>
              <w:jc w:val="center"/>
              <w:rPr>
                <w:rFonts w:hint="eastAsia" w:ascii="仿宋_GB2312" w:eastAsia="仿宋_GB2312"/>
                <w:sz w:val="28"/>
                <w:szCs w:val="28"/>
              </w:rPr>
            </w:pPr>
            <w:r>
              <w:rPr>
                <w:rFonts w:hint="eastAsia" w:ascii="仿宋_GB2312" w:hAnsi="仿宋" w:eastAsia="仿宋_GB2312" w:cs="Times New Roman"/>
                <w:sz w:val="20"/>
                <w:szCs w:val="20"/>
              </w:rPr>
              <w:t>按要求完成各项工作</w:t>
            </w:r>
          </w:p>
        </w:tc>
        <w:tc>
          <w:tcPr>
            <w:tcW w:w="2529" w:type="dxa"/>
            <w:tcBorders>
              <w:top w:val="nil"/>
              <w:left w:val="nil"/>
              <w:bottom w:val="single" w:color="auto" w:sz="4" w:space="0"/>
              <w:right w:val="single" w:color="auto" w:sz="4" w:space="0"/>
            </w:tcBorders>
            <w:vAlign w:val="top"/>
          </w:tcPr>
          <w:p>
            <w:pPr>
              <w:keepNext w:val="0"/>
              <w:keepLines w:val="0"/>
              <w:pageBreakBefore w:val="0"/>
              <w:widowControl/>
              <w:numPr>
                <w:ilvl w:val="0"/>
                <w:numId w:val="0"/>
              </w:numPr>
              <w:kinsoku/>
              <w:wordWrap/>
              <w:overflowPunct/>
              <w:topLinePunct w:val="0"/>
              <w:bidi w:val="0"/>
              <w:spacing w:line="560" w:lineRule="exact"/>
              <w:ind w:left="0" w:leftChars="0" w:firstLine="0" w:firstLineChars="0"/>
              <w:jc w:val="center"/>
              <w:rPr>
                <w:rFonts w:hint="eastAsia" w:ascii="仿宋_GB2312" w:eastAsia="仿宋_GB2312"/>
                <w:sz w:val="28"/>
                <w:szCs w:val="28"/>
              </w:rPr>
            </w:pPr>
          </w:p>
        </w:tc>
        <w:tc>
          <w:tcPr>
            <w:tcW w:w="2920" w:type="dxa"/>
            <w:tcBorders>
              <w:top w:val="nil"/>
              <w:left w:val="nil"/>
              <w:bottom w:val="single" w:color="auto" w:sz="4" w:space="0"/>
              <w:right w:val="single" w:color="auto" w:sz="4" w:space="0"/>
            </w:tcBorders>
            <w:vAlign w:val="top"/>
          </w:tcPr>
          <w:p>
            <w:pPr>
              <w:keepNext w:val="0"/>
              <w:keepLines w:val="0"/>
              <w:pageBreakBefore w:val="0"/>
              <w:widowControl/>
              <w:numPr>
                <w:ilvl w:val="0"/>
                <w:numId w:val="0"/>
              </w:numPr>
              <w:kinsoku/>
              <w:wordWrap/>
              <w:overflowPunct/>
              <w:topLinePunct w:val="0"/>
              <w:bidi w:val="0"/>
              <w:spacing w:line="560" w:lineRule="exact"/>
              <w:ind w:left="0" w:leftChars="0" w:firstLine="0" w:firstLineChars="0"/>
              <w:jc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25%</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2</w:t>
            </w:r>
          </w:p>
        </w:tc>
        <w:tc>
          <w:tcPr>
            <w:tcW w:w="2783"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开展理想信念教育活动，引导鼓励民营经济人士参与协调，促进社会和谐稳定，服务会员企业，引导企业积极参与我区经济建设</w:t>
            </w:r>
          </w:p>
        </w:tc>
        <w:tc>
          <w:tcPr>
            <w:tcW w:w="2523"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常规</w:t>
            </w:r>
          </w:p>
        </w:tc>
        <w:tc>
          <w:tcPr>
            <w:tcW w:w="2020"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开展理想信念教育活动、宣讲等</w:t>
            </w:r>
          </w:p>
        </w:tc>
        <w:tc>
          <w:tcPr>
            <w:tcW w:w="2529" w:type="dxa"/>
            <w:tcBorders>
              <w:top w:val="nil"/>
              <w:left w:val="nil"/>
              <w:bottom w:val="single" w:color="auto" w:sz="4" w:space="0"/>
              <w:right w:val="single" w:color="auto" w:sz="4" w:space="0"/>
            </w:tcBorders>
            <w:vAlign w:val="top"/>
          </w:tcPr>
          <w:p>
            <w:pPr>
              <w:keepNext w:val="0"/>
              <w:keepLines w:val="0"/>
              <w:pageBreakBefore w:val="0"/>
              <w:widowControl/>
              <w:numPr>
                <w:ilvl w:val="0"/>
                <w:numId w:val="0"/>
              </w:numPr>
              <w:suppressLineNumbers w:val="0"/>
              <w:kinsoku/>
              <w:wordWrap/>
              <w:overflowPunct/>
              <w:topLinePunct w:val="0"/>
              <w:bidi w:val="0"/>
              <w:spacing w:line="560" w:lineRule="exact"/>
              <w:ind w:leftChars="0"/>
              <w:jc w:val="center"/>
              <w:textAlignment w:val="center"/>
              <w:rPr>
                <w:rFonts w:hint="eastAsia" w:ascii="仿宋_GB2312" w:hAnsi="仿宋" w:eastAsia="仿宋_GB2312" w:cs="Times New Roman"/>
                <w:sz w:val="20"/>
                <w:szCs w:val="20"/>
                <w:lang w:eastAsia="zh-CN"/>
              </w:rPr>
            </w:pPr>
          </w:p>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次</w:t>
            </w:r>
          </w:p>
        </w:tc>
        <w:tc>
          <w:tcPr>
            <w:tcW w:w="2920" w:type="dxa"/>
            <w:tcBorders>
              <w:top w:val="nil"/>
              <w:left w:val="nil"/>
              <w:bottom w:val="single" w:color="auto" w:sz="4" w:space="0"/>
              <w:right w:val="single" w:color="auto" w:sz="4" w:space="0"/>
            </w:tcBorders>
            <w:vAlign w:val="top"/>
          </w:tcPr>
          <w:p>
            <w:pPr>
              <w:keepNext w:val="0"/>
              <w:keepLines w:val="0"/>
              <w:pageBreakBefore w:val="0"/>
              <w:widowControl/>
              <w:numPr>
                <w:ilvl w:val="0"/>
                <w:numId w:val="0"/>
              </w:numPr>
              <w:suppressLineNumbers w:val="0"/>
              <w:kinsoku/>
              <w:wordWrap/>
              <w:overflowPunct/>
              <w:topLinePunct w:val="0"/>
              <w:bidi w:val="0"/>
              <w:spacing w:line="560" w:lineRule="exact"/>
              <w:ind w:leftChars="0"/>
              <w:jc w:val="center"/>
              <w:textAlignment w:val="center"/>
              <w:rPr>
                <w:rFonts w:hint="eastAsia" w:ascii="仿宋_GB2312" w:hAnsi="仿宋" w:eastAsia="仿宋_GB2312" w:cs="Times New Roman"/>
                <w:sz w:val="20"/>
                <w:szCs w:val="20"/>
                <w:lang w:val="en-US" w:eastAsia="zh-CN"/>
              </w:rPr>
            </w:pPr>
          </w:p>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25%</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3</w:t>
            </w:r>
          </w:p>
        </w:tc>
        <w:tc>
          <w:tcPr>
            <w:tcW w:w="2783"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定期召开执常委等会议</w:t>
            </w:r>
          </w:p>
        </w:tc>
        <w:tc>
          <w:tcPr>
            <w:tcW w:w="2523"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常规</w:t>
            </w:r>
          </w:p>
        </w:tc>
        <w:tc>
          <w:tcPr>
            <w:tcW w:w="2020"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执委会</w:t>
            </w:r>
            <w:r>
              <w:rPr>
                <w:rFonts w:hint="eastAsia" w:ascii="仿宋_GB2312" w:hAnsi="仿宋" w:eastAsia="仿宋_GB2312" w:cs="Times New Roman"/>
                <w:sz w:val="20"/>
                <w:szCs w:val="20"/>
                <w:lang w:val="en-US" w:eastAsia="zh-CN"/>
              </w:rPr>
              <w:t>1次、常委会2次、会长会1次、主席会1次</w:t>
            </w:r>
          </w:p>
        </w:tc>
        <w:tc>
          <w:tcPr>
            <w:tcW w:w="2529" w:type="dxa"/>
            <w:tcBorders>
              <w:top w:val="nil"/>
              <w:left w:val="nil"/>
              <w:bottom w:val="single" w:color="auto" w:sz="4" w:space="0"/>
              <w:right w:val="single" w:color="auto" w:sz="4" w:space="0"/>
            </w:tcBorders>
            <w:vAlign w:val="top"/>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次</w:t>
            </w:r>
          </w:p>
        </w:tc>
        <w:tc>
          <w:tcPr>
            <w:tcW w:w="2920" w:type="dxa"/>
            <w:tcBorders>
              <w:top w:val="nil"/>
              <w:left w:val="nil"/>
              <w:bottom w:val="single" w:color="auto" w:sz="4" w:space="0"/>
              <w:right w:val="single" w:color="auto" w:sz="4" w:space="0"/>
            </w:tcBorders>
            <w:vAlign w:val="top"/>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25%</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400" w:firstLineChars="20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4</w:t>
            </w:r>
          </w:p>
        </w:tc>
        <w:tc>
          <w:tcPr>
            <w:tcW w:w="2783"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到受援地武川开展活动</w:t>
            </w:r>
          </w:p>
        </w:tc>
        <w:tc>
          <w:tcPr>
            <w:tcW w:w="2523"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一年一次</w:t>
            </w:r>
          </w:p>
        </w:tc>
        <w:tc>
          <w:tcPr>
            <w:tcW w:w="2020"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1次</w:t>
            </w:r>
          </w:p>
        </w:tc>
        <w:tc>
          <w:tcPr>
            <w:tcW w:w="2529" w:type="dxa"/>
            <w:tcBorders>
              <w:top w:val="nil"/>
              <w:left w:val="nil"/>
              <w:bottom w:val="single" w:color="auto" w:sz="4" w:space="0"/>
              <w:right w:val="single" w:color="auto" w:sz="4" w:space="0"/>
            </w:tcBorders>
            <w:vAlign w:val="top"/>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次</w:t>
            </w:r>
          </w:p>
        </w:tc>
        <w:tc>
          <w:tcPr>
            <w:tcW w:w="2920" w:type="dxa"/>
            <w:tcBorders>
              <w:top w:val="nil"/>
              <w:left w:val="nil"/>
              <w:bottom w:val="single" w:color="auto" w:sz="4" w:space="0"/>
              <w:right w:val="single" w:color="auto" w:sz="4" w:space="0"/>
            </w:tcBorders>
            <w:vAlign w:val="top"/>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25%</w:t>
            </w: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highlight w:val="none"/>
        </w:rPr>
      </w:pPr>
      <w:r>
        <w:rPr>
          <w:rFonts w:hint="eastAsia" w:ascii="仿宋_GB2312" w:eastAsia="仿宋_GB2312"/>
          <w:sz w:val="32"/>
          <w:szCs w:val="32"/>
          <w:highlight w:val="none"/>
        </w:rPr>
        <w:t>2025年全年预算数4,415,454.90元，其中，基本支出预算数</w:t>
      </w:r>
      <w:r>
        <w:rPr>
          <w:rFonts w:hint="eastAsia" w:ascii="仿宋_GB2312" w:hAnsi="仿宋_GB2312" w:eastAsia="仿宋_GB2312" w:cs="仿宋_GB2312"/>
          <w:color w:val="auto"/>
          <w:sz w:val="32"/>
          <w:szCs w:val="24"/>
          <w:highlight w:val="none"/>
          <w:lang w:val="en-US" w:eastAsia="zh-CN"/>
        </w:rPr>
        <w:t>4,380,221.90</w:t>
      </w:r>
      <w:r>
        <w:rPr>
          <w:rFonts w:hint="eastAsia" w:ascii="仿宋_GB2312" w:eastAsia="仿宋_GB2312"/>
          <w:sz w:val="32"/>
          <w:szCs w:val="32"/>
          <w:highlight w:val="none"/>
        </w:rPr>
        <w:t>元，项目支出预算数</w:t>
      </w:r>
      <w:r>
        <w:rPr>
          <w:rFonts w:hint="eastAsia" w:ascii="仿宋_GB2312" w:hAnsi="仿宋_GB2312" w:eastAsia="仿宋_GB2312" w:cs="仿宋_GB2312"/>
          <w:color w:val="auto"/>
          <w:sz w:val="32"/>
          <w:szCs w:val="24"/>
          <w:highlight w:val="none"/>
          <w:lang w:val="en-US" w:eastAsia="zh-CN"/>
        </w:rPr>
        <w:t>35,233.00</w:t>
      </w:r>
      <w:r>
        <w:rPr>
          <w:rFonts w:hint="eastAsia" w:ascii="仿宋_GB2312" w:eastAsia="仿宋_GB2312"/>
          <w:sz w:val="32"/>
          <w:szCs w:val="32"/>
          <w:highlight w:val="none"/>
        </w:rPr>
        <w:t>元。全年支出4,415,454.90元，其中，基本支出</w:t>
      </w:r>
      <w:r>
        <w:rPr>
          <w:rFonts w:hint="eastAsia" w:ascii="仿宋_GB2312" w:hAnsi="仿宋_GB2312" w:eastAsia="仿宋_GB2312" w:cs="仿宋_GB2312"/>
          <w:color w:val="auto"/>
          <w:sz w:val="32"/>
          <w:szCs w:val="24"/>
          <w:highlight w:val="none"/>
          <w:lang w:val="en-US" w:eastAsia="zh-CN"/>
        </w:rPr>
        <w:t>4,380,221.90</w:t>
      </w:r>
      <w:r>
        <w:rPr>
          <w:rFonts w:hint="eastAsia" w:ascii="仿宋_GB2312" w:eastAsia="仿宋_GB2312"/>
          <w:sz w:val="32"/>
          <w:szCs w:val="32"/>
          <w:highlight w:val="none"/>
        </w:rPr>
        <w:t>元，项目支出</w:t>
      </w:r>
      <w:r>
        <w:rPr>
          <w:rFonts w:hint="eastAsia" w:ascii="仿宋_GB2312" w:hAnsi="仿宋_GB2312" w:eastAsia="仿宋_GB2312" w:cs="仿宋_GB2312"/>
          <w:color w:val="auto"/>
          <w:sz w:val="32"/>
          <w:szCs w:val="24"/>
          <w:highlight w:val="none"/>
          <w:lang w:val="en-US" w:eastAsia="zh-CN"/>
        </w:rPr>
        <w:t>35,233.00</w:t>
      </w:r>
      <w:r>
        <w:rPr>
          <w:rFonts w:hint="eastAsia" w:ascii="仿宋_GB2312" w:eastAsia="仿宋_GB2312"/>
          <w:sz w:val="32"/>
          <w:szCs w:val="32"/>
          <w:highlight w:val="none"/>
        </w:rPr>
        <w:t>元。预算执行率为</w:t>
      </w:r>
      <w:r>
        <w:rPr>
          <w:rFonts w:hint="eastAsia" w:ascii="仿宋_GB2312" w:eastAsia="仿宋_GB2312"/>
          <w:sz w:val="32"/>
          <w:szCs w:val="32"/>
          <w:highlight w:val="none"/>
          <w:lang w:val="en-US" w:eastAsia="zh-CN"/>
        </w:rPr>
        <w:t>100.0</w:t>
      </w:r>
      <w:r>
        <w:rPr>
          <w:rFonts w:hint="eastAsia" w:ascii="仿宋_GB2312" w:eastAsia="仿宋_GB2312"/>
          <w:sz w:val="32"/>
          <w:szCs w:val="32"/>
          <w:highlight w:val="none"/>
        </w:rPr>
        <w:t xml:space="preserve">%。(与决算数据保持一致)                                  </w:t>
      </w:r>
    </w:p>
    <w:p>
      <w:pPr>
        <w:spacing w:line="580" w:lineRule="exact"/>
        <w:ind w:firstLine="641"/>
        <w:rPr>
          <w:rFonts w:hint="eastAsia" w:ascii="仿宋_GB2312" w:eastAsia="仿宋_GB2312"/>
          <w:sz w:val="32"/>
          <w:szCs w:val="32"/>
          <w:highlight w:val="none"/>
        </w:rPr>
      </w:pPr>
      <w:r>
        <w:rPr>
          <w:rFonts w:hint="eastAsia" w:ascii="仿宋_GB2312" w:eastAsia="仿宋_GB2312"/>
          <w:sz w:val="32"/>
          <w:szCs w:val="32"/>
          <w:highlight w:val="none"/>
        </w:rPr>
        <w:t>2025年年末结转结余资金总额为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元，全年支出预算数为4,415,454.90元，资金结转结余率为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%；2024年年末结转结余资金总额为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元，全年支出预算数为4,371,505.06元，资金结转结余率为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%；2025年度部门结转结余率较上一年上升/下降了</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5"/>
        <w:tblW w:w="9200" w:type="dxa"/>
        <w:tblInd w:w="108" w:type="dxa"/>
        <w:tblLayout w:type="fixed"/>
        <w:tblCellMar>
          <w:top w:w="0" w:type="dxa"/>
          <w:left w:w="108" w:type="dxa"/>
          <w:bottom w:w="0" w:type="dxa"/>
          <w:right w:w="108" w:type="dxa"/>
        </w:tblCellMar>
      </w:tblPr>
      <w:tblGrid>
        <w:gridCol w:w="880"/>
        <w:gridCol w:w="1984"/>
        <w:gridCol w:w="1701"/>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bottom"/>
          </w:tcPr>
          <w:p>
            <w:pPr>
              <w:keepNext w:val="0"/>
              <w:keepLines w:val="0"/>
              <w:pageBreakBefore w:val="0"/>
              <w:widowControl/>
              <w:numPr>
                <w:ilvl w:val="0"/>
                <w:numId w:val="0"/>
              </w:numPr>
              <w:kinsoku/>
              <w:wordWrap/>
              <w:overflowPunct/>
              <w:topLinePunct w:val="0"/>
              <w:bidi w:val="0"/>
              <w:spacing w:line="560" w:lineRule="exact"/>
              <w:ind w:left="0" w:leftChars="0" w:firstLine="0" w:firstLineChars="0"/>
              <w:jc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1</w:t>
            </w:r>
          </w:p>
        </w:tc>
        <w:tc>
          <w:tcPr>
            <w:tcW w:w="1984"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完成工商联日常工作</w:t>
            </w:r>
          </w:p>
        </w:tc>
        <w:tc>
          <w:tcPr>
            <w:tcW w:w="1701"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eastAsia="zh-CN"/>
              </w:rPr>
              <w:t>常规</w:t>
            </w:r>
          </w:p>
        </w:tc>
        <w:tc>
          <w:tcPr>
            <w:tcW w:w="1843" w:type="dxa"/>
            <w:tcBorders>
              <w:top w:val="nil"/>
              <w:left w:val="nil"/>
              <w:bottom w:val="single" w:color="auto" w:sz="4" w:space="0"/>
              <w:right w:val="single" w:color="auto" w:sz="4" w:space="0"/>
            </w:tcBorders>
            <w:vAlign w:val="bottom"/>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圆满完成各项任务</w:t>
            </w:r>
          </w:p>
        </w:tc>
        <w:tc>
          <w:tcPr>
            <w:tcW w:w="2792" w:type="dxa"/>
            <w:tcBorders>
              <w:top w:val="nil"/>
              <w:left w:val="nil"/>
              <w:bottom w:val="single" w:color="auto" w:sz="4" w:space="0"/>
              <w:right w:val="single" w:color="auto" w:sz="4" w:space="0"/>
            </w:tcBorders>
            <w:vAlign w:val="top"/>
          </w:tcPr>
          <w:p>
            <w:pPr>
              <w:keepNext w:val="0"/>
              <w:keepLines w:val="0"/>
              <w:pageBreakBefore w:val="0"/>
              <w:widowControl/>
              <w:numPr>
                <w:ilvl w:val="0"/>
                <w:numId w:val="0"/>
              </w:numPr>
              <w:kinsoku/>
              <w:wordWrap/>
              <w:overflowPunct/>
              <w:topLinePunct w:val="0"/>
              <w:bidi w:val="0"/>
              <w:spacing w:line="560" w:lineRule="exact"/>
              <w:ind w:left="0" w:leftChars="0" w:firstLine="0" w:firstLineChars="0"/>
              <w:jc w:val="center"/>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2</w:t>
            </w:r>
          </w:p>
        </w:tc>
        <w:tc>
          <w:tcPr>
            <w:tcW w:w="1984"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开展理想信念教育活动，引导鼓励民营经济人士参与协调，促进社会和谐稳定，服务会员企业，引导企业积极参与我区经济建设</w:t>
            </w:r>
          </w:p>
        </w:tc>
        <w:tc>
          <w:tcPr>
            <w:tcW w:w="1701"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开展调研、座谈等形式多样的活动；开展理想信念教育活动</w:t>
            </w:r>
          </w:p>
        </w:tc>
        <w:tc>
          <w:tcPr>
            <w:tcW w:w="1843"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color w:val="auto"/>
                <w:sz w:val="20"/>
                <w:szCs w:val="20"/>
                <w:lang w:val="en-US" w:eastAsia="zh-CN"/>
              </w:rPr>
              <w:t>开展主题为“观城市新貌 强发展信心 筑信念之基”理想信念教育活动；邀请老师开展《中华人民共和国民营经济促进法》、四中全会精神与“十五五”规划战略解读；为企业购买书籍；对四名专家人才进行慰问。</w:t>
            </w:r>
          </w:p>
        </w:tc>
        <w:tc>
          <w:tcPr>
            <w:tcW w:w="27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3</w:t>
            </w:r>
          </w:p>
        </w:tc>
        <w:tc>
          <w:tcPr>
            <w:tcW w:w="1984"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定期召开执常委等会议</w:t>
            </w:r>
          </w:p>
        </w:tc>
        <w:tc>
          <w:tcPr>
            <w:tcW w:w="1701"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定期召开会议</w:t>
            </w:r>
          </w:p>
        </w:tc>
        <w:tc>
          <w:tcPr>
            <w:tcW w:w="1843"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color w:val="auto"/>
                <w:sz w:val="20"/>
                <w:szCs w:val="20"/>
                <w:lang w:val="en-US" w:eastAsia="zh-CN"/>
              </w:rPr>
              <w:t>召开执委会1次，常委会2次，主席扩大会1次，达到预期效果。</w:t>
            </w:r>
          </w:p>
        </w:tc>
        <w:tc>
          <w:tcPr>
            <w:tcW w:w="27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rPr>
              <w:t>　</w:t>
            </w:r>
          </w:p>
        </w:tc>
      </w:tr>
      <w:tr>
        <w:tblPrEx>
          <w:tblLayout w:type="fixed"/>
        </w:tblPrEx>
        <w:trPr>
          <w:trHeight w:val="510" w:hRule="atLeast"/>
        </w:trPr>
        <w:tc>
          <w:tcPr>
            <w:tcW w:w="880" w:type="dxa"/>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lang w:val="en-US" w:eastAsia="zh-CN"/>
              </w:rPr>
              <w:t>4</w:t>
            </w:r>
          </w:p>
        </w:tc>
        <w:tc>
          <w:tcPr>
            <w:tcW w:w="1984"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both"/>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到受援地武川开展活动</w:t>
            </w:r>
          </w:p>
        </w:tc>
        <w:tc>
          <w:tcPr>
            <w:tcW w:w="1701"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sz w:val="20"/>
                <w:szCs w:val="20"/>
                <w:lang w:val="en-US" w:eastAsia="zh-CN"/>
              </w:rPr>
              <w:t>开展对接活动</w:t>
            </w:r>
          </w:p>
        </w:tc>
        <w:tc>
          <w:tcPr>
            <w:tcW w:w="1843" w:type="dxa"/>
            <w:tcBorders>
              <w:top w:val="nil"/>
              <w:left w:val="nil"/>
              <w:bottom w:val="single" w:color="auto" w:sz="4" w:space="0"/>
              <w:right w:val="single" w:color="auto" w:sz="4" w:space="0"/>
            </w:tcBorders>
            <w:vAlign w:val="center"/>
          </w:tcPr>
          <w:p>
            <w:pPr>
              <w:keepNext w:val="0"/>
              <w:keepLines w:val="0"/>
              <w:pageBreakBefore w:val="0"/>
              <w:widowControl/>
              <w:numPr>
                <w:ilvl w:val="0"/>
                <w:numId w:val="0"/>
              </w:numPr>
              <w:suppressLineNumbers w:val="0"/>
              <w:kinsoku/>
              <w:wordWrap/>
              <w:overflowPunct/>
              <w:topLinePunct w:val="0"/>
              <w:bidi w:val="0"/>
              <w:spacing w:line="560" w:lineRule="exact"/>
              <w:ind w:left="0" w:leftChars="0" w:firstLine="0" w:firstLineChars="0"/>
              <w:jc w:val="center"/>
              <w:textAlignment w:val="center"/>
              <w:rPr>
                <w:rFonts w:hint="eastAsia" w:ascii="仿宋_GB2312" w:eastAsia="仿宋_GB2312"/>
                <w:sz w:val="28"/>
                <w:szCs w:val="28"/>
              </w:rPr>
            </w:pPr>
            <w:r>
              <w:rPr>
                <w:rFonts w:hint="eastAsia" w:ascii="仿宋_GB2312" w:hAnsi="仿宋" w:eastAsia="仿宋_GB2312" w:cs="Times New Roman"/>
                <w:color w:val="auto"/>
                <w:sz w:val="20"/>
                <w:szCs w:val="20"/>
                <w:lang w:val="en-US" w:eastAsia="zh-CN"/>
              </w:rPr>
              <w:t>发挥优势持续为受援地提供服务，购买销售土豆5.72万元，签订捐赠6个公益岗协议，为受援地发展助力。</w:t>
            </w:r>
          </w:p>
        </w:tc>
        <w:tc>
          <w:tcPr>
            <w:tcW w:w="279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bidi w:val="0"/>
              <w:spacing w:line="56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rPr>
              <w:t>　</w:t>
            </w:r>
          </w:p>
        </w:tc>
      </w:tr>
    </w:tbl>
    <w:p>
      <w:pPr>
        <w:numPr>
          <w:ilvl w:val="0"/>
          <w:numId w:val="1"/>
        </w:numPr>
        <w:spacing w:line="580" w:lineRule="exact"/>
        <w:ind w:firstLine="640"/>
        <w:rPr>
          <w:rFonts w:hint="eastAsia" w:ascii="仿宋_GB2312" w:eastAsia="仿宋_GB2312"/>
          <w:sz w:val="32"/>
          <w:szCs w:val="32"/>
        </w:rPr>
      </w:pPr>
      <w:r>
        <w:rPr>
          <w:rFonts w:hint="eastAsia" w:ascii="仿宋_GB2312" w:eastAsia="仿宋_GB2312"/>
          <w:sz w:val="32"/>
          <w:szCs w:val="32"/>
        </w:rPr>
        <w:t>产出质量</w:t>
      </w:r>
    </w:p>
    <w:p>
      <w:pPr>
        <w:pStyle w:val="4"/>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outlineLvl w:val="9"/>
        <w:rPr>
          <w:rFonts w:hint="eastAsia"/>
        </w:rPr>
      </w:pPr>
      <w:r>
        <w:rPr>
          <w:rFonts w:hint="eastAsia" w:ascii="仿宋_GB2312" w:hAnsi="仿宋" w:eastAsia="仿宋_GB2312" w:cs="Times New Roman"/>
          <w:kern w:val="2"/>
          <w:sz w:val="32"/>
          <w:szCs w:val="32"/>
          <w:lang w:val="en-US" w:eastAsia="zh-CN" w:bidi="ar-SA"/>
        </w:rPr>
        <w:t>通过召开执常委会、组织理想信念教育活动、积极搭建四个平台、发挥各专委会优势等方式，团结带领民营经济人士，切实达到凝心聚力的作用。</w:t>
      </w:r>
    </w:p>
    <w:p>
      <w:pPr>
        <w:numPr>
          <w:ilvl w:val="0"/>
          <w:numId w:val="1"/>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产出进度</w:t>
      </w:r>
    </w:p>
    <w:p>
      <w:pPr>
        <w:pStyle w:val="4"/>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outlineLvl w:val="9"/>
        <w:rPr>
          <w:rFonts w:hint="eastAsia"/>
        </w:rPr>
      </w:pPr>
      <w:r>
        <w:rPr>
          <w:rFonts w:hint="eastAsia" w:ascii="仿宋_GB2312" w:hAnsi="仿宋" w:eastAsia="仿宋_GB2312" w:cs="Times New Roman"/>
          <w:sz w:val="32"/>
          <w:szCs w:val="32"/>
          <w:lang w:eastAsia="zh-CN"/>
        </w:rPr>
        <w:t>一年内。</w:t>
      </w:r>
    </w:p>
    <w:p>
      <w:pPr>
        <w:numPr>
          <w:ilvl w:val="0"/>
          <w:numId w:val="0"/>
        </w:numPr>
        <w:spacing w:line="580" w:lineRule="exact"/>
        <w:ind w:left="640" w:leftChars="0"/>
        <w:rPr>
          <w:rFonts w:hint="eastAsia"/>
        </w:rPr>
      </w:pPr>
      <w:r>
        <w:rPr>
          <w:rFonts w:hint="eastAsia" w:ascii="仿宋_GB2312" w:eastAsia="仿宋_GB2312"/>
          <w:sz w:val="32"/>
          <w:szCs w:val="32"/>
          <w:lang w:eastAsia="zh-CN"/>
        </w:rPr>
        <w:t>（</w:t>
      </w:r>
      <w:r>
        <w:rPr>
          <w:rFonts w:hint="eastAsia" w:ascii="仿宋_GB2312" w:eastAsia="仿宋_GB2312"/>
          <w:sz w:val="32"/>
          <w:szCs w:val="32"/>
          <w:lang w:val="en-US" w:eastAsia="zh-CN"/>
        </w:rPr>
        <w:t>4</w:t>
      </w:r>
      <w:r>
        <w:rPr>
          <w:rFonts w:hint="eastAsia" w:ascii="仿宋_GB2312" w:eastAsia="仿宋_GB2312"/>
          <w:sz w:val="32"/>
          <w:szCs w:val="32"/>
          <w:lang w:eastAsia="zh-CN"/>
        </w:rPr>
        <w:t>）</w:t>
      </w:r>
      <w:r>
        <w:rPr>
          <w:rFonts w:hint="eastAsia" w:ascii="仿宋_GB2312" w:eastAsia="仿宋_GB2312"/>
          <w:sz w:val="32"/>
          <w:szCs w:val="32"/>
        </w:rPr>
        <w:t>产出成本</w:t>
      </w:r>
    </w:p>
    <w:p>
      <w:pPr>
        <w:numPr>
          <w:ilvl w:val="0"/>
          <w:numId w:val="0"/>
        </w:numPr>
        <w:spacing w:line="580" w:lineRule="exact"/>
        <w:ind w:left="640" w:leftChars="0"/>
        <w:rPr>
          <w:rFonts w:hint="eastAsia"/>
        </w:rPr>
      </w:pPr>
      <w:r>
        <w:rPr>
          <w:rFonts w:hint="eastAsia" w:ascii="仿宋" w:hAnsi="仿宋" w:eastAsia="仿宋"/>
          <w:sz w:val="32"/>
          <w:szCs w:val="32"/>
        </w:rPr>
        <w:t>控制在年初批复预算资金总数内</w:t>
      </w:r>
      <w:r>
        <w:rPr>
          <w:rFonts w:hint="eastAsia" w:ascii="仿宋" w:hAnsi="仿宋" w:eastAsia="仿宋"/>
          <w:sz w:val="32"/>
          <w:szCs w:val="32"/>
          <w:lang w:eastAsia="zh-CN"/>
        </w:rPr>
        <w:t>。</w:t>
      </w:r>
    </w:p>
    <w:p>
      <w:pPr>
        <w:pageBreakBefore w:val="0"/>
        <w:widowControl w:val="0"/>
        <w:kinsoku/>
        <w:wordWrap/>
        <w:overflowPunct/>
        <w:topLinePunct w:val="0"/>
        <w:autoSpaceDE/>
        <w:autoSpaceDN/>
        <w:bidi w:val="0"/>
        <w:adjustRightInd/>
        <w:snapToGrid/>
        <w:spacing w:beforeAutospacing="0" w:afterAutospacing="0" w:line="580" w:lineRule="exact"/>
        <w:ind w:firstLine="640"/>
        <w:textAlignment w:val="auto"/>
        <w:rPr>
          <w:rFonts w:hint="eastAsia" w:ascii="仿宋_GB2312" w:eastAsia="仿宋_GB2312"/>
          <w:sz w:val="32"/>
          <w:szCs w:val="32"/>
        </w:rPr>
      </w:pPr>
      <w:r>
        <w:rPr>
          <w:rFonts w:hint="eastAsia" w:ascii="仿宋_GB2312" w:eastAsia="仿宋_GB2312"/>
          <w:sz w:val="32"/>
          <w:szCs w:val="32"/>
        </w:rPr>
        <w:t>2.效果实现情况分析</w:t>
      </w:r>
    </w:p>
    <w:p>
      <w:pPr>
        <w:pageBreakBefore w:val="0"/>
        <w:widowControl w:val="0"/>
        <w:kinsoku/>
        <w:wordWrap/>
        <w:overflowPunct/>
        <w:topLinePunct w:val="0"/>
        <w:autoSpaceDE/>
        <w:autoSpaceDN/>
        <w:bidi w:val="0"/>
        <w:adjustRightInd/>
        <w:snapToGrid/>
        <w:spacing w:beforeAutospacing="0" w:afterAutospacing="0" w:line="580" w:lineRule="exact"/>
        <w:ind w:firstLine="640"/>
        <w:textAlignment w:val="auto"/>
        <w:rPr>
          <w:rFonts w:hint="eastAsia" w:ascii="仿宋_GB2312" w:eastAsia="仿宋_GB2312"/>
          <w:sz w:val="32"/>
          <w:szCs w:val="32"/>
        </w:rPr>
      </w:pPr>
      <w:r>
        <w:rPr>
          <w:rFonts w:hint="eastAsia" w:ascii="仿宋_GB2312" w:eastAsia="仿宋_GB2312"/>
          <w:sz w:val="32"/>
          <w:szCs w:val="32"/>
        </w:rPr>
        <w:t>（1）经济效益</w:t>
      </w:r>
    </w:p>
    <w:p>
      <w:pPr>
        <w:pStyle w:val="2"/>
        <w:pageBreakBefore w:val="0"/>
        <w:widowControl w:val="0"/>
        <w:kinsoku/>
        <w:wordWrap/>
        <w:overflowPunct/>
        <w:topLinePunct w:val="0"/>
        <w:autoSpaceDE/>
        <w:autoSpaceDN/>
        <w:bidi w:val="0"/>
        <w:adjustRightInd/>
        <w:snapToGrid/>
        <w:spacing w:beforeAutospacing="0" w:afterAutospacing="0" w:line="580" w:lineRule="exact"/>
        <w:ind w:firstLine="960" w:firstLineChars="300"/>
        <w:textAlignment w:val="auto"/>
        <w:rPr>
          <w:rFonts w:hint="eastAsia" w:ascii="仿宋_GB2312" w:hAnsi="仿宋" w:eastAsia="仿宋_GB2312" w:cs="Times New Roman"/>
          <w:b w:val="0"/>
          <w:bCs w:val="0"/>
          <w:kern w:val="2"/>
          <w:sz w:val="32"/>
          <w:szCs w:val="32"/>
          <w:lang w:val="en-US" w:eastAsia="zh-CN" w:bidi="ar-SA"/>
        </w:rPr>
      </w:pPr>
      <w:r>
        <w:rPr>
          <w:rFonts w:hint="eastAsia" w:ascii="仿宋_GB2312" w:hAnsi="仿宋" w:eastAsia="仿宋_GB2312" w:cs="Times New Roman"/>
          <w:b w:val="0"/>
          <w:bCs w:val="0"/>
          <w:kern w:val="2"/>
          <w:sz w:val="32"/>
          <w:szCs w:val="32"/>
          <w:lang w:val="en-US" w:eastAsia="zh-CN" w:bidi="ar-SA"/>
        </w:rPr>
        <w:t>不涉及。</w:t>
      </w:r>
    </w:p>
    <w:p>
      <w:pPr>
        <w:pageBreakBefore w:val="0"/>
        <w:widowControl w:val="0"/>
        <w:numPr>
          <w:ilvl w:val="0"/>
          <w:numId w:val="2"/>
        </w:numPr>
        <w:kinsoku/>
        <w:wordWrap/>
        <w:overflowPunct/>
        <w:topLinePunct w:val="0"/>
        <w:autoSpaceDE/>
        <w:autoSpaceDN/>
        <w:bidi w:val="0"/>
        <w:adjustRightInd/>
        <w:snapToGrid/>
        <w:spacing w:beforeAutospacing="0" w:afterAutospacing="0" w:line="580" w:lineRule="exact"/>
        <w:ind w:firstLine="640"/>
        <w:textAlignment w:val="auto"/>
        <w:rPr>
          <w:rFonts w:hint="eastAsia" w:ascii="仿宋_GB2312" w:eastAsia="仿宋_GB2312"/>
          <w:sz w:val="32"/>
          <w:szCs w:val="32"/>
        </w:rPr>
      </w:pPr>
      <w:r>
        <w:rPr>
          <w:rFonts w:hint="eastAsia" w:ascii="仿宋_GB2312" w:eastAsia="仿宋_GB2312"/>
          <w:sz w:val="32"/>
          <w:szCs w:val="32"/>
        </w:rPr>
        <w:t>社会效益</w:t>
      </w:r>
    </w:p>
    <w:p>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textAlignment w:val="auto"/>
        <w:outlineLvl w:val="9"/>
        <w:rPr>
          <w:rFonts w:hint="eastAsia"/>
        </w:rPr>
      </w:pPr>
      <w:r>
        <w:rPr>
          <w:rFonts w:hint="eastAsia" w:ascii="仿宋_GB2312" w:eastAsia="仿宋_GB2312" w:hAnsiTheme="minorHAnsi" w:cstheme="minorBidi"/>
          <w:color w:val="000000"/>
          <w:kern w:val="2"/>
          <w:sz w:val="32"/>
          <w:szCs w:val="32"/>
          <w:lang w:val="en-US" w:eastAsia="zh-CN" w:bidi="ar-SA"/>
        </w:rPr>
        <w:t>达到团结</w:t>
      </w:r>
      <w:r>
        <w:rPr>
          <w:rFonts w:hint="eastAsia" w:ascii="仿宋_GB2312" w:eastAsia="仿宋_GB2312" w:cstheme="minorBidi"/>
          <w:color w:val="000000"/>
          <w:kern w:val="2"/>
          <w:sz w:val="32"/>
          <w:szCs w:val="32"/>
          <w:lang w:val="en-US" w:eastAsia="zh-CN" w:bidi="ar-SA"/>
        </w:rPr>
        <w:t>引领广大非公经济人士，进一步凝聚发展共识、坚定发展信心，弘扬企业家精神，投身首都发展改革大局，为我区绿色高质量转型发展贡献智慧和力量</w:t>
      </w:r>
      <w:r>
        <w:rPr>
          <w:rFonts w:hint="eastAsia" w:ascii="仿宋_GB2312" w:eastAsia="仿宋_GB2312" w:hAnsiTheme="minorHAnsi" w:cstheme="minorBidi"/>
          <w:color w:val="000000"/>
          <w:kern w:val="2"/>
          <w:sz w:val="32"/>
          <w:szCs w:val="32"/>
          <w:lang w:val="en-US" w:eastAsia="zh-CN" w:bidi="ar-SA"/>
        </w:rPr>
        <w:t>。</w:t>
      </w:r>
    </w:p>
    <w:p>
      <w:pPr>
        <w:pageBreakBefore w:val="0"/>
        <w:widowControl w:val="0"/>
        <w:numPr>
          <w:ilvl w:val="0"/>
          <w:numId w:val="2"/>
        </w:numPr>
        <w:kinsoku/>
        <w:wordWrap/>
        <w:overflowPunct/>
        <w:topLinePunct w:val="0"/>
        <w:autoSpaceDE/>
        <w:autoSpaceDN/>
        <w:bidi w:val="0"/>
        <w:adjustRightInd/>
        <w:snapToGrid/>
        <w:spacing w:beforeAutospacing="0" w:afterAutospacing="0" w:line="580" w:lineRule="exact"/>
        <w:ind w:left="0" w:leftChars="0" w:firstLine="640" w:firstLineChars="0"/>
        <w:textAlignment w:val="auto"/>
        <w:rPr>
          <w:rFonts w:hint="eastAsia" w:ascii="仿宋_GB2312" w:eastAsia="仿宋_GB2312"/>
          <w:sz w:val="32"/>
          <w:szCs w:val="32"/>
        </w:rPr>
      </w:pPr>
      <w:r>
        <w:rPr>
          <w:rFonts w:hint="eastAsia" w:ascii="仿宋_GB2312" w:eastAsia="仿宋_GB2312"/>
          <w:sz w:val="32"/>
          <w:szCs w:val="32"/>
        </w:rPr>
        <w:t>环境效益</w:t>
      </w:r>
    </w:p>
    <w:p>
      <w:pPr>
        <w:pStyle w:val="2"/>
        <w:pageBreakBefore w:val="0"/>
        <w:widowControl w:val="0"/>
        <w:kinsoku/>
        <w:wordWrap/>
        <w:overflowPunct/>
        <w:topLinePunct w:val="0"/>
        <w:autoSpaceDE/>
        <w:autoSpaceDN/>
        <w:bidi w:val="0"/>
        <w:adjustRightInd/>
        <w:snapToGrid/>
        <w:spacing w:beforeAutospacing="0" w:afterAutospacing="0" w:line="580" w:lineRule="exact"/>
        <w:ind w:firstLine="960" w:firstLineChars="300"/>
        <w:textAlignment w:val="auto"/>
        <w:rPr>
          <w:rFonts w:hint="eastAsia" w:ascii="仿宋_GB2312" w:hAnsi="仿宋" w:eastAsia="仿宋_GB2312" w:cs="Times New Roman"/>
          <w:b w:val="0"/>
          <w:bCs w:val="0"/>
          <w:kern w:val="2"/>
          <w:sz w:val="32"/>
          <w:szCs w:val="32"/>
          <w:lang w:val="en-US" w:eastAsia="zh-CN" w:bidi="ar-SA"/>
        </w:rPr>
      </w:pPr>
      <w:r>
        <w:rPr>
          <w:rFonts w:hint="eastAsia" w:ascii="仿宋_GB2312" w:hAnsi="仿宋" w:eastAsia="仿宋_GB2312" w:cs="Times New Roman"/>
          <w:b w:val="0"/>
          <w:bCs w:val="0"/>
          <w:kern w:val="2"/>
          <w:sz w:val="32"/>
          <w:szCs w:val="32"/>
          <w:lang w:val="en-US" w:eastAsia="zh-CN" w:bidi="ar-SA"/>
        </w:rPr>
        <w:t>不涉及。</w:t>
      </w:r>
    </w:p>
    <w:p>
      <w:pPr>
        <w:pageBreakBefore w:val="0"/>
        <w:widowControl w:val="0"/>
        <w:numPr>
          <w:ilvl w:val="0"/>
          <w:numId w:val="2"/>
        </w:numPr>
        <w:kinsoku/>
        <w:wordWrap/>
        <w:overflowPunct/>
        <w:topLinePunct w:val="0"/>
        <w:autoSpaceDE/>
        <w:autoSpaceDN/>
        <w:bidi w:val="0"/>
        <w:adjustRightInd/>
        <w:snapToGrid/>
        <w:spacing w:beforeAutospacing="0" w:afterAutospacing="0" w:line="580" w:lineRule="exact"/>
        <w:ind w:left="0" w:leftChars="0" w:firstLine="640" w:firstLineChars="0"/>
        <w:textAlignment w:val="auto"/>
        <w:rPr>
          <w:rFonts w:hint="eastAsia" w:ascii="仿宋_GB2312" w:eastAsia="仿宋_GB2312"/>
          <w:sz w:val="32"/>
          <w:szCs w:val="32"/>
        </w:rPr>
      </w:pPr>
      <w:r>
        <w:rPr>
          <w:rFonts w:hint="eastAsia" w:ascii="仿宋_GB2312" w:eastAsia="仿宋_GB2312"/>
          <w:sz w:val="32"/>
          <w:szCs w:val="32"/>
        </w:rPr>
        <w:t>可持续影响</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0" w:leftChars="0" w:firstLine="640" w:firstLineChars="200"/>
        <w:textAlignment w:val="auto"/>
        <w:rPr>
          <w:rFonts w:hint="eastAsia"/>
        </w:rPr>
      </w:pPr>
      <w:r>
        <w:rPr>
          <w:rFonts w:hint="eastAsia" w:ascii="仿宋_GB2312" w:eastAsia="仿宋_GB2312" w:hAnsiTheme="minorHAnsi" w:cstheme="minorBidi"/>
          <w:color w:val="000000"/>
          <w:kern w:val="2"/>
          <w:sz w:val="32"/>
          <w:szCs w:val="32"/>
          <w:lang w:val="en-US" w:eastAsia="zh-CN" w:bidi="ar-SA"/>
        </w:rPr>
        <w:t>持续引导</w:t>
      </w:r>
      <w:r>
        <w:rPr>
          <w:rFonts w:hint="eastAsia" w:ascii="仿宋_GB2312" w:eastAsia="仿宋_GB2312" w:cstheme="minorBidi"/>
          <w:color w:val="000000"/>
          <w:kern w:val="2"/>
          <w:sz w:val="32"/>
          <w:szCs w:val="32"/>
          <w:lang w:val="en-US" w:eastAsia="zh-CN" w:bidi="ar-SA"/>
        </w:rPr>
        <w:t>广大非公经济人士</w:t>
      </w:r>
      <w:r>
        <w:rPr>
          <w:rFonts w:hint="eastAsia" w:ascii="仿宋_GB2312" w:eastAsia="仿宋_GB2312" w:hAnsiTheme="minorHAnsi" w:cstheme="minorBidi"/>
          <w:color w:val="000000"/>
          <w:kern w:val="2"/>
          <w:sz w:val="32"/>
          <w:szCs w:val="32"/>
          <w:lang w:val="en-US" w:eastAsia="zh-CN" w:bidi="ar-SA"/>
        </w:rPr>
        <w:t>坚决拥护中国共产党的领导、坚定不移走中国特色社会主义道路。</w:t>
      </w:r>
    </w:p>
    <w:p>
      <w:pPr>
        <w:numPr>
          <w:ilvl w:val="0"/>
          <w:numId w:val="2"/>
        </w:numPr>
        <w:spacing w:line="580" w:lineRule="exact"/>
        <w:ind w:left="0" w:leftChars="0" w:firstLine="640" w:firstLineChars="0"/>
        <w:rPr>
          <w:rFonts w:hint="eastAsia" w:ascii="仿宋_GB2312" w:eastAsia="仿宋_GB2312"/>
          <w:sz w:val="32"/>
          <w:szCs w:val="32"/>
        </w:rPr>
      </w:pPr>
      <w:r>
        <w:rPr>
          <w:rFonts w:hint="eastAsia" w:ascii="仿宋_GB2312" w:eastAsia="仿宋_GB2312"/>
          <w:sz w:val="32"/>
          <w:szCs w:val="32"/>
        </w:rPr>
        <w:t>服务对象满意度</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rPr>
      </w:pPr>
      <w:r>
        <w:rPr>
          <w:rFonts w:hint="eastAsia" w:ascii="仿宋_GB2312" w:eastAsia="仿宋_GB2312" w:hAnsiTheme="minorHAnsi" w:cstheme="minorBidi"/>
          <w:color w:val="000000"/>
          <w:kern w:val="2"/>
          <w:sz w:val="32"/>
          <w:szCs w:val="32"/>
          <w:lang w:val="en-US" w:eastAsia="zh-CN" w:bidi="ar-SA"/>
        </w:rPr>
        <w:t>引导</w:t>
      </w:r>
      <w:r>
        <w:rPr>
          <w:rFonts w:hint="eastAsia" w:ascii="仿宋_GB2312" w:eastAsia="仿宋_GB2312" w:cstheme="minorBidi"/>
          <w:color w:val="000000"/>
          <w:kern w:val="2"/>
          <w:sz w:val="32"/>
          <w:szCs w:val="32"/>
          <w:lang w:val="en-US" w:eastAsia="zh-CN" w:bidi="ar-SA"/>
        </w:rPr>
        <w:t>广大非公经济人士不断拓宽视野，加强交流合作，强化内引外联</w:t>
      </w:r>
      <w:r>
        <w:rPr>
          <w:rFonts w:hint="eastAsia" w:ascii="仿宋_GB2312" w:eastAsia="仿宋_GB2312" w:hAnsiTheme="minorHAnsi" w:cstheme="minorBidi"/>
          <w:color w:val="000000"/>
          <w:kern w:val="2"/>
          <w:sz w:val="32"/>
          <w:szCs w:val="32"/>
          <w:lang w:val="en-US" w:eastAsia="zh-CN" w:bidi="ar-SA"/>
        </w:rPr>
        <w:t>，</w:t>
      </w:r>
      <w:r>
        <w:rPr>
          <w:rFonts w:hint="eastAsia" w:ascii="仿宋_GB2312" w:eastAsia="仿宋_GB2312" w:cstheme="minorBidi"/>
          <w:color w:val="000000"/>
          <w:kern w:val="2"/>
          <w:sz w:val="32"/>
          <w:szCs w:val="32"/>
          <w:lang w:val="en-US" w:eastAsia="zh-CN" w:bidi="ar-SA"/>
        </w:rPr>
        <w:t>为非公经济发展搭深搭宽搭广平台，不断激发企业家活力。</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highlight w:val="none"/>
        </w:rPr>
      </w:pPr>
      <w:r>
        <w:rPr>
          <w:rFonts w:hint="eastAsia" w:ascii="仿宋_GB2312" w:hAnsi="仿宋" w:eastAsia="仿宋_GB2312" w:cs="Times New Roman"/>
          <w:sz w:val="32"/>
          <w:szCs w:val="32"/>
          <w:highlight w:val="none"/>
        </w:rPr>
        <w:t>我单位通过严格按照内控制度，加强财政财务管理，保障资金安全高效运行，防范财务风险。严格执行各项财务制度、</w:t>
      </w:r>
      <w:r>
        <w:rPr>
          <w:rFonts w:hint="eastAsia" w:ascii="仿宋_GB2312" w:hAnsi="仿宋" w:eastAsia="仿宋_GB2312" w:cs="Times New Roman"/>
          <w:sz w:val="32"/>
          <w:szCs w:val="32"/>
          <w:highlight w:val="none"/>
          <w:lang w:eastAsia="zh-CN"/>
        </w:rPr>
        <w:t>严格执行“三重一大</w:t>
      </w:r>
      <w:r>
        <w:rPr>
          <w:rFonts w:hint="default" w:ascii="仿宋_GB2312" w:hAnsi="仿宋" w:eastAsia="仿宋_GB2312" w:cs="Times New Roman"/>
          <w:sz w:val="32"/>
          <w:szCs w:val="32"/>
          <w:highlight w:val="none"/>
          <w:lang w:val="en-US" w:eastAsia="zh-CN"/>
        </w:rPr>
        <w:t>”</w:t>
      </w:r>
      <w:r>
        <w:rPr>
          <w:rFonts w:hint="eastAsia" w:ascii="仿宋_GB2312" w:hAnsi="仿宋" w:eastAsia="仿宋_GB2312" w:cs="Times New Roman"/>
          <w:sz w:val="32"/>
          <w:szCs w:val="32"/>
          <w:highlight w:val="none"/>
          <w:lang w:eastAsia="zh-CN"/>
        </w:rPr>
        <w:t>制度。</w:t>
      </w:r>
      <w:r>
        <w:rPr>
          <w:rFonts w:hint="eastAsia" w:ascii="仿宋_GB2312" w:hAnsi="仿宋" w:eastAsia="仿宋_GB2312" w:cs="Times New Roman"/>
          <w:sz w:val="32"/>
          <w:szCs w:val="32"/>
          <w:highlight w:val="none"/>
        </w:rPr>
        <w:t>全年收支有计划，并按规定列收列支</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没有设立帐外帐和小金库</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没有挪用和互相混用，坐收坐支现金现象。</w:t>
      </w:r>
      <w:r>
        <w:rPr>
          <w:rFonts w:hint="eastAsia" w:ascii="仿宋_GB2312" w:hAnsi="仿宋" w:eastAsia="仿宋_GB2312" w:cs="Times New Roman"/>
          <w:sz w:val="32"/>
          <w:szCs w:val="32"/>
          <w:highlight w:val="none"/>
          <w:lang w:eastAsia="zh-CN"/>
        </w:rPr>
        <w:t>并按财政局要求</w:t>
      </w:r>
      <w:r>
        <w:rPr>
          <w:rFonts w:hint="eastAsia" w:ascii="仿宋_GB2312" w:hAnsi="仿宋" w:eastAsia="仿宋_GB2312" w:cs="Times New Roman"/>
          <w:sz w:val="32"/>
          <w:szCs w:val="32"/>
          <w:highlight w:val="none"/>
        </w:rPr>
        <w:t>完成全年的预、决算工作。</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highlight w:val="none"/>
        </w:rPr>
      </w:pPr>
      <w:r>
        <w:rPr>
          <w:rFonts w:hint="eastAsia" w:ascii="仿宋_GB2312" w:hAnsi="仿宋" w:eastAsia="仿宋_GB2312" w:cs="Times New Roman"/>
          <w:sz w:val="32"/>
          <w:szCs w:val="32"/>
          <w:highlight w:val="none"/>
        </w:rPr>
        <w:t>截至202</w:t>
      </w:r>
      <w:r>
        <w:rPr>
          <w:rFonts w:hint="eastAsia" w:ascii="仿宋_GB2312" w:hAnsi="仿宋" w:eastAsia="仿宋_GB2312" w:cs="Times New Roman"/>
          <w:sz w:val="32"/>
          <w:szCs w:val="32"/>
          <w:highlight w:val="none"/>
          <w:lang w:val="en-US" w:eastAsia="zh-CN"/>
        </w:rPr>
        <w:t>5</w:t>
      </w:r>
      <w:r>
        <w:rPr>
          <w:rFonts w:hint="eastAsia" w:ascii="仿宋_GB2312" w:hAnsi="仿宋" w:eastAsia="仿宋_GB2312" w:cs="Times New Roman"/>
          <w:sz w:val="32"/>
          <w:szCs w:val="32"/>
          <w:highlight w:val="none"/>
        </w:rPr>
        <w:t>年12月31日，</w:t>
      </w:r>
      <w:r>
        <w:rPr>
          <w:rFonts w:hint="eastAsia" w:ascii="仿宋_GB2312" w:eastAsia="仿宋_GB2312"/>
          <w:color w:val="000000" w:themeColor="text1"/>
          <w:sz w:val="32"/>
          <w:szCs w:val="32"/>
          <w:highlight w:val="none"/>
          <w:lang w:eastAsia="zh-CN"/>
          <w14:textFill>
            <w14:solidFill>
              <w14:schemeClr w14:val="tx1"/>
            </w14:solidFill>
          </w14:textFill>
        </w:rPr>
        <w:t>固定资产原值</w:t>
      </w:r>
      <w:r>
        <w:rPr>
          <w:rFonts w:hint="eastAsia" w:ascii="仿宋_GB2312" w:eastAsia="仿宋_GB2312"/>
          <w:color w:val="auto"/>
          <w:sz w:val="32"/>
          <w:szCs w:val="32"/>
          <w:highlight w:val="none"/>
          <w:lang w:val="en-US" w:eastAsia="zh-CN"/>
        </w:rPr>
        <w:t>322,986.00元</w:t>
      </w:r>
      <w:r>
        <w:rPr>
          <w:rFonts w:hint="eastAsia" w:ascii="仿宋_GB2312" w:eastAsia="仿宋_GB2312"/>
          <w:color w:val="auto"/>
          <w:sz w:val="32"/>
          <w:szCs w:val="32"/>
          <w:highlight w:val="none"/>
          <w:lang w:eastAsia="zh-CN"/>
        </w:rPr>
        <w:t>，净值</w:t>
      </w:r>
      <w:r>
        <w:rPr>
          <w:rFonts w:hint="eastAsia" w:ascii="仿宋_GB2312" w:eastAsia="仿宋_GB2312"/>
          <w:color w:val="auto"/>
          <w:sz w:val="32"/>
          <w:szCs w:val="32"/>
          <w:highlight w:val="none"/>
          <w:lang w:val="en-US" w:eastAsia="zh-CN"/>
        </w:rPr>
        <w:t>81,176.44元。2025年配置固定资产960.00元，为采购保密文件柜；处置资产3批次，资产原值199,230.00元。</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预算编制：预算编制的内容包括收入预算、支出预算和采购预算。预算编制工作实行科</w:t>
      </w:r>
      <w:r>
        <w:rPr>
          <w:rFonts w:hint="eastAsia" w:ascii="仿宋_GB2312" w:hAnsi="仿宋" w:eastAsia="仿宋_GB2312" w:cs="Times New Roman"/>
          <w:sz w:val="32"/>
          <w:szCs w:val="32"/>
          <w:highlight w:val="none"/>
          <w:lang w:eastAsia="zh-CN"/>
        </w:rPr>
        <w:t>组</w:t>
      </w:r>
      <w:r>
        <w:rPr>
          <w:rFonts w:hint="eastAsia" w:ascii="仿宋_GB2312" w:hAnsi="仿宋" w:eastAsia="仿宋_GB2312" w:cs="Times New Roman"/>
          <w:sz w:val="32"/>
          <w:szCs w:val="32"/>
          <w:highlight w:val="none"/>
        </w:rPr>
        <w:t>申报、</w:t>
      </w:r>
      <w:r>
        <w:rPr>
          <w:rFonts w:hint="eastAsia" w:ascii="仿宋_GB2312" w:hAnsi="仿宋" w:eastAsia="仿宋_GB2312" w:cs="Times New Roman"/>
          <w:sz w:val="32"/>
          <w:szCs w:val="32"/>
          <w:highlight w:val="none"/>
          <w:lang w:eastAsia="zh-CN"/>
        </w:rPr>
        <w:t>财务</w:t>
      </w:r>
      <w:r>
        <w:rPr>
          <w:rFonts w:hint="eastAsia" w:ascii="仿宋_GB2312" w:hAnsi="仿宋" w:eastAsia="仿宋_GB2312" w:cs="Times New Roman"/>
          <w:sz w:val="32"/>
          <w:szCs w:val="32"/>
          <w:highlight w:val="none"/>
        </w:rPr>
        <w:t>审核汇总、会议研究决定、区财政局审查。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预算执行：严格按照批复和下达的预算执行。预算执行过程中，各</w:t>
      </w:r>
      <w:r>
        <w:rPr>
          <w:rFonts w:hint="eastAsia" w:ascii="仿宋_GB2312" w:hAnsi="仿宋" w:eastAsia="仿宋_GB2312" w:cs="Times New Roman"/>
          <w:sz w:val="32"/>
          <w:szCs w:val="32"/>
          <w:highlight w:val="none"/>
          <w:lang w:eastAsia="zh-CN"/>
        </w:rPr>
        <w:t>科组</w:t>
      </w:r>
      <w:r>
        <w:rPr>
          <w:rFonts w:hint="eastAsia" w:ascii="仿宋_GB2312" w:hAnsi="仿宋" w:eastAsia="仿宋_GB2312" w:cs="Times New Roman"/>
          <w:sz w:val="32"/>
          <w:szCs w:val="32"/>
          <w:highlight w:val="none"/>
        </w:rPr>
        <w:t>严格执行预算和财经制度，</w:t>
      </w:r>
      <w:r>
        <w:rPr>
          <w:rFonts w:hint="eastAsia" w:ascii="仿宋_GB2312" w:hAnsi="仿宋" w:eastAsia="仿宋_GB2312" w:cs="Times New Roman"/>
          <w:sz w:val="32"/>
          <w:szCs w:val="32"/>
          <w:highlight w:val="none"/>
          <w:lang w:eastAsia="zh-CN"/>
        </w:rPr>
        <w:t>无</w:t>
      </w:r>
      <w:r>
        <w:rPr>
          <w:rFonts w:hint="eastAsia" w:ascii="仿宋_GB2312" w:hAnsi="仿宋" w:eastAsia="仿宋_GB2312" w:cs="Times New Roman"/>
          <w:sz w:val="32"/>
          <w:szCs w:val="32"/>
          <w:highlight w:val="none"/>
        </w:rPr>
        <w:t>擅自扩大支出范围、提高开支标准</w:t>
      </w:r>
      <w:r>
        <w:rPr>
          <w:rFonts w:hint="eastAsia" w:ascii="仿宋_GB2312" w:hAnsi="仿宋" w:eastAsia="仿宋_GB2312" w:cs="Times New Roman"/>
          <w:sz w:val="32"/>
          <w:szCs w:val="32"/>
          <w:highlight w:val="none"/>
          <w:lang w:eastAsia="zh-CN"/>
        </w:rPr>
        <w:t>发生</w:t>
      </w:r>
      <w:r>
        <w:rPr>
          <w:rFonts w:hint="eastAsia" w:ascii="仿宋_GB2312" w:hAnsi="仿宋" w:eastAsia="仿宋_GB2312" w:cs="Times New Roman"/>
          <w:sz w:val="32"/>
          <w:szCs w:val="32"/>
          <w:highlight w:val="none"/>
        </w:rPr>
        <w:t>，严格按照预算规定的支出用途使用资金。财政收入预算执行由</w:t>
      </w:r>
      <w:r>
        <w:rPr>
          <w:rFonts w:hint="eastAsia" w:ascii="仿宋_GB2312" w:hAnsi="仿宋" w:eastAsia="仿宋_GB2312" w:cs="Times New Roman"/>
          <w:sz w:val="32"/>
          <w:szCs w:val="32"/>
          <w:highlight w:val="none"/>
          <w:lang w:eastAsia="zh-CN"/>
        </w:rPr>
        <w:t>财务</w:t>
      </w:r>
      <w:r>
        <w:rPr>
          <w:rFonts w:hint="eastAsia" w:ascii="仿宋_GB2312" w:hAnsi="仿宋" w:eastAsia="仿宋_GB2312" w:cs="Times New Roman"/>
          <w:sz w:val="32"/>
          <w:szCs w:val="32"/>
          <w:highlight w:val="none"/>
        </w:rPr>
        <w:t>归口负责，各科</w:t>
      </w:r>
      <w:r>
        <w:rPr>
          <w:rFonts w:hint="eastAsia" w:ascii="仿宋_GB2312" w:hAnsi="仿宋" w:eastAsia="仿宋_GB2312" w:cs="Times New Roman"/>
          <w:sz w:val="32"/>
          <w:szCs w:val="32"/>
          <w:highlight w:val="none"/>
          <w:lang w:eastAsia="zh-CN"/>
        </w:rPr>
        <w:t>组</w:t>
      </w:r>
      <w:r>
        <w:rPr>
          <w:rFonts w:hint="eastAsia" w:ascii="仿宋_GB2312" w:hAnsi="仿宋" w:eastAsia="仿宋_GB2312" w:cs="Times New Roman"/>
          <w:sz w:val="32"/>
          <w:szCs w:val="32"/>
          <w:highlight w:val="none"/>
        </w:rPr>
        <w:t>配合</w:t>
      </w:r>
      <w:r>
        <w:rPr>
          <w:rFonts w:hint="eastAsia" w:ascii="仿宋_GB2312" w:hAnsi="仿宋" w:eastAsia="仿宋_GB2312" w:cs="Times New Roman"/>
          <w:sz w:val="32"/>
          <w:szCs w:val="32"/>
          <w:highlight w:val="none"/>
          <w:lang w:eastAsia="zh-CN"/>
        </w:rPr>
        <w:t>支出</w:t>
      </w:r>
      <w:r>
        <w:rPr>
          <w:rFonts w:hint="eastAsia" w:ascii="仿宋_GB2312" w:hAnsi="仿宋" w:eastAsia="仿宋_GB2312" w:cs="Times New Roman"/>
          <w:sz w:val="32"/>
          <w:szCs w:val="32"/>
          <w:highlight w:val="none"/>
        </w:rPr>
        <w:t>；财政账户利息收入按要求上缴区财政。财政支出预算执行，实行分类管理制度。财政支出严格按照内控制度中预算执行的申请审批程序进行审批。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预算调剂和调整：预算支出应当按照预算科目执行，严禁不同预算科目或者项目间的预算资金的调剂。确需调剂使用的，履行集体决策后，严格按照内控制度程序办理。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highlight w:val="none"/>
        </w:rPr>
      </w:pPr>
      <w:r>
        <w:rPr>
          <w:rFonts w:hint="eastAsia" w:ascii="仿宋_GB2312" w:hAnsi="仿宋" w:eastAsia="仿宋_GB2312" w:cs="Times New Roman"/>
          <w:sz w:val="32"/>
          <w:szCs w:val="32"/>
          <w:highlight w:val="none"/>
        </w:rPr>
        <w:t>预算公开范围、途径、时限：我单位严格按照预算管理制度执行。</w:t>
      </w:r>
      <w:r>
        <w:rPr>
          <w:rFonts w:hint="eastAsia" w:ascii="仿宋_GB2312" w:hAnsi="仿宋" w:eastAsia="仿宋_GB2312" w:cs="Times New Roman"/>
          <w:sz w:val="32"/>
          <w:szCs w:val="32"/>
          <w:highlight w:val="none"/>
          <w:lang w:eastAsia="zh-CN"/>
        </w:rPr>
        <w:t>并</w:t>
      </w:r>
      <w:r>
        <w:rPr>
          <w:rFonts w:hint="eastAsia" w:ascii="仿宋_GB2312" w:hAnsi="仿宋" w:eastAsia="仿宋_GB2312" w:cs="Times New Roman"/>
          <w:sz w:val="32"/>
          <w:szCs w:val="32"/>
          <w:highlight w:val="none"/>
        </w:rPr>
        <w:t>根据财政局预算公开的要求，及时对部门预算进行公开。</w:t>
      </w:r>
    </w:p>
    <w:p>
      <w:pPr>
        <w:spacing w:line="580" w:lineRule="exact"/>
        <w:ind w:firstLine="640"/>
        <w:rPr>
          <w:rFonts w:hint="eastAsia" w:ascii="仿宋_GB2312" w:eastAsia="仿宋_GB2312"/>
          <w:sz w:val="32"/>
          <w:szCs w:val="32"/>
          <w:highlight w:val="none"/>
        </w:rPr>
      </w:pPr>
      <w:r>
        <w:rPr>
          <w:rFonts w:hint="eastAsia" w:ascii="仿宋_GB2312" w:eastAsia="仿宋_GB2312"/>
          <w:sz w:val="32"/>
          <w:szCs w:val="32"/>
          <w:highlight w:val="none"/>
        </w:rPr>
        <w:t>（2）绩效目标管理情况</w:t>
      </w:r>
    </w:p>
    <w:p>
      <w:pPr>
        <w:spacing w:line="580" w:lineRule="exact"/>
        <w:ind w:firstLine="640"/>
        <w:rPr>
          <w:rFonts w:hint="eastAsia" w:ascii="仿宋_GB2312" w:eastAsia="仿宋_GB2312"/>
          <w:sz w:val="32"/>
          <w:szCs w:val="32"/>
          <w:highlight w:val="none"/>
        </w:rPr>
      </w:pPr>
      <w:r>
        <w:rPr>
          <w:rFonts w:hint="eastAsia" w:ascii="仿宋_GB2312" w:eastAsia="仿宋_GB2312"/>
          <w:sz w:val="32"/>
          <w:szCs w:val="32"/>
          <w:highlight w:val="none"/>
        </w:rPr>
        <w:t>2025年部门预算项目</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个，部门预算公开绩效目标的预算项目</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个，占本部门全部预算项目的</w:t>
      </w:r>
      <w:r>
        <w:rPr>
          <w:rFonts w:hint="eastAsia" w:ascii="仿宋_GB2312" w:eastAsia="仿宋_GB2312"/>
          <w:sz w:val="32"/>
          <w:szCs w:val="32"/>
          <w:highlight w:val="none"/>
          <w:lang w:val="en-US" w:eastAsia="zh-CN"/>
        </w:rPr>
        <w:t>100.0</w:t>
      </w:r>
      <w:r>
        <w:rPr>
          <w:rFonts w:hint="eastAsia" w:ascii="仿宋_GB2312" w:eastAsia="仿宋_GB2312"/>
          <w:sz w:val="32"/>
          <w:szCs w:val="32"/>
          <w:highlight w:val="none"/>
        </w:rPr>
        <w:t>%。</w:t>
      </w:r>
    </w:p>
    <w:p>
      <w:pPr>
        <w:spacing w:line="580" w:lineRule="exact"/>
        <w:ind w:firstLine="640"/>
        <w:rPr>
          <w:rFonts w:hint="eastAsia" w:ascii="仿宋_GB2312" w:eastAsia="仿宋_GB2312"/>
          <w:sz w:val="32"/>
          <w:szCs w:val="32"/>
          <w:highlight w:val="none"/>
        </w:rPr>
      </w:pPr>
      <w:r>
        <w:rPr>
          <w:rFonts w:hint="eastAsia" w:ascii="仿宋_GB2312" w:eastAsia="仿宋_GB2312"/>
          <w:sz w:val="32"/>
          <w:szCs w:val="32"/>
          <w:highlight w:val="none"/>
        </w:rPr>
        <w:t>（3）绩效自评情况</w:t>
      </w:r>
    </w:p>
    <w:p>
      <w:pPr>
        <w:spacing w:line="580" w:lineRule="exact"/>
        <w:ind w:firstLine="640"/>
        <w:rPr>
          <w:rFonts w:hint="eastAsia" w:ascii="仿宋_GB2312" w:eastAsia="仿宋_GB2312"/>
          <w:sz w:val="32"/>
          <w:szCs w:val="32"/>
          <w:highlight w:val="none"/>
        </w:rPr>
      </w:pPr>
      <w:r>
        <w:rPr>
          <w:rFonts w:hint="eastAsia" w:ascii="仿宋_GB2312" w:eastAsia="仿宋_GB2312"/>
          <w:sz w:val="32"/>
          <w:szCs w:val="32"/>
          <w:highlight w:val="none"/>
        </w:rPr>
        <w:t>2025年对本部门及所属单位2024年项目支出实施了绩效自评，评价项目</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个，涉及金额</w:t>
      </w:r>
      <w:r>
        <w:rPr>
          <w:rFonts w:hint="eastAsia" w:ascii="仿宋_GB2312" w:eastAsia="仿宋_GB2312"/>
          <w:sz w:val="32"/>
          <w:szCs w:val="32"/>
          <w:highlight w:val="none"/>
          <w:lang w:val="en-US" w:eastAsia="zh-CN"/>
        </w:rPr>
        <w:t>43,521.08</w:t>
      </w:r>
      <w:r>
        <w:rPr>
          <w:rFonts w:hint="eastAsia" w:ascii="仿宋_GB2312" w:eastAsia="仿宋_GB2312"/>
          <w:sz w:val="32"/>
          <w:szCs w:val="32"/>
          <w:highlight w:val="none"/>
        </w:rPr>
        <w:t>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100</w:t>
      </w:r>
      <w:r>
        <w:rPr>
          <w:rFonts w:hint="eastAsia" w:ascii="仿宋_GB2312" w:eastAsia="仿宋_GB2312"/>
          <w:sz w:val="32"/>
          <w:szCs w:val="32"/>
        </w:rPr>
        <w:t>分</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hAnsi="仿宋_GB2312" w:eastAsia="仿宋_GB2312" w:cs="仿宋_GB2312"/>
          <w:sz w:val="32"/>
          <w:szCs w:val="32"/>
        </w:rPr>
      </w:pPr>
      <w:r>
        <w:rPr>
          <w:rFonts w:hint="eastAsia" w:ascii="仿宋_GB2312" w:eastAsia="仿宋_GB2312"/>
          <w:sz w:val="32"/>
          <w:szCs w:val="32"/>
        </w:rPr>
        <w:t>（1）</w:t>
      </w:r>
      <w:r>
        <w:rPr>
          <w:rFonts w:hint="eastAsia" w:ascii="仿宋_GB2312" w:hAnsi="仿宋_GB2312" w:eastAsia="仿宋_GB2312" w:cs="仿宋_GB2312"/>
          <w:sz w:val="32"/>
          <w:szCs w:val="32"/>
        </w:rPr>
        <w:t>预算编制</w:t>
      </w:r>
      <w:r>
        <w:rPr>
          <w:rFonts w:hint="eastAsia" w:ascii="仿宋_GB2312" w:hAnsi="仿宋_GB2312" w:eastAsia="仿宋_GB2312" w:cs="仿宋_GB2312"/>
          <w:sz w:val="32"/>
          <w:szCs w:val="32"/>
          <w:lang w:eastAsia="zh-CN"/>
        </w:rPr>
        <w:t>前瞻性、科学性有待加强。尤其是</w:t>
      </w:r>
      <w:r>
        <w:rPr>
          <w:rFonts w:hint="eastAsia" w:ascii="仿宋_GB2312" w:hAnsi="仿宋_GB2312" w:eastAsia="仿宋_GB2312" w:cs="仿宋_GB2312"/>
          <w:sz w:val="32"/>
          <w:szCs w:val="32"/>
        </w:rPr>
        <w:t>项目预算支出进度</w:t>
      </w:r>
      <w:r>
        <w:rPr>
          <w:rFonts w:hint="eastAsia" w:ascii="仿宋_GB2312" w:hAnsi="仿宋_GB2312" w:eastAsia="仿宋_GB2312" w:cs="仿宋_GB2312"/>
          <w:sz w:val="32"/>
          <w:szCs w:val="32"/>
          <w:lang w:eastAsia="zh-CN"/>
        </w:rPr>
        <w:t>安排</w:t>
      </w:r>
      <w:r>
        <w:rPr>
          <w:rFonts w:hint="eastAsia" w:ascii="仿宋_GB2312" w:hAnsi="仿宋_GB2312" w:eastAsia="仿宋_GB2312" w:cs="仿宋_GB2312"/>
          <w:sz w:val="32"/>
          <w:szCs w:val="32"/>
        </w:rPr>
        <w:t>，需要进一步细化。</w:t>
      </w:r>
    </w:p>
    <w:p>
      <w:pPr>
        <w:spacing w:line="580" w:lineRule="exact"/>
        <w:ind w:firstLine="640"/>
        <w:rPr>
          <w:rFonts w:hint="eastAsia" w:ascii="仿宋_GB2312" w:hAnsi="仿宋_GB2312" w:eastAsia="仿宋_GB2312" w:cs="仿宋_GB2312"/>
          <w:sz w:val="32"/>
          <w:szCs w:val="32"/>
        </w:rPr>
      </w:pPr>
      <w:r>
        <w:rPr>
          <w:rFonts w:hint="eastAsia" w:ascii="仿宋_GB2312" w:eastAsia="仿宋_GB2312"/>
          <w:sz w:val="32"/>
          <w:szCs w:val="32"/>
        </w:rPr>
        <w:t>（2）</w:t>
      </w:r>
      <w:r>
        <w:rPr>
          <w:rFonts w:hint="eastAsia" w:ascii="仿宋_GB2312" w:hAnsi="仿宋_GB2312" w:eastAsia="仿宋_GB2312" w:cs="仿宋_GB2312"/>
          <w:sz w:val="32"/>
          <w:szCs w:val="32"/>
        </w:rPr>
        <w:t>根据我单位工作职责实际情况，</w:t>
      </w:r>
      <w:r>
        <w:rPr>
          <w:rFonts w:hint="eastAsia" w:ascii="仿宋_GB2312" w:hAnsi="仿宋_GB2312" w:eastAsia="仿宋_GB2312" w:cs="仿宋_GB2312"/>
          <w:sz w:val="32"/>
          <w:szCs w:val="32"/>
          <w:lang w:eastAsia="zh-CN"/>
        </w:rPr>
        <w:t>项目支出类型相对固定且支出单一，</w:t>
      </w:r>
      <w:r>
        <w:rPr>
          <w:rFonts w:hint="eastAsia" w:ascii="仿宋_GB2312" w:hAnsi="仿宋_GB2312" w:eastAsia="仿宋_GB2312" w:cs="仿宋_GB2312"/>
          <w:sz w:val="32"/>
          <w:szCs w:val="32"/>
        </w:rPr>
        <w:t>绩效</w:t>
      </w:r>
      <w:r>
        <w:rPr>
          <w:rFonts w:hint="eastAsia" w:ascii="仿宋_GB2312" w:hAnsi="仿宋_GB2312" w:eastAsia="仿宋_GB2312" w:cs="仿宋_GB2312"/>
          <w:sz w:val="32"/>
          <w:szCs w:val="32"/>
          <w:lang w:eastAsia="zh-CN"/>
        </w:rPr>
        <w:t>评价考核指标偏少，难以全面客观反映项目实施成效</w:t>
      </w:r>
      <w:r>
        <w:rPr>
          <w:rFonts w:hint="eastAsia" w:ascii="仿宋_GB2312" w:hAnsi="仿宋_GB2312" w:eastAsia="仿宋_GB2312" w:cs="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keepNext w:val="0"/>
        <w:keepLines w:val="0"/>
        <w:pageBreakBefore w:val="0"/>
        <w:kinsoku/>
        <w:wordWrap/>
        <w:overflowPunct/>
        <w:topLinePunct w:val="0"/>
        <w:autoSpaceDE/>
        <w:autoSpaceDN/>
        <w:bidi w:val="0"/>
        <w:adjustRightInd/>
        <w:snapToGrid/>
        <w:spacing w:line="560" w:lineRule="exact"/>
        <w:ind w:firstLine="634"/>
        <w:textAlignment w:val="auto"/>
        <w:outlineLvl w:val="9"/>
        <w:rPr>
          <w:rFonts w:hint="eastAsia" w:ascii="仿宋_GB2312" w:eastAsia="仿宋_GB2312"/>
          <w:sz w:val="32"/>
          <w:szCs w:val="32"/>
        </w:rPr>
      </w:pPr>
      <w:r>
        <w:rPr>
          <w:rFonts w:hint="eastAsia" w:ascii="仿宋_GB2312" w:eastAsia="仿宋_GB2312"/>
          <w:sz w:val="32"/>
          <w:szCs w:val="32"/>
        </w:rPr>
        <w:t>（1）</w:t>
      </w:r>
      <w:r>
        <w:rPr>
          <w:rFonts w:hint="eastAsia" w:ascii="仿宋_GB2312" w:hAnsi="仿宋_GB2312" w:eastAsia="仿宋_GB2312" w:cs="仿宋_GB2312"/>
          <w:sz w:val="32"/>
          <w:szCs w:val="32"/>
          <w:lang w:eastAsia="zh-CN"/>
        </w:rPr>
        <w:t>进一步加强</w:t>
      </w:r>
      <w:r>
        <w:rPr>
          <w:rFonts w:hint="eastAsia" w:ascii="仿宋_GB2312" w:hAnsi="仿宋_GB2312" w:eastAsia="仿宋_GB2312" w:cs="仿宋_GB2312"/>
          <w:sz w:val="32"/>
          <w:szCs w:val="32"/>
        </w:rPr>
        <w:t>预算项目具体化、精准化，</w:t>
      </w:r>
      <w:r>
        <w:rPr>
          <w:rFonts w:hint="eastAsia" w:ascii="仿宋_GB2312" w:hAnsi="仿宋_GB2312" w:eastAsia="仿宋_GB2312" w:cs="仿宋_GB2312"/>
          <w:sz w:val="32"/>
          <w:szCs w:val="32"/>
          <w:lang w:eastAsia="zh-CN"/>
        </w:rPr>
        <w:t>从而</w:t>
      </w:r>
      <w:r>
        <w:rPr>
          <w:rFonts w:hint="eastAsia" w:ascii="仿宋_GB2312" w:hAnsi="仿宋_GB2312" w:eastAsia="仿宋_GB2312" w:cs="仿宋_GB2312"/>
          <w:sz w:val="32"/>
          <w:szCs w:val="32"/>
        </w:rPr>
        <w:t>提高财务预算的科学性、指导性和规范性。</w:t>
      </w:r>
    </w:p>
    <w:p>
      <w:pPr>
        <w:keepNext w:val="0"/>
        <w:keepLines w:val="0"/>
        <w:pageBreakBefore w:val="0"/>
        <w:kinsoku/>
        <w:wordWrap/>
        <w:overflowPunct/>
        <w:topLinePunct w:val="0"/>
        <w:autoSpaceDE/>
        <w:autoSpaceDN/>
        <w:bidi w:val="0"/>
        <w:adjustRightInd/>
        <w:snapToGrid/>
        <w:spacing w:line="560" w:lineRule="exact"/>
        <w:ind w:firstLine="636"/>
        <w:textAlignment w:val="auto"/>
        <w:outlineLvl w:val="9"/>
        <w:rPr>
          <w:sz w:val="32"/>
          <w:szCs w:val="32"/>
        </w:rPr>
      </w:pPr>
      <w:r>
        <w:rPr>
          <w:rFonts w:hint="eastAsia" w:ascii="仿宋_GB2312" w:eastAsia="仿宋_GB2312"/>
          <w:sz w:val="32"/>
          <w:szCs w:val="32"/>
        </w:rPr>
        <w:t>（2）</w:t>
      </w:r>
      <w:r>
        <w:rPr>
          <w:rFonts w:hint="eastAsia" w:ascii="仿宋_GB2312" w:hAnsi="仿宋_GB2312" w:eastAsia="仿宋_GB2312" w:cs="仿宋_GB2312"/>
          <w:sz w:val="32"/>
          <w:szCs w:val="32"/>
        </w:rPr>
        <w:t>加强绩效管理工作</w:t>
      </w:r>
      <w:r>
        <w:rPr>
          <w:rFonts w:hint="eastAsia" w:ascii="仿宋_GB2312" w:hAnsi="仿宋_GB2312" w:eastAsia="仿宋_GB2312" w:cs="仿宋_GB2312"/>
          <w:sz w:val="32"/>
          <w:szCs w:val="32"/>
          <w:lang w:eastAsia="zh-CN"/>
        </w:rPr>
        <w:t>，强化</w:t>
      </w:r>
      <w:r>
        <w:rPr>
          <w:rFonts w:hint="eastAsia" w:ascii="仿宋_GB2312" w:hAnsi="仿宋_GB2312" w:eastAsia="仿宋_GB2312" w:cs="仿宋_GB2312"/>
          <w:sz w:val="32"/>
          <w:szCs w:val="32"/>
        </w:rPr>
        <w:t>绩效目标制定</w:t>
      </w:r>
      <w:r>
        <w:rPr>
          <w:rFonts w:hint="eastAsia" w:ascii="仿宋_GB2312" w:hAnsi="仿宋_GB2312" w:eastAsia="仿宋_GB2312" w:cs="仿宋_GB2312"/>
          <w:sz w:val="32"/>
          <w:szCs w:val="32"/>
          <w:lang w:eastAsia="zh-CN"/>
        </w:rPr>
        <w:t>和项目实施衔接，确保评价结果全面、客观、精准</w:t>
      </w:r>
      <w:r>
        <w:rPr>
          <w:rFonts w:hint="eastAsia" w:ascii="仿宋_GB2312" w:hAnsi="仿宋_GB2312" w:eastAsia="仿宋_GB2312" w:cs="仿宋_GB2312"/>
          <w:sz w:val="32"/>
          <w:szCs w:val="32"/>
        </w:rPr>
        <w:t>。</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3</w:t>
      </w:r>
      <w:r>
        <w:rPr>
          <w:rFonts w:hint="eastAsia" w:ascii="仿宋_GB2312" w:eastAsia="仿宋_GB2312"/>
          <w:sz w:val="32"/>
          <w:szCs w:val="32"/>
        </w:rPr>
        <w:t>个，涉及金额</w:t>
      </w:r>
      <w:r>
        <w:rPr>
          <w:rFonts w:hint="eastAsia" w:ascii="仿宋_GB2312" w:eastAsia="仿宋_GB2312"/>
          <w:sz w:val="32"/>
          <w:szCs w:val="32"/>
          <w:highlight w:val="none"/>
          <w:lang w:val="en-US" w:eastAsia="zh-CN"/>
        </w:rPr>
        <w:t>35,233.00</w:t>
      </w:r>
      <w:r>
        <w:rPr>
          <w:rFonts w:hint="eastAsia" w:ascii="仿宋_GB2312" w:eastAsia="仿宋_GB2312"/>
          <w:sz w:val="32"/>
          <w:szCs w:val="32"/>
          <w:highlight w:val="none"/>
        </w:rPr>
        <w:t>元。本次实施绩效自评项目</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个，涉及金额</w:t>
      </w:r>
      <w:r>
        <w:rPr>
          <w:rFonts w:hint="eastAsia" w:ascii="仿宋_GB2312" w:eastAsia="仿宋_GB2312"/>
          <w:sz w:val="32"/>
          <w:szCs w:val="32"/>
          <w:highlight w:val="none"/>
          <w:lang w:val="en-US" w:eastAsia="zh-CN"/>
        </w:rPr>
        <w:t>35,233.00</w:t>
      </w:r>
      <w:r>
        <w:rPr>
          <w:rFonts w:hint="eastAsia" w:ascii="仿宋_GB2312" w:eastAsia="仿宋_GB2312"/>
          <w:sz w:val="32"/>
          <w:szCs w:val="32"/>
          <w:highlight w:val="none"/>
        </w:rPr>
        <w:t>元。评价得分在90分（含90分）以上的</w:t>
      </w:r>
      <w:r>
        <w:rPr>
          <w:rFonts w:hint="eastAsia" w:ascii="仿宋_GB2312" w:eastAsia="仿宋_GB2312"/>
          <w:sz w:val="32"/>
          <w:szCs w:val="32"/>
          <w:lang w:val="en-US" w:eastAsia="zh-CN"/>
        </w:rPr>
        <w:t>3</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w:t>
      </w:r>
      <w:r>
        <w:rPr>
          <w:rFonts w:hint="eastAsia" w:ascii="仿宋_GB2312" w:eastAsia="仿宋_GB2312"/>
          <w:sz w:val="32"/>
          <w:szCs w:val="32"/>
          <w:lang w:eastAsia="zh-CN"/>
        </w:rPr>
        <w:t>公开</w:t>
      </w:r>
      <w:bookmarkStart w:id="4" w:name="_GoBack"/>
      <w:bookmarkEnd w:id="4"/>
      <w:r>
        <w:rPr>
          <w:rFonts w:hint="eastAsia" w:ascii="仿宋_GB2312" w:eastAsia="仿宋_GB2312"/>
          <w:sz w:val="32"/>
          <w:szCs w:val="32"/>
        </w:rPr>
        <w:t>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w:t>
      </w:r>
      <w:r>
        <w:rPr>
          <w:rFonts w:hint="eastAsia" w:ascii="仿宋_GB2312" w:eastAsia="仿宋_GB2312"/>
          <w:sz w:val="32"/>
          <w:szCs w:val="32"/>
          <w:lang w:val="en-US" w:eastAsia="zh-CN"/>
        </w:rPr>
        <w:t>g公开</w:t>
      </w:r>
      <w:r>
        <w:rPr>
          <w:rFonts w:hint="eastAsia" w:ascii="仿宋_GB2312" w:eastAsia="仿宋_GB2312"/>
          <w:sz w:val="32"/>
          <w:szCs w:val="32"/>
        </w:rPr>
        <w:t>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ￋￎￌ￥">
    <w:altName w:val="新宋体"/>
    <w:panose1 w:val="02010600030101010101"/>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3</w:t>
    </w:r>
    <w: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16</w:t>
    </w:r>
    <w:r>
      <w:fldChar w:fldCharType="end"/>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2DBFEC"/>
    <w:multiLevelType w:val="singleLevel"/>
    <w:tmpl w:val="A12DBFEC"/>
    <w:lvl w:ilvl="0" w:tentative="0">
      <w:start w:val="2"/>
      <w:numFmt w:val="decimal"/>
      <w:suff w:val="nothing"/>
      <w:lvlText w:val="（%1）"/>
      <w:lvlJc w:val="left"/>
    </w:lvl>
  </w:abstractNum>
  <w:abstractNum w:abstractNumId="1">
    <w:nsid w:val="FD34ACCB"/>
    <w:multiLevelType w:val="singleLevel"/>
    <w:tmpl w:val="FD34ACCB"/>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E0C2B33"/>
    <w:rsid w:val="0F8E2C57"/>
    <w:rsid w:val="1059665E"/>
    <w:rsid w:val="10AC13BA"/>
    <w:rsid w:val="11980797"/>
    <w:rsid w:val="145A6C1B"/>
    <w:rsid w:val="14B73493"/>
    <w:rsid w:val="167A2FF9"/>
    <w:rsid w:val="17E05399"/>
    <w:rsid w:val="18581C69"/>
    <w:rsid w:val="186D28E5"/>
    <w:rsid w:val="1AEC0734"/>
    <w:rsid w:val="1C203C3A"/>
    <w:rsid w:val="1DEF20B0"/>
    <w:rsid w:val="1EE447D7"/>
    <w:rsid w:val="1EFB013E"/>
    <w:rsid w:val="214243FA"/>
    <w:rsid w:val="21AD613C"/>
    <w:rsid w:val="22467189"/>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71793A80"/>
    <w:rsid w:val="7357290B"/>
    <w:rsid w:val="750C7E38"/>
    <w:rsid w:val="778562E6"/>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CFFD7502"/>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 w:val="FF714E19"/>
    <w:rsid w:val="FFD95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2">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w:basedOn w:val="1"/>
    <w:next w:val="5"/>
    <w:qFormat/>
    <w:uiPriority w:val="0"/>
    <w:pPr>
      <w:spacing w:before="0" w:after="140" w:line="276" w:lineRule="auto"/>
    </w:pPr>
  </w:style>
  <w:style w:type="paragraph" w:customStyle="1" w:styleId="5">
    <w:name w:val="toc 11"/>
    <w:next w:val="1"/>
    <w:unhideWhenUsed/>
    <w:qFormat/>
    <w:uiPriority w:val="0"/>
    <w:pPr>
      <w:wordWrap w:val="0"/>
      <w:jc w:val="both"/>
    </w:pPr>
    <w:rPr>
      <w:rFonts w:hint="default" w:ascii="Times New Roman" w:hAnsi="Times New Roman" w:eastAsia="ￋￎￌ￥" w:cs="Times New Roman"/>
      <w:sz w:val="21"/>
      <w:szCs w:val="24"/>
      <w:lang w:val="en-US" w:eastAsia="zh-CN"/>
    </w:rPr>
  </w:style>
  <w:style w:type="paragraph" w:styleId="6">
    <w:name w:val="Body Text Indent"/>
    <w:basedOn w:val="1"/>
    <w:qFormat/>
    <w:uiPriority w:val="0"/>
    <w:pPr>
      <w:ind w:firstLine="645"/>
    </w:pPr>
    <w:rPr>
      <w:rFonts w:ascii="仿宋_GB2312" w:hAnsi="Calibri" w:eastAsia="仿宋_GB2312"/>
      <w:sz w:val="32"/>
      <w:szCs w:val="32"/>
    </w:rPr>
  </w:style>
  <w:style w:type="paragraph" w:styleId="7">
    <w:name w:val="Date"/>
    <w:basedOn w:val="1"/>
    <w:next w:val="1"/>
    <w:qFormat/>
    <w:uiPriority w:val="0"/>
    <w:pPr>
      <w:ind w:left="100" w:leftChars="2500"/>
    </w:pPr>
  </w:style>
  <w:style w:type="paragraph" w:styleId="8">
    <w:name w:val="Balloon Text"/>
    <w:basedOn w:val="1"/>
    <w:semiHidden/>
    <w:qFormat/>
    <w:uiPriority w:val="0"/>
    <w:rPr>
      <w:sz w:val="18"/>
      <w:szCs w:val="18"/>
    </w:rPr>
  </w:style>
  <w:style w:type="paragraph" w:styleId="9">
    <w:name w:val="footer"/>
    <w:basedOn w:val="1"/>
    <w:link w:val="16"/>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1">
    <w:name w:val="Normal (Web)"/>
    <w:basedOn w:val="1"/>
    <w:unhideWhenUsed/>
    <w:qFormat/>
    <w:uiPriority w:val="0"/>
    <w:pPr>
      <w:spacing w:before="100" w:beforeAutospacing="1" w:after="100" w:afterAutospacing="1"/>
      <w:ind w:right="238"/>
      <w:jc w:val="left"/>
    </w:pPr>
    <w:rPr>
      <w:b/>
      <w:kern w:val="0"/>
      <w:sz w:val="24"/>
      <w:szCs w:val="20"/>
    </w:rPr>
  </w:style>
  <w:style w:type="character" w:styleId="13">
    <w:name w:val="Strong"/>
    <w:qFormat/>
    <w:uiPriority w:val="0"/>
    <w:rPr>
      <w:b/>
    </w:rPr>
  </w:style>
  <w:style w:type="character" w:styleId="14">
    <w:name w:val="page number"/>
    <w:qFormat/>
    <w:uiPriority w:val="0"/>
  </w:style>
  <w:style w:type="character" w:customStyle="1" w:styleId="16">
    <w:name w:val="页脚 Char"/>
    <w:link w:val="9"/>
    <w:qFormat/>
    <w:uiPriority w:val="0"/>
    <w:rPr>
      <w:rFonts w:eastAsia="宋体"/>
      <w:kern w:val="2"/>
      <w:sz w:val="18"/>
      <w:szCs w:val="18"/>
      <w:lang w:val="en-US" w:eastAsia="zh-CN" w:bidi="ar-SA"/>
    </w:rPr>
  </w:style>
  <w:style w:type="character" w:customStyle="1" w:styleId="17">
    <w:name w:val="页眉 Char"/>
    <w:link w:val="10"/>
    <w:qFormat/>
    <w:uiPriority w:val="0"/>
    <w:rPr>
      <w:rFonts w:ascii="Calibri" w:hAnsi="Calibri" w:eastAsia="宋体"/>
      <w:kern w:val="2"/>
      <w:sz w:val="18"/>
      <w:szCs w:val="18"/>
      <w:lang w:val="en-US" w:eastAsia="zh-CN" w:bidi="ar-SA"/>
    </w:rPr>
  </w:style>
  <w:style w:type="paragraph" w:customStyle="1" w:styleId="18">
    <w:name w:val="Char Char Char Char Char Char Char"/>
    <w:basedOn w:val="1"/>
    <w:qFormat/>
    <w:uiPriority w:val="0"/>
    <w:rPr>
      <w:rFonts w:ascii="Tahoma" w:hAnsi="Tahoma"/>
      <w:sz w:val="24"/>
      <w:szCs w:val="20"/>
    </w:rPr>
  </w:style>
  <w:style w:type="paragraph" w:customStyle="1" w:styleId="19">
    <w:name w:val="Char1 Char Char Char"/>
    <w:basedOn w:val="1"/>
    <w:qFormat/>
    <w:uiPriority w:val="0"/>
    <w:pPr>
      <w:widowControl/>
      <w:spacing w:after="160" w:line="240" w:lineRule="exact"/>
      <w:jc w:val="left"/>
    </w:pPr>
    <w:rPr>
      <w:szCs w:val="20"/>
    </w:rPr>
  </w:style>
  <w:style w:type="paragraph" w:customStyle="1" w:styleId="20">
    <w:name w:val="Char"/>
    <w:basedOn w:val="1"/>
    <w:qFormat/>
    <w:uiPriority w:val="0"/>
    <w:rPr>
      <w:rFonts w:ascii="Tahoma" w:hAnsi="Tahoma"/>
      <w:sz w:val="24"/>
      <w:szCs w:val="20"/>
    </w:rPr>
  </w:style>
  <w:style w:type="paragraph" w:customStyle="1" w:styleId="21">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441.55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675240483766278"/>
                  <c:y val="-0.0081657407430987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111250379491698"/>
                  <c:y val="0.05538796296532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140794324914166"/>
                  <c:y val="0.030187155435988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438.02</c:v>
                </c:pt>
                <c:pt idx="1">
                  <c:v>3.52</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3958</Words>
  <Characters>6108</Characters>
  <Lines>47</Lines>
  <Paragraphs>13</Paragraphs>
  <TotalTime>12</TotalTime>
  <ScaleCrop>false</ScaleCrop>
  <LinksUpToDate>false</LinksUpToDate>
  <CharactersWithSpaces>6191</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2017-07-12T07:16:00Z</dcterms:created>
  <dc:creator>常程</dc:creator>
  <cp:lastModifiedBy>yang</cp:lastModifiedBy>
  <cp:lastPrinted>2026-08-22T00:51:00Z</cp:lastPrinted>
  <dcterms:modified xsi:type="dcterms:W3CDTF">2026-08-28T02:01:12Z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