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北京市门头沟区文明促进中心（简称区文明促进中心），为区委直属公益一类事业单位,机构规格为正处级，经费形式为财政补助(全额拨款)。区文明促进中心的主要职责是:</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1.贯彻落实中央、市委、区委关于新时代文明实践工作决策部署,研究制定相关工作规划和具体措施。</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2.负责全区新时代文明实践工作的统筹协调、指导服务和督查考核，负责新时代文明实践线上平台的运营维护。</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3.负责统筹协调新时代文明实践志愿服务工作，做好志愿者队伍培育、登记注册、典型选树等工作。</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4.负责打造“门头沟热心人”群众性文明品牌，组织志愿队伍开展文明促进实践活动。</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5.负责落实中央文明办、首都文明办，以及区委区政府关于文明创建决策部署和工作要求，协助指导全区文明创建工作。</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6.负责创建全国文明城区的协调调度、指导联络、宣传培训和检查评估。负责推进落实实地检查、材料申报、问卷调查、负面清单等各项工作。</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7.负责推动文明行为促进工作与经济社会协调发展，推进文明促进工作、全国文明城区创建、区域特色文化品牌有机融合。</w:t>
      </w:r>
    </w:p>
    <w:p>
      <w:pPr>
        <w:tabs>
          <w:tab w:val="center" w:pos="6979"/>
        </w:tabs>
        <w:spacing w:line="580" w:lineRule="exact"/>
        <w:ind w:firstLine="700" w:firstLineChars="250"/>
      </w:pPr>
      <w:r>
        <w:rPr>
          <w:rFonts w:hint="eastAsia" w:ascii="仿宋_GB2312" w:eastAsia="仿宋_GB2312"/>
          <w:sz w:val="28"/>
          <w:szCs w:val="28"/>
        </w:rPr>
        <w:t>8.完成区委</w:t>
      </w:r>
      <w:r>
        <w:rPr>
          <w:rFonts w:hint="eastAsia" w:ascii="仿宋_GB2312" w:eastAsia="仿宋_GB2312"/>
          <w:sz w:val="28"/>
          <w:szCs w:val="28"/>
          <w:lang w:eastAsia="zh-CN"/>
        </w:rPr>
        <w:t>区政府</w:t>
      </w:r>
      <w:r>
        <w:rPr>
          <w:rFonts w:hint="eastAsia" w:ascii="仿宋_GB2312" w:eastAsia="仿宋_GB2312"/>
          <w:sz w:val="28"/>
          <w:szCs w:val="28"/>
        </w:rPr>
        <w:t>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80" w:lineRule="exact"/>
        <w:ind w:firstLine="700" w:firstLineChars="250"/>
      </w:pPr>
      <w:r>
        <w:rPr>
          <w:rFonts w:hint="eastAsia" w:ascii="仿宋_GB2312" w:eastAsia="仿宋_GB2312"/>
          <w:sz w:val="28"/>
          <w:szCs w:val="28"/>
        </w:rPr>
        <w:t>本部门共设7个内设机构。</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066</w:t>
      </w:r>
      <w:r>
        <w:rPr>
          <w:rFonts w:hint="eastAsia" w:ascii="仿宋_GB2312" w:eastAsia="仿宋_GB2312"/>
          <w:sz w:val="28"/>
          <w:szCs w:val="28"/>
          <w:lang w:val="en-US" w:eastAsia="zh-CN"/>
        </w:rPr>
        <w:t>,</w:t>
      </w:r>
      <w:r>
        <w:rPr>
          <w:rFonts w:ascii="仿宋_GB2312" w:eastAsia="仿宋_GB2312"/>
          <w:sz w:val="28"/>
          <w:szCs w:val="28"/>
        </w:rPr>
        <w:t>935.83</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14</w:t>
      </w:r>
      <w:r>
        <w:rPr>
          <w:rFonts w:hint="eastAsia" w:ascii="仿宋_GB2312" w:eastAsia="仿宋_GB2312"/>
          <w:sz w:val="28"/>
          <w:szCs w:val="28"/>
          <w:lang w:val="en-US" w:eastAsia="zh-CN"/>
        </w:rPr>
        <w:t>,</w:t>
      </w:r>
      <w:r>
        <w:rPr>
          <w:rFonts w:hint="eastAsia" w:ascii="仿宋_GB2312" w:eastAsia="仿宋_GB2312"/>
          <w:sz w:val="28"/>
          <w:szCs w:val="28"/>
        </w:rPr>
        <w:t>441</w:t>
      </w:r>
      <w:r>
        <w:rPr>
          <w:rFonts w:hint="eastAsia" w:ascii="仿宋_GB2312" w:eastAsia="仿宋_GB2312"/>
          <w:sz w:val="28"/>
          <w:szCs w:val="28"/>
          <w:lang w:val="en-US" w:eastAsia="zh-CN"/>
        </w:rPr>
        <w:t>,</w:t>
      </w:r>
      <w:r>
        <w:rPr>
          <w:rFonts w:hint="eastAsia" w:ascii="仿宋_GB2312" w:eastAsia="仿宋_GB2312"/>
          <w:sz w:val="28"/>
          <w:szCs w:val="28"/>
        </w:rPr>
        <w:t>737.37元，增长</w:t>
      </w:r>
      <w:r>
        <w:rPr>
          <w:rFonts w:hint="eastAsia" w:ascii="仿宋_GB2312" w:eastAsia="仿宋_GB2312"/>
          <w:sz w:val="28"/>
          <w:szCs w:val="28"/>
          <w:lang w:val="en-US" w:eastAsia="zh-CN"/>
        </w:rPr>
        <w:t>135.9</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066</w:t>
      </w:r>
      <w:r>
        <w:rPr>
          <w:rFonts w:hint="eastAsia" w:ascii="仿宋_GB2312" w:eastAsia="仿宋_GB2312"/>
          <w:sz w:val="28"/>
          <w:szCs w:val="28"/>
          <w:lang w:val="en-US" w:eastAsia="zh-CN"/>
        </w:rPr>
        <w:t>,</w:t>
      </w:r>
      <w:r>
        <w:rPr>
          <w:rFonts w:ascii="仿宋_GB2312" w:eastAsia="仿宋_GB2312"/>
          <w:sz w:val="28"/>
          <w:szCs w:val="28"/>
        </w:rPr>
        <w:t>935.83</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14</w:t>
      </w:r>
      <w:r>
        <w:rPr>
          <w:rFonts w:hint="eastAsia" w:ascii="仿宋_GB2312" w:eastAsia="仿宋_GB2312"/>
          <w:sz w:val="28"/>
          <w:szCs w:val="28"/>
          <w:lang w:val="en-US" w:eastAsia="zh-CN"/>
        </w:rPr>
        <w:t>,</w:t>
      </w:r>
      <w:r>
        <w:rPr>
          <w:rFonts w:hint="eastAsia" w:ascii="仿宋_GB2312" w:eastAsia="仿宋_GB2312"/>
          <w:sz w:val="28"/>
          <w:szCs w:val="28"/>
        </w:rPr>
        <w:t>441</w:t>
      </w:r>
      <w:r>
        <w:rPr>
          <w:rFonts w:hint="eastAsia" w:ascii="仿宋_GB2312" w:eastAsia="仿宋_GB2312"/>
          <w:sz w:val="28"/>
          <w:szCs w:val="28"/>
          <w:lang w:val="en-US" w:eastAsia="zh-CN"/>
        </w:rPr>
        <w:t>,</w:t>
      </w:r>
      <w:r>
        <w:rPr>
          <w:rFonts w:hint="eastAsia" w:ascii="仿宋_GB2312" w:eastAsia="仿宋_GB2312"/>
          <w:sz w:val="28"/>
          <w:szCs w:val="28"/>
        </w:rPr>
        <w:t>737.37元，增长</w:t>
      </w:r>
      <w:r>
        <w:rPr>
          <w:rFonts w:hint="eastAsia" w:ascii="仿宋_GB2312" w:eastAsia="仿宋_GB2312"/>
          <w:sz w:val="28"/>
          <w:szCs w:val="28"/>
          <w:lang w:val="en-US" w:eastAsia="zh-CN"/>
        </w:rPr>
        <w:t>135.9</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066</w:t>
      </w:r>
      <w:r>
        <w:rPr>
          <w:rFonts w:hint="eastAsia" w:ascii="仿宋_GB2312" w:eastAsia="仿宋_GB2312"/>
          <w:sz w:val="28"/>
          <w:szCs w:val="28"/>
          <w:lang w:val="en-US" w:eastAsia="zh-CN"/>
        </w:rPr>
        <w:t>,</w:t>
      </w:r>
      <w:r>
        <w:rPr>
          <w:rFonts w:ascii="仿宋_GB2312" w:eastAsia="仿宋_GB2312"/>
          <w:sz w:val="28"/>
          <w:szCs w:val="28"/>
        </w:rPr>
        <w:t>935.83</w:t>
      </w:r>
      <w:r>
        <w:rPr>
          <w:rFonts w:hint="eastAsia" w:ascii="仿宋_GB2312" w:eastAsia="仿宋_GB2312"/>
          <w:sz w:val="28"/>
          <w:szCs w:val="28"/>
        </w:rPr>
        <w:t>元，占收入合计的100%。其中：一般公共预算财政拨款收入</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066</w:t>
      </w:r>
      <w:r>
        <w:rPr>
          <w:rFonts w:hint="eastAsia" w:ascii="仿宋_GB2312" w:eastAsia="仿宋_GB2312"/>
          <w:sz w:val="28"/>
          <w:szCs w:val="28"/>
          <w:lang w:val="en-US" w:eastAsia="zh-CN"/>
        </w:rPr>
        <w:t>,</w:t>
      </w:r>
      <w:r>
        <w:rPr>
          <w:rFonts w:ascii="仿宋_GB2312" w:eastAsia="仿宋_GB2312"/>
          <w:sz w:val="28"/>
          <w:szCs w:val="28"/>
        </w:rPr>
        <w:t>935.83</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4445" t="4445" r="16510" b="1016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066</w:t>
      </w:r>
      <w:r>
        <w:rPr>
          <w:rFonts w:hint="eastAsia" w:ascii="仿宋_GB2312" w:eastAsia="仿宋_GB2312"/>
          <w:sz w:val="28"/>
          <w:szCs w:val="28"/>
          <w:lang w:val="en-US" w:eastAsia="zh-CN"/>
        </w:rPr>
        <w:t>,</w:t>
      </w:r>
      <w:r>
        <w:rPr>
          <w:rFonts w:ascii="仿宋_GB2312" w:eastAsia="仿宋_GB2312"/>
          <w:sz w:val="28"/>
          <w:szCs w:val="28"/>
        </w:rPr>
        <w:t>935.83</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14</w:t>
      </w:r>
      <w:r>
        <w:rPr>
          <w:rFonts w:hint="eastAsia" w:ascii="仿宋_GB2312" w:eastAsia="仿宋_GB2312"/>
          <w:sz w:val="28"/>
          <w:szCs w:val="28"/>
          <w:lang w:val="en-US" w:eastAsia="zh-CN"/>
        </w:rPr>
        <w:t>,</w:t>
      </w:r>
      <w:r>
        <w:rPr>
          <w:rFonts w:hint="eastAsia" w:ascii="仿宋_GB2312" w:eastAsia="仿宋_GB2312"/>
          <w:sz w:val="28"/>
          <w:szCs w:val="28"/>
        </w:rPr>
        <w:t>441</w:t>
      </w:r>
      <w:r>
        <w:rPr>
          <w:rFonts w:hint="eastAsia" w:ascii="仿宋_GB2312" w:eastAsia="仿宋_GB2312"/>
          <w:sz w:val="28"/>
          <w:szCs w:val="28"/>
          <w:lang w:val="en-US" w:eastAsia="zh-CN"/>
        </w:rPr>
        <w:t>,</w:t>
      </w:r>
      <w:r>
        <w:rPr>
          <w:rFonts w:hint="eastAsia" w:ascii="仿宋_GB2312" w:eastAsia="仿宋_GB2312"/>
          <w:sz w:val="28"/>
          <w:szCs w:val="28"/>
        </w:rPr>
        <w:t>737.37元，增长</w:t>
      </w:r>
      <w:r>
        <w:rPr>
          <w:rFonts w:hint="eastAsia" w:ascii="仿宋_GB2312" w:eastAsia="仿宋_GB2312"/>
          <w:sz w:val="28"/>
          <w:szCs w:val="28"/>
          <w:lang w:val="en-US" w:eastAsia="zh-CN"/>
        </w:rPr>
        <w:t>135.9</w:t>
      </w:r>
      <w:r>
        <w:rPr>
          <w:rFonts w:hint="eastAsia" w:ascii="仿宋_GB2312" w:eastAsia="仿宋_GB2312"/>
          <w:sz w:val="28"/>
          <w:szCs w:val="28"/>
        </w:rPr>
        <w:t>%，其中：基本支出</w:t>
      </w:r>
      <w:r>
        <w:rPr>
          <w:rFonts w:ascii="仿宋_GB2312" w:eastAsia="仿宋_GB2312"/>
          <w:sz w:val="28"/>
          <w:szCs w:val="28"/>
        </w:rPr>
        <w:t>9</w:t>
      </w:r>
      <w:r>
        <w:rPr>
          <w:rFonts w:hint="eastAsia" w:ascii="仿宋_GB2312" w:eastAsia="仿宋_GB2312"/>
          <w:sz w:val="28"/>
          <w:szCs w:val="28"/>
          <w:lang w:val="en-US" w:eastAsia="zh-CN"/>
        </w:rPr>
        <w:t>,</w:t>
      </w:r>
      <w:r>
        <w:rPr>
          <w:rFonts w:ascii="仿宋_GB2312" w:eastAsia="仿宋_GB2312"/>
          <w:sz w:val="28"/>
          <w:szCs w:val="28"/>
        </w:rPr>
        <w:t>616</w:t>
      </w:r>
      <w:r>
        <w:rPr>
          <w:rFonts w:hint="eastAsia" w:ascii="仿宋_GB2312" w:eastAsia="仿宋_GB2312"/>
          <w:sz w:val="28"/>
          <w:szCs w:val="28"/>
          <w:lang w:eastAsia="zh-CN"/>
        </w:rPr>
        <w:t>，</w:t>
      </w:r>
      <w:r>
        <w:rPr>
          <w:rFonts w:ascii="仿宋_GB2312" w:eastAsia="仿宋_GB2312"/>
          <w:sz w:val="28"/>
          <w:szCs w:val="28"/>
        </w:rPr>
        <w:t>517.75</w:t>
      </w:r>
      <w:r>
        <w:rPr>
          <w:rFonts w:hint="eastAsia" w:ascii="仿宋_GB2312" w:eastAsia="仿宋_GB2312"/>
          <w:sz w:val="28"/>
          <w:szCs w:val="28"/>
        </w:rPr>
        <w:t>元，占支出合计的38.</w:t>
      </w:r>
      <w:r>
        <w:rPr>
          <w:rFonts w:hint="eastAsia" w:ascii="仿宋_GB2312" w:eastAsia="仿宋_GB2312"/>
          <w:sz w:val="28"/>
          <w:szCs w:val="28"/>
          <w:lang w:val="en-US" w:eastAsia="zh-CN"/>
        </w:rPr>
        <w:t>4</w:t>
      </w:r>
      <w:r>
        <w:rPr>
          <w:rFonts w:hint="eastAsia" w:ascii="仿宋_GB2312" w:eastAsia="仿宋_GB2312"/>
          <w:sz w:val="28"/>
          <w:szCs w:val="28"/>
        </w:rPr>
        <w:t>%；项目支出</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450</w:t>
      </w:r>
      <w:r>
        <w:rPr>
          <w:rFonts w:hint="eastAsia" w:ascii="仿宋_GB2312" w:eastAsia="仿宋_GB2312"/>
          <w:sz w:val="28"/>
          <w:szCs w:val="28"/>
          <w:lang w:val="en-US" w:eastAsia="zh-CN"/>
        </w:rPr>
        <w:t>,</w:t>
      </w:r>
      <w:r>
        <w:rPr>
          <w:rFonts w:ascii="仿宋_GB2312" w:eastAsia="仿宋_GB2312"/>
          <w:sz w:val="28"/>
          <w:szCs w:val="28"/>
        </w:rPr>
        <w:t>418.08</w:t>
      </w:r>
      <w:r>
        <w:rPr>
          <w:rFonts w:hint="eastAsia" w:ascii="仿宋_GB2312" w:eastAsia="仿宋_GB2312"/>
          <w:sz w:val="28"/>
          <w:szCs w:val="28"/>
        </w:rPr>
        <w:t>元，占支出合计的61.6%;上缴上级支出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bookmarkStart w:id="4" w:name="_GoBack"/>
      <w:bookmarkEnd w:id="4"/>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066</w:t>
      </w:r>
      <w:r>
        <w:rPr>
          <w:rFonts w:hint="eastAsia" w:ascii="仿宋_GB2312" w:eastAsia="仿宋_GB2312"/>
          <w:sz w:val="28"/>
          <w:szCs w:val="28"/>
          <w:lang w:val="en-US" w:eastAsia="zh-CN"/>
        </w:rPr>
        <w:t>,</w:t>
      </w:r>
      <w:r>
        <w:rPr>
          <w:rFonts w:ascii="仿宋_GB2312" w:eastAsia="仿宋_GB2312"/>
          <w:sz w:val="28"/>
          <w:szCs w:val="28"/>
        </w:rPr>
        <w:t>935.83</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rPr>
        <w:t>14</w:t>
      </w:r>
      <w:r>
        <w:rPr>
          <w:rFonts w:hint="eastAsia" w:ascii="仿宋_GB2312" w:eastAsia="仿宋_GB2312"/>
          <w:sz w:val="28"/>
          <w:szCs w:val="28"/>
          <w:lang w:val="en-US" w:eastAsia="zh-CN"/>
        </w:rPr>
        <w:t>,</w:t>
      </w:r>
      <w:r>
        <w:rPr>
          <w:rFonts w:hint="eastAsia" w:ascii="仿宋_GB2312" w:eastAsia="仿宋_GB2312"/>
          <w:sz w:val="28"/>
          <w:szCs w:val="28"/>
        </w:rPr>
        <w:t>441</w:t>
      </w:r>
      <w:r>
        <w:rPr>
          <w:rFonts w:hint="eastAsia" w:ascii="仿宋_GB2312" w:eastAsia="仿宋_GB2312"/>
          <w:sz w:val="28"/>
          <w:szCs w:val="28"/>
          <w:lang w:val="en-US" w:eastAsia="zh-CN"/>
        </w:rPr>
        <w:t>,</w:t>
      </w:r>
      <w:r>
        <w:rPr>
          <w:rFonts w:hint="eastAsia" w:ascii="仿宋_GB2312" w:eastAsia="仿宋_GB2312"/>
          <w:sz w:val="28"/>
          <w:szCs w:val="28"/>
        </w:rPr>
        <w:t>737.37元，增长</w:t>
      </w:r>
      <w:r>
        <w:rPr>
          <w:rFonts w:hint="eastAsia" w:ascii="仿宋_GB2312" w:eastAsia="仿宋_GB2312"/>
          <w:sz w:val="28"/>
          <w:szCs w:val="28"/>
          <w:lang w:val="en-US" w:eastAsia="zh-CN"/>
        </w:rPr>
        <w:t>135.9</w:t>
      </w:r>
      <w:r>
        <w:rPr>
          <w:rFonts w:hint="eastAsia" w:ascii="仿宋_GB2312" w:eastAsia="仿宋_GB2312"/>
          <w:sz w:val="28"/>
          <w:szCs w:val="28"/>
        </w:rPr>
        <w:t>%。主要原因：围绕重点领域履职需要、公共服务能力提升和专项工作有序推进，相关事业发展资金保障力度进一步加大，项目类经费相应增长。</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25</w:t>
      </w:r>
      <w:r>
        <w:rPr>
          <w:rFonts w:hint="eastAsia" w:ascii="仿宋_GB2312" w:eastAsia="仿宋_GB2312"/>
          <w:sz w:val="28"/>
          <w:szCs w:val="28"/>
          <w:lang w:val="en-US" w:eastAsia="zh-CN"/>
        </w:rPr>
        <w:t>,</w:t>
      </w:r>
      <w:r>
        <w:rPr>
          <w:rFonts w:ascii="仿宋_GB2312" w:eastAsia="仿宋_GB2312"/>
          <w:sz w:val="28"/>
          <w:szCs w:val="28"/>
        </w:rPr>
        <w:t>066</w:t>
      </w:r>
      <w:r>
        <w:rPr>
          <w:rFonts w:hint="eastAsia" w:ascii="仿宋_GB2312" w:eastAsia="仿宋_GB2312"/>
          <w:sz w:val="28"/>
          <w:szCs w:val="28"/>
          <w:lang w:val="en-US" w:eastAsia="zh-CN"/>
        </w:rPr>
        <w:t>,</w:t>
      </w:r>
      <w:r>
        <w:rPr>
          <w:rFonts w:ascii="仿宋_GB2312" w:eastAsia="仿宋_GB2312"/>
          <w:sz w:val="28"/>
          <w:szCs w:val="28"/>
        </w:rPr>
        <w:t>935.83</w:t>
      </w:r>
      <w:r>
        <w:rPr>
          <w:rFonts w:hint="eastAsia" w:ascii="仿宋_GB2312" w:eastAsia="仿宋_GB2312"/>
          <w:sz w:val="28"/>
          <w:szCs w:val="28"/>
        </w:rPr>
        <w:t>元，主要用于以下方面（按大类）：一般公共服务支出9,616,517.75元，占本年财政拨款支出</w:t>
      </w:r>
      <w:r>
        <w:rPr>
          <w:rFonts w:hint="default" w:ascii="仿宋_GB2312" w:eastAsia="仿宋_GB2312"/>
          <w:sz w:val="28"/>
          <w:szCs w:val="28"/>
          <w:lang w:val="en" w:eastAsia="zh-CN"/>
        </w:rPr>
        <w:t>38.4</w:t>
      </w:r>
      <w:r>
        <w:rPr>
          <w:rFonts w:hint="eastAsia" w:ascii="仿宋_GB2312" w:eastAsia="仿宋_GB2312"/>
          <w:sz w:val="28"/>
          <w:szCs w:val="28"/>
        </w:rPr>
        <w:t>%</w:t>
      </w:r>
      <w:r>
        <w:rPr>
          <w:rFonts w:hint="eastAsia" w:ascii="仿宋_GB2312" w:eastAsia="仿宋_GB2312"/>
          <w:sz w:val="28"/>
          <w:szCs w:val="28"/>
          <w:lang w:eastAsia="zh-CN"/>
        </w:rPr>
        <w:t>；文化旅游体育与传媒支出15,450,418.08元，</w:t>
      </w:r>
      <w:r>
        <w:rPr>
          <w:rFonts w:hint="eastAsia" w:ascii="仿宋_GB2312" w:eastAsia="仿宋_GB2312"/>
          <w:sz w:val="28"/>
          <w:szCs w:val="28"/>
        </w:rPr>
        <w:t>占本年财政拨款支出</w:t>
      </w:r>
      <w:r>
        <w:rPr>
          <w:rFonts w:hint="eastAsia" w:ascii="仿宋_GB2312" w:eastAsia="仿宋_GB2312"/>
          <w:sz w:val="28"/>
          <w:szCs w:val="28"/>
          <w:lang w:val="en-US" w:eastAsia="zh-CN"/>
        </w:rPr>
        <w:t>61.6</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1、“一般公共服务支出”（类）2025年度年初预算9</w:t>
      </w:r>
      <w:r>
        <w:rPr>
          <w:rFonts w:hint="eastAsia" w:ascii="仿宋_GB2312" w:eastAsia="仿宋_GB2312"/>
          <w:sz w:val="28"/>
          <w:szCs w:val="28"/>
          <w:lang w:val="en-US" w:eastAsia="zh-CN"/>
        </w:rPr>
        <w:t>,</w:t>
      </w:r>
      <w:r>
        <w:rPr>
          <w:rFonts w:hint="eastAsia" w:ascii="仿宋_GB2312" w:eastAsia="仿宋_GB2312"/>
          <w:sz w:val="28"/>
          <w:szCs w:val="28"/>
        </w:rPr>
        <w:t>146</w:t>
      </w:r>
      <w:r>
        <w:rPr>
          <w:rFonts w:hint="eastAsia" w:ascii="仿宋_GB2312" w:eastAsia="仿宋_GB2312"/>
          <w:sz w:val="28"/>
          <w:szCs w:val="28"/>
          <w:lang w:val="en-US" w:eastAsia="zh-CN"/>
        </w:rPr>
        <w:t>,</w:t>
      </w:r>
      <w:r>
        <w:rPr>
          <w:rFonts w:hint="eastAsia" w:ascii="仿宋_GB2312" w:eastAsia="仿宋_GB2312"/>
          <w:sz w:val="28"/>
          <w:szCs w:val="28"/>
        </w:rPr>
        <w:t>867.95元，2025年度决算9,616,517.75元，完成年初预算的</w:t>
      </w:r>
      <w:r>
        <w:rPr>
          <w:rFonts w:hint="eastAsia" w:ascii="仿宋_GB2312" w:eastAsia="仿宋_GB2312"/>
          <w:sz w:val="28"/>
          <w:szCs w:val="28"/>
          <w:lang w:val="en-US" w:eastAsia="zh-CN"/>
        </w:rPr>
        <w:t>105.1</w:t>
      </w:r>
      <w:r>
        <w:rPr>
          <w:rFonts w:hint="eastAsia" w:ascii="仿宋_GB2312" w:eastAsia="仿宋_GB2312"/>
          <w:sz w:val="28"/>
          <w:szCs w:val="28"/>
        </w:rPr>
        <w:t>%。其中：</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“政府办公厅（室）及相关机构事务”（款，下同）2025年度年初预算9</w:t>
      </w:r>
      <w:r>
        <w:rPr>
          <w:rFonts w:hint="eastAsia" w:ascii="仿宋_GB2312" w:eastAsia="仿宋_GB2312"/>
          <w:sz w:val="28"/>
          <w:szCs w:val="28"/>
          <w:lang w:val="en-US" w:eastAsia="zh-CN"/>
        </w:rPr>
        <w:t>,</w:t>
      </w:r>
      <w:r>
        <w:rPr>
          <w:rFonts w:hint="eastAsia" w:ascii="仿宋_GB2312" w:eastAsia="仿宋_GB2312"/>
          <w:sz w:val="28"/>
          <w:szCs w:val="28"/>
        </w:rPr>
        <w:t>146</w:t>
      </w:r>
      <w:r>
        <w:rPr>
          <w:rFonts w:hint="eastAsia" w:ascii="仿宋_GB2312" w:eastAsia="仿宋_GB2312"/>
          <w:sz w:val="28"/>
          <w:szCs w:val="28"/>
          <w:lang w:val="en-US" w:eastAsia="zh-CN"/>
        </w:rPr>
        <w:t>,</w:t>
      </w:r>
      <w:r>
        <w:rPr>
          <w:rFonts w:hint="eastAsia" w:ascii="仿宋_GB2312" w:eastAsia="仿宋_GB2312"/>
          <w:sz w:val="28"/>
          <w:szCs w:val="28"/>
        </w:rPr>
        <w:t>867.95元，2025年度决算9,616,517.75元，完成年初预算的</w:t>
      </w:r>
      <w:r>
        <w:rPr>
          <w:rFonts w:hint="eastAsia" w:ascii="仿宋_GB2312" w:eastAsia="仿宋_GB2312"/>
          <w:sz w:val="28"/>
          <w:szCs w:val="28"/>
          <w:lang w:val="en-US" w:eastAsia="zh-CN"/>
        </w:rPr>
        <w:t>105.1</w:t>
      </w:r>
      <w:r>
        <w:rPr>
          <w:rFonts w:hint="eastAsia" w:ascii="仿宋_GB2312" w:eastAsia="仿宋_GB2312"/>
          <w:sz w:val="28"/>
          <w:szCs w:val="28"/>
        </w:rPr>
        <w:t>%。主要原因：</w:t>
      </w:r>
      <w:r>
        <w:rPr>
          <w:rFonts w:hint="eastAsia" w:ascii="仿宋_GB2312" w:eastAsia="仿宋_GB2312"/>
          <w:sz w:val="28"/>
          <w:szCs w:val="28"/>
          <w:lang w:eastAsia="zh-CN"/>
        </w:rPr>
        <w:t>实有人数增加，人员经费增加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2、“文化旅游体育与传媒支出”(类)2025年度年初预算1</w:t>
      </w:r>
      <w:r>
        <w:rPr>
          <w:rFonts w:hint="eastAsia" w:ascii="仿宋_GB2312" w:eastAsia="仿宋_GB2312"/>
          <w:sz w:val="28"/>
          <w:szCs w:val="28"/>
          <w:lang w:val="en-US" w:eastAsia="zh-CN"/>
        </w:rPr>
        <w:t>,</w:t>
      </w:r>
      <w:r>
        <w:rPr>
          <w:rFonts w:hint="eastAsia" w:ascii="仿宋_GB2312" w:eastAsia="仿宋_GB2312"/>
          <w:sz w:val="28"/>
          <w:szCs w:val="28"/>
        </w:rPr>
        <w:t>456</w:t>
      </w:r>
      <w:r>
        <w:rPr>
          <w:rFonts w:hint="eastAsia" w:ascii="仿宋_GB2312" w:eastAsia="仿宋_GB2312"/>
          <w:sz w:val="28"/>
          <w:szCs w:val="28"/>
          <w:lang w:val="en-US" w:eastAsia="zh-CN"/>
        </w:rPr>
        <w:t>,</w:t>
      </w:r>
      <w:r>
        <w:rPr>
          <w:rFonts w:hint="eastAsia"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元，2025年度决算15,450,418.08元，完成年初预算的</w:t>
      </w:r>
      <w:r>
        <w:rPr>
          <w:rFonts w:hint="eastAsia" w:ascii="仿宋_GB2312" w:eastAsia="仿宋_GB2312"/>
          <w:sz w:val="28"/>
          <w:szCs w:val="28"/>
          <w:lang w:val="en-US" w:eastAsia="zh-CN"/>
        </w:rPr>
        <w:t>1061.2</w:t>
      </w: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“文化和旅游”（款）2025年度年初预算1</w:t>
      </w:r>
      <w:r>
        <w:rPr>
          <w:rFonts w:hint="eastAsia" w:ascii="仿宋_GB2312" w:eastAsia="仿宋_GB2312"/>
          <w:sz w:val="28"/>
          <w:szCs w:val="28"/>
          <w:lang w:val="en-US" w:eastAsia="zh-CN"/>
        </w:rPr>
        <w:t>,</w:t>
      </w:r>
      <w:r>
        <w:rPr>
          <w:rFonts w:hint="eastAsia" w:ascii="仿宋_GB2312" w:eastAsia="仿宋_GB2312"/>
          <w:sz w:val="28"/>
          <w:szCs w:val="28"/>
        </w:rPr>
        <w:t>456</w:t>
      </w:r>
      <w:r>
        <w:rPr>
          <w:rFonts w:hint="eastAsia" w:ascii="仿宋_GB2312" w:eastAsia="仿宋_GB2312"/>
          <w:sz w:val="28"/>
          <w:szCs w:val="28"/>
          <w:lang w:val="en-US" w:eastAsia="zh-CN"/>
        </w:rPr>
        <w:t>,</w:t>
      </w:r>
      <w:r>
        <w:rPr>
          <w:rFonts w:hint="eastAsia"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元，2025年度决算15,450,418.08元，完成年初预算的</w:t>
      </w:r>
      <w:r>
        <w:rPr>
          <w:rFonts w:hint="eastAsia" w:ascii="仿宋_GB2312" w:eastAsia="仿宋_GB2312"/>
          <w:sz w:val="28"/>
          <w:szCs w:val="28"/>
          <w:lang w:val="en-US" w:eastAsia="zh-CN"/>
        </w:rPr>
        <w:t>1061.2</w:t>
      </w:r>
      <w:r>
        <w:rPr>
          <w:rFonts w:hint="eastAsia" w:ascii="仿宋_GB2312" w:eastAsia="仿宋_GB2312"/>
          <w:sz w:val="28"/>
          <w:szCs w:val="28"/>
        </w:rPr>
        <w:t>%。主要原因：围绕重点领域履职需要、公共服务能力提升和专项工作有序推进，相关事业发展资金保障力度进一步加大，项目类经费相应增长。</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本部门2025年无</w:t>
      </w:r>
      <w:r>
        <w:rPr>
          <w:rFonts w:hint="eastAsia" w:ascii="仿宋_GB2312" w:eastAsia="仿宋_GB2312"/>
          <w:sz w:val="28"/>
          <w:szCs w:val="28"/>
          <w:lang w:eastAsia="zh-CN"/>
        </w:rPr>
        <w:t>此项支出。</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本部门2025年无</w:t>
      </w:r>
      <w:r>
        <w:rPr>
          <w:rFonts w:hint="eastAsia" w:ascii="仿宋_GB2312" w:eastAsia="仿宋_GB2312"/>
          <w:sz w:val="28"/>
          <w:szCs w:val="28"/>
          <w:lang w:eastAsia="zh-CN"/>
        </w:rPr>
        <w:t>此项支出。</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9</w:t>
      </w:r>
      <w:r>
        <w:rPr>
          <w:rFonts w:hint="eastAsia" w:ascii="仿宋_GB2312" w:eastAsia="仿宋_GB2312"/>
          <w:sz w:val="28"/>
          <w:szCs w:val="28"/>
          <w:lang w:val="en-US" w:eastAsia="zh-CN"/>
        </w:rPr>
        <w:t>,</w:t>
      </w:r>
      <w:r>
        <w:rPr>
          <w:rFonts w:ascii="仿宋_GB2312" w:eastAsia="仿宋_GB2312"/>
          <w:sz w:val="28"/>
          <w:szCs w:val="28"/>
        </w:rPr>
        <w:t>616</w:t>
      </w:r>
      <w:r>
        <w:rPr>
          <w:rFonts w:hint="eastAsia" w:ascii="仿宋_GB2312" w:eastAsia="仿宋_GB2312"/>
          <w:sz w:val="28"/>
          <w:szCs w:val="28"/>
          <w:lang w:val="en-US" w:eastAsia="zh-CN"/>
        </w:rPr>
        <w:t>,</w:t>
      </w:r>
      <w:r>
        <w:rPr>
          <w:rFonts w:ascii="仿宋_GB2312" w:eastAsia="仿宋_GB2312"/>
          <w:sz w:val="28"/>
          <w:szCs w:val="28"/>
        </w:rPr>
        <w:t>517.75</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908</w:t>
      </w:r>
      <w:r>
        <w:rPr>
          <w:rFonts w:hint="eastAsia" w:ascii="仿宋_GB2312" w:eastAsia="仿宋_GB2312"/>
          <w:sz w:val="28"/>
          <w:szCs w:val="28"/>
          <w:lang w:val="en-US" w:eastAsia="zh-CN"/>
        </w:rPr>
        <w:t>.00</w:t>
      </w:r>
      <w:r>
        <w:rPr>
          <w:rFonts w:hint="eastAsia" w:ascii="仿宋_GB2312" w:eastAsia="仿宋_GB2312"/>
          <w:sz w:val="28"/>
          <w:szCs w:val="28"/>
        </w:rPr>
        <w:t>元，比2025年度“三公”经费财政拨款年初预算</w:t>
      </w:r>
      <w:r>
        <w:rPr>
          <w:rFonts w:ascii="仿宋_GB2312" w:eastAsia="仿宋_GB2312"/>
          <w:sz w:val="28"/>
          <w:szCs w:val="28"/>
        </w:rPr>
        <w:t>40</w:t>
      </w:r>
      <w:r>
        <w:rPr>
          <w:rFonts w:hint="eastAsia" w:ascii="仿宋_GB2312" w:eastAsia="仿宋_GB2312"/>
          <w:sz w:val="28"/>
          <w:szCs w:val="28"/>
          <w:lang w:val="en-US" w:eastAsia="zh-CN"/>
        </w:rPr>
        <w:t>,</w:t>
      </w:r>
      <w:r>
        <w:rPr>
          <w:rFonts w:ascii="仿宋_GB2312" w:eastAsia="仿宋_GB2312"/>
          <w:sz w:val="28"/>
          <w:szCs w:val="28"/>
        </w:rPr>
        <w:t>700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792</w:t>
      </w:r>
      <w:r>
        <w:rPr>
          <w:rFonts w:hint="eastAsia" w:ascii="仿宋_GB2312" w:eastAsia="仿宋_GB2312"/>
          <w:sz w:val="28"/>
          <w:szCs w:val="28"/>
          <w:lang w:val="en-US" w:eastAsia="zh-CN"/>
        </w:rPr>
        <w:t>.00</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sz w:val="28"/>
          <w:szCs w:val="28"/>
          <w:lang w:eastAsia="zh-CN"/>
        </w:rPr>
        <w:t>本单位无此项支出</w:t>
      </w:r>
      <w:r>
        <w:rPr>
          <w:rFonts w:hint="eastAsia" w:ascii="仿宋_GB2312" w:eastAsia="仿宋_GB2312"/>
          <w:sz w:val="28"/>
          <w:szCs w:val="28"/>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4</w:t>
      </w:r>
      <w:r>
        <w:rPr>
          <w:rFonts w:hint="eastAsia" w:ascii="仿宋_GB2312" w:eastAsia="仿宋_GB2312"/>
          <w:sz w:val="28"/>
          <w:szCs w:val="28"/>
        </w:rPr>
        <w:t>,</w:t>
      </w:r>
      <w:r>
        <w:rPr>
          <w:rFonts w:ascii="仿宋_GB2312" w:eastAsia="仿宋_GB2312"/>
          <w:sz w:val="28"/>
          <w:szCs w:val="28"/>
        </w:rPr>
        <w:t>700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700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eastAsia="zh-CN"/>
        </w:rPr>
        <w:t>本单位无此项支出</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908</w:t>
      </w:r>
      <w:r>
        <w:rPr>
          <w:rFonts w:hint="eastAsia" w:ascii="仿宋_GB2312" w:eastAsia="仿宋_GB2312"/>
          <w:sz w:val="28"/>
          <w:szCs w:val="28"/>
          <w:lang w:val="en-US" w:eastAsia="zh-CN"/>
        </w:rPr>
        <w:t>.00</w:t>
      </w:r>
      <w:r>
        <w:rPr>
          <w:rFonts w:hint="eastAsia" w:ascii="仿宋_GB2312" w:eastAsia="仿宋_GB2312"/>
          <w:sz w:val="28"/>
          <w:szCs w:val="28"/>
        </w:rPr>
        <w:t>元，比2025年度年初预算数</w:t>
      </w:r>
      <w:r>
        <w:rPr>
          <w:rFonts w:ascii="仿宋_GB2312" w:eastAsia="仿宋_GB2312"/>
          <w:sz w:val="28"/>
          <w:szCs w:val="28"/>
        </w:rPr>
        <w:t>36</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092</w:t>
      </w:r>
      <w:r>
        <w:rPr>
          <w:rFonts w:hint="eastAsia" w:ascii="仿宋_GB2312" w:eastAsia="仿宋_GB2312"/>
          <w:sz w:val="28"/>
          <w:szCs w:val="28"/>
          <w:lang w:val="en-US" w:eastAsia="zh-CN"/>
        </w:rPr>
        <w:t>.00</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eastAsia="zh-CN"/>
        </w:rPr>
        <w:t>本单位无此项支出</w:t>
      </w:r>
      <w:r>
        <w:rPr>
          <w:rFonts w:hint="eastAsia" w:ascii="仿宋_GB2312" w:eastAsia="仿宋_GB2312"/>
          <w:sz w:val="28"/>
          <w:szCs w:val="28"/>
        </w:rPr>
        <w:t>，2025年度购置（更新）0辆。公务用车运行维护费2025年度决算数21</w:t>
      </w:r>
      <w:r>
        <w:rPr>
          <w:rFonts w:hint="eastAsia" w:ascii="仿宋_GB2312" w:eastAsia="仿宋_GB2312"/>
          <w:sz w:val="28"/>
          <w:szCs w:val="28"/>
          <w:lang w:val="en-US" w:eastAsia="zh-CN"/>
        </w:rPr>
        <w:t>,</w:t>
      </w:r>
      <w:r>
        <w:rPr>
          <w:rFonts w:hint="eastAsia" w:ascii="仿宋_GB2312" w:eastAsia="仿宋_GB2312"/>
          <w:sz w:val="28"/>
          <w:szCs w:val="28"/>
        </w:rPr>
        <w:t>908</w:t>
      </w:r>
      <w:r>
        <w:rPr>
          <w:rFonts w:hint="eastAsia" w:ascii="仿宋_GB2312" w:eastAsia="仿宋_GB2312"/>
          <w:sz w:val="28"/>
          <w:szCs w:val="28"/>
          <w:lang w:val="en-US" w:eastAsia="zh-CN"/>
        </w:rPr>
        <w:t>.00</w:t>
      </w:r>
      <w:r>
        <w:rPr>
          <w:rFonts w:hint="eastAsia" w:ascii="仿宋_GB2312" w:eastAsia="仿宋_GB2312"/>
          <w:sz w:val="28"/>
          <w:szCs w:val="28"/>
        </w:rPr>
        <w:t>元，主要原因：公务车加油保养及保险。2025年度公务用车保有量</w:t>
      </w:r>
      <w:r>
        <w:rPr>
          <w:rFonts w:ascii="仿宋_GB2312" w:eastAsia="仿宋_GB2312"/>
          <w:sz w:val="28"/>
          <w:szCs w:val="28"/>
        </w:rPr>
        <w:t>2</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本部门2025年无机关运行经费</w:t>
      </w:r>
    </w:p>
    <w:p>
      <w:pPr>
        <w:ind w:left="540"/>
        <w:rPr>
          <w:rFonts w:ascii="仿宋_GB2312" w:eastAsia="仿宋_GB2312"/>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30</w:t>
      </w:r>
      <w:r>
        <w:rPr>
          <w:rFonts w:hint="eastAsia" w:ascii="仿宋_GB2312" w:eastAsia="仿宋_GB2312"/>
          <w:sz w:val="28"/>
          <w:szCs w:val="28"/>
          <w:lang w:val="en-US" w:eastAsia="zh-CN"/>
        </w:rPr>
        <w:t>,</w:t>
      </w:r>
      <w:r>
        <w:rPr>
          <w:rFonts w:ascii="仿宋_GB2312" w:eastAsia="仿宋_GB2312"/>
          <w:sz w:val="28"/>
          <w:szCs w:val="28"/>
        </w:rPr>
        <w:t>901</w:t>
      </w:r>
      <w:r>
        <w:rPr>
          <w:rFonts w:hint="eastAsia" w:ascii="仿宋_GB2312" w:eastAsia="仿宋_GB2312"/>
          <w:sz w:val="28"/>
          <w:szCs w:val="28"/>
          <w:lang w:val="en-US" w:eastAsia="zh-CN"/>
        </w:rPr>
        <w:t>,</w:t>
      </w:r>
      <w:r>
        <w:rPr>
          <w:rFonts w:ascii="仿宋_GB2312" w:eastAsia="仿宋_GB2312"/>
          <w:sz w:val="28"/>
          <w:szCs w:val="28"/>
        </w:rPr>
        <w:t>894.81</w:t>
      </w:r>
      <w:r>
        <w:rPr>
          <w:rFonts w:hint="eastAsia" w:ascii="仿宋_GB2312" w:eastAsia="仿宋_GB2312"/>
          <w:sz w:val="28"/>
          <w:szCs w:val="28"/>
        </w:rPr>
        <w:t>元，其中：政府采购货物支出</w:t>
      </w:r>
      <w:r>
        <w:rPr>
          <w:rFonts w:ascii="仿宋_GB2312" w:eastAsia="仿宋_GB2312"/>
          <w:sz w:val="28"/>
          <w:szCs w:val="28"/>
        </w:rPr>
        <w:t>0</w:t>
      </w:r>
      <w:r>
        <w:rPr>
          <w:rFonts w:hint="eastAsia" w:ascii="仿宋_GB2312" w:eastAsia="仿宋_GB2312"/>
          <w:sz w:val="28"/>
          <w:szCs w:val="28"/>
        </w:rPr>
        <w:t>元，政府采购工程支出</w:t>
      </w:r>
      <w:r>
        <w:rPr>
          <w:rFonts w:ascii="仿宋_GB2312" w:eastAsia="仿宋_GB2312"/>
          <w:sz w:val="28"/>
          <w:szCs w:val="28"/>
        </w:rPr>
        <w:t>26</w:t>
      </w:r>
      <w:r>
        <w:rPr>
          <w:rFonts w:hint="eastAsia" w:ascii="仿宋_GB2312" w:eastAsia="仿宋_GB2312"/>
          <w:sz w:val="28"/>
          <w:szCs w:val="28"/>
          <w:lang w:val="en-US" w:eastAsia="zh-CN"/>
        </w:rPr>
        <w:t>,</w:t>
      </w:r>
      <w:r>
        <w:rPr>
          <w:rFonts w:ascii="仿宋_GB2312" w:eastAsia="仿宋_GB2312"/>
          <w:sz w:val="28"/>
          <w:szCs w:val="28"/>
        </w:rPr>
        <w:t>921</w:t>
      </w:r>
      <w:r>
        <w:rPr>
          <w:rFonts w:hint="eastAsia" w:ascii="仿宋_GB2312" w:eastAsia="仿宋_GB2312"/>
          <w:sz w:val="28"/>
          <w:szCs w:val="28"/>
          <w:lang w:val="en-US" w:eastAsia="zh-CN"/>
        </w:rPr>
        <w:t>,</w:t>
      </w:r>
      <w:r>
        <w:rPr>
          <w:rFonts w:ascii="仿宋_GB2312" w:eastAsia="仿宋_GB2312"/>
          <w:sz w:val="28"/>
          <w:szCs w:val="28"/>
        </w:rPr>
        <w:t>684.69</w:t>
      </w:r>
      <w:r>
        <w:rPr>
          <w:rFonts w:hint="eastAsia" w:ascii="仿宋_GB2312" w:eastAsia="仿宋_GB2312"/>
          <w:sz w:val="28"/>
          <w:szCs w:val="28"/>
        </w:rPr>
        <w:t>元，政府采购服务支出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980</w:t>
      </w:r>
      <w:r>
        <w:rPr>
          <w:rFonts w:hint="eastAsia" w:ascii="仿宋_GB2312" w:eastAsia="仿宋_GB2312"/>
          <w:sz w:val="28"/>
          <w:szCs w:val="28"/>
          <w:lang w:val="en-US" w:eastAsia="zh-CN"/>
        </w:rPr>
        <w:t>,</w:t>
      </w:r>
      <w:r>
        <w:rPr>
          <w:rFonts w:ascii="仿宋_GB2312" w:eastAsia="仿宋_GB2312"/>
          <w:sz w:val="28"/>
          <w:szCs w:val="28"/>
        </w:rPr>
        <w:t>210.12</w:t>
      </w:r>
      <w:r>
        <w:rPr>
          <w:rFonts w:hint="eastAsia" w:ascii="仿宋_GB2312" w:eastAsia="仿宋_GB2312"/>
          <w:sz w:val="28"/>
          <w:szCs w:val="28"/>
        </w:rPr>
        <w:t>元。授予中小企业合同金额</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957</w:t>
      </w:r>
      <w:r>
        <w:rPr>
          <w:rFonts w:hint="eastAsia" w:ascii="仿宋_GB2312" w:eastAsia="仿宋_GB2312"/>
          <w:sz w:val="28"/>
          <w:szCs w:val="28"/>
          <w:lang w:val="en-US" w:eastAsia="zh-CN"/>
        </w:rPr>
        <w:t>,</w:t>
      </w:r>
      <w:r>
        <w:rPr>
          <w:rFonts w:ascii="仿宋_GB2312" w:eastAsia="仿宋_GB2312"/>
          <w:sz w:val="28"/>
          <w:szCs w:val="28"/>
        </w:rPr>
        <w:t>532</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元，占政府采购支出总额的12.81%，其中：授予小微企业合同金额</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957</w:t>
      </w:r>
      <w:r>
        <w:rPr>
          <w:rFonts w:hint="eastAsia" w:ascii="仿宋_GB2312" w:eastAsia="仿宋_GB2312"/>
          <w:sz w:val="28"/>
          <w:szCs w:val="28"/>
          <w:lang w:val="en-US" w:eastAsia="zh-CN"/>
        </w:rPr>
        <w:t>,</w:t>
      </w:r>
      <w:r>
        <w:rPr>
          <w:rFonts w:ascii="仿宋_GB2312" w:eastAsia="仿宋_GB2312"/>
          <w:sz w:val="28"/>
          <w:szCs w:val="28"/>
        </w:rPr>
        <w:t>532</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w:t>
      </w:r>
      <w:r>
        <w:rPr>
          <w:rFonts w:ascii="仿宋_GB2312" w:eastAsia="仿宋_GB2312"/>
          <w:sz w:val="28"/>
          <w:szCs w:val="28"/>
        </w:rPr>
        <w:t>12.81</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截至12月31日，北京市门头沟区文明促进中心（部门）共有车辆2台；单位价值100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sz w:val="28"/>
          <w:szCs w:val="28"/>
        </w:rPr>
      </w:pPr>
      <w:r>
        <w:rPr>
          <w:rFonts w:hint="eastAsia" w:ascii="仿宋_GB2312" w:eastAsia="仿宋_GB2312"/>
          <w:sz w:val="28"/>
          <w:szCs w:val="28"/>
        </w:rPr>
        <w:t>6.一般公共服务支出（类）政府办公厅（室）及相关机构事务（款）事业运行（项）：反映</w:t>
      </w:r>
      <w:r>
        <w:rPr>
          <w:rFonts w:hint="eastAsia" w:ascii="仿宋_GB2312" w:eastAsia="仿宋_GB2312"/>
          <w:sz w:val="28"/>
          <w:szCs w:val="28"/>
          <w:lang w:eastAsia="zh-CN"/>
        </w:rPr>
        <w:t>事业</w:t>
      </w:r>
      <w:r>
        <w:rPr>
          <w:rFonts w:hint="eastAsia" w:ascii="仿宋_GB2312" w:eastAsia="仿宋_GB2312"/>
          <w:sz w:val="28"/>
          <w:szCs w:val="28"/>
        </w:rPr>
        <w:t>单位的基本支出。</w:t>
      </w:r>
    </w:p>
    <w:p>
      <w:pPr>
        <w:ind w:firstLine="560" w:firstLineChars="200"/>
        <w:rPr>
          <w:rFonts w:ascii="仿宋_GB2312" w:eastAsia="仿宋_GB2312"/>
          <w:bCs/>
          <w:sz w:val="28"/>
          <w:szCs w:val="28"/>
        </w:rPr>
      </w:pPr>
      <w:r>
        <w:rPr>
          <w:rFonts w:hint="eastAsia" w:ascii="仿宋_GB2312" w:eastAsia="仿宋_GB2312"/>
          <w:sz w:val="28"/>
          <w:szCs w:val="28"/>
          <w:lang w:val="en-US" w:eastAsia="zh-CN"/>
        </w:rPr>
        <w:t>7.</w:t>
      </w:r>
      <w:r>
        <w:rPr>
          <w:rFonts w:hint="eastAsia" w:ascii="仿宋_GB2312" w:eastAsia="仿宋_GB2312"/>
          <w:sz w:val="28"/>
          <w:szCs w:val="28"/>
        </w:rPr>
        <w:t>文化旅游体育与传媒支出（类）文化和旅游（款）其他文化和旅游支出（项）：反映</w:t>
      </w:r>
      <w:r>
        <w:rPr>
          <w:rFonts w:hint="eastAsia" w:ascii="仿宋_GB2312" w:eastAsia="仿宋_GB2312"/>
          <w:sz w:val="28"/>
          <w:szCs w:val="28"/>
          <w:lang w:eastAsia="zh-CN"/>
        </w:rPr>
        <w:t>事业</w:t>
      </w:r>
      <w:r>
        <w:rPr>
          <w:rFonts w:hint="eastAsia" w:ascii="仿宋_GB2312" w:eastAsia="仿宋_GB2312"/>
          <w:sz w:val="28"/>
          <w:szCs w:val="28"/>
        </w:rPr>
        <w:t>单位的</w:t>
      </w:r>
      <w:r>
        <w:rPr>
          <w:rFonts w:hint="eastAsia" w:ascii="仿宋_GB2312" w:eastAsia="仿宋_GB2312"/>
          <w:sz w:val="28"/>
          <w:szCs w:val="28"/>
          <w:lang w:eastAsia="zh-CN"/>
        </w:rPr>
        <w:t>项目</w:t>
      </w:r>
      <w:r>
        <w:rPr>
          <w:rFonts w:hint="eastAsia" w:ascii="仿宋_GB2312" w:eastAsia="仿宋_GB2312"/>
          <w:sz w:val="28"/>
          <w:szCs w:val="28"/>
        </w:rPr>
        <w:t>支出。</w:t>
      </w: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pStyle w:val="2"/>
        <w:rPr>
          <w:rFonts w:ascii="黑体" w:eastAsia="黑体"/>
          <w:sz w:val="32"/>
          <w:szCs w:val="32"/>
        </w:rPr>
      </w:pPr>
    </w:p>
    <w:p>
      <w:pPr>
        <w:rPr>
          <w:rFonts w:ascii="黑体" w:eastAsia="黑体"/>
          <w:sz w:val="32"/>
          <w:szCs w:val="32"/>
        </w:rPr>
      </w:pPr>
    </w:p>
    <w:p>
      <w:pPr>
        <w:pStyle w:val="2"/>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（1）贯彻落实中央、市委、区委关于新时代文明实践工作决策部署,研究制定相关工作规划和具体措施。</w:t>
      </w:r>
    </w:p>
    <w:p>
      <w:pPr>
        <w:spacing w:line="580" w:lineRule="exact"/>
        <w:ind w:firstLine="640"/>
        <w:rPr>
          <w:rFonts w:hint="eastAsia" w:ascii="仿宋_GB2312" w:eastAsia="仿宋_GB2312"/>
          <w:sz w:val="32"/>
          <w:szCs w:val="32"/>
        </w:rPr>
      </w:pPr>
      <w:r>
        <w:rPr>
          <w:rFonts w:hint="eastAsia" w:ascii="仿宋_GB2312" w:eastAsia="仿宋_GB2312"/>
          <w:sz w:val="32"/>
          <w:szCs w:val="32"/>
        </w:rPr>
        <w:t>（2）负责全区新时代文明实践工作的统筹协调、指导服务和督查考核，负责新时代文明实践线上平台的运营维护。</w:t>
      </w:r>
    </w:p>
    <w:p>
      <w:pPr>
        <w:spacing w:line="580" w:lineRule="exact"/>
        <w:ind w:firstLine="640"/>
        <w:rPr>
          <w:rFonts w:hint="eastAsia" w:ascii="仿宋_GB2312" w:eastAsia="仿宋_GB2312"/>
          <w:sz w:val="32"/>
          <w:szCs w:val="32"/>
        </w:rPr>
      </w:pPr>
      <w:r>
        <w:rPr>
          <w:rFonts w:hint="eastAsia" w:ascii="仿宋_GB2312" w:eastAsia="仿宋_GB2312"/>
          <w:sz w:val="32"/>
          <w:szCs w:val="32"/>
        </w:rPr>
        <w:t>（3）负责统筹协调新时代文明实践志愿服务工作，做好志愿者队伍培育、登记注册、典型选树等工作。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（4）负责打造“门头沟热心人”群众性文明品牌，组织志愿队伍开展文明促进实践活动。</w:t>
      </w:r>
    </w:p>
    <w:p>
      <w:pPr>
        <w:spacing w:line="580" w:lineRule="exact"/>
        <w:ind w:firstLine="640"/>
        <w:rPr>
          <w:rFonts w:hint="eastAsia" w:ascii="仿宋_GB2312" w:eastAsia="仿宋_GB2312"/>
          <w:sz w:val="32"/>
          <w:szCs w:val="32"/>
        </w:rPr>
      </w:pPr>
      <w:r>
        <w:rPr>
          <w:rFonts w:hint="eastAsia" w:ascii="仿宋_GB2312" w:eastAsia="仿宋_GB2312"/>
          <w:sz w:val="32"/>
          <w:szCs w:val="32"/>
        </w:rPr>
        <w:t>（5）负责落实中央文明办、首都文明办，以及区委区政府关于文明创建决策部署和工作要求，协助指导全区文明创建工作。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（6）负责创建全国文明城区的协调调度、指导联络、宣传培训和检查评估。负责推进落实实地检查、材料申报、问卷调查、负面清单等各项工作。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（7）负责推动文明行为促进工作与经济社会协调发展，推进文明促进工作、全国文明城区创建、区域特色文化品牌有机融合。</w:t>
      </w:r>
    </w:p>
    <w:p>
      <w:pPr>
        <w:spacing w:line="580" w:lineRule="exact"/>
        <w:ind w:firstLine="640"/>
        <w:rPr>
          <w:rFonts w:hint="eastAsia"/>
        </w:rPr>
      </w:pPr>
      <w:r>
        <w:rPr>
          <w:rFonts w:hint="eastAsia" w:ascii="仿宋_GB2312" w:eastAsia="仿宋_GB2312"/>
          <w:sz w:val="32"/>
          <w:szCs w:val="32"/>
        </w:rPr>
        <w:t>（8）完成区委区政府交办的其他任务。</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rPr>
      </w:pPr>
      <w:r>
        <w:rPr>
          <w:rFonts w:hint="eastAsia" w:ascii="仿宋_GB2312" w:eastAsia="仿宋_GB2312"/>
          <w:sz w:val="32"/>
          <w:szCs w:val="32"/>
        </w:rPr>
        <w:t>北京市门头沟区文明促进中心，内设机构7个，无下设事业单位。</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spacing w:line="580" w:lineRule="exact"/>
        <w:ind w:firstLine="640"/>
        <w:rPr>
          <w:rFonts w:hint="eastAsia"/>
        </w:rPr>
      </w:pPr>
      <w:r>
        <w:rPr>
          <w:rFonts w:hint="eastAsia" w:ascii="仿宋_GB2312" w:eastAsia="仿宋_GB2312"/>
          <w:sz w:val="32"/>
          <w:szCs w:val="32"/>
        </w:rPr>
        <w:t>2025年，区文明促进中心聚焦城市文明建设主责主业，统筹实施社区环境、物业服务、街巷秩序等六大综合整治巩固提升行动，持续巩固创建成果，我区荣膺第七届全国文明城区；持续加大城市文明建设公益宣传、发布微信微博稿件数量超过1000条。统筹实施文明实践“1+6”品牌活动，组织开展理论宣讲、科普活动、主题推动日等志愿服务活动100余场，不断丰富市民精神文化生活；统筹实施“做文明有礼的北京人”十大文明行动，开展“文明天天见”等文明引导活动100余场，持续培育市民文明好习惯。</w:t>
      </w:r>
    </w:p>
    <w:bookmarkEnd w:id="0"/>
    <w:p>
      <w:pPr>
        <w:spacing w:line="580" w:lineRule="exact"/>
        <w:ind w:firstLine="640"/>
        <w:rPr>
          <w:rFonts w:hint="eastAsia" w:ascii="仿宋_GB2312" w:eastAsia="仿宋_GB2312"/>
          <w:sz w:val="32"/>
          <w:szCs w:val="32"/>
        </w:rPr>
      </w:pPr>
      <w:bookmarkStart w:id="1" w:name="_Toc268005759"/>
      <w:bookmarkStart w:id="2" w:name="_Toc263686375"/>
    </w:p>
    <w:p>
      <w:pPr>
        <w:spacing w:line="580" w:lineRule="exact"/>
        <w:ind w:firstLine="640"/>
        <w:rPr>
          <w:rFonts w:hint="eastAsia" w:ascii="仿宋_GB2312" w:eastAsia="仿宋_GB2312"/>
          <w:sz w:val="32"/>
          <w:szCs w:val="32"/>
        </w:rPr>
      </w:pPr>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5000" w:type="pct"/>
        <w:tblInd w:w="0" w:type="dxa"/>
        <w:tblLayout w:type="autofit"/>
        <w:tblCellMar>
          <w:top w:w="0" w:type="dxa"/>
          <w:left w:w="108" w:type="dxa"/>
          <w:bottom w:w="0" w:type="dxa"/>
          <w:right w:w="108" w:type="dxa"/>
        </w:tblCellMar>
      </w:tblPr>
      <w:tblGrid>
        <w:gridCol w:w="1423"/>
        <w:gridCol w:w="3577"/>
        <w:gridCol w:w="1935"/>
        <w:gridCol w:w="3577"/>
        <w:gridCol w:w="1941"/>
        <w:gridCol w:w="2333"/>
      </w:tblGrid>
      <w:tr>
        <w:tblPrEx>
          <w:tblCellMar>
            <w:top w:w="0" w:type="dxa"/>
            <w:left w:w="108" w:type="dxa"/>
            <w:bottom w:w="0" w:type="dxa"/>
            <w:right w:w="108" w:type="dxa"/>
          </w:tblCellMar>
        </w:tblPrEx>
        <w:trPr>
          <w:trHeight w:val="275" w:hRule="atLeast"/>
        </w:trPr>
        <w:tc>
          <w:tcPr>
            <w:tcW w:w="481" w:type="pct"/>
            <w:tcBorders>
              <w:top w:val="single" w:color="auto" w:sz="4" w:space="0"/>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209"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654"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1209"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656"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788"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CellMar>
            <w:top w:w="0" w:type="dxa"/>
            <w:left w:w="108" w:type="dxa"/>
            <w:bottom w:w="0" w:type="dxa"/>
            <w:right w:w="108" w:type="dxa"/>
          </w:tblCellMar>
        </w:tblPrEx>
        <w:trPr>
          <w:trHeight w:val="275" w:hRule="atLeast"/>
        </w:trPr>
        <w:tc>
          <w:tcPr>
            <w:tcW w:w="481"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209"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微信微博稿件发布数量</w:t>
            </w:r>
          </w:p>
        </w:tc>
        <w:tc>
          <w:tcPr>
            <w:tcW w:w="654"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p>
        </w:tc>
        <w:tc>
          <w:tcPr>
            <w:tcW w:w="1209"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1000</w:t>
            </w:r>
          </w:p>
        </w:tc>
        <w:tc>
          <w:tcPr>
            <w:tcW w:w="656"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32"/>
                <w:szCs w:val="32"/>
                <w:lang w:eastAsia="zh-CN"/>
              </w:rPr>
              <w:t>条</w:t>
            </w:r>
          </w:p>
        </w:tc>
        <w:tc>
          <w:tcPr>
            <w:tcW w:w="788"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default"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20</w:t>
            </w:r>
          </w:p>
        </w:tc>
      </w:tr>
      <w:tr>
        <w:tblPrEx>
          <w:tblCellMar>
            <w:top w:w="0" w:type="dxa"/>
            <w:left w:w="108" w:type="dxa"/>
            <w:bottom w:w="0" w:type="dxa"/>
            <w:right w:w="108" w:type="dxa"/>
          </w:tblCellMar>
        </w:tblPrEx>
        <w:trPr>
          <w:trHeight w:val="275" w:hRule="atLeast"/>
        </w:trPr>
        <w:tc>
          <w:tcPr>
            <w:tcW w:w="481"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209"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宣贯政策知晓率</w:t>
            </w:r>
          </w:p>
        </w:tc>
        <w:tc>
          <w:tcPr>
            <w:tcW w:w="654"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p>
        </w:tc>
        <w:tc>
          <w:tcPr>
            <w:tcW w:w="1209"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90</w:t>
            </w:r>
          </w:p>
        </w:tc>
        <w:tc>
          <w:tcPr>
            <w:tcW w:w="656"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32"/>
                <w:szCs w:val="32"/>
                <w:lang w:val="en-US" w:eastAsia="zh-CN"/>
              </w:rPr>
              <w:t>%</w:t>
            </w:r>
          </w:p>
        </w:tc>
        <w:tc>
          <w:tcPr>
            <w:tcW w:w="788"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CellMar>
            <w:top w:w="0" w:type="dxa"/>
            <w:left w:w="108" w:type="dxa"/>
            <w:bottom w:w="0" w:type="dxa"/>
            <w:right w:w="108" w:type="dxa"/>
          </w:tblCellMar>
        </w:tblPrEx>
        <w:trPr>
          <w:trHeight w:val="275" w:hRule="atLeast"/>
        </w:trPr>
        <w:tc>
          <w:tcPr>
            <w:tcW w:w="481"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209"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活动参与人次</w:t>
            </w:r>
          </w:p>
        </w:tc>
        <w:tc>
          <w:tcPr>
            <w:tcW w:w="654"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p>
        </w:tc>
        <w:tc>
          <w:tcPr>
            <w:tcW w:w="1209" w:type="pct"/>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50000</w:t>
            </w:r>
          </w:p>
        </w:tc>
        <w:tc>
          <w:tcPr>
            <w:tcW w:w="656"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32"/>
                <w:szCs w:val="32"/>
                <w:lang w:eastAsia="zh-CN"/>
              </w:rPr>
              <w:t>人次</w:t>
            </w:r>
          </w:p>
        </w:tc>
        <w:tc>
          <w:tcPr>
            <w:tcW w:w="788"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CellMar>
            <w:top w:w="0" w:type="dxa"/>
            <w:left w:w="108" w:type="dxa"/>
            <w:bottom w:w="0" w:type="dxa"/>
            <w:right w:w="108" w:type="dxa"/>
          </w:tblCellMar>
        </w:tblPrEx>
        <w:trPr>
          <w:trHeight w:val="275" w:hRule="atLeast"/>
        </w:trPr>
        <w:tc>
          <w:tcPr>
            <w:tcW w:w="481" w:type="pct"/>
            <w:tcBorders>
              <w:top w:val="single" w:color="auto" w:sz="4" w:space="0"/>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eastAsia="zh-CN"/>
              </w:rPr>
            </w:pPr>
            <w:r>
              <w:rPr>
                <w:rFonts w:hint="eastAsia" w:ascii="仿宋_GB2312" w:eastAsia="仿宋_GB2312"/>
                <w:sz w:val="28"/>
                <w:szCs w:val="28"/>
                <w:lang w:val="en-US" w:eastAsia="zh-CN"/>
              </w:rPr>
              <w:t>4</w:t>
            </w:r>
          </w:p>
        </w:tc>
        <w:tc>
          <w:tcPr>
            <w:tcW w:w="1209"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参与公众满意度</w:t>
            </w:r>
          </w:p>
        </w:tc>
        <w:tc>
          <w:tcPr>
            <w:tcW w:w="65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p>
        </w:tc>
        <w:tc>
          <w:tcPr>
            <w:tcW w:w="1209"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95</w:t>
            </w:r>
          </w:p>
        </w:tc>
        <w:tc>
          <w:tcPr>
            <w:tcW w:w="65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w:t>
            </w:r>
          </w:p>
        </w:tc>
        <w:tc>
          <w:tcPr>
            <w:tcW w:w="788"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default"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20</w:t>
            </w:r>
          </w:p>
        </w:tc>
      </w:tr>
      <w:tr>
        <w:tblPrEx>
          <w:tblCellMar>
            <w:top w:w="0" w:type="dxa"/>
            <w:left w:w="108" w:type="dxa"/>
            <w:bottom w:w="0" w:type="dxa"/>
            <w:right w:w="108" w:type="dxa"/>
          </w:tblCellMar>
        </w:tblPrEx>
        <w:trPr>
          <w:trHeight w:val="275" w:hRule="atLeast"/>
        </w:trPr>
        <w:tc>
          <w:tcPr>
            <w:tcW w:w="481" w:type="pct"/>
            <w:tcBorders>
              <w:top w:val="single" w:color="auto" w:sz="4" w:space="0"/>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5</w:t>
            </w:r>
          </w:p>
        </w:tc>
        <w:tc>
          <w:tcPr>
            <w:tcW w:w="1209"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倡导市民积极践行文明行为</w:t>
            </w:r>
          </w:p>
        </w:tc>
        <w:tc>
          <w:tcPr>
            <w:tcW w:w="65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定性</w:t>
            </w:r>
          </w:p>
        </w:tc>
        <w:tc>
          <w:tcPr>
            <w:tcW w:w="1209"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倡导市民积极践行文明行为</w:t>
            </w:r>
          </w:p>
        </w:tc>
        <w:tc>
          <w:tcPr>
            <w:tcW w:w="65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p>
        </w:tc>
        <w:tc>
          <w:tcPr>
            <w:tcW w:w="788"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10</w:t>
            </w:r>
          </w:p>
        </w:tc>
      </w:tr>
      <w:tr>
        <w:tblPrEx>
          <w:tblCellMar>
            <w:top w:w="0" w:type="dxa"/>
            <w:left w:w="108" w:type="dxa"/>
            <w:bottom w:w="0" w:type="dxa"/>
            <w:right w:w="108" w:type="dxa"/>
          </w:tblCellMar>
        </w:tblPrEx>
        <w:trPr>
          <w:trHeight w:val="275" w:hRule="atLeast"/>
        </w:trPr>
        <w:tc>
          <w:tcPr>
            <w:tcW w:w="481" w:type="pct"/>
            <w:tcBorders>
              <w:top w:val="single" w:color="auto" w:sz="4" w:space="0"/>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6</w:t>
            </w:r>
          </w:p>
        </w:tc>
        <w:tc>
          <w:tcPr>
            <w:tcW w:w="1209"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全区范围内开展全覆盖检查</w:t>
            </w:r>
          </w:p>
        </w:tc>
        <w:tc>
          <w:tcPr>
            <w:tcW w:w="65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p>
        </w:tc>
        <w:tc>
          <w:tcPr>
            <w:tcW w:w="1209"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4</w:t>
            </w:r>
          </w:p>
        </w:tc>
        <w:tc>
          <w:tcPr>
            <w:tcW w:w="65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次</w:t>
            </w:r>
          </w:p>
        </w:tc>
        <w:tc>
          <w:tcPr>
            <w:tcW w:w="788"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420" w:lineRule="exact"/>
              <w:jc w:val="center"/>
              <w:textAlignment w:val="auto"/>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10</w:t>
            </w: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w:t>
      </w:r>
      <w:r>
        <w:rPr>
          <w:rFonts w:hint="eastAsia" w:ascii="仿宋_GB2312" w:eastAsia="仿宋_GB2312"/>
          <w:sz w:val="32"/>
          <w:szCs w:val="32"/>
          <w:lang w:val="en-US" w:eastAsia="zh-CN"/>
        </w:rPr>
        <w:t>25,066,935.83</w:t>
      </w:r>
      <w:r>
        <w:rPr>
          <w:rFonts w:hint="eastAsia" w:ascii="仿宋_GB2312" w:eastAsia="仿宋_GB2312"/>
          <w:sz w:val="32"/>
          <w:szCs w:val="32"/>
        </w:rPr>
        <w:t>元，其中，基本支出预算数</w:t>
      </w:r>
      <w:r>
        <w:rPr>
          <w:rFonts w:hint="eastAsia" w:ascii="仿宋_GB2312" w:eastAsia="仿宋_GB2312"/>
          <w:sz w:val="32"/>
          <w:szCs w:val="32"/>
          <w:lang w:val="en-US" w:eastAsia="zh-CN"/>
        </w:rPr>
        <w:t>9,616,517.75</w:t>
      </w:r>
      <w:r>
        <w:rPr>
          <w:rFonts w:hint="eastAsia" w:ascii="仿宋_GB2312" w:eastAsia="仿宋_GB2312"/>
          <w:sz w:val="32"/>
          <w:szCs w:val="32"/>
        </w:rPr>
        <w:t>元，项目支出预算数</w:t>
      </w:r>
      <w:r>
        <w:rPr>
          <w:rFonts w:hint="eastAsia" w:ascii="仿宋_GB2312" w:eastAsia="仿宋_GB2312"/>
          <w:sz w:val="32"/>
          <w:szCs w:val="32"/>
          <w:lang w:val="en-US" w:eastAsia="zh-CN"/>
        </w:rPr>
        <w:t>15,450,418.08</w:t>
      </w:r>
      <w:r>
        <w:rPr>
          <w:rFonts w:hint="eastAsia" w:ascii="仿宋_GB2312" w:eastAsia="仿宋_GB2312"/>
          <w:sz w:val="32"/>
          <w:szCs w:val="32"/>
        </w:rPr>
        <w:t>元。全年支出</w:t>
      </w:r>
      <w:r>
        <w:rPr>
          <w:rFonts w:hint="eastAsia" w:ascii="仿宋_GB2312" w:eastAsia="仿宋_GB2312"/>
          <w:sz w:val="32"/>
          <w:szCs w:val="32"/>
          <w:lang w:val="en-US" w:eastAsia="zh-CN"/>
        </w:rPr>
        <w:t>25,066,935.83</w:t>
      </w:r>
      <w:r>
        <w:rPr>
          <w:rFonts w:hint="eastAsia" w:ascii="仿宋_GB2312" w:eastAsia="仿宋_GB2312"/>
          <w:sz w:val="32"/>
          <w:szCs w:val="32"/>
        </w:rPr>
        <w:t>元，其中，基本支出</w:t>
      </w:r>
      <w:r>
        <w:rPr>
          <w:rFonts w:hint="eastAsia" w:ascii="仿宋_GB2312" w:eastAsia="仿宋_GB2312"/>
          <w:sz w:val="32"/>
          <w:szCs w:val="32"/>
          <w:lang w:val="en-US" w:eastAsia="zh-CN"/>
        </w:rPr>
        <w:t>9,616,517.75</w:t>
      </w:r>
      <w:r>
        <w:rPr>
          <w:rFonts w:hint="eastAsia" w:ascii="仿宋_GB2312" w:eastAsia="仿宋_GB2312"/>
          <w:sz w:val="32"/>
          <w:szCs w:val="32"/>
        </w:rPr>
        <w:t>元，项目支出</w:t>
      </w:r>
      <w:r>
        <w:rPr>
          <w:rFonts w:hint="eastAsia" w:ascii="仿宋_GB2312" w:eastAsia="仿宋_GB2312"/>
          <w:sz w:val="32"/>
          <w:szCs w:val="32"/>
          <w:lang w:val="en-US" w:eastAsia="zh-CN"/>
        </w:rPr>
        <w:t>15,450,418.08</w:t>
      </w:r>
      <w:r>
        <w:rPr>
          <w:rFonts w:hint="eastAsia" w:ascii="仿宋_GB2312" w:eastAsia="仿宋_GB2312"/>
          <w:sz w:val="32"/>
          <w:szCs w:val="32"/>
        </w:rPr>
        <w:t>元。预算执行率为</w:t>
      </w:r>
      <w:r>
        <w:rPr>
          <w:rFonts w:hint="eastAsia" w:ascii="仿宋_GB2312" w:eastAsia="仿宋_GB2312"/>
          <w:sz w:val="32"/>
          <w:szCs w:val="32"/>
          <w:lang w:val="en-US" w:eastAsia="zh-CN"/>
        </w:rPr>
        <w:t>100</w:t>
      </w:r>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25,066,935.83</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10,625,198.46</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%；2025年度部门结转结余率较上一年上升/下降了</w:t>
      </w:r>
      <w:r>
        <w:rPr>
          <w:rFonts w:hint="eastAsia" w:ascii="仿宋_GB2312" w:eastAsia="仿宋_GB2312"/>
          <w:sz w:val="32"/>
          <w:szCs w:val="32"/>
          <w:lang w:val="en-US" w:eastAsia="zh-CN"/>
        </w:rPr>
        <w:t>0</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微信微博稿件发布数量</w:t>
            </w:r>
            <w:r>
              <w:rPr>
                <w:rFonts w:hint="eastAsia" w:ascii="仿宋_GB2312" w:hAnsi="宋体" w:eastAsia="仿宋_GB2312" w:cs="宋体"/>
                <w:color w:val="000000"/>
                <w:kern w:val="0"/>
                <w:sz w:val="28"/>
                <w:szCs w:val="28"/>
              </w:rPr>
              <w:t>　</w:t>
            </w:r>
          </w:p>
        </w:tc>
        <w:tc>
          <w:tcPr>
            <w:tcW w:w="1701"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宋体" w:eastAsia="仿宋_GB2312" w:cs="宋体"/>
                <w:color w:val="000000"/>
                <w:kern w:val="0"/>
                <w:sz w:val="28"/>
                <w:szCs w:val="28"/>
              </w:rPr>
              <w:t>　</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lang w:val="en-US" w:eastAsia="zh-CN"/>
              </w:rPr>
              <w:t>1000条</w:t>
            </w:r>
          </w:p>
        </w:tc>
        <w:tc>
          <w:tcPr>
            <w:tcW w:w="1843"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lang w:val="en-US" w:eastAsia="zh-CN"/>
              </w:rPr>
              <w:t>1000条</w:t>
            </w:r>
            <w:r>
              <w:rPr>
                <w:rFonts w:hint="eastAsia" w:ascii="仿宋_GB2312" w:hAnsi="宋体" w:eastAsia="仿宋_GB2312" w:cs="宋体"/>
                <w:color w:val="000000"/>
                <w:kern w:val="0"/>
                <w:sz w:val="28"/>
                <w:szCs w:val="28"/>
              </w:rPr>
              <w:t>　</w:t>
            </w:r>
          </w:p>
        </w:tc>
        <w:tc>
          <w:tcPr>
            <w:tcW w:w="2792"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宋体" w:eastAsia="仿宋_GB2312" w:cs="宋体"/>
                <w:color w:val="000000"/>
                <w:kern w:val="0"/>
                <w:sz w:val="28"/>
                <w:szCs w:val="28"/>
                <w:lang w:eastAsia="zh-CN"/>
              </w:rPr>
              <w:t>无</w:t>
            </w:r>
            <w:r>
              <w:rPr>
                <w:rFonts w:hint="eastAsia" w:ascii="仿宋_GB2312" w:hAnsi="宋体" w:eastAsia="仿宋_GB2312" w:cs="宋体"/>
                <w:color w:val="000000"/>
                <w:kern w:val="0"/>
                <w:sz w:val="28"/>
                <w:szCs w:val="28"/>
              </w:rPr>
              <w:t>　</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全区范围内开展全覆盖检查</w:t>
            </w:r>
            <w:r>
              <w:rPr>
                <w:rFonts w:hint="eastAsia" w:ascii="仿宋_GB2312" w:hAnsi="宋体" w:eastAsia="仿宋_GB2312" w:cs="宋体"/>
                <w:color w:val="000000"/>
                <w:kern w:val="0"/>
                <w:sz w:val="28"/>
                <w:szCs w:val="28"/>
              </w:rPr>
              <w:t>　</w:t>
            </w:r>
          </w:p>
        </w:tc>
        <w:tc>
          <w:tcPr>
            <w:tcW w:w="1701"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lang w:val="en-US" w:eastAsia="zh-CN"/>
              </w:rPr>
              <w:t>4次</w:t>
            </w:r>
            <w:r>
              <w:rPr>
                <w:rFonts w:hint="eastAsia" w:ascii="仿宋_GB2312" w:hAnsi="宋体" w:eastAsia="仿宋_GB2312" w:cs="宋体"/>
                <w:color w:val="000000"/>
                <w:kern w:val="0"/>
                <w:sz w:val="28"/>
                <w:szCs w:val="28"/>
              </w:rPr>
              <w:t>　</w:t>
            </w:r>
          </w:p>
        </w:tc>
        <w:tc>
          <w:tcPr>
            <w:tcW w:w="1843"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lang w:val="en-US" w:eastAsia="zh-CN"/>
              </w:rPr>
              <w:t>4次</w:t>
            </w:r>
            <w:r>
              <w:rPr>
                <w:rFonts w:hint="eastAsia" w:ascii="仿宋_GB2312" w:hAnsi="宋体" w:eastAsia="仿宋_GB2312" w:cs="宋体"/>
                <w:color w:val="000000"/>
                <w:kern w:val="0"/>
                <w:sz w:val="28"/>
                <w:szCs w:val="28"/>
              </w:rPr>
              <w:t>　</w:t>
            </w:r>
          </w:p>
        </w:tc>
        <w:tc>
          <w:tcPr>
            <w:tcW w:w="2792"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宋体" w:eastAsia="仿宋_GB2312" w:cs="宋体"/>
                <w:color w:val="000000"/>
                <w:kern w:val="0"/>
                <w:sz w:val="28"/>
                <w:szCs w:val="28"/>
                <w:lang w:eastAsia="zh-CN"/>
              </w:rPr>
              <w:t>无</w:t>
            </w:r>
            <w:r>
              <w:rPr>
                <w:rFonts w:hint="eastAsia" w:ascii="仿宋_GB2312" w:hAnsi="宋体" w:eastAsia="仿宋_GB2312" w:cs="宋体"/>
                <w:color w:val="000000"/>
                <w:kern w:val="0"/>
                <w:sz w:val="28"/>
                <w:szCs w:val="28"/>
              </w:rPr>
              <w:t>　</w:t>
            </w:r>
          </w:p>
        </w:tc>
      </w:tr>
    </w:tbl>
    <w:p>
      <w:pPr>
        <w:spacing w:line="520" w:lineRule="exact"/>
        <w:ind w:firstLine="640"/>
        <w:rPr>
          <w:rFonts w:hint="eastAsia" w:ascii="仿宋_GB2312" w:hAnsi="Calibri" w:eastAsia="仿宋_GB2312"/>
          <w:sz w:val="32"/>
          <w:szCs w:val="32"/>
          <w:lang w:val="en-US" w:eastAsia="zh-CN"/>
        </w:rPr>
      </w:pPr>
      <w:r>
        <w:rPr>
          <w:rFonts w:hint="eastAsia" w:ascii="仿宋_GB2312" w:eastAsia="仿宋_GB2312"/>
          <w:sz w:val="32"/>
          <w:szCs w:val="32"/>
        </w:rPr>
        <w:t>（2）产出质量</w:t>
      </w: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r>
        <w:rPr>
          <w:rFonts w:hint="eastAsia" w:ascii="仿宋_GB2312" w:eastAsia="仿宋_GB2312"/>
          <w:sz w:val="32"/>
          <w:szCs w:val="32"/>
          <w:lang w:eastAsia="zh-CN"/>
        </w:rPr>
        <w:t>：</w:t>
      </w:r>
      <w:r>
        <w:rPr>
          <w:rFonts w:hint="eastAsia" w:ascii="仿宋_GB2312" w:eastAsia="仿宋_GB2312"/>
          <w:sz w:val="32"/>
          <w:szCs w:val="32"/>
        </w:rPr>
        <w:t>活动参与人次≥50000人次；宣贯政策知晓率≥90%；倡导市民积极践行文明行为明显提升。</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（5）服务对象满意度：参与公众满意度≥95%。</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rPr>
      </w:pPr>
      <w:r>
        <w:rPr>
          <w:rFonts w:hint="eastAsia" w:ascii="仿宋_GB2312" w:eastAsia="仿宋_GB2312"/>
          <w:sz w:val="32"/>
          <w:szCs w:val="32"/>
        </w:rPr>
        <w:t>依据《中华人民共和国会计法》《中华人民共和国预算法》《行政事业单位内部控制规范（试行）》等法律法规及相关文件要求，我单位制定《门头沟区文明促进中心支出管理办法（试行）》《门头沟区文明促进中心预算管理办法（试行）》等财务管理制度，持续健全财务制度体系</w:t>
      </w:r>
      <w:r>
        <w:rPr>
          <w:rFonts w:hint="eastAsia" w:ascii="仿宋_GB2312" w:eastAsia="仿宋_GB2312"/>
          <w:sz w:val="32"/>
          <w:szCs w:val="32"/>
          <w:lang w:eastAsia="zh-CN"/>
        </w:rPr>
        <w:t>，</w:t>
      </w:r>
      <w:r>
        <w:rPr>
          <w:rFonts w:hint="eastAsia" w:ascii="仿宋_GB2312" w:eastAsia="仿宋_GB2312"/>
          <w:sz w:val="32"/>
          <w:szCs w:val="32"/>
        </w:rPr>
        <w:t>严格执行各项规章制度，有效落实内部监督与控制，切实保障资金使用合规、安全。同时，严格按照财政主管部门规定依法设置会计账簿，以单位实际发生的经济业务事项为依据，规范开展会计核算、凭证填制、账簿登记及财务报告编制工作，确保会计资料真实、完整。</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持续完善各项管理制度，组织制定并落实内控制度，扎实做好固定资产管理、资产财务核算、资产台账登记等基础工作，定期组织固定资产盘点，完善资产明细数据，强化资产配置合理性，提升固定资产使用效益，切实保障固定资产安全完整；规范资产处置流程，严格资产审批管理，提高资产使用效率，以坚实的固定资产保障单位正常运转与职工办公需求。</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将绩效管理深度融入预算管理全过程。科学规划项目绩效目标，围绕社会效益等核心维度，精准分析测算，建立可量化、可考核的指标体系，为成果评估提供精准依据；严格落实 “三重一大” 决策程序，以科学绩效目标引领预算编制精准化、决策规范化，切实提高财政资金使用质效。</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6</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4</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66.7</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3</w:t>
      </w:r>
      <w:r>
        <w:rPr>
          <w:rFonts w:hint="eastAsia" w:ascii="仿宋_GB2312" w:eastAsia="仿宋_GB2312"/>
          <w:sz w:val="32"/>
          <w:szCs w:val="32"/>
        </w:rPr>
        <w:t>个，涉及金额</w:t>
      </w:r>
      <w:r>
        <w:rPr>
          <w:rFonts w:hint="eastAsia" w:ascii="仿宋_GB2312" w:eastAsia="仿宋_GB2312"/>
          <w:sz w:val="32"/>
          <w:szCs w:val="32"/>
          <w:lang w:val="en-US" w:eastAsia="zh-CN"/>
        </w:rPr>
        <w:t>1,984,200.00</w:t>
      </w:r>
      <w:r>
        <w:rPr>
          <w:rFonts w:hint="eastAsia" w:ascii="仿宋_GB2312" w:eastAsia="仿宋_GB2312"/>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90</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bookmarkEnd w:id="2"/>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6</w:t>
      </w:r>
      <w:r>
        <w:rPr>
          <w:rFonts w:hint="eastAsia" w:ascii="仿宋_GB2312" w:eastAsia="仿宋_GB2312"/>
          <w:sz w:val="32"/>
          <w:szCs w:val="32"/>
        </w:rPr>
        <w:t>个，涉及金额24</w:t>
      </w:r>
      <w:r>
        <w:rPr>
          <w:rFonts w:hint="eastAsia" w:ascii="仿宋_GB2312" w:eastAsia="仿宋_GB2312"/>
          <w:sz w:val="32"/>
          <w:szCs w:val="32"/>
          <w:lang w:val="en-US" w:eastAsia="zh-CN"/>
        </w:rPr>
        <w:t>,</w:t>
      </w:r>
      <w:r>
        <w:rPr>
          <w:rFonts w:hint="eastAsia" w:ascii="仿宋_GB2312" w:eastAsia="仿宋_GB2312"/>
          <w:sz w:val="32"/>
          <w:szCs w:val="32"/>
        </w:rPr>
        <w:t>149</w:t>
      </w:r>
      <w:r>
        <w:rPr>
          <w:rFonts w:hint="eastAsia" w:ascii="仿宋_GB2312" w:eastAsia="仿宋_GB2312"/>
          <w:sz w:val="32"/>
          <w:szCs w:val="32"/>
          <w:lang w:val="en-US" w:eastAsia="zh-CN"/>
        </w:rPr>
        <w:t>,</w:t>
      </w:r>
      <w:r>
        <w:rPr>
          <w:rFonts w:hint="eastAsia" w:ascii="仿宋_GB2312" w:eastAsia="仿宋_GB2312"/>
          <w:sz w:val="32"/>
          <w:szCs w:val="32"/>
        </w:rPr>
        <w:t>794.97元。本次实施绩效自评项目</w:t>
      </w:r>
      <w:r>
        <w:rPr>
          <w:rFonts w:hint="eastAsia" w:ascii="仿宋_GB2312" w:eastAsia="仿宋_GB2312"/>
          <w:sz w:val="32"/>
          <w:szCs w:val="32"/>
          <w:lang w:val="en-US" w:eastAsia="zh-CN"/>
        </w:rPr>
        <w:t>6</w:t>
      </w:r>
      <w:r>
        <w:rPr>
          <w:rFonts w:hint="eastAsia" w:ascii="仿宋_GB2312" w:eastAsia="仿宋_GB2312"/>
          <w:sz w:val="32"/>
          <w:szCs w:val="32"/>
        </w:rPr>
        <w:t>个，涉及金额24</w:t>
      </w:r>
      <w:r>
        <w:rPr>
          <w:rFonts w:hint="eastAsia" w:ascii="仿宋_GB2312" w:eastAsia="仿宋_GB2312"/>
          <w:sz w:val="32"/>
          <w:szCs w:val="32"/>
          <w:lang w:val="en-US" w:eastAsia="zh-CN"/>
        </w:rPr>
        <w:t>,</w:t>
      </w:r>
      <w:r>
        <w:rPr>
          <w:rFonts w:hint="eastAsia" w:ascii="仿宋_GB2312" w:eastAsia="仿宋_GB2312"/>
          <w:sz w:val="32"/>
          <w:szCs w:val="32"/>
        </w:rPr>
        <w:t>149</w:t>
      </w:r>
      <w:r>
        <w:rPr>
          <w:rFonts w:hint="eastAsia" w:ascii="仿宋_GB2312" w:eastAsia="仿宋_GB2312"/>
          <w:sz w:val="32"/>
          <w:szCs w:val="32"/>
          <w:lang w:val="en-US" w:eastAsia="zh-CN"/>
        </w:rPr>
        <w:t>,</w:t>
      </w:r>
      <w:r>
        <w:rPr>
          <w:rFonts w:hint="eastAsia" w:ascii="仿宋_GB2312" w:eastAsia="仿宋_GB2312"/>
          <w:sz w:val="32"/>
          <w:szCs w:val="32"/>
        </w:rPr>
        <w:t>794.97元。评价得分在90分（含90分）以上的</w:t>
      </w:r>
      <w:r>
        <w:rPr>
          <w:rFonts w:hint="eastAsia" w:ascii="仿宋_GB2312" w:eastAsia="仿宋_GB2312"/>
          <w:sz w:val="32"/>
          <w:szCs w:val="32"/>
          <w:lang w:val="en-US" w:eastAsia="zh-CN"/>
        </w:rPr>
        <w:t>6</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rPr>
          <w:rFonts w:hint="eastAsia" w:ascii="楷体_GB2312" w:hAnsi="仿宋" w:eastAsia="楷体_GB2312"/>
          <w:b/>
          <w:sz w:val="32"/>
          <w:szCs w:val="32"/>
        </w:rPr>
      </w:pPr>
      <w:r>
        <w:rPr>
          <w:rFonts w:hint="eastAsia" w:ascii="楷体_GB2312" w:hAnsi="仿宋" w:eastAsia="楷体_GB2312"/>
          <w:b/>
          <w:sz w:val="32"/>
          <w:szCs w:val="32"/>
          <w:lang w:val="en-US" w:eastAsia="zh-CN"/>
        </w:rPr>
        <w:t xml:space="preserve">    </w:t>
      </w:r>
      <w:r>
        <w:rPr>
          <w:rFonts w:hint="eastAsia" w:ascii="楷体_GB2312" w:hAnsi="仿宋" w:eastAsia="楷体_GB2312"/>
          <w:b/>
          <w:sz w:val="32"/>
          <w:szCs w:val="32"/>
        </w:rPr>
        <w:t>（二）重点支出项目绩效自评报告</w:t>
      </w:r>
    </w:p>
    <w:p>
      <w:pPr>
        <w:spacing w:line="580" w:lineRule="exact"/>
        <w:outlineLvl w:val="0"/>
        <w:rPr>
          <w:rFonts w:hint="default" w:ascii="仿宋_GB2312" w:hAnsi="Calibri" w:eastAsia="仿宋_GB2312"/>
          <w:sz w:val="32"/>
          <w:szCs w:val="32"/>
          <w:lang w:val="en-US" w:eastAsia="zh-CN"/>
        </w:rPr>
      </w:pPr>
      <w:r>
        <w:rPr>
          <w:rFonts w:hint="eastAsia" w:ascii="仿宋_GB2312" w:hAnsi="Calibri" w:eastAsia="仿宋_GB2312"/>
          <w:sz w:val="32"/>
          <w:szCs w:val="32"/>
          <w:lang w:val="en-US" w:eastAsia="zh-CN"/>
        </w:rPr>
        <w:t xml:space="preserve">      见附件。</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960" w:firstLineChars="300"/>
        <w:outlineLvl w:val="0"/>
        <w:rPr>
          <w:rFonts w:hint="eastAsia" w:ascii="仿宋_GB2312" w:hAnsi="Calibri" w:eastAsia="仿宋_GB2312"/>
          <w:sz w:val="32"/>
          <w:szCs w:val="32"/>
        </w:rPr>
      </w:pPr>
      <w:r>
        <w:rPr>
          <w:rFonts w:hint="eastAsia" w:ascii="仿宋_GB2312" w:eastAsia="仿宋_GB2312"/>
          <w:sz w:val="32"/>
          <w:szCs w:val="32"/>
          <w:lang w:eastAsia="zh-CN"/>
        </w:rPr>
        <w:t>见附件</w:t>
      </w:r>
      <w:r>
        <w:rPr>
          <w:rFonts w:hint="eastAsia" w:ascii="仿宋_GB2312" w:eastAsia="仿宋_GB2312"/>
          <w:sz w:val="32"/>
          <w:szCs w:val="32"/>
        </w:rPr>
        <w:t>。</w:t>
      </w:r>
    </w:p>
    <w:p>
      <w:pPr>
        <w:spacing w:line="580" w:lineRule="exact"/>
        <w:ind w:firstLine="800" w:firstLineChars="250"/>
        <w:rPr>
          <w:rFonts w:hint="eastAsia" w:ascii="仿宋_GB2312" w:eastAsia="仿宋_GB2312"/>
          <w:sz w:val="32"/>
          <w:szCs w:val="32"/>
        </w:rPr>
      </w:pP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5FC3A5B"/>
    <w:rsid w:val="167A2FF9"/>
    <w:rsid w:val="17E05399"/>
    <w:rsid w:val="18581C69"/>
    <w:rsid w:val="186D28E5"/>
    <w:rsid w:val="1AEC0734"/>
    <w:rsid w:val="1BDF9B1F"/>
    <w:rsid w:val="1C203C3A"/>
    <w:rsid w:val="1DEF20B0"/>
    <w:rsid w:val="214243FA"/>
    <w:rsid w:val="21AD613C"/>
    <w:rsid w:val="22467189"/>
    <w:rsid w:val="257A14F5"/>
    <w:rsid w:val="27196C26"/>
    <w:rsid w:val="29EF086F"/>
    <w:rsid w:val="2A014A0F"/>
    <w:rsid w:val="2EFFE297"/>
    <w:rsid w:val="301437CA"/>
    <w:rsid w:val="32791381"/>
    <w:rsid w:val="349D1F0A"/>
    <w:rsid w:val="34DD0473"/>
    <w:rsid w:val="3BD3CA8E"/>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5DAF6894"/>
    <w:rsid w:val="60A54109"/>
    <w:rsid w:val="61D01CDF"/>
    <w:rsid w:val="64C0607C"/>
    <w:rsid w:val="65756C86"/>
    <w:rsid w:val="674D385B"/>
    <w:rsid w:val="676F09E1"/>
    <w:rsid w:val="67FFA854"/>
    <w:rsid w:val="6ED63CF2"/>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E69DF0E"/>
    <w:rsid w:val="7F7FE70F"/>
    <w:rsid w:val="7FD21F88"/>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DFEB60CC"/>
    <w:rsid w:val="E4FED278"/>
    <w:rsid w:val="EDAA365C"/>
    <w:rsid w:val="EDADFC12"/>
    <w:rsid w:val="F2FD229B"/>
    <w:rsid w:val="F7F709E9"/>
    <w:rsid w:val="F7FF3690"/>
    <w:rsid w:val="F9BD3900"/>
    <w:rsid w:val="FC8B9876"/>
    <w:rsid w:val="FDB9D65E"/>
    <w:rsid w:val="FEDFF218"/>
    <w:rsid w:val="FEDFFFFF"/>
    <w:rsid w:val="FFCB9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Sheet1!$B$1</c:f>
              <c:strCache>
                <c:ptCount val="1"/>
                <c:pt idx="0">
                  <c:v>收入</c:v>
                </c:pt>
              </c:strCache>
            </c:strRef>
          </c:tx>
          <c:explosion val="0"/>
          <c:dPt>
            <c:idx val="0"/>
            <c:bubble3D val="false"/>
          </c:dPt>
          <c:dPt>
            <c:idx val="1"/>
            <c:bubble3D val="false"/>
          </c:dPt>
          <c:dPt>
            <c:idx val="2"/>
            <c:bubble3D val="false"/>
          </c:dPt>
          <c:dPt>
            <c:idx val="3"/>
            <c:bubble3D val="false"/>
          </c:dPt>
          <c:dPt>
            <c:idx val="4"/>
            <c:bubble3D val="false"/>
          </c:dPt>
          <c:dPt>
            <c:idx val="5"/>
            <c:bubble3D val="false"/>
          </c:dPt>
          <c:dLbls>
            <c:numFmt formatCode="0.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2506.69</c:v>
                </c:pt>
                <c:pt idx="1">
                  <c:v>0</c:v>
                </c:pt>
                <c:pt idx="2">
                  <c:v>0</c:v>
                </c:pt>
                <c:pt idx="3">
                  <c:v>0</c:v>
                </c:pt>
                <c:pt idx="4">
                  <c:v>0</c:v>
                </c:pt>
                <c:pt idx="5">
                  <c:v>0</c:v>
                </c:pt>
              </c:numCache>
            </c:numRef>
          </c:val>
        </c:ser>
        <c:dLbls>
          <c:showLegendKey val="false"/>
          <c:showVal val="true"/>
          <c:showCatName val="false"/>
          <c:showSerName val="false"/>
          <c:showPercent val="false"/>
          <c:showBubbleSize val="false"/>
          <c:showLeaderLines val="true"/>
        </c:dLbls>
        <c:firstSliceAng val="0"/>
      </c:pieChart>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Sheet0!$B$1</c:f>
              <c:strCache>
                <c:ptCount val="1"/>
                <c:pt idx="0">
                  <c:v>支出</c:v>
                </c:pt>
              </c:strCache>
            </c:strRef>
          </c:tx>
          <c:explosion val="0"/>
          <c:dPt>
            <c:idx val="0"/>
            <c:bubble3D val="false"/>
            <c:spPr>
              <a:solidFill>
                <a:srgbClr val="4F81BD"/>
              </a:solidFill>
              <a:ln w="19050">
                <a:solidFill>
                  <a:srgbClr val="FFFFFF"/>
                </a:solidFill>
              </a:ln>
              <a:effectLst/>
            </c:spPr>
          </c:dPt>
          <c:dPt>
            <c:idx val="1"/>
            <c:bubble3D val="false"/>
            <c:spPr>
              <a:solidFill>
                <a:srgbClr val="C0504D"/>
              </a:solidFill>
              <a:ln w="19050">
                <a:solidFill>
                  <a:srgbClr val="FFFFFF"/>
                </a:solidFill>
              </a:ln>
              <a:effectLst/>
            </c:spPr>
          </c:dPt>
          <c:dPt>
            <c:idx val="2"/>
            <c:bubble3D val="false"/>
            <c:spPr>
              <a:solidFill>
                <a:srgbClr val="9BBB59"/>
              </a:solidFill>
              <a:ln w="19050">
                <a:solidFill>
                  <a:srgbClr val="FFFFFF"/>
                </a:solidFill>
              </a:ln>
              <a:effectLst/>
            </c:spPr>
          </c:dPt>
          <c:dPt>
            <c:idx val="3"/>
            <c:bubble3D val="false"/>
            <c:spPr>
              <a:solidFill>
                <a:srgbClr val="8064A2"/>
              </a:solidFill>
              <a:ln w="19050">
                <a:solidFill>
                  <a:srgbClr val="FFFFFF"/>
                </a:solidFill>
              </a:ln>
              <a:effectLst/>
            </c:spPr>
          </c:dPt>
          <c:dPt>
            <c:idx val="4"/>
            <c:bubble3D val="false"/>
            <c:spPr>
              <a:solidFill>
                <a:srgbClr val="4BACC6"/>
              </a:solidFill>
              <a:ln w="19050">
                <a:solidFill>
                  <a:srgbClr val="FFFFFF"/>
                </a:solidFill>
              </a:ln>
              <a:effectLst/>
            </c:spPr>
          </c:dPt>
          <c:dLbls>
            <c:dLbl>
              <c:idx val="2"/>
              <c:layout>
                <c:manualLayout>
                  <c:x val="-0.03900372940115"/>
                  <c:y val="0.0328271436107878"/>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dLbl>
              <c:idx val="4"/>
              <c:layout>
                <c:manualLayout>
                  <c:x val="0.0389887693586102"/>
                  <c:y val="0.0105112295100623"/>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961.65</c:v>
                </c:pt>
                <c:pt idx="1">
                  <c:v>1545.04</c:v>
                </c:pt>
                <c:pt idx="2">
                  <c:v>0</c:v>
                </c:pt>
                <c:pt idx="3">
                  <c:v>0</c:v>
                </c:pt>
                <c:pt idx="4">
                  <c:v>0</c:v>
                </c:pt>
              </c:numCache>
            </c:numRef>
          </c:val>
        </c:ser>
        <c:dLbls>
          <c:showLegendKey val="false"/>
          <c:showVal val="false"/>
          <c:showCatName val="false"/>
          <c:showSerName val="false"/>
          <c:showPercent val="true"/>
          <c:showBubbleSize val="false"/>
          <c:showLeaderLines val="true"/>
        </c:dLbls>
        <c:firstSliceAng val="0"/>
      </c:pieChart>
      <c:spPr>
        <a:noFill/>
        <a:ln>
          <a:noFill/>
        </a:ln>
        <a:effectLst/>
      </c:spPr>
    </c:plotArea>
    <c:legend>
      <c:legendPos val="b"/>
      <c:legendEntry>
        <c:idx val="0"/>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
    <c:plotVisOnly val="true"/>
    <c:dispBlanksAs val="gap"/>
    <c:showDLblsOverMax val="false"/>
  </c:chart>
  <c:spPr>
    <a:ln w="9525" cap="flat" cmpd="sng" algn="ctr">
      <a:solidFill>
        <a:srgbClr val="D9D9D9">
          <a:lumMod val="15000"/>
          <a:lumOff val="85000"/>
        </a:srgbClr>
      </a:solidFill>
      <a:prstDash val="solid"/>
      <a:round/>
    </a:ln>
    <a:effectLst/>
  </c:spPr>
  <c:txPr>
    <a:bodyPr/>
    <a:lstStyle/>
    <a:p>
      <a:pPr>
        <a:defRPr lang="zh-CN"/>
      </a:pPr>
    </a:p>
  </c:txPr>
  <c:externalData r:id="rId1">
    <c:autoUpdate val="false"/>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20</TotalTime>
  <ScaleCrop>false</ScaleCrop>
  <LinksUpToDate>false</LinksUpToDate>
  <CharactersWithSpaces>6191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2017-07-13T23:16:00Z</dcterms:created>
  <dc:creator>常程</dc:creator>
  <cp:lastModifiedBy>sugon</cp:lastModifiedBy>
  <cp:lastPrinted>2026-08-21T02:11:00Z</cp:lastPrinted>
  <dcterms:modified xsi:type="dcterms:W3CDTF">2026-08-27T09:40:04Z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