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85087C">
      <w:pPr>
        <w:jc w:val="center"/>
        <w:rPr>
          <w:rFonts w:ascii="仿宋_GB2312" w:eastAsia="仿宋_GB2312"/>
          <w:b/>
          <w:sz w:val="32"/>
          <w:szCs w:val="32"/>
        </w:rPr>
      </w:pPr>
    </w:p>
    <w:p w14:paraId="1795BFD9">
      <w:pPr>
        <w:jc w:val="center"/>
        <w:rPr>
          <w:rFonts w:ascii="黑体" w:eastAsia="黑体"/>
          <w:sz w:val="72"/>
          <w:szCs w:val="72"/>
        </w:rPr>
      </w:pPr>
    </w:p>
    <w:p w14:paraId="17F9A946">
      <w:pPr>
        <w:jc w:val="center"/>
        <w:rPr>
          <w:rFonts w:ascii="黑体" w:eastAsia="黑体"/>
          <w:sz w:val="72"/>
          <w:szCs w:val="72"/>
        </w:rPr>
      </w:pPr>
    </w:p>
    <w:p w14:paraId="52D726D9">
      <w:pPr>
        <w:jc w:val="center"/>
        <w:rPr>
          <w:rFonts w:ascii="黑体" w:eastAsia="黑体"/>
          <w:sz w:val="72"/>
          <w:szCs w:val="72"/>
        </w:rPr>
      </w:pPr>
    </w:p>
    <w:p w14:paraId="4F4AD591">
      <w:pPr>
        <w:jc w:val="center"/>
        <w:rPr>
          <w:rFonts w:hint="eastAsia" w:ascii="黑体" w:eastAsia="黑体"/>
          <w:sz w:val="72"/>
          <w:szCs w:val="72"/>
          <w:lang w:val="en-US" w:eastAsia="zh-CN"/>
        </w:rPr>
      </w:pPr>
      <w:r>
        <w:rPr>
          <w:rFonts w:hint="eastAsia" w:ascii="黑体" w:eastAsia="黑体"/>
          <w:sz w:val="72"/>
          <w:szCs w:val="72"/>
        </w:rPr>
        <w:t>2025年度</w:t>
      </w:r>
      <w:r>
        <w:rPr>
          <w:rFonts w:hint="eastAsia" w:ascii="黑体" w:eastAsia="黑体"/>
          <w:sz w:val="72"/>
          <w:szCs w:val="72"/>
          <w:lang w:val="en-US" w:eastAsia="zh-CN"/>
        </w:rPr>
        <w:t>中国共产党北京市门头沟区委员会</w:t>
      </w:r>
    </w:p>
    <w:p w14:paraId="6CBE5395">
      <w:pPr>
        <w:jc w:val="center"/>
        <w:rPr>
          <w:rFonts w:hint="eastAsia" w:ascii="黑体" w:eastAsia="黑体"/>
          <w:sz w:val="72"/>
          <w:szCs w:val="72"/>
          <w:lang w:val="en-US" w:eastAsia="zh-CN"/>
        </w:rPr>
      </w:pPr>
      <w:r>
        <w:rPr>
          <w:rFonts w:hint="eastAsia" w:ascii="黑体" w:eastAsia="黑体"/>
          <w:sz w:val="72"/>
          <w:szCs w:val="72"/>
          <w:lang w:val="en-US" w:eastAsia="zh-CN"/>
        </w:rPr>
        <w:t>党校</w:t>
      </w:r>
      <w:r>
        <w:rPr>
          <w:rFonts w:hint="eastAsia" w:ascii="黑体" w:eastAsia="黑体"/>
          <w:sz w:val="72"/>
          <w:szCs w:val="72"/>
        </w:rPr>
        <w:t>部门决算公开</w:t>
      </w:r>
      <w:r>
        <w:rPr>
          <w:rFonts w:hint="eastAsia" w:ascii="黑体" w:eastAsia="黑体"/>
          <w:sz w:val="72"/>
          <w:szCs w:val="72"/>
          <w:lang w:val="en-US" w:eastAsia="zh-CN"/>
        </w:rPr>
        <w:t>说明</w:t>
      </w:r>
    </w:p>
    <w:p w14:paraId="3190C5FE">
      <w:pPr>
        <w:jc w:val="center"/>
        <w:rPr>
          <w:rFonts w:ascii="黑体" w:eastAsia="黑体"/>
          <w:sz w:val="52"/>
          <w:szCs w:val="52"/>
        </w:rPr>
      </w:pPr>
    </w:p>
    <w:p w14:paraId="56A0BCCE">
      <w:pPr>
        <w:jc w:val="center"/>
        <w:rPr>
          <w:rFonts w:ascii="黑体" w:eastAsia="黑体"/>
          <w:sz w:val="52"/>
          <w:szCs w:val="52"/>
        </w:rPr>
      </w:pPr>
    </w:p>
    <w:p w14:paraId="0157EF27">
      <w:pPr>
        <w:jc w:val="center"/>
        <w:rPr>
          <w:rFonts w:ascii="黑体" w:eastAsia="黑体"/>
          <w:sz w:val="52"/>
          <w:szCs w:val="52"/>
        </w:rPr>
      </w:pPr>
    </w:p>
    <w:p w14:paraId="2ECC47C8">
      <w:pPr>
        <w:jc w:val="center"/>
        <w:rPr>
          <w:rFonts w:ascii="黑体" w:eastAsia="黑体"/>
          <w:sz w:val="32"/>
          <w:szCs w:val="32"/>
        </w:rPr>
      </w:pPr>
    </w:p>
    <w:p w14:paraId="43583E15">
      <w:pPr>
        <w:pStyle w:val="2"/>
      </w:pPr>
    </w:p>
    <w:p w14:paraId="011C6097">
      <w:pPr>
        <w:spacing w:line="500" w:lineRule="exact"/>
        <w:ind w:firstLine="645"/>
        <w:jc w:val="center"/>
        <w:rPr>
          <w:rFonts w:ascii="宋体" w:hAnsi="宋体" w:cs="宋体"/>
          <w:b/>
          <w:bCs/>
          <w:kern w:val="0"/>
          <w:sz w:val="44"/>
          <w:szCs w:val="36"/>
        </w:rPr>
      </w:pPr>
      <w:r>
        <w:rPr>
          <w:rFonts w:hint="eastAsia" w:ascii="宋体" w:hAnsi="宋体" w:cs="宋体"/>
          <w:b/>
          <w:bCs/>
          <w:kern w:val="0"/>
          <w:sz w:val="44"/>
          <w:szCs w:val="36"/>
        </w:rPr>
        <w:t>目    录</w:t>
      </w:r>
    </w:p>
    <w:p w14:paraId="5042E10E">
      <w:pPr>
        <w:spacing w:line="500" w:lineRule="exact"/>
        <w:ind w:firstLine="645"/>
        <w:jc w:val="center"/>
        <w:rPr>
          <w:rFonts w:ascii="宋体" w:hAnsi="宋体" w:cs="宋体"/>
          <w:b/>
          <w:bCs/>
          <w:kern w:val="0"/>
          <w:sz w:val="36"/>
          <w:szCs w:val="36"/>
        </w:rPr>
      </w:pPr>
    </w:p>
    <w:p w14:paraId="343EE9B8">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第一部分 2025年度部门决算报表</w:t>
      </w:r>
    </w:p>
    <w:p w14:paraId="2FFF14D3">
      <w:pPr>
        <w:tabs>
          <w:tab w:val="center" w:pos="6979"/>
        </w:tabs>
        <w:spacing w:line="500" w:lineRule="exact"/>
        <w:ind w:firstLine="2400" w:firstLineChars="600"/>
        <w:jc w:val="left"/>
        <w:rPr>
          <w:rFonts w:ascii="仿宋_GB2312" w:hAnsi="仿宋" w:eastAsia="仿宋_GB2312"/>
          <w:spacing w:val="40"/>
          <w:sz w:val="32"/>
          <w:szCs w:val="32"/>
        </w:rPr>
      </w:pPr>
      <w:r>
        <w:rPr>
          <w:rFonts w:hint="eastAsia" w:ascii="仿宋_GB2312" w:hAnsi="仿宋" w:eastAsia="仿宋_GB2312" w:cs="宋体"/>
          <w:bCs/>
          <w:spacing w:val="40"/>
          <w:kern w:val="0"/>
          <w:sz w:val="32"/>
          <w:szCs w:val="32"/>
        </w:rPr>
        <w:t>一、收入支出决算总表</w:t>
      </w:r>
    </w:p>
    <w:p w14:paraId="03FF798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二、收入决算表</w:t>
      </w:r>
    </w:p>
    <w:p w14:paraId="080BFC52">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三、支出决算表</w:t>
      </w:r>
    </w:p>
    <w:p w14:paraId="4D6E2EEE">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四、财政拨款收入支出决算总表</w:t>
      </w:r>
    </w:p>
    <w:p w14:paraId="27E2BE97">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五、一般公共预算财政拨款支出决算表</w:t>
      </w:r>
    </w:p>
    <w:p w14:paraId="4403CE84">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六、一般公共预算财政拨款</w:t>
      </w:r>
      <w:r>
        <w:rPr>
          <w:rFonts w:ascii="仿宋_GB2312" w:hAnsi="仿宋" w:eastAsia="仿宋_GB2312" w:cs="宋体"/>
          <w:bCs/>
          <w:spacing w:val="40"/>
          <w:kern w:val="0"/>
          <w:sz w:val="32"/>
          <w:szCs w:val="32"/>
        </w:rPr>
        <w:t>基本支出决算表</w:t>
      </w:r>
    </w:p>
    <w:p w14:paraId="1295B6F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七</w:t>
      </w:r>
      <w:r>
        <w:rPr>
          <w:rFonts w:ascii="仿宋_GB2312" w:hAnsi="仿宋" w:eastAsia="仿宋_GB2312" w:cs="宋体"/>
          <w:bCs/>
          <w:spacing w:val="40"/>
          <w:kern w:val="0"/>
          <w:sz w:val="32"/>
          <w:szCs w:val="32"/>
        </w:rPr>
        <w:t>、</w:t>
      </w:r>
      <w:r>
        <w:rPr>
          <w:rFonts w:hint="eastAsia" w:ascii="仿宋_GB2312" w:hAnsi="仿宋" w:eastAsia="仿宋_GB2312" w:cs="宋体"/>
          <w:bCs/>
          <w:spacing w:val="40"/>
          <w:kern w:val="0"/>
          <w:sz w:val="32"/>
          <w:szCs w:val="32"/>
        </w:rPr>
        <w:t>政府性基金预算财政拨款收入支出决算表</w:t>
      </w:r>
    </w:p>
    <w:p w14:paraId="0E268C99">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八、</w:t>
      </w:r>
      <w:r>
        <w:rPr>
          <w:rFonts w:ascii="仿宋_GB2312" w:hAnsi="仿宋" w:eastAsia="仿宋_GB2312" w:cs="宋体"/>
          <w:bCs/>
          <w:spacing w:val="40"/>
          <w:kern w:val="0"/>
          <w:sz w:val="32"/>
          <w:szCs w:val="32"/>
        </w:rPr>
        <w:t>政府性基金</w:t>
      </w:r>
      <w:r>
        <w:rPr>
          <w:rFonts w:hint="eastAsia" w:ascii="仿宋_GB2312" w:hAnsi="仿宋" w:eastAsia="仿宋_GB2312" w:cs="宋体"/>
          <w:bCs/>
          <w:spacing w:val="40"/>
          <w:kern w:val="0"/>
          <w:sz w:val="32"/>
          <w:szCs w:val="32"/>
        </w:rPr>
        <w:t>预算</w:t>
      </w:r>
      <w:r>
        <w:rPr>
          <w:rFonts w:ascii="仿宋_GB2312" w:hAnsi="仿宋" w:eastAsia="仿宋_GB2312" w:cs="宋体"/>
          <w:bCs/>
          <w:spacing w:val="40"/>
          <w:kern w:val="0"/>
          <w:sz w:val="32"/>
          <w:szCs w:val="32"/>
        </w:rPr>
        <w:t>财政拨款基本支出决算表</w:t>
      </w:r>
    </w:p>
    <w:p w14:paraId="1E927290">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九、国有资本经营预算财政拨款支出决算表</w:t>
      </w:r>
    </w:p>
    <w:p w14:paraId="3F19E19A">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十、财政拨款“三公”经费支出决算表</w:t>
      </w:r>
    </w:p>
    <w:p w14:paraId="314D2BED">
      <w:pPr>
        <w:tabs>
          <w:tab w:val="center" w:pos="6979"/>
        </w:tabs>
        <w:spacing w:line="500" w:lineRule="exact"/>
        <w:ind w:firstLine="2400" w:firstLineChars="600"/>
        <w:jc w:val="left"/>
        <w:rPr>
          <w:rFonts w:ascii="仿宋_GB2312" w:hAnsi="仿宋" w:eastAsia="仿宋_GB2312" w:cs="宋体"/>
          <w:bCs/>
          <w:spacing w:val="40"/>
          <w:kern w:val="0"/>
          <w:sz w:val="32"/>
          <w:szCs w:val="32"/>
        </w:rPr>
      </w:pPr>
      <w:r>
        <w:rPr>
          <w:rFonts w:hint="eastAsia" w:ascii="仿宋_GB2312" w:hAnsi="仿宋" w:eastAsia="仿宋_GB2312" w:cs="宋体"/>
          <w:bCs/>
          <w:spacing w:val="40"/>
          <w:kern w:val="0"/>
          <w:sz w:val="32"/>
          <w:szCs w:val="32"/>
        </w:rPr>
        <w:t>十一、政府采购情况表</w:t>
      </w:r>
    </w:p>
    <w:p w14:paraId="4A07B555">
      <w:pPr>
        <w:tabs>
          <w:tab w:val="center" w:pos="6979"/>
        </w:tabs>
        <w:spacing w:line="500" w:lineRule="exact"/>
        <w:ind w:firstLine="1600" w:firstLineChars="400"/>
        <w:jc w:val="left"/>
        <w:rPr>
          <w:rFonts w:ascii="宋体" w:hAnsi="宋体" w:cs="宋体"/>
          <w:bCs/>
          <w:spacing w:val="40"/>
          <w:kern w:val="0"/>
          <w:sz w:val="32"/>
          <w:szCs w:val="32"/>
        </w:rPr>
      </w:pPr>
      <w:r>
        <w:rPr>
          <w:rFonts w:hint="eastAsia" w:ascii="宋体" w:hAnsi="宋体" w:cs="宋体"/>
          <w:bCs/>
          <w:spacing w:val="40"/>
          <w:kern w:val="0"/>
          <w:sz w:val="32"/>
          <w:szCs w:val="32"/>
        </w:rPr>
        <w:t xml:space="preserve">第二部分 </w:t>
      </w:r>
      <w:r>
        <w:rPr>
          <w:rFonts w:hint="eastAsia" w:ascii="宋体" w:hAnsi="宋体"/>
          <w:spacing w:val="40"/>
          <w:sz w:val="32"/>
          <w:szCs w:val="32"/>
        </w:rPr>
        <w:t>2025年度部门决算说明</w:t>
      </w:r>
    </w:p>
    <w:p w14:paraId="421D6667">
      <w:pPr>
        <w:tabs>
          <w:tab w:val="center" w:pos="6979"/>
        </w:tabs>
        <w:spacing w:line="500" w:lineRule="exact"/>
        <w:ind w:firstLine="1600" w:firstLineChars="400"/>
        <w:jc w:val="left"/>
        <w:rPr>
          <w:rFonts w:ascii="宋体" w:hAnsi="宋体" w:cs="宋体"/>
          <w:spacing w:val="40"/>
          <w:kern w:val="0"/>
          <w:sz w:val="32"/>
          <w:szCs w:val="32"/>
        </w:rPr>
      </w:pPr>
      <w:r>
        <w:rPr>
          <w:rFonts w:hint="eastAsia" w:ascii="宋体" w:hAnsi="宋体" w:cs="宋体"/>
          <w:bCs/>
          <w:spacing w:val="40"/>
          <w:kern w:val="0"/>
          <w:sz w:val="32"/>
          <w:szCs w:val="32"/>
        </w:rPr>
        <w:t xml:space="preserve">第三部分 </w:t>
      </w:r>
      <w:r>
        <w:rPr>
          <w:rFonts w:hint="eastAsia" w:ascii="宋体" w:hAnsi="宋体"/>
          <w:spacing w:val="40"/>
          <w:sz w:val="32"/>
          <w:szCs w:val="32"/>
        </w:rPr>
        <w:t>2025年度</w:t>
      </w:r>
      <w:r>
        <w:rPr>
          <w:rFonts w:hint="eastAsia" w:ascii="宋体" w:hAnsi="宋体" w:cs="宋体"/>
          <w:spacing w:val="40"/>
          <w:kern w:val="0"/>
          <w:sz w:val="32"/>
          <w:szCs w:val="32"/>
        </w:rPr>
        <w:t>其他重要事项的情况说明</w:t>
      </w:r>
    </w:p>
    <w:p w14:paraId="162A4323">
      <w:pPr>
        <w:tabs>
          <w:tab w:val="center" w:pos="6979"/>
        </w:tabs>
        <w:spacing w:line="500" w:lineRule="exact"/>
        <w:ind w:firstLine="1600" w:firstLineChars="400"/>
        <w:jc w:val="left"/>
        <w:rPr>
          <w:rFonts w:ascii="宋体" w:hAnsi="宋体" w:cs="宋体"/>
          <w:spacing w:val="40"/>
          <w:kern w:val="0"/>
          <w:sz w:val="36"/>
          <w:szCs w:val="32"/>
        </w:rPr>
      </w:pPr>
      <w:r>
        <w:rPr>
          <w:rFonts w:hint="eastAsia" w:ascii="宋体" w:hAnsi="宋体" w:cs="宋体"/>
          <w:spacing w:val="40"/>
          <w:kern w:val="0"/>
          <w:sz w:val="32"/>
          <w:szCs w:val="32"/>
        </w:rPr>
        <w:t>第四部分 2025年度部门绩效评价情况</w:t>
      </w:r>
    </w:p>
    <w:p w14:paraId="33759E3D">
      <w:pPr>
        <w:tabs>
          <w:tab w:val="center" w:pos="6979"/>
        </w:tabs>
        <w:spacing w:before="156" w:beforeLines="50" w:after="156" w:afterLines="50"/>
        <w:jc w:val="center"/>
        <w:rPr>
          <w:rFonts w:ascii="宋体" w:hAnsi="宋体" w:cs="宋体"/>
          <w:b/>
          <w:bCs/>
          <w:spacing w:val="40"/>
          <w:kern w:val="0"/>
          <w:sz w:val="32"/>
          <w:szCs w:val="32"/>
        </w:rPr>
      </w:pPr>
    </w:p>
    <w:p w14:paraId="7686C144">
      <w:pPr>
        <w:tabs>
          <w:tab w:val="center" w:pos="6979"/>
        </w:tabs>
        <w:spacing w:before="156" w:beforeLines="50" w:after="156" w:afterLines="50"/>
        <w:jc w:val="center"/>
        <w:rPr>
          <w:rFonts w:ascii="宋体" w:hAnsi="宋体" w:cs="宋体"/>
          <w:b/>
          <w:bCs/>
          <w:spacing w:val="40"/>
          <w:kern w:val="0"/>
          <w:sz w:val="32"/>
          <w:szCs w:val="32"/>
        </w:rPr>
      </w:pPr>
    </w:p>
    <w:p w14:paraId="2A91C5C7">
      <w:pPr>
        <w:tabs>
          <w:tab w:val="center" w:pos="6979"/>
        </w:tabs>
        <w:spacing w:before="156" w:beforeLines="50" w:after="156" w:afterLines="50"/>
        <w:jc w:val="center"/>
        <w:rPr>
          <w:rFonts w:ascii="宋体" w:hAnsi="宋体" w:cs="宋体"/>
          <w:b/>
          <w:bCs/>
          <w:spacing w:val="40"/>
          <w:kern w:val="0"/>
          <w:sz w:val="32"/>
          <w:szCs w:val="32"/>
        </w:rPr>
      </w:pPr>
    </w:p>
    <w:p w14:paraId="44B98689">
      <w:pPr>
        <w:tabs>
          <w:tab w:val="center" w:pos="6979"/>
        </w:tabs>
        <w:spacing w:before="156" w:beforeLines="50" w:after="156" w:afterLines="50"/>
        <w:jc w:val="center"/>
        <w:rPr>
          <w:rFonts w:ascii="宋体" w:hAnsi="宋体" w:cs="宋体"/>
          <w:b/>
          <w:bCs/>
          <w:spacing w:val="40"/>
          <w:kern w:val="0"/>
          <w:sz w:val="32"/>
          <w:szCs w:val="32"/>
        </w:rPr>
      </w:pPr>
    </w:p>
    <w:p w14:paraId="5D44C413">
      <w:pPr>
        <w:tabs>
          <w:tab w:val="center" w:pos="6979"/>
        </w:tabs>
        <w:spacing w:before="156" w:beforeLines="50" w:after="156" w:afterLines="50"/>
        <w:jc w:val="center"/>
        <w:rPr>
          <w:rFonts w:ascii="宋体" w:hAnsi="宋体" w:cs="宋体"/>
          <w:b/>
          <w:bCs/>
          <w:spacing w:val="40"/>
          <w:kern w:val="0"/>
          <w:sz w:val="32"/>
          <w:szCs w:val="32"/>
        </w:rPr>
      </w:pPr>
    </w:p>
    <w:p w14:paraId="5A6F8EAB">
      <w:pPr>
        <w:tabs>
          <w:tab w:val="center" w:pos="6979"/>
        </w:tabs>
        <w:spacing w:before="156" w:beforeLines="50" w:after="156" w:afterLines="50"/>
        <w:jc w:val="center"/>
        <w:rPr>
          <w:rFonts w:ascii="宋体" w:hAnsi="宋体" w:cs="宋体"/>
          <w:b/>
          <w:bCs/>
          <w:spacing w:val="40"/>
          <w:kern w:val="0"/>
          <w:sz w:val="32"/>
          <w:szCs w:val="32"/>
        </w:rPr>
      </w:pPr>
      <w:r>
        <w:rPr>
          <w:rFonts w:hint="eastAsia" w:ascii="宋体" w:hAnsi="宋体" w:cs="宋体"/>
          <w:b/>
          <w:bCs/>
          <w:spacing w:val="40"/>
          <w:kern w:val="0"/>
          <w:sz w:val="44"/>
          <w:szCs w:val="44"/>
        </w:rPr>
        <w:t>第一部分 2025年度部门决算报表</w:t>
      </w:r>
    </w:p>
    <w:p w14:paraId="6892027D">
      <w:pPr>
        <w:pStyle w:val="2"/>
        <w:rPr>
          <w:b w:val="0"/>
          <w:bCs w:val="0"/>
          <w:sz w:val="32"/>
          <w:szCs w:val="32"/>
        </w:rPr>
        <w:sectPr>
          <w:footerReference r:id="rId3" w:type="default"/>
          <w:pgSz w:w="16838" w:h="11906" w:orient="landscape"/>
          <w:pgMar w:top="1134" w:right="1134" w:bottom="1134" w:left="1134" w:header="851" w:footer="992" w:gutter="0"/>
          <w:cols w:space="720" w:num="1"/>
          <w:docGrid w:type="linesAndChars" w:linePitch="312" w:charSpace="0"/>
        </w:sectPr>
      </w:pPr>
      <w:r>
        <w:rPr>
          <w:rFonts w:hint="eastAsia" w:ascii="仿宋_GB2312" w:eastAsia="仿宋_GB2312"/>
          <w:sz w:val="32"/>
          <w:szCs w:val="32"/>
        </w:rPr>
        <w:t xml:space="preserve">   </w:t>
      </w:r>
      <w:r>
        <w:rPr>
          <w:rFonts w:hint="eastAsia" w:ascii="仿宋_GB2312" w:eastAsia="仿宋_GB2312"/>
          <w:b w:val="0"/>
          <w:bCs w:val="0"/>
          <w:sz w:val="32"/>
          <w:szCs w:val="32"/>
        </w:rPr>
        <w:t>报表详见附件。</w:t>
      </w:r>
    </w:p>
    <w:p w14:paraId="1033B2C3">
      <w:pPr>
        <w:tabs>
          <w:tab w:val="center" w:pos="6979"/>
        </w:tabs>
        <w:spacing w:before="156" w:beforeLines="50" w:after="156" w:afterLines="50"/>
        <w:jc w:val="center"/>
        <w:rPr>
          <w:rFonts w:ascii="宋体" w:hAnsi="宋体"/>
          <w:b/>
          <w:sz w:val="32"/>
          <w:szCs w:val="32"/>
        </w:rPr>
      </w:pPr>
      <w:r>
        <w:rPr>
          <w:rFonts w:hint="eastAsia" w:ascii="宋体" w:hAnsi="宋体" w:cs="宋体"/>
          <w:b/>
          <w:bCs/>
          <w:spacing w:val="40"/>
          <w:kern w:val="0"/>
          <w:sz w:val="44"/>
          <w:szCs w:val="44"/>
        </w:rPr>
        <w:t xml:space="preserve">第二部分 </w:t>
      </w:r>
      <w:r>
        <w:rPr>
          <w:rFonts w:hint="eastAsia" w:ascii="宋体" w:hAnsi="宋体"/>
          <w:b/>
          <w:spacing w:val="40"/>
          <w:sz w:val="44"/>
          <w:szCs w:val="44"/>
        </w:rPr>
        <w:t>2025年度部门决算说明</w:t>
      </w:r>
    </w:p>
    <w:p w14:paraId="21D33492">
      <w:pPr>
        <w:tabs>
          <w:tab w:val="center" w:pos="6979"/>
        </w:tabs>
        <w:spacing w:line="580" w:lineRule="exact"/>
        <w:ind w:firstLine="627" w:firstLineChars="196"/>
        <w:rPr>
          <w:rFonts w:ascii="黑体" w:eastAsia="黑体"/>
          <w:b/>
          <w:sz w:val="32"/>
          <w:szCs w:val="32"/>
        </w:rPr>
      </w:pPr>
      <w:r>
        <w:rPr>
          <w:rFonts w:hint="eastAsia" w:ascii="黑体" w:eastAsia="黑体"/>
          <w:b/>
          <w:sz w:val="32"/>
          <w:szCs w:val="32"/>
        </w:rPr>
        <w:t>一、部门/单位基本情况</w:t>
      </w:r>
    </w:p>
    <w:p w14:paraId="6B038391">
      <w:pPr>
        <w:tabs>
          <w:tab w:val="center" w:pos="6979"/>
        </w:tabs>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（一</w:t>
      </w:r>
      <w:r>
        <w:rPr>
          <w:rFonts w:ascii="仿宋_GB2312" w:eastAsia="仿宋_GB2312"/>
          <w:sz w:val="32"/>
          <w:szCs w:val="32"/>
        </w:rPr>
        <w:t>）</w:t>
      </w:r>
      <w:r>
        <w:rPr>
          <w:rFonts w:hint="eastAsia" w:ascii="仿宋_GB2312" w:eastAsia="仿宋_GB2312"/>
          <w:sz w:val="32"/>
          <w:szCs w:val="32"/>
        </w:rPr>
        <w:t>本部门职责情况</w:t>
      </w:r>
    </w:p>
    <w:p w14:paraId="499E4D18">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中共北京市门头沟区委党校（北京市门头沟区行政学院），加挂北京市门头沟社会主义学院牌子，是区委直属的公益一类事业单位，机构规格为正处级，经费形式为财政补助（全额拨款）。</w:t>
      </w:r>
    </w:p>
    <w:p w14:paraId="2443A715">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主要职责是：</w:t>
      </w:r>
    </w:p>
    <w:p w14:paraId="07BB5193">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1.在区委的统一领导下，负责培训各级党政领导干部、公务员、国有企业领导人员、事业单位领导人员、年轻干部、理论宣传骨干、高层次人才、基层干部、党员。</w:t>
      </w:r>
    </w:p>
    <w:p w14:paraId="5810ADD3">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2.负责加强马克思主义基本理论研究，重点研究宣传习近平新时代中国特色社会主义思想，并以适当方式开展学术交流。</w:t>
      </w:r>
    </w:p>
    <w:p w14:paraId="5E1E04D4">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3.负责立足区域实际，开展重大理论和现实问题研究，为区委区政府科学决策服务。</w:t>
      </w:r>
    </w:p>
    <w:p w14:paraId="00F9E7AA">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4.负责承办区委、区政府以及相关部门举办的专题研讨班。</w:t>
      </w:r>
    </w:p>
    <w:p w14:paraId="7671B96E">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5.负责对基层党校进行业务指导。</w:t>
      </w:r>
    </w:p>
    <w:p w14:paraId="2D99EC07">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6.参与区委关于区委党校（区行政学院、区社会主义学院）工作政策以及干部培训计划的制定工作。</w:t>
      </w:r>
    </w:p>
    <w:p w14:paraId="792768B2">
      <w:pPr>
        <w:keepNext w:val="0"/>
        <w:keepLines w:val="0"/>
        <w:widowControl w:val="0"/>
        <w:suppressLineNumbers w:val="0"/>
        <w:tabs>
          <w:tab w:val="center" w:pos="6979"/>
        </w:tabs>
        <w:spacing w:before="0" w:beforeAutospacing="0" w:after="0" w:afterAutospacing="0" w:line="52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7.在区委统战部的指导下，负责开展对党外各界代表人士、统战干部、统一战线理论研究人才的教育培养，开展马克思列宁主义、毛泽东思想、邓小平理论、</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三个代表</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重要思想、科学发展观和习近平新时代中国特色社会主义思想，以及党的统一战线理论和方针政策的研究宣传。</w:t>
      </w:r>
    </w:p>
    <w:p w14:paraId="75F4D177">
      <w:pPr>
        <w:keepNext w:val="0"/>
        <w:keepLines w:val="0"/>
        <w:widowControl/>
        <w:suppressLineNumbers w:val="0"/>
        <w:ind w:firstLine="640" w:firstLineChars="200"/>
        <w:jc w:val="left"/>
        <w:rPr>
          <w:sz w:val="32"/>
          <w:szCs w:val="32"/>
        </w:rPr>
      </w:pPr>
      <w:r>
        <w:rPr>
          <w:rFonts w:hint="eastAsia" w:ascii="仿宋_GB2312" w:hAnsi="Calibri" w:eastAsia="仿宋_GB2312" w:cs="Times New Roman"/>
          <w:kern w:val="2"/>
          <w:sz w:val="32"/>
          <w:szCs w:val="32"/>
          <w:lang w:val="en-US" w:eastAsia="zh-CN" w:bidi="ar"/>
        </w:rPr>
        <w:t>8.完成区委交办的其他任务。</w:t>
      </w:r>
    </w:p>
    <w:p w14:paraId="7792918F">
      <w:pPr>
        <w:tabs>
          <w:tab w:val="center" w:pos="6979"/>
        </w:tabs>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（二）机构</w:t>
      </w:r>
      <w:r>
        <w:rPr>
          <w:rFonts w:ascii="仿宋_GB2312" w:eastAsia="仿宋_GB2312"/>
          <w:sz w:val="32"/>
          <w:szCs w:val="32"/>
        </w:rPr>
        <w:t>设置</w:t>
      </w:r>
      <w:r>
        <w:rPr>
          <w:rFonts w:hint="eastAsia" w:ascii="仿宋_GB2312" w:eastAsia="仿宋_GB2312"/>
          <w:sz w:val="32"/>
          <w:szCs w:val="32"/>
        </w:rPr>
        <w:t>情况</w:t>
      </w:r>
    </w:p>
    <w:p w14:paraId="3B2BB24C">
      <w:pPr>
        <w:keepNext w:val="0"/>
        <w:keepLines w:val="0"/>
        <w:widowControl/>
        <w:suppressLineNumbers w:val="0"/>
        <w:ind w:firstLine="640" w:firstLineChars="200"/>
        <w:jc w:val="left"/>
        <w:rPr>
          <w:rFonts w:hint="eastAsia" w:ascii="仿宋_GB2312" w:hAnsi="Calibri" w:eastAsia="仿宋_GB2312" w:cs="Times New Roman"/>
          <w:kern w:val="2"/>
          <w:sz w:val="32"/>
          <w:szCs w:val="32"/>
          <w:lang w:val="en-US" w:eastAsia="zh-CN" w:bidi="ar"/>
        </w:rPr>
      </w:pPr>
      <w:r>
        <w:rPr>
          <w:rFonts w:hint="eastAsia" w:ascii="仿宋_GB2312" w:hAnsi="Calibri" w:eastAsia="仿宋_GB2312" w:cs="Times New Roman"/>
          <w:kern w:val="2"/>
          <w:sz w:val="32"/>
          <w:szCs w:val="32"/>
          <w:lang w:val="en-US" w:eastAsia="zh-CN" w:bidi="ar"/>
        </w:rPr>
        <w:t>本部门共设6个内设机构，分别为办公室、培训处、教务处、教科研室、电教信息处和总务处。</w:t>
      </w:r>
    </w:p>
    <w:p w14:paraId="4B764B01">
      <w:pPr>
        <w:tabs>
          <w:tab w:val="center" w:pos="6979"/>
        </w:tabs>
        <w:spacing w:line="580" w:lineRule="exact"/>
        <w:rPr>
          <w:rFonts w:ascii="黑体" w:eastAsia="黑体"/>
          <w:b/>
          <w:sz w:val="32"/>
          <w:szCs w:val="32"/>
        </w:rPr>
      </w:pPr>
      <w:r>
        <w:rPr>
          <w:rFonts w:hint="eastAsia" w:ascii="仿宋_GB2312" w:eastAsia="仿宋_GB2312"/>
          <w:b/>
          <w:sz w:val="32"/>
          <w:szCs w:val="32"/>
        </w:rPr>
        <w:t xml:space="preserve">   </w:t>
      </w:r>
      <w:r>
        <w:rPr>
          <w:rFonts w:hint="eastAsia" w:ascii="黑体" w:eastAsia="黑体"/>
          <w:b/>
          <w:sz w:val="32"/>
          <w:szCs w:val="32"/>
        </w:rPr>
        <w:t>二、收入支出决算总体情况说明</w:t>
      </w:r>
    </w:p>
    <w:p w14:paraId="26D2D206">
      <w:pPr>
        <w:tabs>
          <w:tab w:val="center" w:pos="6979"/>
        </w:tabs>
        <w:spacing w:line="580" w:lineRule="exact"/>
        <w:ind w:firstLine="570"/>
        <w:rPr>
          <w:rFonts w:ascii="仿宋_GB2312" w:eastAsia="仿宋_GB2312"/>
          <w:sz w:val="32"/>
          <w:szCs w:val="32"/>
        </w:rPr>
      </w:pPr>
      <w:r>
        <w:rPr>
          <w:rFonts w:hint="eastAsia" w:ascii="仿宋_GB2312" w:eastAsia="仿宋_GB2312"/>
          <w:sz w:val="32"/>
          <w:szCs w:val="32"/>
        </w:rPr>
        <w:t>2025年度收、</w:t>
      </w:r>
      <w:r>
        <w:rPr>
          <w:rFonts w:ascii="仿宋_GB2312" w:eastAsia="仿宋_GB2312"/>
          <w:sz w:val="32"/>
          <w:szCs w:val="32"/>
        </w:rPr>
        <w:t>支</w:t>
      </w:r>
      <w:r>
        <w:rPr>
          <w:rFonts w:hint="eastAsia" w:ascii="仿宋_GB2312" w:eastAsia="仿宋_GB2312"/>
          <w:sz w:val="32"/>
          <w:szCs w:val="32"/>
        </w:rPr>
        <w:t>总计</w:t>
      </w:r>
      <w:r>
        <w:rPr>
          <w:rFonts w:hint="eastAsia" w:ascii="仿宋_GB2312" w:hAnsi="Calibri" w:eastAsia="仿宋_GB2312" w:cs="Times New Roman"/>
          <w:sz w:val="32"/>
          <w:szCs w:val="32"/>
          <w:lang w:val="en-US" w:eastAsia="zh-CN" w:bidi="ar"/>
        </w:rPr>
        <w:t>1,732.56万元，比上年增加500.24万元，增长40.6%。</w:t>
      </w:r>
    </w:p>
    <w:p w14:paraId="2EDFDE26">
      <w:pPr>
        <w:tabs>
          <w:tab w:val="center" w:pos="6979"/>
        </w:tabs>
        <w:spacing w:line="580" w:lineRule="exact"/>
        <w:ind w:firstLine="570"/>
        <w:rPr>
          <w:rFonts w:ascii="仿宋_GB2312" w:eastAsia="仿宋_GB2312"/>
          <w:sz w:val="32"/>
          <w:szCs w:val="32"/>
        </w:rPr>
      </w:pPr>
      <w:r>
        <w:rPr>
          <w:rFonts w:hint="eastAsia" w:ascii="仿宋_GB2312" w:eastAsia="仿宋_GB2312"/>
          <w:sz w:val="32"/>
          <w:szCs w:val="32"/>
        </w:rPr>
        <w:t>（一</w:t>
      </w:r>
      <w:r>
        <w:rPr>
          <w:rFonts w:ascii="仿宋_GB2312" w:eastAsia="仿宋_GB2312"/>
          <w:sz w:val="32"/>
          <w:szCs w:val="32"/>
        </w:rPr>
        <w:t>）</w:t>
      </w:r>
      <w:r>
        <w:rPr>
          <w:rFonts w:hint="eastAsia" w:ascii="仿宋_GB2312" w:eastAsia="仿宋_GB2312"/>
          <w:sz w:val="32"/>
          <w:szCs w:val="32"/>
        </w:rPr>
        <w:t>收入决算</w:t>
      </w:r>
      <w:r>
        <w:rPr>
          <w:rFonts w:ascii="仿宋_GB2312" w:eastAsia="仿宋_GB2312"/>
          <w:sz w:val="32"/>
          <w:szCs w:val="32"/>
        </w:rPr>
        <w:t>说明</w:t>
      </w:r>
    </w:p>
    <w:p w14:paraId="610464B9">
      <w:pPr>
        <w:tabs>
          <w:tab w:val="center" w:pos="6979"/>
        </w:tabs>
        <w:spacing w:line="580" w:lineRule="exact"/>
        <w:ind w:firstLine="570"/>
        <w:rPr>
          <w:rFonts w:ascii="仿宋_GB2312" w:eastAsia="仿宋_GB2312"/>
          <w:sz w:val="32"/>
          <w:szCs w:val="32"/>
        </w:rPr>
      </w:pPr>
      <w:r>
        <w:rPr>
          <w:rFonts w:hint="eastAsia" w:ascii="仿宋_GB2312" w:eastAsia="仿宋_GB2312"/>
          <w:sz w:val="32"/>
          <w:szCs w:val="32"/>
        </w:rPr>
        <w:t>2025年度本年收入合计</w:t>
      </w:r>
      <w:r>
        <w:rPr>
          <w:rFonts w:hint="eastAsia" w:ascii="仿宋_GB2312" w:hAnsi="Calibri" w:eastAsia="仿宋_GB2312" w:cs="Times New Roman"/>
          <w:sz w:val="32"/>
          <w:szCs w:val="32"/>
          <w:lang w:val="en-US" w:eastAsia="zh-CN" w:bidi="ar"/>
        </w:rPr>
        <w:t>1,462.11万元，比上年增加229.79万元，增长18.7%。</w:t>
      </w:r>
    </w:p>
    <w:p w14:paraId="611B9370">
      <w:pPr>
        <w:tabs>
          <w:tab w:val="center" w:pos="6979"/>
        </w:tabs>
        <w:spacing w:line="580" w:lineRule="exact"/>
        <w:ind w:firstLine="640" w:firstLineChars="200"/>
        <w:rPr>
          <w:rFonts w:ascii="仿宋_GB2312" w:eastAsia="仿宋_GB2312"/>
          <w:sz w:val="32"/>
          <w:szCs w:val="32"/>
        </w:rPr>
      </w:pPr>
      <w:r>
        <w:rPr>
          <w:rFonts w:hint="eastAsia" w:ascii="仿宋_GB2312" w:eastAsia="仿宋_GB2312"/>
          <w:sz w:val="32"/>
          <w:szCs w:val="32"/>
        </w:rPr>
        <w:t>1.财政拨款收入</w:t>
      </w:r>
      <w:r>
        <w:rPr>
          <w:rFonts w:hint="eastAsia" w:ascii="仿宋_GB2312" w:hAnsi="Calibri" w:eastAsia="仿宋_GB2312" w:cs="Times New Roman"/>
          <w:sz w:val="32"/>
          <w:szCs w:val="32"/>
          <w:lang w:val="en-US" w:eastAsia="zh-CN" w:bidi="ar"/>
        </w:rPr>
        <w:t>1,462.11万元，占收入合计的100.0%。其中：一般公共预算财政拨款收入1,462.11万元，占收入合计的100.0%。</w:t>
      </w:r>
      <w:r>
        <w:rPr>
          <w:rFonts w:hint="eastAsia" w:ascii="仿宋_GB2312" w:eastAsia="仿宋_GB2312"/>
          <w:sz w:val="32"/>
          <w:szCs w:val="32"/>
        </w:rPr>
        <w:t>；</w:t>
      </w:r>
    </w:p>
    <w:p w14:paraId="22FC9212">
      <w:pPr>
        <w:tabs>
          <w:tab w:val="center" w:pos="6979"/>
        </w:tabs>
        <w:spacing w:line="580" w:lineRule="exact"/>
        <w:ind w:firstLine="640" w:firstLineChars="200"/>
        <w:rPr>
          <w:rFonts w:ascii="仿宋_GB2312" w:eastAsia="仿宋_GB2312"/>
          <w:sz w:val="32"/>
          <w:szCs w:val="32"/>
        </w:rPr>
      </w:pPr>
      <w:r>
        <w:rPr>
          <w:rFonts w:hint="eastAsia" w:ascii="仿宋_GB2312" w:eastAsia="仿宋_GB2312"/>
          <w:sz w:val="32"/>
          <w:szCs w:val="32"/>
        </w:rPr>
        <w:t>2.上级补助收入</w:t>
      </w:r>
      <w:r>
        <w:rPr>
          <w:rFonts w:ascii="仿宋_GB2312" w:eastAsia="仿宋_GB2312"/>
          <w:sz w:val="32"/>
          <w:szCs w:val="32"/>
        </w:rPr>
        <w:t>0</w:t>
      </w:r>
      <w:r>
        <w:rPr>
          <w:rFonts w:hint="eastAsia" w:ascii="仿宋_GB2312" w:eastAsia="仿宋_GB2312"/>
          <w:sz w:val="32"/>
          <w:szCs w:val="32"/>
        </w:rPr>
        <w:t>元，占收入合计的0%；</w:t>
      </w:r>
    </w:p>
    <w:p w14:paraId="7C83B688">
      <w:pPr>
        <w:tabs>
          <w:tab w:val="center" w:pos="6979"/>
        </w:tabs>
        <w:spacing w:line="580" w:lineRule="exact"/>
        <w:ind w:firstLine="640" w:firstLineChars="200"/>
        <w:rPr>
          <w:rFonts w:ascii="仿宋_GB2312" w:eastAsia="仿宋_GB2312"/>
          <w:sz w:val="32"/>
          <w:szCs w:val="32"/>
        </w:rPr>
      </w:pPr>
      <w:r>
        <w:rPr>
          <w:rFonts w:hint="eastAsia" w:ascii="仿宋_GB2312" w:eastAsia="仿宋_GB2312"/>
          <w:sz w:val="32"/>
          <w:szCs w:val="32"/>
        </w:rPr>
        <w:t>3.事业收入</w:t>
      </w:r>
      <w:r>
        <w:rPr>
          <w:rFonts w:ascii="仿宋_GB2312" w:eastAsia="仿宋_GB2312"/>
          <w:sz w:val="32"/>
          <w:szCs w:val="32"/>
        </w:rPr>
        <w:t>0</w:t>
      </w:r>
      <w:r>
        <w:rPr>
          <w:rFonts w:hint="eastAsia" w:ascii="仿宋_GB2312" w:eastAsia="仿宋_GB2312"/>
          <w:sz w:val="32"/>
          <w:szCs w:val="32"/>
        </w:rPr>
        <w:t>元，占收入合计的0%；</w:t>
      </w:r>
    </w:p>
    <w:p w14:paraId="1B4107EC">
      <w:pPr>
        <w:tabs>
          <w:tab w:val="center" w:pos="6979"/>
        </w:tabs>
        <w:spacing w:line="580" w:lineRule="exact"/>
        <w:ind w:firstLine="640" w:firstLineChars="200"/>
        <w:rPr>
          <w:rFonts w:ascii="仿宋_GB2312" w:eastAsia="仿宋_GB2312"/>
          <w:sz w:val="32"/>
          <w:szCs w:val="32"/>
        </w:rPr>
      </w:pPr>
      <w:r>
        <w:rPr>
          <w:rFonts w:hint="eastAsia" w:ascii="仿宋_GB2312" w:eastAsia="仿宋_GB2312"/>
          <w:sz w:val="32"/>
          <w:szCs w:val="32"/>
        </w:rPr>
        <w:t>4.经营收入</w:t>
      </w:r>
      <w:r>
        <w:rPr>
          <w:rFonts w:ascii="仿宋_GB2312" w:eastAsia="仿宋_GB2312"/>
          <w:sz w:val="32"/>
          <w:szCs w:val="32"/>
        </w:rPr>
        <w:t>0</w:t>
      </w:r>
      <w:r>
        <w:rPr>
          <w:rFonts w:hint="eastAsia" w:ascii="仿宋_GB2312" w:eastAsia="仿宋_GB2312"/>
          <w:sz w:val="32"/>
          <w:szCs w:val="32"/>
        </w:rPr>
        <w:t>元，占收入合计的0%；</w:t>
      </w:r>
    </w:p>
    <w:p w14:paraId="1046BDFB">
      <w:pPr>
        <w:tabs>
          <w:tab w:val="center" w:pos="6979"/>
        </w:tabs>
        <w:spacing w:line="580" w:lineRule="exact"/>
        <w:ind w:firstLine="640" w:firstLineChars="200"/>
        <w:rPr>
          <w:rFonts w:ascii="仿宋_GB2312" w:eastAsia="仿宋_GB2312"/>
          <w:sz w:val="32"/>
          <w:szCs w:val="32"/>
        </w:rPr>
      </w:pPr>
      <w:r>
        <w:rPr>
          <w:rFonts w:hint="eastAsia" w:ascii="仿宋_GB2312" w:eastAsia="仿宋_GB2312"/>
          <w:sz w:val="32"/>
          <w:szCs w:val="32"/>
        </w:rPr>
        <w:t>5.附属单位上缴收入</w:t>
      </w:r>
      <w:r>
        <w:rPr>
          <w:rFonts w:ascii="仿宋_GB2312" w:eastAsia="仿宋_GB2312"/>
          <w:sz w:val="32"/>
          <w:szCs w:val="32"/>
        </w:rPr>
        <w:t>0</w:t>
      </w:r>
      <w:r>
        <w:rPr>
          <w:rFonts w:hint="eastAsia" w:ascii="仿宋_GB2312" w:eastAsia="仿宋_GB2312"/>
          <w:sz w:val="32"/>
          <w:szCs w:val="32"/>
        </w:rPr>
        <w:t>元，占收入合计的0%；</w:t>
      </w:r>
    </w:p>
    <w:p w14:paraId="3805D42B">
      <w:pPr>
        <w:tabs>
          <w:tab w:val="center" w:pos="6979"/>
        </w:tabs>
        <w:spacing w:line="580" w:lineRule="exact"/>
        <w:ind w:firstLine="640" w:firstLineChars="200"/>
        <w:rPr>
          <w:rFonts w:ascii="仿宋_GB2312" w:eastAsia="仿宋_GB2312"/>
          <w:sz w:val="32"/>
          <w:szCs w:val="32"/>
        </w:rPr>
      </w:pPr>
      <w:r>
        <w:rPr>
          <w:rFonts w:hint="eastAsia" w:ascii="仿宋_GB2312" w:eastAsia="仿宋_GB2312"/>
          <w:sz w:val="32"/>
          <w:szCs w:val="32"/>
        </w:rPr>
        <w:t>6.其他收入</w:t>
      </w:r>
      <w:r>
        <w:rPr>
          <w:rFonts w:ascii="仿宋_GB2312" w:eastAsia="仿宋_GB2312"/>
          <w:sz w:val="32"/>
          <w:szCs w:val="32"/>
        </w:rPr>
        <w:t>0</w:t>
      </w:r>
      <w:r>
        <w:rPr>
          <w:rFonts w:hint="eastAsia" w:ascii="仿宋_GB2312" w:eastAsia="仿宋_GB2312"/>
          <w:sz w:val="32"/>
          <w:szCs w:val="32"/>
        </w:rPr>
        <w:t>元，占收入合计的0%。</w:t>
      </w:r>
    </w:p>
    <w:p w14:paraId="29B63E00">
      <w:pPr>
        <w:spacing w:line="560" w:lineRule="exact"/>
        <w:ind w:firstLine="640"/>
        <w:rPr>
          <w:rFonts w:ascii="仿宋_GB2312" w:eastAsia="仿宋_GB2312" w:cs="Droid Sans"/>
          <w:color w:val="000000"/>
          <w:sz w:val="32"/>
          <w:szCs w:val="32"/>
        </w:rPr>
      </w:pPr>
    </w:p>
    <w:p w14:paraId="1B45ED0C">
      <w:pPr>
        <w:pStyle w:val="2"/>
        <w:jc w:val="center"/>
      </w:pPr>
      <w:r>
        <w:rPr>
          <w:rFonts w:hint="eastAsia" w:ascii="仿宋_GB2312" w:eastAsia="仿宋_GB2312"/>
          <w:color w:val="000000"/>
          <w:sz w:val="32"/>
        </w:rPr>
        <w:t>图1：收入决算</w:t>
      </w:r>
    </w:p>
    <w:p w14:paraId="3D7E19E3">
      <w:pPr>
        <w:pStyle w:val="3"/>
        <w:ind w:firstLine="420"/>
        <w:jc w:val="center"/>
      </w:pPr>
      <w:r>
        <w:drawing>
          <wp:inline distT="0" distB="0" distL="0" distR="0">
            <wp:extent cx="4036695" cy="2328545"/>
            <wp:effectExtent l="0" t="0" r="20955" b="14605"/>
            <wp:docPr id="3" name="图表 3" title="{{pieChart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33D5C79">
      <w:pPr>
        <w:tabs>
          <w:tab w:val="center" w:pos="6979"/>
        </w:tabs>
        <w:spacing w:line="580" w:lineRule="exact"/>
        <w:ind w:firstLine="570"/>
        <w:rPr>
          <w:rFonts w:ascii="仿宋_GB2312" w:eastAsia="仿宋_GB2312"/>
          <w:sz w:val="32"/>
          <w:szCs w:val="32"/>
        </w:rPr>
      </w:pPr>
      <w:r>
        <w:rPr>
          <w:rFonts w:hint="eastAsia" w:ascii="仿宋_GB2312" w:eastAsia="仿宋_GB2312"/>
          <w:sz w:val="32"/>
          <w:szCs w:val="32"/>
        </w:rPr>
        <w:t>（二</w:t>
      </w:r>
      <w:r>
        <w:rPr>
          <w:rFonts w:ascii="仿宋_GB2312" w:eastAsia="仿宋_GB2312"/>
          <w:sz w:val="32"/>
          <w:szCs w:val="32"/>
        </w:rPr>
        <w:t>）</w:t>
      </w:r>
      <w:r>
        <w:rPr>
          <w:rFonts w:hint="eastAsia" w:ascii="仿宋_GB2312" w:eastAsia="仿宋_GB2312"/>
          <w:sz w:val="32"/>
          <w:szCs w:val="32"/>
        </w:rPr>
        <w:t>支出决算</w:t>
      </w:r>
      <w:r>
        <w:rPr>
          <w:rFonts w:ascii="仿宋_GB2312" w:eastAsia="仿宋_GB2312"/>
          <w:sz w:val="32"/>
          <w:szCs w:val="32"/>
        </w:rPr>
        <w:t>说明</w:t>
      </w:r>
    </w:p>
    <w:p w14:paraId="580B101B">
      <w:pPr>
        <w:keepNext w:val="0"/>
        <w:keepLines w:val="0"/>
        <w:widowControl w:val="0"/>
        <w:suppressLineNumbers w:val="0"/>
        <w:tabs>
          <w:tab w:val="center" w:pos="6979"/>
        </w:tabs>
        <w:spacing w:before="0" w:beforeAutospacing="0" w:after="0" w:afterAutospacing="0" w:line="580" w:lineRule="exact"/>
        <w:ind w:left="0" w:right="0" w:firstLine="57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2025年度本年支出合计1,732.56万元，比上年增加500.24万元，增长40.6%，其中：基本支出1,125.85万元，占支出合计的65.0%；项目支出606.71万元，占支出合计的35.0%。</w:t>
      </w:r>
    </w:p>
    <w:p w14:paraId="08490AFF">
      <w:pPr>
        <w:pStyle w:val="2"/>
        <w:ind w:firstLine="5772" w:firstLineChars="1804"/>
        <w:rPr>
          <w:rFonts w:ascii="仿宋_GB2312" w:eastAsia="仿宋_GB2312"/>
          <w:color w:val="000000"/>
          <w:sz w:val="32"/>
        </w:rPr>
      </w:pPr>
      <w:r>
        <w:rPr>
          <w:rFonts w:hint="eastAsia" w:ascii="仿宋_GB2312" w:eastAsia="仿宋_GB2312"/>
          <w:color w:val="000000"/>
          <w:sz w:val="32"/>
        </w:rPr>
        <w:t>图2：支出决算</w:t>
      </w:r>
    </w:p>
    <w:p w14:paraId="7F894F8A">
      <w:pPr>
        <w:jc w:val="center"/>
        <w:rPr>
          <w:rFonts w:ascii="黑体" w:eastAsia="黑体"/>
          <w:b/>
          <w:sz w:val="28"/>
          <w:szCs w:val="28"/>
        </w:rPr>
      </w:pPr>
      <w:r>
        <w:drawing>
          <wp:inline distT="0" distB="0" distL="114300" distR="114300">
            <wp:extent cx="4572000" cy="2743200"/>
            <wp:effectExtent l="4445" t="4445" r="14605" b="14605"/>
            <wp:docPr id="1" name="图表 3" title="{{pieChart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F81C1E2">
      <w:pPr>
        <w:tabs>
          <w:tab w:val="center" w:pos="6979"/>
        </w:tabs>
        <w:spacing w:line="580" w:lineRule="exact"/>
        <w:ind w:firstLine="627" w:firstLineChars="196"/>
        <w:rPr>
          <w:rFonts w:ascii="黑体" w:eastAsia="黑体"/>
          <w:b/>
          <w:sz w:val="32"/>
          <w:szCs w:val="32"/>
        </w:rPr>
      </w:pPr>
      <w:r>
        <w:rPr>
          <w:rFonts w:hint="eastAsia" w:ascii="黑体" w:eastAsia="黑体"/>
          <w:b/>
          <w:sz w:val="32"/>
          <w:szCs w:val="32"/>
        </w:rPr>
        <w:t>三</w:t>
      </w:r>
      <w:r>
        <w:rPr>
          <w:rFonts w:ascii="黑体" w:eastAsia="黑体"/>
          <w:b/>
          <w:sz w:val="32"/>
          <w:szCs w:val="32"/>
        </w:rPr>
        <w:t>、财政拨款</w:t>
      </w:r>
      <w:r>
        <w:rPr>
          <w:rFonts w:hint="eastAsia" w:ascii="黑体" w:eastAsia="黑体"/>
          <w:b/>
          <w:sz w:val="32"/>
          <w:szCs w:val="32"/>
        </w:rPr>
        <w:t>收入支出决算</w:t>
      </w:r>
      <w:r>
        <w:rPr>
          <w:rFonts w:ascii="黑体" w:eastAsia="黑体"/>
          <w:b/>
          <w:sz w:val="32"/>
          <w:szCs w:val="32"/>
        </w:rPr>
        <w:t>总体情况说明</w:t>
      </w:r>
    </w:p>
    <w:p w14:paraId="5522DE0F">
      <w:pPr>
        <w:tabs>
          <w:tab w:val="center" w:pos="6979"/>
        </w:tabs>
        <w:spacing w:line="580" w:lineRule="exact"/>
        <w:ind w:firstLine="570"/>
        <w:rPr>
          <w:rFonts w:ascii="仿宋_GB2312" w:eastAsia="仿宋_GB2312"/>
          <w:sz w:val="32"/>
          <w:szCs w:val="32"/>
        </w:rPr>
      </w:pPr>
      <w:r>
        <w:rPr>
          <w:rFonts w:hint="eastAsia" w:ascii="仿宋_GB2312" w:hAnsi="Calibri" w:eastAsia="仿宋_GB2312" w:cs="Times New Roman"/>
          <w:sz w:val="32"/>
          <w:szCs w:val="32"/>
          <w:lang w:val="en-US" w:eastAsia="zh-CN" w:bidi="ar"/>
        </w:rPr>
        <w:t>2025年度财政拨款收、支总计1,732.56万元，比上年增加500.24万元，增长40.6%。主要原因：主要是下半年新招录事业人员导致基本支出增加，校区修缮费用增加，干部教育培训费用增加和以前年度雁翅校区信息化建设设备购置项目在本年完成。</w:t>
      </w:r>
    </w:p>
    <w:p w14:paraId="57114CC9">
      <w:pPr>
        <w:tabs>
          <w:tab w:val="center" w:pos="6979"/>
        </w:tabs>
        <w:spacing w:line="580" w:lineRule="exact"/>
        <w:ind w:firstLine="627" w:firstLineChars="196"/>
        <w:rPr>
          <w:rFonts w:ascii="黑体" w:eastAsia="黑体"/>
          <w:b/>
          <w:sz w:val="32"/>
          <w:szCs w:val="32"/>
        </w:rPr>
      </w:pPr>
      <w:r>
        <w:rPr>
          <w:rFonts w:hint="eastAsia" w:ascii="黑体" w:eastAsia="黑体"/>
          <w:b/>
          <w:sz w:val="32"/>
          <w:szCs w:val="32"/>
        </w:rPr>
        <w:t>四、一般公共预算财政拨款支出决算情况说明</w:t>
      </w:r>
    </w:p>
    <w:p w14:paraId="1B6CA7FE">
      <w:pPr>
        <w:autoSpaceDE w:val="0"/>
        <w:autoSpaceDN w:val="0"/>
        <w:adjustRightInd w:val="0"/>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（一）一般公共预算财政拨款支出决算总体情况</w:t>
      </w:r>
    </w:p>
    <w:p w14:paraId="66B20958">
      <w:pPr>
        <w:keepNext w:val="0"/>
        <w:keepLines w:val="0"/>
        <w:widowControl w:val="0"/>
        <w:suppressLineNumbers w:val="0"/>
        <w:tabs>
          <w:tab w:val="center" w:pos="6979"/>
        </w:tabs>
        <w:spacing w:before="0" w:beforeAutospacing="0" w:after="0" w:afterAutospacing="0" w:line="58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2025年度一般公共预算财政拨款支出1,732.56万元，主要用于以下方面（按大类）：教育支出1,661.15万元，占本年财政拨款支出95.9%；文化旅游体育与传媒支出20.02万元，占本年财政拨款支出1.1%；社会保障和就业支出49.49万元，占本年财政拨款支出2.9%；资源勘探工业信息等支出1.90万元，占本年财政拨款支出0.1%。</w:t>
      </w:r>
    </w:p>
    <w:p w14:paraId="507ED91A">
      <w:pPr>
        <w:autoSpaceDE w:val="0"/>
        <w:autoSpaceDN w:val="0"/>
        <w:adjustRightInd w:val="0"/>
        <w:spacing w:line="580" w:lineRule="exact"/>
        <w:ind w:firstLine="640" w:firstLineChars="200"/>
        <w:jc w:val="left"/>
        <w:rPr>
          <w:rFonts w:ascii="仿宋_GB2312" w:eastAsia="仿宋_GB2312"/>
          <w:sz w:val="32"/>
          <w:szCs w:val="32"/>
        </w:rPr>
      </w:pPr>
      <w:r>
        <w:rPr>
          <w:rFonts w:hint="eastAsia" w:ascii="仿宋_GB2312" w:eastAsia="仿宋_GB2312"/>
          <w:sz w:val="32"/>
          <w:szCs w:val="32"/>
        </w:rPr>
        <w:t>（二）一般公共预算财政拨款支出决算具体情况</w:t>
      </w:r>
    </w:p>
    <w:p w14:paraId="73EEADA8">
      <w:pPr>
        <w:keepNext w:val="0"/>
        <w:keepLines w:val="0"/>
        <w:widowControl w:val="0"/>
        <w:suppressLineNumbers w:val="0"/>
        <w:autoSpaceDE w:val="0"/>
        <w:autoSpaceDN w:val="0"/>
        <w:adjustRightInd w:val="0"/>
        <w:spacing w:before="0" w:beforeAutospacing="0" w:after="0" w:afterAutospacing="0" w:line="580" w:lineRule="exact"/>
        <w:ind w:left="0" w:right="0" w:firstLine="640" w:firstLineChars="20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1、“教育支出”（类）2025年度年初预算1,220.39万元，2025年度决算1,661.15万元，完成年初预算的136.1%。</w:t>
      </w:r>
    </w:p>
    <w:p w14:paraId="21AA50F0">
      <w:pPr>
        <w:keepNext w:val="0"/>
        <w:keepLines w:val="0"/>
        <w:widowControl w:val="0"/>
        <w:suppressLineNumbers w:val="0"/>
        <w:autoSpaceDE w:val="0"/>
        <w:autoSpaceDN w:val="0"/>
        <w:adjustRightInd w:val="0"/>
        <w:spacing w:before="0" w:beforeAutospacing="0" w:after="0" w:afterAutospacing="0" w:line="580" w:lineRule="exact"/>
        <w:ind w:left="0" w:right="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其中：</w:t>
      </w:r>
    </w:p>
    <w:p w14:paraId="0B1EDEF4">
      <w:pPr>
        <w:keepNext w:val="0"/>
        <w:keepLines w:val="0"/>
        <w:widowControl w:val="0"/>
        <w:suppressLineNumbers w:val="0"/>
        <w:spacing w:before="0" w:beforeAutospacing="0" w:after="0" w:afterAutospacing="0" w:line="58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进修及培训”（款，下同）2025年度年初预算1,220.39万元，2025年度决算1,661.15万元，完成年初预算的136.1%。主要原因：新增人员和社会化用工工资增加；以前年度项目在本年度完成；新增部分校园安全隐患整治项目支出。</w:t>
      </w:r>
    </w:p>
    <w:p w14:paraId="1B2DEFDC">
      <w:pPr>
        <w:keepNext w:val="0"/>
        <w:keepLines w:val="0"/>
        <w:widowControl w:val="0"/>
        <w:suppressLineNumbers w:val="0"/>
        <w:autoSpaceDE w:val="0"/>
        <w:autoSpaceDN w:val="0"/>
        <w:adjustRightInd w:val="0"/>
        <w:spacing w:before="0" w:beforeAutospacing="0" w:after="0" w:afterAutospacing="0" w:line="580" w:lineRule="exact"/>
        <w:ind w:left="0" w:right="0" w:firstLine="640" w:firstLineChars="20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2、“文化旅游体育与传媒支出”（类）2025年度年初预算22.12万元，2025年度决算20.02万元，完成年初预算的99.5%。</w:t>
      </w:r>
    </w:p>
    <w:p w14:paraId="0448808C">
      <w:pPr>
        <w:keepNext w:val="0"/>
        <w:keepLines w:val="0"/>
        <w:widowControl w:val="0"/>
        <w:suppressLineNumbers w:val="0"/>
        <w:autoSpaceDE w:val="0"/>
        <w:autoSpaceDN w:val="0"/>
        <w:adjustRightInd w:val="0"/>
        <w:spacing w:before="0" w:beforeAutospacing="0" w:after="0" w:afterAutospacing="0" w:line="580" w:lineRule="exact"/>
        <w:ind w:left="0" w:right="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其中：</w:t>
      </w:r>
    </w:p>
    <w:p w14:paraId="43446636">
      <w:pPr>
        <w:keepNext w:val="0"/>
        <w:keepLines w:val="0"/>
        <w:widowControl w:val="0"/>
        <w:suppressLineNumbers w:val="0"/>
        <w:spacing w:before="0" w:beforeAutospacing="0" w:after="0" w:afterAutospacing="0" w:line="58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“文化和旅游”（款，下同）2025年度年初预算22.12万元，2025年度决算20.02万元，完成年初预算的99.5%。主要原因：印刷费用下降。</w:t>
      </w:r>
    </w:p>
    <w:p w14:paraId="20466B17">
      <w:pPr>
        <w:keepNext w:val="0"/>
        <w:keepLines w:val="0"/>
        <w:widowControl w:val="0"/>
        <w:suppressLineNumbers w:val="0"/>
        <w:autoSpaceDE w:val="0"/>
        <w:autoSpaceDN w:val="0"/>
        <w:adjustRightInd w:val="0"/>
        <w:spacing w:before="0" w:beforeAutospacing="0" w:after="0" w:afterAutospacing="0" w:line="580" w:lineRule="exact"/>
        <w:ind w:left="0" w:right="0" w:firstLine="640" w:firstLineChars="20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3、“社会保障和就业支出”（类）2025年度年初预算42.77万元，2025年度决算49.49万元，完成年初预算的115.7%。</w:t>
      </w:r>
    </w:p>
    <w:p w14:paraId="1E079278">
      <w:pPr>
        <w:keepNext w:val="0"/>
        <w:keepLines w:val="0"/>
        <w:widowControl w:val="0"/>
        <w:suppressLineNumbers w:val="0"/>
        <w:autoSpaceDE w:val="0"/>
        <w:autoSpaceDN w:val="0"/>
        <w:adjustRightInd w:val="0"/>
        <w:spacing w:before="0" w:beforeAutospacing="0" w:after="0" w:afterAutospacing="0" w:line="580" w:lineRule="exact"/>
        <w:ind w:left="0" w:right="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其中：</w:t>
      </w:r>
    </w:p>
    <w:p w14:paraId="756FBF61">
      <w:pPr>
        <w:keepNext w:val="0"/>
        <w:keepLines w:val="0"/>
        <w:widowControl w:val="0"/>
        <w:suppressLineNumbers w:val="0"/>
        <w:spacing w:before="0" w:beforeAutospacing="0" w:after="0" w:afterAutospacing="0" w:line="58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“行政事业单位养老支出”（款，下同）2025年度年初预算42.77万元，2025年度决算49.49万元，完成年初预算的115.7%。主要原因：退休干部增加1人和支出标准提高。</w:t>
      </w:r>
    </w:p>
    <w:p w14:paraId="50178613">
      <w:pPr>
        <w:keepNext w:val="0"/>
        <w:keepLines w:val="0"/>
        <w:widowControl w:val="0"/>
        <w:suppressLineNumbers w:val="0"/>
        <w:autoSpaceDE w:val="0"/>
        <w:autoSpaceDN w:val="0"/>
        <w:adjustRightInd w:val="0"/>
        <w:spacing w:before="0" w:beforeAutospacing="0" w:after="0" w:afterAutospacing="0" w:line="580" w:lineRule="exact"/>
        <w:ind w:left="0" w:right="0" w:firstLine="640" w:firstLineChars="20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4、“资源勘探工业信息等支出”（类）2025年度年初预算0万元，2025年度决算1.90万元。</w:t>
      </w:r>
    </w:p>
    <w:p w14:paraId="61812C53">
      <w:pPr>
        <w:keepNext w:val="0"/>
        <w:keepLines w:val="0"/>
        <w:widowControl w:val="0"/>
        <w:suppressLineNumbers w:val="0"/>
        <w:autoSpaceDE w:val="0"/>
        <w:autoSpaceDN w:val="0"/>
        <w:adjustRightInd w:val="0"/>
        <w:spacing w:before="0" w:beforeAutospacing="0" w:after="0" w:afterAutospacing="0" w:line="580" w:lineRule="exact"/>
        <w:ind w:left="0" w:right="0"/>
        <w:jc w:val="left"/>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其中：</w:t>
      </w:r>
    </w:p>
    <w:p w14:paraId="09FD11F1">
      <w:pPr>
        <w:keepNext w:val="0"/>
        <w:keepLines w:val="0"/>
        <w:widowControl/>
        <w:suppressLineNumbers w:val="0"/>
        <w:jc w:val="left"/>
        <w:rPr>
          <w:sz w:val="32"/>
          <w:szCs w:val="32"/>
        </w:rPr>
      </w:pPr>
      <w:r>
        <w:rPr>
          <w:rFonts w:hint="eastAsia" w:ascii="仿宋_GB2312" w:hAnsi="Calibri" w:eastAsia="仿宋_GB2312" w:cs="Times New Roman"/>
          <w:kern w:val="2"/>
          <w:sz w:val="32"/>
          <w:szCs w:val="32"/>
          <w:lang w:val="en-US" w:eastAsia="zh-CN" w:bidi="ar"/>
        </w:rPr>
        <w:t>“制造业”（款，下同）2025年度年初预算0万元，2025年度决算1.90万元。主要原因：更新部分安可电脑。</w:t>
      </w:r>
    </w:p>
    <w:p w14:paraId="79CF5D22">
      <w:pPr>
        <w:spacing w:line="580" w:lineRule="exact"/>
        <w:ind w:firstLine="640" w:firstLineChars="200"/>
        <w:rPr>
          <w:rFonts w:ascii="仿宋_GB2312" w:eastAsia="仿宋_GB2312"/>
          <w:sz w:val="32"/>
          <w:szCs w:val="32"/>
        </w:rPr>
      </w:pPr>
      <w:r>
        <w:rPr>
          <w:rFonts w:hint="eastAsia" w:ascii="黑体" w:eastAsia="黑体"/>
          <w:b/>
          <w:sz w:val="32"/>
          <w:szCs w:val="32"/>
        </w:rPr>
        <w:t>五、政府性基金预算财政拨款支出决算情况说明</w:t>
      </w:r>
    </w:p>
    <w:p w14:paraId="4C46ED49">
      <w:pPr>
        <w:keepNext w:val="0"/>
        <w:keepLines w:val="0"/>
        <w:widowControl w:val="0"/>
        <w:suppressLineNumbers w:val="0"/>
        <w:spacing w:before="0" w:beforeAutospacing="0" w:after="0" w:afterAutospacing="0" w:line="58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本部门无此项经费支出。</w:t>
      </w:r>
    </w:p>
    <w:p w14:paraId="4CC179B4">
      <w:pPr>
        <w:spacing w:line="580" w:lineRule="exact"/>
        <w:ind w:firstLine="640" w:firstLineChars="200"/>
        <w:rPr>
          <w:rFonts w:ascii="黑体" w:eastAsia="黑体"/>
          <w:b/>
          <w:sz w:val="32"/>
          <w:szCs w:val="32"/>
        </w:rPr>
      </w:pPr>
      <w:r>
        <w:rPr>
          <w:rFonts w:hint="eastAsia" w:ascii="黑体" w:eastAsia="黑体"/>
          <w:b/>
          <w:sz w:val="32"/>
          <w:szCs w:val="32"/>
        </w:rPr>
        <w:t>六、国有资本经营预算财</w:t>
      </w:r>
      <w:r>
        <w:rPr>
          <w:rFonts w:ascii="黑体" w:eastAsia="黑体"/>
          <w:b/>
          <w:sz w:val="32"/>
          <w:szCs w:val="32"/>
        </w:rPr>
        <w:t>政拨款</w:t>
      </w:r>
      <w:r>
        <w:rPr>
          <w:rFonts w:hint="eastAsia" w:ascii="黑体" w:eastAsia="黑体"/>
          <w:b/>
          <w:sz w:val="32"/>
          <w:szCs w:val="32"/>
        </w:rPr>
        <w:t>收支情况</w:t>
      </w:r>
    </w:p>
    <w:p w14:paraId="69ED5791">
      <w:pPr>
        <w:keepNext w:val="0"/>
        <w:keepLines w:val="0"/>
        <w:widowControl w:val="0"/>
        <w:suppressLineNumbers w:val="0"/>
        <w:spacing w:before="0" w:beforeAutospacing="0" w:after="0" w:afterAutospacing="0" w:line="58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本部门无此项经费支出。</w:t>
      </w:r>
    </w:p>
    <w:p w14:paraId="4E5ED69A">
      <w:pPr>
        <w:spacing w:line="580" w:lineRule="exact"/>
        <w:ind w:firstLine="627" w:firstLineChars="196"/>
        <w:rPr>
          <w:rFonts w:ascii="黑体" w:eastAsia="黑体"/>
          <w:sz w:val="32"/>
          <w:szCs w:val="32"/>
        </w:rPr>
      </w:pPr>
      <w:r>
        <w:rPr>
          <w:rFonts w:hint="eastAsia" w:ascii="黑体" w:eastAsia="黑体"/>
          <w:b/>
          <w:sz w:val="32"/>
          <w:szCs w:val="32"/>
        </w:rPr>
        <w:t>七、财政拨款基本支出决算情况说明</w:t>
      </w:r>
    </w:p>
    <w:p w14:paraId="7AE1D764">
      <w:pPr>
        <w:autoSpaceDE w:val="0"/>
        <w:autoSpaceDN w:val="0"/>
        <w:adjustRightInd w:val="0"/>
        <w:spacing w:line="580" w:lineRule="exact"/>
        <w:rPr>
          <w:rFonts w:ascii="仿宋_GB2312" w:eastAsia="仿宋_GB2312"/>
          <w:b/>
          <w:sz w:val="32"/>
          <w:szCs w:val="32"/>
        </w:rPr>
      </w:pPr>
      <w:r>
        <w:rPr>
          <w:rFonts w:hint="eastAsia" w:ascii="仿宋_GB2312" w:hAnsi="Calibri" w:eastAsia="仿宋_GB2312" w:cs="Times New Roman"/>
          <w:sz w:val="32"/>
          <w:szCs w:val="32"/>
          <w:lang w:val="en-US" w:eastAsia="zh-CN" w:bidi="ar"/>
        </w:rPr>
        <w:t>2025年度使用一般公共预算财政拨款安排基本支出1,125.85万元，（1）工资福利支出包括基本工资、津贴补贴、奖金、伙食补助费、绩效工资、其他社会保障缴费、其他工资福利等支出986.71万元；（2）商品和服务支出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等支出90.83；（3）对个人和家庭补助支出包括离休费、退休费、抚恤金、生活补助、救济费、医疗费补助、助学金、奖励金、其他对个人和家庭的补助等支出48.06万元。（4）其他资本性支出包括办公设备购置、专用设备购置等支出0.25万元。</w:t>
      </w:r>
      <w:r>
        <w:rPr>
          <w:rFonts w:ascii="仿宋_GB2312" w:eastAsia="仿宋_GB2312"/>
          <w:b/>
          <w:sz w:val="32"/>
          <w:szCs w:val="32"/>
        </w:rPr>
        <w:tab/>
      </w:r>
    </w:p>
    <w:p w14:paraId="51A854DF">
      <w:pPr>
        <w:tabs>
          <w:tab w:val="center" w:pos="6979"/>
        </w:tabs>
        <w:jc w:val="center"/>
        <w:rPr>
          <w:rFonts w:hint="eastAsia" w:ascii="宋体" w:hAnsi="宋体" w:cs="宋体"/>
          <w:b/>
          <w:bCs/>
          <w:spacing w:val="40"/>
          <w:kern w:val="0"/>
          <w:sz w:val="32"/>
          <w:szCs w:val="32"/>
        </w:rPr>
      </w:pPr>
    </w:p>
    <w:p w14:paraId="3639207D">
      <w:pPr>
        <w:pStyle w:val="2"/>
        <w:rPr>
          <w:rFonts w:hint="eastAsia" w:ascii="宋体" w:hAnsi="宋体" w:cs="宋体"/>
          <w:b/>
          <w:bCs/>
          <w:spacing w:val="40"/>
          <w:kern w:val="0"/>
          <w:sz w:val="32"/>
          <w:szCs w:val="32"/>
        </w:rPr>
      </w:pPr>
    </w:p>
    <w:p w14:paraId="14BE78DA">
      <w:pPr>
        <w:rPr>
          <w:rFonts w:hint="eastAsia" w:ascii="宋体" w:hAnsi="宋体" w:cs="宋体"/>
          <w:b/>
          <w:bCs/>
          <w:spacing w:val="40"/>
          <w:kern w:val="0"/>
          <w:sz w:val="32"/>
          <w:szCs w:val="32"/>
        </w:rPr>
      </w:pPr>
    </w:p>
    <w:p w14:paraId="74DC8B69">
      <w:pPr>
        <w:pStyle w:val="2"/>
        <w:rPr>
          <w:rFonts w:hint="eastAsia" w:ascii="宋体" w:hAnsi="宋体" w:cs="宋体"/>
          <w:b/>
          <w:bCs/>
          <w:spacing w:val="40"/>
          <w:kern w:val="0"/>
          <w:sz w:val="32"/>
          <w:szCs w:val="32"/>
        </w:rPr>
      </w:pPr>
    </w:p>
    <w:p w14:paraId="4B673497">
      <w:pPr>
        <w:rPr>
          <w:rFonts w:hint="eastAsia" w:ascii="宋体" w:hAnsi="宋体" w:cs="宋体"/>
          <w:b/>
          <w:bCs/>
          <w:spacing w:val="40"/>
          <w:kern w:val="0"/>
          <w:sz w:val="32"/>
          <w:szCs w:val="32"/>
        </w:rPr>
      </w:pPr>
    </w:p>
    <w:p w14:paraId="1F512311">
      <w:pPr>
        <w:pStyle w:val="2"/>
        <w:rPr>
          <w:rFonts w:hint="eastAsia" w:ascii="宋体" w:hAnsi="宋体" w:cs="宋体"/>
          <w:b/>
          <w:bCs/>
          <w:spacing w:val="40"/>
          <w:kern w:val="0"/>
          <w:sz w:val="32"/>
          <w:szCs w:val="32"/>
        </w:rPr>
      </w:pPr>
    </w:p>
    <w:p w14:paraId="1DCCC5F5">
      <w:pPr>
        <w:rPr>
          <w:rFonts w:hint="eastAsia"/>
        </w:rPr>
      </w:pPr>
    </w:p>
    <w:p w14:paraId="2EEA6E47">
      <w:pPr>
        <w:tabs>
          <w:tab w:val="center" w:pos="6979"/>
        </w:tabs>
        <w:jc w:val="center"/>
        <w:rPr>
          <w:rFonts w:hint="eastAsia" w:ascii="宋体" w:hAnsi="宋体" w:cs="宋体"/>
          <w:b/>
          <w:bCs/>
          <w:spacing w:val="40"/>
          <w:kern w:val="0"/>
          <w:sz w:val="32"/>
          <w:szCs w:val="32"/>
        </w:rPr>
      </w:pPr>
    </w:p>
    <w:p w14:paraId="570525B0">
      <w:pPr>
        <w:tabs>
          <w:tab w:val="center" w:pos="6979"/>
        </w:tabs>
        <w:spacing w:line="580" w:lineRule="exact"/>
        <w:ind w:firstLine="880" w:firstLineChars="200"/>
        <w:jc w:val="center"/>
        <w:rPr>
          <w:rFonts w:hint="eastAsia" w:asciiTheme="minorEastAsia" w:hAnsiTheme="minorEastAsia" w:eastAsiaTheme="minorEastAsia"/>
          <w:b/>
          <w:sz w:val="44"/>
          <w:szCs w:val="44"/>
        </w:rPr>
      </w:pPr>
      <w:r>
        <w:rPr>
          <w:rFonts w:hint="eastAsia" w:asciiTheme="minorEastAsia" w:hAnsiTheme="minorEastAsia" w:eastAsiaTheme="minorEastAsia"/>
          <w:b/>
          <w:sz w:val="44"/>
          <w:szCs w:val="44"/>
        </w:rPr>
        <w:t>第三部分</w:t>
      </w:r>
      <w:r>
        <w:rPr>
          <w:rFonts w:hint="eastAsia" w:asciiTheme="minorEastAsia" w:hAnsiTheme="minorEastAsia" w:eastAsiaTheme="minorEastAsia"/>
          <w:b/>
          <w:sz w:val="44"/>
          <w:szCs w:val="44"/>
          <w:lang w:val="en-US" w:eastAsia="zh-CN"/>
        </w:rPr>
        <w:t xml:space="preserve"> </w:t>
      </w:r>
      <w:r>
        <w:rPr>
          <w:rFonts w:hint="eastAsia" w:asciiTheme="minorEastAsia" w:hAnsiTheme="minorEastAsia" w:eastAsiaTheme="minorEastAsia"/>
          <w:b/>
          <w:sz w:val="44"/>
          <w:szCs w:val="44"/>
        </w:rPr>
        <w:t>2025年度其他重要事项的情况说明</w:t>
      </w:r>
    </w:p>
    <w:p w14:paraId="16D62AF4">
      <w:pPr>
        <w:spacing w:line="560" w:lineRule="exact"/>
        <w:ind w:firstLine="640" w:firstLineChars="200"/>
        <w:rPr>
          <w:rFonts w:ascii="黑体" w:eastAsia="黑体"/>
          <w:sz w:val="32"/>
          <w:szCs w:val="32"/>
        </w:rPr>
      </w:pPr>
      <w:r>
        <w:rPr>
          <w:rFonts w:hint="eastAsia" w:ascii="黑体" w:eastAsia="黑体"/>
          <w:sz w:val="32"/>
          <w:szCs w:val="32"/>
        </w:rPr>
        <w:t>一、“三公”经费财政拨款决算情况</w:t>
      </w:r>
    </w:p>
    <w:p w14:paraId="6ABA4166">
      <w:pPr>
        <w:keepNext w:val="0"/>
        <w:keepLines w:val="0"/>
        <w:widowControl w:val="0"/>
        <w:suppressLineNumbers w:val="0"/>
        <w:spacing w:before="0" w:beforeAutospacing="0" w:after="0" w:afterAutospacing="0" w:line="560" w:lineRule="exact"/>
        <w:ind w:left="0" w:right="0" w:firstLine="6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2025年度“三公”经费财政拨款决算数1.14万元，比2025年度“三公”经费财政拨款年初预算2.27万元减少1.13万元。其中：</w:t>
      </w:r>
    </w:p>
    <w:p w14:paraId="75732978">
      <w:pPr>
        <w:keepNext w:val="0"/>
        <w:keepLines w:val="0"/>
        <w:widowControl w:val="0"/>
        <w:suppressLineNumbers w:val="0"/>
        <w:spacing w:before="0" w:beforeAutospacing="0" w:after="0" w:afterAutospacing="0" w:line="560" w:lineRule="exact"/>
        <w:ind w:left="0" w:right="0" w:firstLine="6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1.因公出国（境）费用。本单位无此项经费预算和支出。</w:t>
      </w:r>
    </w:p>
    <w:p w14:paraId="30DAC236">
      <w:pPr>
        <w:keepNext w:val="0"/>
        <w:keepLines w:val="0"/>
        <w:widowControl w:val="0"/>
        <w:suppressLineNumbers w:val="0"/>
        <w:spacing w:before="0" w:beforeAutospacing="0" w:after="0" w:afterAutospacing="0" w:line="560" w:lineRule="exact"/>
        <w:ind w:left="0" w:right="0" w:firstLine="6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2.公务接待费。2025年度决算数0万元，比2025年度年初预算数0.47万元减少0.47万元。主要原因：未发生公务接待支出。</w:t>
      </w:r>
    </w:p>
    <w:p w14:paraId="58437E4C">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3.公务用车购置及运行维护费。2025年度决算数</w:t>
      </w:r>
      <w:bookmarkStart w:id="0" w:name="OLE_LINK1"/>
      <w:r>
        <w:rPr>
          <w:rFonts w:hint="eastAsia" w:ascii="仿宋_GB2312" w:hAnsi="Calibri" w:eastAsia="仿宋_GB2312" w:cs="仿宋_GB2312"/>
          <w:kern w:val="2"/>
          <w:sz w:val="32"/>
          <w:szCs w:val="32"/>
          <w:lang w:val="en-US" w:eastAsia="zh-CN" w:bidi="ar"/>
        </w:rPr>
        <w:t>1.14</w:t>
      </w:r>
      <w:bookmarkEnd w:id="0"/>
      <w:r>
        <w:rPr>
          <w:rFonts w:hint="eastAsia" w:ascii="仿宋_GB2312" w:hAnsi="Calibri" w:eastAsia="仿宋_GB2312" w:cs="仿宋_GB2312"/>
          <w:kern w:val="2"/>
          <w:sz w:val="32"/>
          <w:szCs w:val="32"/>
          <w:lang w:val="en-US" w:eastAsia="zh-CN" w:bidi="ar"/>
        </w:rPr>
        <w:t>万元，比2025年度年初预算数2.27万元减少1.13万元。其中，公务用车购置费2025年度决算数0万元。公务用车运行维护费2025年度决算数1.14万元，主要原因：严格控制公车使用。2025年度公务用车保有量1辆。</w:t>
      </w:r>
    </w:p>
    <w:p w14:paraId="4EBC74A0">
      <w:pPr>
        <w:tabs>
          <w:tab w:val="center" w:pos="6979"/>
        </w:tabs>
        <w:ind w:firstLine="633" w:firstLineChars="198"/>
        <w:rPr>
          <w:rFonts w:ascii="黑体" w:eastAsia="黑体"/>
          <w:sz w:val="32"/>
          <w:szCs w:val="32"/>
        </w:rPr>
      </w:pPr>
      <w:r>
        <w:rPr>
          <w:rFonts w:hint="eastAsia" w:ascii="黑体" w:eastAsia="黑体"/>
          <w:sz w:val="32"/>
          <w:szCs w:val="32"/>
        </w:rPr>
        <w:t>二、机关运行经费支出情况</w:t>
      </w:r>
    </w:p>
    <w:p w14:paraId="3F2A3892">
      <w:pPr>
        <w:keepNext w:val="0"/>
        <w:keepLines w:val="0"/>
        <w:widowControl w:val="0"/>
        <w:suppressLineNumbers w:val="0"/>
        <w:spacing w:before="0" w:beforeAutospacing="0" w:after="0" w:afterAutospacing="0"/>
        <w:ind w:left="0" w:right="0" w:firstLine="614" w:firstLineChars="192"/>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2025年度机关运行经费支出合计91.07万元，比上年增加3.46万元，增加原因：人员增加。</w:t>
      </w:r>
    </w:p>
    <w:p w14:paraId="74E27372">
      <w:pPr>
        <w:ind w:left="540"/>
        <w:rPr>
          <w:rFonts w:ascii="黑体" w:eastAsia="黑体"/>
          <w:sz w:val="32"/>
          <w:szCs w:val="32"/>
        </w:rPr>
      </w:pPr>
      <w:r>
        <w:rPr>
          <w:rFonts w:hint="eastAsia" w:ascii="黑体" w:eastAsia="黑体"/>
          <w:sz w:val="32"/>
          <w:szCs w:val="32"/>
        </w:rPr>
        <w:t>三、政府采购支出情况</w:t>
      </w:r>
    </w:p>
    <w:p w14:paraId="196A07CE">
      <w:pPr>
        <w:keepNext w:val="0"/>
        <w:keepLines w:val="0"/>
        <w:widowControl w:val="0"/>
        <w:suppressLineNumbers w:val="0"/>
        <w:spacing w:before="0" w:beforeAutospacing="0" w:after="0" w:afterAutospacing="0"/>
        <w:ind w:left="0" w:right="0" w:firstLine="614" w:firstLineChars="192"/>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2025年度政府采购支出总额284.67万元，其中：政府采购货物支出275.65万元，政府采购工程支出0万元，政府采购服务支出9.01万元。授予中小企业合同金额46.80万元，占政府采购支出总额的16.4%，其中：授予小微企业合同金额46.80万元，占政府采购支出总额的16.4%。</w:t>
      </w:r>
    </w:p>
    <w:p w14:paraId="6EB47EF5">
      <w:pPr>
        <w:ind w:firstLine="640" w:firstLineChars="200"/>
        <w:rPr>
          <w:rFonts w:ascii="黑体" w:eastAsia="黑体"/>
          <w:sz w:val="32"/>
          <w:szCs w:val="32"/>
          <w:highlight w:val="yellow"/>
        </w:rPr>
      </w:pPr>
      <w:r>
        <w:rPr>
          <w:rFonts w:hint="eastAsia" w:ascii="黑体" w:eastAsia="黑体"/>
          <w:sz w:val="32"/>
          <w:szCs w:val="32"/>
        </w:rPr>
        <w:t>四、国有资产占用情况</w:t>
      </w:r>
    </w:p>
    <w:p w14:paraId="1A71BD11">
      <w:pPr>
        <w:ind w:firstLine="640" w:firstLineChars="200"/>
        <w:rPr>
          <w:rFonts w:ascii="仿宋_GB2312" w:eastAsia="仿宋_GB2312"/>
          <w:sz w:val="32"/>
          <w:szCs w:val="32"/>
        </w:rPr>
      </w:pPr>
      <w:r>
        <w:rPr>
          <w:rFonts w:hint="eastAsia" w:ascii="仿宋_GB2312" w:eastAsia="仿宋_GB2312"/>
          <w:sz w:val="32"/>
          <w:szCs w:val="32"/>
        </w:rPr>
        <w:t>截至12月31日，中国共产党北京市门头沟区委员会党校共有车辆1台；单位价值100</w:t>
      </w:r>
      <w:r>
        <w:rPr>
          <w:rFonts w:hint="eastAsia" w:ascii="仿宋_GB2312" w:eastAsia="仿宋_GB2312"/>
          <w:sz w:val="32"/>
          <w:szCs w:val="32"/>
          <w:lang w:val="en-US" w:eastAsia="zh-CN"/>
        </w:rPr>
        <w:t>万</w:t>
      </w:r>
      <w:r>
        <w:rPr>
          <w:rFonts w:hint="eastAsia" w:ascii="仿宋_GB2312" w:eastAsia="仿宋_GB2312"/>
          <w:sz w:val="32"/>
          <w:szCs w:val="32"/>
        </w:rPr>
        <w:t>元（含）以上的设备0台（套）。</w:t>
      </w:r>
    </w:p>
    <w:p w14:paraId="31836CCF">
      <w:pPr>
        <w:ind w:firstLine="640" w:firstLineChars="200"/>
        <w:jc w:val="left"/>
        <w:rPr>
          <w:rFonts w:ascii="仿宋_GB2312" w:eastAsia="仿宋_GB2312"/>
          <w:color w:val="000000"/>
          <w:sz w:val="32"/>
          <w:szCs w:val="32"/>
        </w:rPr>
      </w:pPr>
      <w:r>
        <w:rPr>
          <w:rFonts w:hint="eastAsia" w:ascii="黑体" w:eastAsia="黑体"/>
          <w:sz w:val="32"/>
          <w:szCs w:val="32"/>
        </w:rPr>
        <w:t>五、</w:t>
      </w:r>
      <w:r>
        <w:rPr>
          <w:rFonts w:ascii="黑体" w:eastAsia="黑体"/>
          <w:sz w:val="32"/>
          <w:szCs w:val="32"/>
        </w:rPr>
        <w:t>专业名词解释</w:t>
      </w:r>
    </w:p>
    <w:p w14:paraId="5BF5EC36">
      <w:pPr>
        <w:ind w:firstLine="640" w:firstLineChars="200"/>
        <w:rPr>
          <w:rFonts w:ascii="仿宋_GB2312" w:eastAsia="仿宋_GB2312"/>
          <w:sz w:val="32"/>
          <w:szCs w:val="32"/>
        </w:rPr>
      </w:pPr>
      <w:r>
        <w:rPr>
          <w:rFonts w:hint="eastAsia" w:ascii="仿宋_GB2312" w:eastAsia="仿宋_GB2312"/>
          <w:sz w:val="32"/>
          <w:szCs w:val="32"/>
        </w:rPr>
        <w:t>1.基本支出：指为保障机构正常运转、完成日常工作任务而发生的人员支出和公用支出。</w:t>
      </w:r>
    </w:p>
    <w:p w14:paraId="48F6B839">
      <w:pPr>
        <w:ind w:firstLine="640" w:firstLineChars="200"/>
        <w:rPr>
          <w:rFonts w:ascii="仿宋_GB2312" w:eastAsia="仿宋_GB2312"/>
          <w:sz w:val="32"/>
          <w:szCs w:val="32"/>
        </w:rPr>
      </w:pPr>
      <w:r>
        <w:rPr>
          <w:rFonts w:hint="eastAsia" w:ascii="仿宋_GB2312" w:eastAsia="仿宋_GB2312"/>
          <w:sz w:val="32"/>
          <w:szCs w:val="32"/>
        </w:rPr>
        <w:t>2.项目支出：指在基本支出之外为完成特定行政任务或事业发展目标所发生的支出。</w:t>
      </w:r>
    </w:p>
    <w:p w14:paraId="6C2071B7">
      <w:pPr>
        <w:ind w:firstLine="640" w:firstLineChars="200"/>
        <w:rPr>
          <w:rFonts w:ascii="仿宋_GB2312" w:eastAsia="仿宋_GB2312"/>
          <w:sz w:val="32"/>
          <w:szCs w:val="32"/>
        </w:rPr>
      </w:pPr>
      <w:r>
        <w:rPr>
          <w:rFonts w:hint="eastAsia" w:ascii="仿宋_GB2312" w:eastAsia="仿宋_GB2312"/>
          <w:sz w:val="32"/>
          <w:szCs w:val="32"/>
        </w:rPr>
        <w:t>3.“三公”经费：是指单位通过财政拨款资金安排的因公出国（境）费、公务用车购置及运行费和公务接待费。</w:t>
      </w:r>
    </w:p>
    <w:p w14:paraId="578ED14D">
      <w:pPr>
        <w:ind w:firstLine="640" w:firstLineChars="200"/>
        <w:rPr>
          <w:sz w:val="32"/>
          <w:szCs w:val="32"/>
        </w:rPr>
      </w:pPr>
      <w:r>
        <w:rPr>
          <w:rFonts w:hint="eastAsia" w:ascii="仿宋_GB2312" w:eastAsia="仿宋_GB2312"/>
          <w:sz w:val="32"/>
          <w:szCs w:val="32"/>
        </w:rPr>
        <w:t>4.机关运行经费：反映为保障行政单位（包括参照公务员法管理的事业单位）</w:t>
      </w:r>
      <w:bookmarkStart w:id="5" w:name="_GoBack"/>
      <w:bookmarkEnd w:id="5"/>
      <w:r>
        <w:rPr>
          <w:rFonts w:hint="eastAsia" w:ascii="仿宋_GB2312" w:eastAsia="仿宋_GB2312"/>
          <w:sz w:val="32"/>
          <w:szCs w:val="32"/>
        </w:rPr>
        <w:t>运行用于购买货物和服务的各项资金，包括办公费、会议费、培训费、委托业务费、公务接待费、公务用车运行维护费、维修（护）费及其他费用。</w:t>
      </w:r>
    </w:p>
    <w:p w14:paraId="7FCB499E">
      <w:pPr>
        <w:ind w:firstLine="640" w:firstLineChars="200"/>
        <w:rPr>
          <w:rFonts w:ascii="仿宋_GB2312" w:eastAsia="仿宋_GB2312"/>
          <w:sz w:val="32"/>
          <w:szCs w:val="32"/>
        </w:rPr>
      </w:pPr>
      <w:r>
        <w:rPr>
          <w:rFonts w:hint="eastAsia" w:ascii="仿宋_GB2312" w:eastAsia="仿宋_GB2312"/>
          <w:sz w:val="32"/>
          <w:szCs w:val="32"/>
        </w:rPr>
        <w:t>5.政府采购：指各级国家机关、事业单位和团体组织，使用财政性资金采购依法制定的集中目录以内的或者采购限额标准以上的货物、工程和服务的行为，是规范财政支出管理和强化预算约束的有效措施。</w:t>
      </w:r>
    </w:p>
    <w:p w14:paraId="365A7C9C">
      <w:pPr>
        <w:keepNext w:val="0"/>
        <w:keepLines w:val="0"/>
        <w:widowControl w:val="0"/>
        <w:suppressLineNumbers w:val="0"/>
        <w:spacing w:before="0" w:beforeAutospacing="0" w:after="0" w:afterAutospacing="0"/>
        <w:ind w:right="0" w:firstLine="640" w:firstLineChars="200"/>
        <w:jc w:val="both"/>
        <w:rPr>
          <w:rFonts w:hint="eastAsia" w:ascii="仿宋_GB2312" w:eastAsia="仿宋_GB2312" w:cs="仿宋_GB2312"/>
          <w:sz w:val="32"/>
          <w:szCs w:val="32"/>
          <w:lang w:val="en-US"/>
        </w:rPr>
      </w:pPr>
      <w:r>
        <w:rPr>
          <w:rFonts w:hint="eastAsia" w:ascii="仿宋_GB2312" w:eastAsia="仿宋_GB2312"/>
          <w:sz w:val="32"/>
          <w:szCs w:val="32"/>
        </w:rPr>
        <w:t>6.</w:t>
      </w:r>
      <w:r>
        <w:rPr>
          <w:rFonts w:hint="eastAsia" w:ascii="仿宋_GB2312" w:hAnsi="Calibri" w:eastAsia="仿宋_GB2312" w:cs="仿宋_GB2312"/>
          <w:kern w:val="2"/>
          <w:sz w:val="32"/>
          <w:szCs w:val="32"/>
          <w:lang w:val="en-US" w:eastAsia="zh-CN" w:bidi="ar"/>
        </w:rPr>
        <w:t>“教育支出”（类）“进修及培训”（款）“干部教育”（项）反映各级党校、行政学院、社会主义学院、国家会计学院的支出。包括机构运转、招聘师资、举办各类培训班的支出等。</w:t>
      </w:r>
    </w:p>
    <w:p w14:paraId="7DA59662">
      <w:pPr>
        <w:keepNext w:val="0"/>
        <w:keepLines w:val="0"/>
        <w:widowControl w:val="0"/>
        <w:suppressLineNumbers w:val="0"/>
        <w:spacing w:before="0" w:beforeAutospacing="0" w:after="0" w:afterAutospacing="0"/>
        <w:ind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7.“教育支出”（类）“进修及培训”（款）“培训支出”（项）反映各部门安排的用于培训的支出。</w:t>
      </w:r>
    </w:p>
    <w:p w14:paraId="1DE829FF">
      <w:pPr>
        <w:keepNext w:val="0"/>
        <w:keepLines w:val="0"/>
        <w:widowControl w:val="0"/>
        <w:suppressLineNumbers w:val="0"/>
        <w:spacing w:before="0" w:beforeAutospacing="0" w:after="0" w:afterAutospacing="0"/>
        <w:ind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8.“文化旅游体育与传媒支出”（类）“文化和旅游”（款）“其他文化和旅游支出”（项）反映本类科目其他项目以外用于文化和旅游支出。</w:t>
      </w:r>
    </w:p>
    <w:p w14:paraId="5C9B4B54">
      <w:pPr>
        <w:keepNext w:val="0"/>
        <w:keepLines w:val="0"/>
        <w:widowControl w:val="0"/>
        <w:suppressLineNumbers w:val="0"/>
        <w:spacing w:before="0" w:beforeAutospacing="0" w:after="0" w:afterAutospacing="0"/>
        <w:ind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9、“社会保障和就业支出”（类）“行政事业单位养老支出”（款）“行政单位离退休”（项）反映行政单位（包括实行公务员管理的事业单位）开支的离退休经费。</w:t>
      </w:r>
    </w:p>
    <w:p w14:paraId="19848781">
      <w:pPr>
        <w:keepNext w:val="0"/>
        <w:keepLines w:val="0"/>
        <w:widowControl w:val="0"/>
        <w:suppressLineNumbers w:val="0"/>
        <w:spacing w:before="0" w:beforeAutospacing="0" w:after="0" w:afterAutospacing="0"/>
        <w:ind w:right="0" w:firstLine="640" w:firstLineChars="20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10、“社会保障和就业支出”（类）“行政事业单位养老支出”（款）“事业单位离退休”（项）反映事业单位开支的离退休经费。</w:t>
      </w:r>
    </w:p>
    <w:p w14:paraId="7D19F0FC">
      <w:pPr>
        <w:keepNext w:val="0"/>
        <w:keepLines w:val="0"/>
        <w:widowControl/>
        <w:suppressLineNumbers w:val="0"/>
        <w:ind w:firstLine="640" w:firstLineChars="200"/>
        <w:jc w:val="left"/>
        <w:rPr>
          <w:sz w:val="32"/>
          <w:szCs w:val="32"/>
        </w:rPr>
      </w:pPr>
      <w:r>
        <w:rPr>
          <w:rFonts w:hint="eastAsia" w:ascii="仿宋_GB2312" w:hAnsi="Calibri" w:eastAsia="仿宋_GB2312" w:cs="Times New Roman"/>
          <w:kern w:val="2"/>
          <w:sz w:val="32"/>
          <w:szCs w:val="32"/>
          <w:lang w:val="en-US" w:eastAsia="zh-CN" w:bidi="ar"/>
        </w:rPr>
        <w:t>11.“资源勘探工业信息等支出”（类）“制造业”（款）“其他制造业”（项）反映本类科目其他项目以外用于制造业方面的支出。</w:t>
      </w:r>
    </w:p>
    <w:p w14:paraId="0212B19E">
      <w:pPr>
        <w:ind w:firstLine="640" w:firstLineChars="200"/>
        <w:rPr>
          <w:rFonts w:ascii="仿宋_GB2312" w:eastAsia="仿宋_GB2312"/>
          <w:bCs/>
          <w:sz w:val="32"/>
          <w:szCs w:val="32"/>
        </w:rPr>
      </w:pPr>
    </w:p>
    <w:p w14:paraId="1EA3280E">
      <w:pPr>
        <w:ind w:firstLine="480" w:firstLineChars="150"/>
        <w:rPr>
          <w:rFonts w:ascii="仿宋_GB2312" w:eastAsia="仿宋_GB2312"/>
          <w:sz w:val="32"/>
          <w:szCs w:val="32"/>
        </w:rPr>
      </w:pPr>
    </w:p>
    <w:p w14:paraId="7320BB62">
      <w:pPr>
        <w:pStyle w:val="2"/>
        <w:rPr>
          <w:rFonts w:ascii="仿宋_GB2312" w:eastAsia="仿宋_GB2312"/>
          <w:sz w:val="32"/>
          <w:szCs w:val="32"/>
        </w:rPr>
      </w:pPr>
    </w:p>
    <w:p w14:paraId="0770B20E">
      <w:pPr>
        <w:rPr>
          <w:sz w:val="32"/>
          <w:szCs w:val="32"/>
        </w:rPr>
      </w:pPr>
    </w:p>
    <w:p w14:paraId="32B0C748">
      <w:pPr>
        <w:tabs>
          <w:tab w:val="center" w:pos="6979"/>
        </w:tabs>
        <w:spacing w:line="580" w:lineRule="exact"/>
        <w:ind w:firstLine="880" w:firstLineChars="200"/>
        <w:jc w:val="center"/>
        <w:rPr>
          <w:rFonts w:asciiTheme="minorEastAsia" w:hAnsiTheme="minorEastAsia" w:eastAsiaTheme="minorEastAsia"/>
          <w:b/>
          <w:sz w:val="44"/>
          <w:szCs w:val="44"/>
        </w:rPr>
      </w:pPr>
      <w:r>
        <w:rPr>
          <w:rFonts w:hint="eastAsia" w:asciiTheme="minorEastAsia" w:hAnsiTheme="minorEastAsia" w:eastAsiaTheme="minorEastAsia"/>
          <w:b/>
          <w:sz w:val="44"/>
          <w:szCs w:val="44"/>
        </w:rPr>
        <w:t>第四部分</w:t>
      </w:r>
      <w:r>
        <w:rPr>
          <w:rFonts w:hint="eastAsia" w:asciiTheme="minorEastAsia" w:hAnsiTheme="minorEastAsia" w:eastAsiaTheme="minorEastAsia"/>
          <w:b/>
          <w:sz w:val="44"/>
          <w:szCs w:val="44"/>
          <w:lang w:val="en-US" w:eastAsia="zh-CN"/>
        </w:rPr>
        <w:t xml:space="preserve">  </w:t>
      </w:r>
      <w:r>
        <w:rPr>
          <w:rFonts w:hint="eastAsia" w:asciiTheme="minorEastAsia" w:hAnsiTheme="minorEastAsia" w:eastAsiaTheme="minorEastAsia"/>
          <w:b/>
          <w:sz w:val="44"/>
          <w:szCs w:val="44"/>
        </w:rPr>
        <w:t>2025年度部门绩效评价情况</w:t>
      </w:r>
    </w:p>
    <w:p w14:paraId="05F24D22">
      <w:pPr>
        <w:tabs>
          <w:tab w:val="center" w:pos="6979"/>
        </w:tabs>
        <w:spacing w:line="580" w:lineRule="exact"/>
        <w:ind w:firstLine="560" w:firstLineChars="200"/>
        <w:jc w:val="center"/>
        <w:rPr>
          <w:rFonts w:hint="eastAsia" w:ascii="华文中宋" w:hAnsi="华文中宋" w:eastAsia="华文中宋"/>
          <w:sz w:val="28"/>
          <w:szCs w:val="28"/>
        </w:rPr>
      </w:pPr>
    </w:p>
    <w:p w14:paraId="11D5F17D">
      <w:pPr>
        <w:spacing w:line="580" w:lineRule="exact"/>
        <w:ind w:firstLine="640" w:firstLineChars="200"/>
        <w:rPr>
          <w:rFonts w:hint="eastAsia" w:ascii="黑体" w:hAnsi="黑体" w:eastAsia="黑体"/>
          <w:sz w:val="32"/>
          <w:szCs w:val="32"/>
        </w:rPr>
      </w:pPr>
      <w:r>
        <w:rPr>
          <w:rFonts w:hint="eastAsia" w:ascii="黑体" w:eastAsia="黑体"/>
          <w:sz w:val="32"/>
          <w:szCs w:val="32"/>
        </w:rPr>
        <w:t xml:space="preserve"> </w:t>
      </w:r>
      <w:r>
        <w:rPr>
          <w:rFonts w:hint="eastAsia" w:ascii="黑体" w:hAnsi="黑体" w:eastAsia="黑体"/>
          <w:sz w:val="32"/>
          <w:szCs w:val="32"/>
        </w:rPr>
        <w:t>一、部门整体绩效评价报告</w:t>
      </w:r>
    </w:p>
    <w:p w14:paraId="0FE7BB9B">
      <w:pPr>
        <w:spacing w:line="580" w:lineRule="exact"/>
        <w:ind w:firstLine="640"/>
        <w:rPr>
          <w:rFonts w:hint="eastAsia" w:ascii="楷体_GB2312" w:hAnsi="Calibri" w:eastAsia="楷体_GB2312"/>
          <w:b/>
          <w:sz w:val="32"/>
          <w:szCs w:val="32"/>
        </w:rPr>
      </w:pPr>
      <w:r>
        <w:rPr>
          <w:rFonts w:hint="eastAsia" w:ascii="楷体_GB2312" w:eastAsia="楷体_GB2312"/>
          <w:b/>
          <w:sz w:val="32"/>
          <w:szCs w:val="32"/>
        </w:rPr>
        <w:t>（一）部门概况</w:t>
      </w:r>
    </w:p>
    <w:p w14:paraId="439517C8">
      <w:pPr>
        <w:spacing w:line="580" w:lineRule="exact"/>
        <w:ind w:firstLine="640"/>
        <w:rPr>
          <w:rFonts w:hint="eastAsia" w:ascii="仿宋_GB2312" w:eastAsia="仿宋_GB2312"/>
          <w:sz w:val="32"/>
          <w:szCs w:val="32"/>
        </w:rPr>
      </w:pPr>
      <w:bookmarkStart w:id="1" w:name="_Toc268005755"/>
      <w:r>
        <w:rPr>
          <w:rFonts w:hint="eastAsia" w:ascii="仿宋_GB2312" w:eastAsia="仿宋_GB2312"/>
          <w:sz w:val="32"/>
          <w:szCs w:val="32"/>
        </w:rPr>
        <w:t>1.部门职责情况</w:t>
      </w:r>
    </w:p>
    <w:p w14:paraId="55A871E7">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（1）在区委的统一领导下，负责培训各级党政领导干部、公务员、国有企业领导人员、事业单位领导人员、年轻干部、理论宣传骨干、高层次人才、基层干部、党员。</w:t>
      </w:r>
    </w:p>
    <w:p w14:paraId="0B9ED074">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（2）负责加强马克思主义基本理论研究，重点研究宣传习近平新时代中国特色社会主义思想，并以适当方式开展学术交流。</w:t>
      </w:r>
    </w:p>
    <w:p w14:paraId="607BF545">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（3）负责立足区域实际，开展重大理论和现实问题研究，为区委区政府科学决策服务。</w:t>
      </w:r>
    </w:p>
    <w:p w14:paraId="09761A3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（4）负责承办区委、区政府以及相关部门举办的专题研讨班。</w:t>
      </w:r>
    </w:p>
    <w:p w14:paraId="54B831C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（5）负责对基层党校进行业务指导。</w:t>
      </w:r>
    </w:p>
    <w:p w14:paraId="0CFAACA0">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（6）参与区委关于区委党校（区行政学院、区社会主义学院）工作政策以及干部培训计划的制定工作。</w:t>
      </w:r>
    </w:p>
    <w:p w14:paraId="54772150">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（7）在区委统战部的指导下，负责开展对党外各界代表人士、统战干部、统一战线理论研究人才的教育培养，开展马克思列宁主义、毛泽东思想、邓小平理论、</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三个代表</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重要思想、科学发展观和习近平新时代中国特色社会主义思想，以及党的统一战线理论和方针政策的研究宣传。</w:t>
      </w:r>
    </w:p>
    <w:p w14:paraId="59D4870E">
      <w:pPr>
        <w:keepNext w:val="0"/>
        <w:keepLines w:val="0"/>
        <w:widowControl/>
        <w:suppressLineNumbers w:val="0"/>
        <w:ind w:firstLine="640" w:firstLineChars="200"/>
        <w:jc w:val="left"/>
        <w:rPr>
          <w:sz w:val="32"/>
          <w:szCs w:val="32"/>
        </w:rPr>
      </w:pPr>
      <w:r>
        <w:rPr>
          <w:rFonts w:hint="eastAsia" w:ascii="仿宋_GB2312" w:hAnsi="Calibri" w:eastAsia="仿宋_GB2312" w:cs="Times New Roman"/>
          <w:kern w:val="2"/>
          <w:sz w:val="32"/>
          <w:szCs w:val="32"/>
          <w:lang w:val="en-US" w:eastAsia="zh-CN" w:bidi="ar"/>
        </w:rPr>
        <w:t>（8）完成区委交办的其他任务。</w:t>
      </w:r>
    </w:p>
    <w:p w14:paraId="7D75FEE8">
      <w:pPr>
        <w:spacing w:line="580" w:lineRule="exact"/>
        <w:ind w:firstLine="640"/>
        <w:rPr>
          <w:rFonts w:hint="eastAsia" w:ascii="仿宋_GB2312" w:eastAsia="仿宋_GB2312"/>
          <w:sz w:val="32"/>
          <w:szCs w:val="32"/>
        </w:rPr>
      </w:pPr>
      <w:r>
        <w:rPr>
          <w:rFonts w:hint="eastAsia" w:ascii="仿宋_GB2312" w:eastAsia="仿宋_GB2312"/>
          <w:sz w:val="32"/>
          <w:szCs w:val="32"/>
        </w:rPr>
        <w:t>2.部门机构设置情况</w:t>
      </w:r>
    </w:p>
    <w:p w14:paraId="53A4F67D">
      <w:pPr>
        <w:pStyle w:val="2"/>
        <w:ind w:firstLine="640" w:firstLineChars="200"/>
        <w:rPr>
          <w:rFonts w:hint="eastAsia" w:ascii="仿宋_GB2312" w:hAnsi="Calibri" w:eastAsia="仿宋_GB2312" w:cs="仿宋_GB2312"/>
          <w:b w:val="0"/>
          <w:bCs w:val="0"/>
          <w:kern w:val="2"/>
          <w:sz w:val="32"/>
          <w:szCs w:val="32"/>
          <w:lang w:val="en-US" w:eastAsia="zh-CN" w:bidi="ar"/>
        </w:rPr>
      </w:pPr>
      <w:r>
        <w:rPr>
          <w:rFonts w:hint="eastAsia" w:ascii="仿宋_GB2312" w:hAnsi="Calibri" w:eastAsia="仿宋_GB2312" w:cs="仿宋_GB2312"/>
          <w:b w:val="0"/>
          <w:bCs w:val="0"/>
          <w:kern w:val="2"/>
          <w:sz w:val="32"/>
          <w:szCs w:val="32"/>
          <w:lang w:val="en-US" w:eastAsia="zh-CN" w:bidi="ar"/>
        </w:rPr>
        <w:t>中共北京市门头沟区委党校（北京市门头沟区行政学院），加挂北京市门头沟社会主义学院牌子，是区委直属的公益一类事业单位，机构规格为正处级，经费形式为财政补助（全额拨款），共设6个内设机构，分别为办公室、教务处、教科研室、电教信息处、培训处和总务处。</w:t>
      </w:r>
    </w:p>
    <w:p w14:paraId="427BFB3A">
      <w:pPr>
        <w:spacing w:line="580" w:lineRule="exact"/>
        <w:ind w:firstLine="640"/>
        <w:rPr>
          <w:rFonts w:hint="eastAsia" w:ascii="仿宋_GB2312" w:eastAsia="仿宋_GB2312"/>
          <w:sz w:val="32"/>
          <w:szCs w:val="32"/>
        </w:rPr>
      </w:pPr>
      <w:r>
        <w:rPr>
          <w:rFonts w:hint="eastAsia" w:ascii="仿宋_GB2312" w:eastAsia="仿宋_GB2312"/>
          <w:sz w:val="32"/>
          <w:szCs w:val="32"/>
        </w:rPr>
        <w:t>3.2025年主要工作任务</w:t>
      </w:r>
    </w:p>
    <w:p w14:paraId="3CDFB6C4">
      <w:pPr>
        <w:keepNext w:val="0"/>
        <w:keepLines w:val="0"/>
        <w:widowControl w:val="0"/>
        <w:numPr>
          <w:ilvl w:val="0"/>
          <w:numId w:val="1"/>
        </w:numPr>
        <w:suppressLineNumbers w:val="0"/>
        <w:spacing w:before="0" w:beforeAutospacing="0" w:after="0" w:afterAutospacing="0" w:line="520" w:lineRule="exact"/>
        <w:ind w:left="0" w:right="0" w:firstLine="640"/>
        <w:jc w:val="both"/>
        <w:rPr>
          <w:rFonts w:hint="eastAsia" w:ascii="仿宋_GB2312" w:hAnsi="Calibri" w:eastAsia="仿宋_GB2312" w:cs="仿宋_GB2312"/>
          <w:b/>
          <w:bCs/>
          <w:kern w:val="2"/>
          <w:sz w:val="32"/>
          <w:szCs w:val="32"/>
          <w:lang w:val="en-US" w:eastAsia="zh-CN" w:bidi="ar"/>
        </w:rPr>
      </w:pPr>
      <w:r>
        <w:rPr>
          <w:rFonts w:hint="eastAsia" w:ascii="仿宋_GB2312" w:hAnsi="Calibri" w:eastAsia="仿宋_GB2312" w:cs="仿宋_GB2312"/>
          <w:b/>
          <w:bCs/>
          <w:kern w:val="2"/>
          <w:sz w:val="32"/>
          <w:szCs w:val="32"/>
          <w:lang w:val="en-US" w:eastAsia="zh-CN" w:bidi="ar"/>
        </w:rPr>
        <w:t>主责主业坚实有力，干部教育培训主渠道作用充分彰显</w:t>
      </w:r>
    </w:p>
    <w:p w14:paraId="25CE42C5">
      <w:pPr>
        <w:keepNext w:val="0"/>
        <w:keepLines w:val="0"/>
        <w:widowControl w:val="0"/>
        <w:numPr>
          <w:ilvl w:val="0"/>
          <w:numId w:val="0"/>
        </w:numPr>
        <w:suppressLineNumbers w:val="0"/>
        <w:spacing w:before="0" w:beforeAutospacing="0" w:after="0" w:afterAutospacing="0" w:line="520" w:lineRule="exact"/>
        <w:ind w:right="0" w:rightChars="0" w:firstLine="640" w:firstLineChars="200"/>
        <w:jc w:val="both"/>
        <w:rPr>
          <w:rFonts w:hint="eastAsia" w:ascii="仿宋_GB2312" w:hAnsi="Calibri" w:eastAsia="仿宋_GB2312" w:cs="仿宋_GB2312"/>
          <w:b w:val="0"/>
          <w:bCs w:val="0"/>
          <w:kern w:val="2"/>
          <w:sz w:val="32"/>
          <w:szCs w:val="32"/>
          <w:lang w:val="en-US" w:eastAsia="zh-CN" w:bidi="ar"/>
        </w:rPr>
      </w:pPr>
      <w:r>
        <w:rPr>
          <w:rFonts w:hint="eastAsia" w:ascii="仿宋_GB2312" w:hAnsi="Calibri" w:eastAsia="仿宋_GB2312" w:cs="仿宋_GB2312"/>
          <w:b w:val="0"/>
          <w:bCs w:val="0"/>
          <w:kern w:val="2"/>
          <w:sz w:val="32"/>
          <w:szCs w:val="32"/>
          <w:lang w:val="en-US" w:eastAsia="zh-CN" w:bidi="ar"/>
        </w:rPr>
        <w:t>始终将干部教育培训作为中心任务，夯实基本培训，确保党的理论教育和党性教育主课地位不动摇，强化履职能力培训。2025年，我校与区委组织部紧密协作，高质量举办处级</w:t>
      </w:r>
      <w:r>
        <w:rPr>
          <w:rFonts w:hint="default" w:ascii="仿宋_GB2312" w:hAnsi="Calibri" w:eastAsia="仿宋_GB2312" w:cs="仿宋_GB2312"/>
          <w:b w:val="0"/>
          <w:bCs w:val="0"/>
          <w:kern w:val="2"/>
          <w:sz w:val="32"/>
          <w:szCs w:val="32"/>
          <w:lang w:val="en-US" w:eastAsia="zh-CN" w:bidi="ar"/>
        </w:rPr>
        <w:t>“</w:t>
      </w:r>
      <w:r>
        <w:rPr>
          <w:rFonts w:hint="eastAsia" w:ascii="仿宋_GB2312" w:hAnsi="Calibri" w:eastAsia="仿宋_GB2312" w:cs="仿宋_GB2312"/>
          <w:b w:val="0"/>
          <w:bCs w:val="0"/>
          <w:kern w:val="2"/>
          <w:sz w:val="32"/>
          <w:szCs w:val="32"/>
          <w:lang w:val="en-US" w:eastAsia="zh-CN" w:bidi="ar"/>
        </w:rPr>
        <w:t>一把手</w:t>
      </w:r>
      <w:r>
        <w:rPr>
          <w:rFonts w:hint="default" w:ascii="仿宋_GB2312" w:hAnsi="Calibri" w:eastAsia="仿宋_GB2312" w:cs="仿宋_GB2312"/>
          <w:b w:val="0"/>
          <w:bCs w:val="0"/>
          <w:kern w:val="2"/>
          <w:sz w:val="32"/>
          <w:szCs w:val="32"/>
          <w:lang w:val="en-US" w:eastAsia="zh-CN" w:bidi="ar"/>
        </w:rPr>
        <w:t>”</w:t>
      </w:r>
      <w:r>
        <w:rPr>
          <w:rFonts w:hint="eastAsia" w:ascii="仿宋_GB2312" w:hAnsi="Calibri" w:eastAsia="仿宋_GB2312" w:cs="仿宋_GB2312"/>
          <w:b w:val="0"/>
          <w:bCs w:val="0"/>
          <w:kern w:val="2"/>
          <w:sz w:val="32"/>
          <w:szCs w:val="32"/>
          <w:lang w:val="en-US" w:eastAsia="zh-CN" w:bidi="ar"/>
        </w:rPr>
        <w:t>任职培训班、处级干部进修班、新任处级干部任职培训班、人才战略储备专题研讨班、科级公务员任职培训班、中青年干部培训班、公务员初任培训班、到村任职选调生能力提升专题培训班、学习《习近平经济文选》第一卷联学培训；与区人力资源社会保障局联合，举办事业单位科级干部任职培训班、事业单位新聘用人员岗前培训班。此外，会同区发改委、区政务服务局、区市场监管局举办优化营商环境专题培训班，常态化举办领导干部周末大讲堂10期。全年累计举办各级各类培训班次30期，培训学员3000余人次。</w:t>
      </w:r>
    </w:p>
    <w:p w14:paraId="5FE8DC45">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（1）双校区运行平稳开局。</w:t>
      </w:r>
      <w:r>
        <w:rPr>
          <w:rFonts w:hint="eastAsia" w:ascii="仿宋_GB2312" w:hAnsi="Calibri" w:eastAsia="仿宋_GB2312" w:cs="仿宋_GB2312"/>
          <w:kern w:val="2"/>
          <w:sz w:val="32"/>
          <w:szCs w:val="32"/>
          <w:lang w:val="en-US" w:eastAsia="zh-CN" w:bidi="ar"/>
        </w:rPr>
        <w:t>雁翅校区于9月秋季学期正式投入使用，成功实现双校区联动教学。创新实施主体班次项目组负责制，为每个主体班次配备课程设计人员1名、专职班主任2名，实行全程跟班、同吃同住的管理服务模式。制定出台《关于进一步加强封闭培训期间学员管理的若干规定》《学员请销假管理规定》及《对外培训相关规定》等3项管理制度，强化学风建设，提升管理服务精细化、规范化水平，保障培训工作安全、有序、高效运行。</w:t>
      </w:r>
    </w:p>
    <w:p w14:paraId="572B9A09">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（2）教学创新深化拓展。</w:t>
      </w:r>
      <w:r>
        <w:rPr>
          <w:rFonts w:hint="eastAsia" w:ascii="仿宋_GB2312" w:hAnsi="Calibri" w:eastAsia="仿宋_GB2312" w:cs="仿宋_GB2312"/>
          <w:kern w:val="2"/>
          <w:sz w:val="32"/>
          <w:szCs w:val="32"/>
          <w:lang w:val="en-US" w:eastAsia="zh-CN" w:bidi="ar"/>
        </w:rPr>
        <w:t>持续深化</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五位一体</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教学模式，加大案例教学、现场教学比重。高标准开设</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领导讲坛</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，邀请多名区领导和处级领导干部到校授课，华锋书记亲临党校为学员讲授深入贯彻中央八项规定精神专题党课，有效提升了培训的实践性与权威性。系统开展</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两带来</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交流、</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学员面对面</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调研工坊</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、区情论坛等教学方式。引入</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行动学习</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机制，围绕社会治理六大领域的重点难点与堵点问题，组织学员开展为期一周的实地调研，研提务实有效的解决方案，并推动调研成果转化为决策咨询报告。其中，针对</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山区养老</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的行动学习报告获得了区领导肯定并批示。通过强化实战实训，切实增强学员分析和解决实际问题的能力。灵活运用线上线下融合教学，培训的精准性和实效性进一步提升。</w:t>
      </w:r>
    </w:p>
    <w:p w14:paraId="01AF6CB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（3）扎实推进社会主义学院工作。</w:t>
      </w:r>
      <w:r>
        <w:rPr>
          <w:rFonts w:hint="eastAsia" w:ascii="仿宋_GB2312" w:hAnsi="Calibri" w:eastAsia="仿宋_GB2312" w:cs="仿宋_GB2312"/>
          <w:kern w:val="2"/>
          <w:sz w:val="32"/>
          <w:szCs w:val="32"/>
          <w:lang w:val="en-US" w:eastAsia="zh-CN" w:bidi="ar"/>
        </w:rPr>
        <w:t>深入贯彻《社会主义学院工作条例》，加强顶层设计，制定并实施《门头沟区社会主义学院学员管理规定》，完善教学管理体系。坚持因材施教，社会主义学院班次独立设置、独立开班。2025年，会同区委统战部成功举办中青年党外干部培训班、党外代表人士履职能力提升培训班、党外代表人士培训班等3个主体班次。积极开展教学规律研究，围绕共识教育核心任务，开发《习近平总书记关于做好新时代党的统一战线工作的重要思想》专题课程，推动门头沟区皇家琉璃艺术馆、</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宝顺宅院</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、妙峰山镇卫生院获批北京市共识教育实践教学基地。深化与市社会主义学院的联动，健全常态化联络和资源共享机制，积极配合市社院来区调研指导，借势借力提升办学水平。</w:t>
      </w:r>
    </w:p>
    <w:p w14:paraId="0950E08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2.体系建设纵深推进，党员教育覆盖面持续扩大</w:t>
      </w:r>
    </w:p>
    <w:p w14:paraId="620DA07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制定实施《门头沟区关于进一步加强和规范基层党校建设的意见》，构建起覆盖13个镇街、8大行业系统，上下贯通的党校工作体系。率先在清水镇试点成立全区首家村级党校，为深山区党员常态化进党校学习探索了新路径。加强对系统党校的业务指导和资源支持，推动区直机关工委、区委政法委等系统党校年内在本校区举办各类培训班30余期，累计培训近4万人次，有效提升了党员教育的系统性和覆盖面。市委党校</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初心讲堂</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基层行</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首场活动在我区启动，进一步推动优质教育资源下沉基层，有效打通了党员教育的</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最后一公里</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w:t>
      </w:r>
    </w:p>
    <w:p w14:paraId="02147481">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b/>
          <w:bCs/>
          <w:sz w:val="32"/>
          <w:szCs w:val="32"/>
          <w:lang w:val="en-US"/>
        </w:rPr>
      </w:pPr>
      <w:r>
        <w:rPr>
          <w:rFonts w:hint="eastAsia" w:ascii="仿宋_GB2312" w:hAnsi="Calibri" w:eastAsia="仿宋_GB2312" w:cs="仿宋_GB2312"/>
          <w:b/>
          <w:bCs/>
          <w:kern w:val="2"/>
          <w:sz w:val="32"/>
          <w:szCs w:val="32"/>
          <w:lang w:val="en-US" w:eastAsia="zh-CN" w:bidi="ar"/>
        </w:rPr>
        <w:t>3.深化教研咨宣一体化格局，服务区域发展取得新成效</w:t>
      </w:r>
    </w:p>
    <w:p w14:paraId="2DB5F788">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（1）课程体系建设持续优化。</w:t>
      </w:r>
      <w:r>
        <w:rPr>
          <w:rFonts w:hint="eastAsia" w:ascii="仿宋_GB2312" w:hAnsi="Calibri" w:eastAsia="仿宋_GB2312" w:cs="仿宋_GB2312"/>
          <w:kern w:val="2"/>
          <w:sz w:val="32"/>
          <w:szCs w:val="32"/>
          <w:lang w:val="en-US" w:eastAsia="zh-CN" w:bidi="ar"/>
        </w:rPr>
        <w:t>持续完善</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理论教育+党性教育+能力素养+区域实践</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四位一体的课程体系。本年度新开发专题讲授、案例教学、现场教学等课程10门，进一步拓展了课程的广度与深度。深入挖掘本土实践创新经验，围绕东辛房街道</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揭榜挂帅</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机制、大峪街道</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峪事好商量</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机制等鲜活案例，精心打造《</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微改革</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撬动基层治理</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大效能</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》案例教学课程，推动教学资源精准对接区域发展需求。重点打造</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沿着总书记足迹，共建美好家园</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系列现场教学课程，联合区委组织部成功将水峪嘴村打造为市级现场教学点，与市委党校共同开发京西智谷、琉璃文创园、首都应急体系建设等现场教学点，先后承接全国哲学社会科学教学科研骨干研修班等市委党校多个重点班次开展现场教学，教学点的辐射力和品牌影响力持续提升。在毛主席对黄安坨作出批示70周年之际，推出原创舞台剧思政课《沐光启航黄安坨》，党性教育的感染力与吸引力进一步增强。组织编写《现场教学课》《开国将军战斗在门头沟》2本本土教材，特色教学资源体系更加充实，为干部教育培训提供了有力支撑。</w:t>
      </w:r>
    </w:p>
    <w:p w14:paraId="00D47231">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（2）科研成果质量显著提高。</w:t>
      </w:r>
      <w:r>
        <w:rPr>
          <w:rFonts w:hint="eastAsia" w:ascii="仿宋_GB2312" w:hAnsi="Calibri" w:eastAsia="仿宋_GB2312" w:cs="仿宋_GB2312"/>
          <w:kern w:val="2"/>
          <w:sz w:val="32"/>
          <w:szCs w:val="32"/>
          <w:lang w:val="en-US" w:eastAsia="zh-CN" w:bidi="ar"/>
        </w:rPr>
        <w:t>持续优化课题申报、评审与结项全过程管理，着力提升科研工作的系统性与成果质量。全年成功立项各级课题12项，其中中央党校课题1项，省部级课题1项，市委党校重点课题及智库项目3项。在国家级刊物《金融时报》《学习时报》发表文章2篇，在市、区级刊物发表10篇文章，层次和质量较往年均有明显提升。</w:t>
      </w:r>
    </w:p>
    <w:p w14:paraId="2E7C68C3">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（3）咨政建言取得突破性进展。</w:t>
      </w:r>
      <w:r>
        <w:rPr>
          <w:rFonts w:hint="eastAsia" w:ascii="仿宋_GB2312" w:hAnsi="Calibri" w:eastAsia="仿宋_GB2312" w:cs="仿宋_GB2312"/>
          <w:kern w:val="2"/>
          <w:sz w:val="32"/>
          <w:szCs w:val="32"/>
          <w:lang w:val="en-US" w:eastAsia="zh-CN" w:bidi="ar"/>
        </w:rPr>
        <w:t>与区委研究室建立常态化共研机制，紧密围绕区域发展实际，聚焦重点难点问题开展针对性研究。下半年，我校教师撰写的6篇文章获区领导批示，积极探索学员参与决策咨询的有效机制，推动22篇学员调研成果转化，实现质与量双提升。围绕</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揭榜挂帅</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十五五</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规划等重点任务开展科研攻关，咨政服务的精准性与实效性不断提升。</w:t>
      </w:r>
    </w:p>
    <w:p w14:paraId="34BE85A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b/>
          <w:bCs/>
          <w:kern w:val="2"/>
          <w:sz w:val="32"/>
          <w:szCs w:val="32"/>
          <w:lang w:val="en-US" w:eastAsia="zh-CN" w:bidi="ar"/>
        </w:rPr>
        <w:t>（4）理论宣讲深入人心。</w:t>
      </w:r>
      <w:r>
        <w:rPr>
          <w:rFonts w:hint="eastAsia" w:ascii="仿宋_GB2312" w:hAnsi="Calibri" w:eastAsia="仿宋_GB2312" w:cs="仿宋_GB2312"/>
          <w:kern w:val="2"/>
          <w:sz w:val="32"/>
          <w:szCs w:val="32"/>
          <w:lang w:val="en-US" w:eastAsia="zh-CN" w:bidi="ar"/>
        </w:rPr>
        <w:t>充分发挥区委理论讲师团主力军作用，持续深入宣传阐释党的创新理论。广泛开展习近平新时代中国特色社会主义思想和党的二十届四中全会精神</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七进</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宣讲，创新开展</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艺宣讲</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，以群众喜闻乐见的方式增强理论传播效果。全年累计深入镇街、村居、部队、学校、机关、企事业单位开展宣讲200余场，受众1.5万余人次。围绕抗战胜利80周年，联合市委党校开发了</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传承平西抗战精神 挺进军歌再唱响</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冀热察挺进军史</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艺宣讲</w:t>
      </w:r>
      <w:r>
        <w:rPr>
          <w:rFonts w:hint="default" w:ascii="仿宋_GB2312" w:hAnsi="Calibri" w:eastAsia="仿宋_GB2312" w:cs="Times New Roman"/>
          <w:kern w:val="2"/>
          <w:sz w:val="32"/>
          <w:szCs w:val="32"/>
          <w:lang w:val="en-US" w:eastAsia="zh-CN" w:bidi="ar"/>
        </w:rPr>
        <w:t>”</w:t>
      </w:r>
      <w:r>
        <w:rPr>
          <w:rFonts w:hint="eastAsia" w:ascii="仿宋_GB2312" w:hAnsi="Calibri" w:eastAsia="仿宋_GB2312" w:cs="仿宋_GB2312"/>
          <w:kern w:val="2"/>
          <w:sz w:val="32"/>
          <w:szCs w:val="32"/>
          <w:lang w:val="en-US" w:eastAsia="zh-CN" w:bidi="ar"/>
        </w:rPr>
        <w:t>思政课，理论传播的吸引力、感染力不断增强。</w:t>
      </w:r>
    </w:p>
    <w:p w14:paraId="5A9040B4">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b/>
          <w:bCs/>
          <w:sz w:val="32"/>
          <w:szCs w:val="32"/>
          <w:lang w:val="en-US"/>
        </w:rPr>
      </w:pPr>
      <w:r>
        <w:rPr>
          <w:rFonts w:hint="eastAsia" w:ascii="仿宋_GB2312" w:hAnsi="Calibri" w:eastAsia="仿宋_GB2312" w:cs="仿宋_GB2312"/>
          <w:b/>
          <w:bCs/>
          <w:kern w:val="2"/>
          <w:sz w:val="32"/>
          <w:szCs w:val="32"/>
          <w:lang w:val="en-US" w:eastAsia="zh-CN" w:bidi="ar"/>
        </w:rPr>
        <w:t>4.党建引领坚强有力，干事创业基础不断夯实</w:t>
      </w:r>
    </w:p>
    <w:p w14:paraId="00F76901">
      <w:pPr>
        <w:keepNext w:val="0"/>
        <w:keepLines w:val="0"/>
        <w:widowControl w:val="0"/>
        <w:suppressLineNumbers w:val="0"/>
        <w:spacing w:before="0" w:beforeAutospacing="0" w:after="0" w:afterAutospacing="0" w:line="520" w:lineRule="exact"/>
        <w:ind w:left="0" w:right="0" w:firstLine="640"/>
        <w:jc w:val="both"/>
        <w:rPr>
          <w:rFonts w:hint="eastAsia" w:ascii="仿宋_GB2312" w:hAnsi="Calibri" w:eastAsia="仿宋_GB2312" w:cs="仿宋_GB2312"/>
          <w:kern w:val="2"/>
          <w:sz w:val="32"/>
          <w:szCs w:val="32"/>
          <w:lang w:val="en-US" w:eastAsia="zh-CN" w:bidi="ar"/>
        </w:rPr>
      </w:pPr>
      <w:r>
        <w:rPr>
          <w:rFonts w:hint="eastAsia" w:ascii="仿宋_GB2312" w:hAnsi="Calibri" w:eastAsia="仿宋_GB2312" w:cs="仿宋_GB2312"/>
          <w:kern w:val="2"/>
          <w:sz w:val="32"/>
          <w:szCs w:val="32"/>
          <w:lang w:val="en-US" w:eastAsia="zh-CN" w:bidi="ar"/>
        </w:rPr>
        <w:t>始终把党的政治建设摆在首位，严格执行</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第一议题</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制度，坚持将学习贯彻习近平总书记最新重要讲话和指示批示精神作为各类会议的</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第一议程</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设立每周学习日，确保及时学、跟进学。将学习贯彻党的二十届四中全会精神与系统学习习近平总书记关于党校工作的重要论述、新修订的《中国共产党党校（行政学院）工作条例》深度融合，通过组织系统学习、专题研讨、宣传阐释等</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六个一</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举措，教育引导全体党员切实增强贯彻落实的政治自觉、思想自觉和行动自觉。推动</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三会一课</w:t>
      </w:r>
      <w:r>
        <w:rPr>
          <w:rFonts w:hint="default" w:ascii="仿宋_GB2312" w:hAnsi="Calibri" w:eastAsia="仿宋_GB2312" w:cs="仿宋_GB2312"/>
          <w:kern w:val="2"/>
          <w:sz w:val="32"/>
          <w:szCs w:val="32"/>
          <w:lang w:val="en-US" w:eastAsia="zh-CN" w:bidi="ar"/>
        </w:rPr>
        <w:t>”</w:t>
      </w:r>
      <w:r>
        <w:rPr>
          <w:rFonts w:hint="eastAsia" w:ascii="仿宋_GB2312" w:hAnsi="Calibri" w:eastAsia="仿宋_GB2312" w:cs="仿宋_GB2312"/>
          <w:kern w:val="2"/>
          <w:sz w:val="32"/>
          <w:szCs w:val="32"/>
          <w:lang w:val="en-US" w:eastAsia="zh-CN" w:bidi="ar"/>
        </w:rPr>
        <w:t>、主题党日等与党校主业深度融合，组织全体党员赴黄安坨村开展主题党日活动，将党性锻炼与服务基层党校体系建设融为一体。与中粮集团党校开展组织共建，实现优质课程共研、教学资源共享，以党建引领提升办学实效。师资队伍建设取得新进展，2名教师申报了副教授职称评定，成功招录1名硕士研究生、1名博士后人才充实专职教师队伍。注重在实践中锤炼党性、提升能力，教职工团队在全区群众歌咏比赛、青年技能大赛等活动中展现出良好精神风貌，屡获佳绩，队伍凝聚力、战斗力持续增强。</w:t>
      </w:r>
    </w:p>
    <w:bookmarkEnd w:id="1"/>
    <w:p w14:paraId="62602141">
      <w:pPr>
        <w:spacing w:line="580" w:lineRule="exact"/>
        <w:ind w:firstLine="640"/>
        <w:rPr>
          <w:rFonts w:hint="eastAsia" w:ascii="仿宋_GB2312" w:eastAsia="仿宋_GB2312"/>
          <w:sz w:val="32"/>
          <w:szCs w:val="32"/>
        </w:rPr>
      </w:pPr>
      <w:bookmarkStart w:id="2" w:name="_Toc268005759"/>
      <w:bookmarkStart w:id="3" w:name="_Toc263686375"/>
      <w:r>
        <w:rPr>
          <w:rFonts w:hint="eastAsia" w:ascii="仿宋_GB2312" w:eastAsia="仿宋_GB2312"/>
          <w:sz w:val="32"/>
          <w:szCs w:val="32"/>
        </w:rPr>
        <w:t>4.部门</w:t>
      </w:r>
      <w:bookmarkEnd w:id="2"/>
      <w:r>
        <w:rPr>
          <w:rFonts w:hint="eastAsia" w:ascii="仿宋_GB2312" w:eastAsia="仿宋_GB2312"/>
          <w:sz w:val="32"/>
          <w:szCs w:val="32"/>
        </w:rPr>
        <w:t>整体绩效目标设立情况</w:t>
      </w:r>
    </w:p>
    <w:tbl>
      <w:tblPr>
        <w:tblStyle w:val="10"/>
        <w:tblW w:w="484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4"/>
        <w:gridCol w:w="3032"/>
        <w:gridCol w:w="2525"/>
        <w:gridCol w:w="2022"/>
        <w:gridCol w:w="2780"/>
        <w:gridCol w:w="2922"/>
      </w:tblGrid>
      <w:tr w14:paraId="13FC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jc w:val="center"/>
        </w:trPr>
        <w:tc>
          <w:tcPr>
            <w:tcW w:w="361"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8003B3">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bookmarkStart w:id="4" w:name="_Toc268005761"/>
            <w:r>
              <w:rPr>
                <w:rFonts w:hint="eastAsia" w:ascii="仿宋_GB2312" w:hAnsi="Calibri" w:eastAsia="仿宋_GB2312" w:cs="仿宋_GB2312"/>
                <w:kern w:val="2"/>
                <w:sz w:val="28"/>
                <w:szCs w:val="28"/>
                <w:lang w:val="en-US" w:eastAsia="zh-CN" w:bidi="ar"/>
              </w:rPr>
              <w:t>序号</w:t>
            </w:r>
          </w:p>
        </w:tc>
        <w:tc>
          <w:tcPr>
            <w:tcW w:w="1059" w:type="pct"/>
            <w:tcBorders>
              <w:top w:val="single" w:color="auto" w:sz="4" w:space="0"/>
              <w:left w:val="nil"/>
              <w:bottom w:val="single" w:color="auto" w:sz="4" w:space="0"/>
              <w:right w:val="single" w:color="auto" w:sz="4" w:space="0"/>
            </w:tcBorders>
            <w:shd w:val="clear" w:color="auto" w:fill="auto"/>
            <w:noWrap/>
            <w:vAlign w:val="center"/>
          </w:tcPr>
          <w:p w14:paraId="1EC2D31E">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三级指标</w:t>
            </w:r>
          </w:p>
        </w:tc>
        <w:tc>
          <w:tcPr>
            <w:tcW w:w="881" w:type="pct"/>
            <w:tcBorders>
              <w:top w:val="single" w:color="auto" w:sz="4" w:space="0"/>
              <w:left w:val="nil"/>
              <w:bottom w:val="single" w:color="auto" w:sz="4" w:space="0"/>
              <w:right w:val="single" w:color="auto" w:sz="4" w:space="0"/>
            </w:tcBorders>
            <w:shd w:val="clear" w:color="auto" w:fill="auto"/>
            <w:noWrap/>
            <w:vAlign w:val="center"/>
          </w:tcPr>
          <w:p w14:paraId="52FA8A79">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指标性质</w:t>
            </w:r>
          </w:p>
        </w:tc>
        <w:tc>
          <w:tcPr>
            <w:tcW w:w="706" w:type="pct"/>
            <w:tcBorders>
              <w:top w:val="single" w:color="auto" w:sz="4" w:space="0"/>
              <w:left w:val="nil"/>
              <w:bottom w:val="single" w:color="auto" w:sz="4" w:space="0"/>
              <w:right w:val="single" w:color="auto" w:sz="4" w:space="0"/>
            </w:tcBorders>
            <w:shd w:val="clear" w:color="auto" w:fill="auto"/>
            <w:noWrap/>
            <w:vAlign w:val="center"/>
          </w:tcPr>
          <w:p w14:paraId="6E613653">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指标值</w:t>
            </w:r>
          </w:p>
        </w:tc>
        <w:tc>
          <w:tcPr>
            <w:tcW w:w="971" w:type="pct"/>
            <w:tcBorders>
              <w:top w:val="single" w:color="auto" w:sz="4" w:space="0"/>
              <w:left w:val="nil"/>
              <w:bottom w:val="single" w:color="auto" w:sz="4" w:space="0"/>
              <w:right w:val="single" w:color="auto" w:sz="4" w:space="0"/>
            </w:tcBorders>
            <w:shd w:val="clear" w:color="auto" w:fill="auto"/>
            <w:vAlign w:val="center"/>
          </w:tcPr>
          <w:p w14:paraId="7DCEC51D">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度量单位</w:t>
            </w:r>
          </w:p>
        </w:tc>
        <w:tc>
          <w:tcPr>
            <w:tcW w:w="1020" w:type="pct"/>
            <w:tcBorders>
              <w:top w:val="single" w:color="auto" w:sz="4" w:space="0"/>
              <w:left w:val="nil"/>
              <w:bottom w:val="single" w:color="auto" w:sz="4" w:space="0"/>
              <w:right w:val="single" w:color="auto" w:sz="4" w:space="0"/>
            </w:tcBorders>
            <w:shd w:val="clear" w:color="auto" w:fill="auto"/>
            <w:vAlign w:val="center"/>
          </w:tcPr>
          <w:p w14:paraId="68944F73">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指标权重</w:t>
            </w:r>
          </w:p>
        </w:tc>
      </w:tr>
      <w:tr w14:paraId="09E45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7DBFB19C">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w:t>
            </w:r>
          </w:p>
        </w:tc>
        <w:tc>
          <w:tcPr>
            <w:tcW w:w="1059" w:type="pct"/>
            <w:tcBorders>
              <w:top w:val="nil"/>
              <w:left w:val="nil"/>
              <w:bottom w:val="single" w:color="auto" w:sz="4" w:space="0"/>
              <w:right w:val="single" w:color="auto" w:sz="4" w:space="0"/>
            </w:tcBorders>
            <w:shd w:val="clear" w:color="auto" w:fill="auto"/>
            <w:noWrap/>
            <w:vAlign w:val="center"/>
          </w:tcPr>
          <w:p w14:paraId="305A669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受培训干部的能力考核优的人数</w:t>
            </w:r>
          </w:p>
        </w:tc>
        <w:tc>
          <w:tcPr>
            <w:tcW w:w="881" w:type="pct"/>
            <w:tcBorders>
              <w:top w:val="nil"/>
              <w:left w:val="nil"/>
              <w:bottom w:val="single" w:color="auto" w:sz="4" w:space="0"/>
              <w:right w:val="single" w:color="auto" w:sz="4" w:space="0"/>
            </w:tcBorders>
            <w:shd w:val="clear" w:color="auto" w:fill="auto"/>
            <w:noWrap/>
            <w:vAlign w:val="center"/>
          </w:tcPr>
          <w:p w14:paraId="7110BF85">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5825E6F0">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90</w:t>
            </w:r>
          </w:p>
        </w:tc>
        <w:tc>
          <w:tcPr>
            <w:tcW w:w="971" w:type="pct"/>
            <w:tcBorders>
              <w:top w:val="nil"/>
              <w:left w:val="nil"/>
              <w:bottom w:val="single" w:color="auto" w:sz="4" w:space="0"/>
              <w:right w:val="single" w:color="auto" w:sz="4" w:space="0"/>
            </w:tcBorders>
            <w:shd w:val="clear" w:color="auto" w:fill="auto"/>
            <w:vAlign w:val="center"/>
          </w:tcPr>
          <w:p w14:paraId="5C1B8DB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w:t>
            </w:r>
          </w:p>
        </w:tc>
        <w:tc>
          <w:tcPr>
            <w:tcW w:w="1020" w:type="pct"/>
            <w:tcBorders>
              <w:top w:val="nil"/>
              <w:left w:val="nil"/>
              <w:bottom w:val="single" w:color="auto" w:sz="4" w:space="0"/>
              <w:right w:val="single" w:color="auto" w:sz="4" w:space="0"/>
            </w:tcBorders>
            <w:shd w:val="clear" w:color="auto" w:fill="auto"/>
            <w:vAlign w:val="center"/>
          </w:tcPr>
          <w:p w14:paraId="58B14349">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06DF8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44D44EBF">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2</w:t>
            </w:r>
          </w:p>
        </w:tc>
        <w:tc>
          <w:tcPr>
            <w:tcW w:w="1059" w:type="pct"/>
            <w:tcBorders>
              <w:top w:val="nil"/>
              <w:left w:val="nil"/>
              <w:bottom w:val="single" w:color="auto" w:sz="4" w:space="0"/>
              <w:right w:val="single" w:color="auto" w:sz="4" w:space="0"/>
            </w:tcBorders>
            <w:shd w:val="clear" w:color="auto" w:fill="auto"/>
            <w:noWrap/>
            <w:vAlign w:val="center"/>
          </w:tcPr>
          <w:p w14:paraId="094BFEE5">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理论水平和专业化能力</w:t>
            </w:r>
          </w:p>
        </w:tc>
        <w:tc>
          <w:tcPr>
            <w:tcW w:w="881" w:type="pct"/>
            <w:tcBorders>
              <w:top w:val="nil"/>
              <w:left w:val="nil"/>
              <w:bottom w:val="single" w:color="auto" w:sz="4" w:space="0"/>
              <w:right w:val="single" w:color="auto" w:sz="4" w:space="0"/>
            </w:tcBorders>
            <w:shd w:val="clear" w:color="auto" w:fill="auto"/>
            <w:noWrap/>
            <w:vAlign w:val="center"/>
          </w:tcPr>
          <w:p w14:paraId="428BA142">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定性</w:t>
            </w:r>
          </w:p>
        </w:tc>
        <w:tc>
          <w:tcPr>
            <w:tcW w:w="706" w:type="pct"/>
            <w:tcBorders>
              <w:top w:val="nil"/>
              <w:left w:val="nil"/>
              <w:bottom w:val="single" w:color="auto" w:sz="4" w:space="0"/>
              <w:right w:val="single" w:color="auto" w:sz="4" w:space="0"/>
            </w:tcBorders>
            <w:shd w:val="clear" w:color="auto" w:fill="auto"/>
            <w:noWrap/>
            <w:vAlign w:val="center"/>
          </w:tcPr>
          <w:p w14:paraId="0D6EF20A">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优</w:t>
            </w:r>
          </w:p>
        </w:tc>
        <w:tc>
          <w:tcPr>
            <w:tcW w:w="971" w:type="pct"/>
            <w:tcBorders>
              <w:top w:val="nil"/>
              <w:left w:val="nil"/>
              <w:bottom w:val="single" w:color="auto" w:sz="4" w:space="0"/>
              <w:right w:val="single" w:color="auto" w:sz="4" w:space="0"/>
            </w:tcBorders>
            <w:shd w:val="clear" w:color="auto" w:fill="auto"/>
            <w:vAlign w:val="center"/>
          </w:tcPr>
          <w:p w14:paraId="0773698D">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人数</w:t>
            </w:r>
          </w:p>
        </w:tc>
        <w:tc>
          <w:tcPr>
            <w:tcW w:w="1020" w:type="pct"/>
            <w:tcBorders>
              <w:top w:val="nil"/>
              <w:left w:val="nil"/>
              <w:bottom w:val="single" w:color="auto" w:sz="4" w:space="0"/>
              <w:right w:val="single" w:color="auto" w:sz="4" w:space="0"/>
            </w:tcBorders>
            <w:shd w:val="clear" w:color="auto" w:fill="auto"/>
            <w:vAlign w:val="center"/>
          </w:tcPr>
          <w:p w14:paraId="2A04D274">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68138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74C80C8B">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3</w:t>
            </w:r>
          </w:p>
        </w:tc>
        <w:tc>
          <w:tcPr>
            <w:tcW w:w="1059" w:type="pct"/>
            <w:tcBorders>
              <w:top w:val="nil"/>
              <w:left w:val="nil"/>
              <w:bottom w:val="single" w:color="auto" w:sz="4" w:space="0"/>
              <w:right w:val="single" w:color="auto" w:sz="4" w:space="0"/>
            </w:tcBorders>
            <w:shd w:val="clear" w:color="auto" w:fill="auto"/>
            <w:noWrap/>
            <w:vAlign w:val="center"/>
          </w:tcPr>
          <w:p w14:paraId="75028E84">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学员满意度</w:t>
            </w:r>
          </w:p>
        </w:tc>
        <w:tc>
          <w:tcPr>
            <w:tcW w:w="881" w:type="pct"/>
            <w:tcBorders>
              <w:top w:val="nil"/>
              <w:left w:val="nil"/>
              <w:bottom w:val="single" w:color="auto" w:sz="4" w:space="0"/>
              <w:right w:val="single" w:color="auto" w:sz="4" w:space="0"/>
            </w:tcBorders>
            <w:shd w:val="clear" w:color="auto" w:fill="auto"/>
            <w:noWrap/>
            <w:vAlign w:val="center"/>
          </w:tcPr>
          <w:p w14:paraId="3C39A4A4">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454F81FA">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98</w:t>
            </w:r>
          </w:p>
        </w:tc>
        <w:tc>
          <w:tcPr>
            <w:tcW w:w="971" w:type="pct"/>
            <w:tcBorders>
              <w:top w:val="nil"/>
              <w:left w:val="nil"/>
              <w:bottom w:val="single" w:color="auto" w:sz="4" w:space="0"/>
              <w:right w:val="single" w:color="auto" w:sz="4" w:space="0"/>
            </w:tcBorders>
            <w:shd w:val="clear" w:color="auto" w:fill="auto"/>
            <w:vAlign w:val="center"/>
          </w:tcPr>
          <w:p w14:paraId="4FEC608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w:t>
            </w:r>
          </w:p>
        </w:tc>
        <w:tc>
          <w:tcPr>
            <w:tcW w:w="1020" w:type="pct"/>
            <w:tcBorders>
              <w:top w:val="nil"/>
              <w:left w:val="nil"/>
              <w:bottom w:val="single" w:color="auto" w:sz="4" w:space="0"/>
              <w:right w:val="single" w:color="auto" w:sz="4" w:space="0"/>
            </w:tcBorders>
            <w:shd w:val="clear" w:color="auto" w:fill="auto"/>
            <w:vAlign w:val="center"/>
          </w:tcPr>
          <w:p w14:paraId="1300D542">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67486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52CCB925">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4</w:t>
            </w:r>
          </w:p>
        </w:tc>
        <w:tc>
          <w:tcPr>
            <w:tcW w:w="1059" w:type="pct"/>
            <w:tcBorders>
              <w:top w:val="nil"/>
              <w:left w:val="nil"/>
              <w:bottom w:val="single" w:color="auto" w:sz="4" w:space="0"/>
              <w:right w:val="single" w:color="auto" w:sz="4" w:space="0"/>
            </w:tcBorders>
            <w:shd w:val="clear" w:color="auto" w:fill="auto"/>
            <w:noWrap/>
            <w:vAlign w:val="center"/>
          </w:tcPr>
          <w:p w14:paraId="4AB13FE5">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项目资金成本</w:t>
            </w:r>
          </w:p>
        </w:tc>
        <w:tc>
          <w:tcPr>
            <w:tcW w:w="881" w:type="pct"/>
            <w:tcBorders>
              <w:top w:val="nil"/>
              <w:left w:val="nil"/>
              <w:bottom w:val="single" w:color="auto" w:sz="4" w:space="0"/>
              <w:right w:val="single" w:color="auto" w:sz="4" w:space="0"/>
            </w:tcBorders>
            <w:shd w:val="clear" w:color="auto" w:fill="auto"/>
            <w:noWrap/>
            <w:vAlign w:val="center"/>
          </w:tcPr>
          <w:p w14:paraId="7E6621B3">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31A9DA9A">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200</w:t>
            </w:r>
          </w:p>
        </w:tc>
        <w:tc>
          <w:tcPr>
            <w:tcW w:w="971" w:type="pct"/>
            <w:tcBorders>
              <w:top w:val="nil"/>
              <w:left w:val="nil"/>
              <w:bottom w:val="single" w:color="auto" w:sz="4" w:space="0"/>
              <w:right w:val="single" w:color="auto" w:sz="4" w:space="0"/>
            </w:tcBorders>
            <w:shd w:val="clear" w:color="auto" w:fill="auto"/>
            <w:vAlign w:val="center"/>
          </w:tcPr>
          <w:p w14:paraId="1B91EE76">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万</w:t>
            </w:r>
          </w:p>
        </w:tc>
        <w:tc>
          <w:tcPr>
            <w:tcW w:w="1020" w:type="pct"/>
            <w:tcBorders>
              <w:top w:val="nil"/>
              <w:left w:val="nil"/>
              <w:bottom w:val="single" w:color="auto" w:sz="4" w:space="0"/>
              <w:right w:val="single" w:color="auto" w:sz="4" w:space="0"/>
            </w:tcBorders>
            <w:shd w:val="clear" w:color="auto" w:fill="auto"/>
            <w:vAlign w:val="center"/>
          </w:tcPr>
          <w:p w14:paraId="46806D83">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3D556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4EB9AD52">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5</w:t>
            </w:r>
          </w:p>
        </w:tc>
        <w:tc>
          <w:tcPr>
            <w:tcW w:w="1059" w:type="pct"/>
            <w:tcBorders>
              <w:top w:val="nil"/>
              <w:left w:val="nil"/>
              <w:bottom w:val="single" w:color="auto" w:sz="4" w:space="0"/>
              <w:right w:val="single" w:color="auto" w:sz="4" w:space="0"/>
            </w:tcBorders>
            <w:shd w:val="clear" w:color="auto" w:fill="auto"/>
            <w:noWrap/>
            <w:vAlign w:val="center"/>
          </w:tcPr>
          <w:p w14:paraId="2BE1A933">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服务我区经济发展</w:t>
            </w:r>
          </w:p>
        </w:tc>
        <w:tc>
          <w:tcPr>
            <w:tcW w:w="881" w:type="pct"/>
            <w:tcBorders>
              <w:top w:val="nil"/>
              <w:left w:val="nil"/>
              <w:bottom w:val="single" w:color="auto" w:sz="4" w:space="0"/>
              <w:right w:val="single" w:color="auto" w:sz="4" w:space="0"/>
            </w:tcBorders>
            <w:shd w:val="clear" w:color="auto" w:fill="auto"/>
            <w:noWrap/>
            <w:vAlign w:val="center"/>
          </w:tcPr>
          <w:p w14:paraId="622E972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定性</w:t>
            </w:r>
          </w:p>
        </w:tc>
        <w:tc>
          <w:tcPr>
            <w:tcW w:w="706" w:type="pct"/>
            <w:tcBorders>
              <w:top w:val="nil"/>
              <w:left w:val="nil"/>
              <w:bottom w:val="single" w:color="auto" w:sz="4" w:space="0"/>
              <w:right w:val="single" w:color="auto" w:sz="4" w:space="0"/>
            </w:tcBorders>
            <w:shd w:val="clear" w:color="auto" w:fill="auto"/>
            <w:noWrap/>
            <w:vAlign w:val="center"/>
          </w:tcPr>
          <w:p w14:paraId="4EBB3B5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优</w:t>
            </w:r>
          </w:p>
        </w:tc>
        <w:tc>
          <w:tcPr>
            <w:tcW w:w="971" w:type="pct"/>
            <w:tcBorders>
              <w:top w:val="nil"/>
              <w:left w:val="nil"/>
              <w:bottom w:val="single" w:color="auto" w:sz="4" w:space="0"/>
              <w:right w:val="single" w:color="auto" w:sz="4" w:space="0"/>
            </w:tcBorders>
            <w:shd w:val="clear" w:color="auto" w:fill="auto"/>
            <w:vAlign w:val="center"/>
          </w:tcPr>
          <w:p w14:paraId="14D5B920">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人</w:t>
            </w:r>
            <w:r>
              <w:rPr>
                <w:rFonts w:hint="default" w:ascii="Calibri" w:hAnsi="Calibri" w:eastAsia="宋体" w:cs="Times New Roman"/>
                <w:color w:val="000000"/>
                <w:kern w:val="2"/>
                <w:sz w:val="20"/>
                <w:szCs w:val="20"/>
                <w:lang w:val="en-US" w:eastAsia="zh-CN" w:bidi="ar"/>
              </w:rPr>
              <w:t>/</w:t>
            </w:r>
            <w:r>
              <w:rPr>
                <w:rFonts w:hint="eastAsia" w:ascii="Calibri" w:hAnsi="Calibri" w:eastAsia="宋体" w:cs="宋体"/>
                <w:color w:val="000000"/>
                <w:kern w:val="2"/>
                <w:sz w:val="20"/>
                <w:szCs w:val="20"/>
                <w:lang w:val="en-US" w:eastAsia="zh-CN" w:bidi="ar"/>
              </w:rPr>
              <w:t>次</w:t>
            </w:r>
          </w:p>
        </w:tc>
        <w:tc>
          <w:tcPr>
            <w:tcW w:w="1020" w:type="pct"/>
            <w:tcBorders>
              <w:top w:val="nil"/>
              <w:left w:val="nil"/>
              <w:bottom w:val="single" w:color="auto" w:sz="4" w:space="0"/>
              <w:right w:val="single" w:color="auto" w:sz="4" w:space="0"/>
            </w:tcBorders>
            <w:shd w:val="clear" w:color="auto" w:fill="auto"/>
            <w:vAlign w:val="center"/>
          </w:tcPr>
          <w:p w14:paraId="6BBA807D">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03B74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1D245F67">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6</w:t>
            </w:r>
          </w:p>
        </w:tc>
        <w:tc>
          <w:tcPr>
            <w:tcW w:w="1059" w:type="pct"/>
            <w:tcBorders>
              <w:top w:val="nil"/>
              <w:left w:val="nil"/>
              <w:bottom w:val="single" w:color="auto" w:sz="4" w:space="0"/>
              <w:right w:val="single" w:color="auto" w:sz="4" w:space="0"/>
            </w:tcBorders>
            <w:shd w:val="clear" w:color="auto" w:fill="auto"/>
            <w:noWrap/>
            <w:vAlign w:val="center"/>
          </w:tcPr>
          <w:p w14:paraId="2FAD9B6A">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咨询人员满意度</w:t>
            </w:r>
          </w:p>
        </w:tc>
        <w:tc>
          <w:tcPr>
            <w:tcW w:w="881" w:type="pct"/>
            <w:tcBorders>
              <w:top w:val="nil"/>
              <w:left w:val="nil"/>
              <w:bottom w:val="single" w:color="auto" w:sz="4" w:space="0"/>
              <w:right w:val="single" w:color="auto" w:sz="4" w:space="0"/>
            </w:tcBorders>
            <w:shd w:val="clear" w:color="auto" w:fill="auto"/>
            <w:noWrap/>
            <w:vAlign w:val="center"/>
          </w:tcPr>
          <w:p w14:paraId="41B414EE">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635A5FA9">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95</w:t>
            </w:r>
          </w:p>
        </w:tc>
        <w:tc>
          <w:tcPr>
            <w:tcW w:w="971" w:type="pct"/>
            <w:tcBorders>
              <w:top w:val="nil"/>
              <w:left w:val="nil"/>
              <w:bottom w:val="single" w:color="auto" w:sz="4" w:space="0"/>
              <w:right w:val="single" w:color="auto" w:sz="4" w:space="0"/>
            </w:tcBorders>
            <w:shd w:val="clear" w:color="auto" w:fill="auto"/>
            <w:vAlign w:val="center"/>
          </w:tcPr>
          <w:p w14:paraId="5BF5F72E">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w:t>
            </w:r>
          </w:p>
        </w:tc>
        <w:tc>
          <w:tcPr>
            <w:tcW w:w="1020" w:type="pct"/>
            <w:tcBorders>
              <w:top w:val="nil"/>
              <w:left w:val="nil"/>
              <w:bottom w:val="single" w:color="auto" w:sz="4" w:space="0"/>
              <w:right w:val="single" w:color="auto" w:sz="4" w:space="0"/>
            </w:tcBorders>
            <w:shd w:val="clear" w:color="auto" w:fill="auto"/>
            <w:vAlign w:val="center"/>
          </w:tcPr>
          <w:p w14:paraId="02DD0D69">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5B906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6B76EBF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7</w:t>
            </w:r>
          </w:p>
        </w:tc>
        <w:tc>
          <w:tcPr>
            <w:tcW w:w="1059" w:type="pct"/>
            <w:tcBorders>
              <w:top w:val="nil"/>
              <w:left w:val="nil"/>
              <w:bottom w:val="single" w:color="auto" w:sz="4" w:space="0"/>
              <w:right w:val="single" w:color="auto" w:sz="4" w:space="0"/>
            </w:tcBorders>
            <w:shd w:val="clear" w:color="auto" w:fill="auto"/>
            <w:noWrap/>
            <w:vAlign w:val="center"/>
          </w:tcPr>
          <w:p w14:paraId="0772C1E2">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门头沟理论刊物数</w:t>
            </w:r>
          </w:p>
        </w:tc>
        <w:tc>
          <w:tcPr>
            <w:tcW w:w="881" w:type="pct"/>
            <w:tcBorders>
              <w:top w:val="nil"/>
              <w:left w:val="nil"/>
              <w:bottom w:val="single" w:color="auto" w:sz="4" w:space="0"/>
              <w:right w:val="single" w:color="auto" w:sz="4" w:space="0"/>
            </w:tcBorders>
            <w:shd w:val="clear" w:color="auto" w:fill="auto"/>
            <w:noWrap/>
            <w:vAlign w:val="center"/>
          </w:tcPr>
          <w:p w14:paraId="3F5524EB">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26703F03">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200</w:t>
            </w:r>
          </w:p>
        </w:tc>
        <w:tc>
          <w:tcPr>
            <w:tcW w:w="971" w:type="pct"/>
            <w:tcBorders>
              <w:top w:val="nil"/>
              <w:left w:val="nil"/>
              <w:bottom w:val="single" w:color="auto" w:sz="4" w:space="0"/>
              <w:right w:val="single" w:color="auto" w:sz="4" w:space="0"/>
            </w:tcBorders>
            <w:shd w:val="clear" w:color="auto" w:fill="auto"/>
            <w:vAlign w:val="center"/>
          </w:tcPr>
          <w:p w14:paraId="6F4412A1">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册</w:t>
            </w:r>
          </w:p>
        </w:tc>
        <w:tc>
          <w:tcPr>
            <w:tcW w:w="1020" w:type="pct"/>
            <w:tcBorders>
              <w:top w:val="nil"/>
              <w:left w:val="nil"/>
              <w:bottom w:val="single" w:color="auto" w:sz="4" w:space="0"/>
              <w:right w:val="single" w:color="auto" w:sz="4" w:space="0"/>
            </w:tcBorders>
            <w:shd w:val="clear" w:color="auto" w:fill="auto"/>
            <w:vAlign w:val="center"/>
          </w:tcPr>
          <w:p w14:paraId="2800DE3C">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1120E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370D766C">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8</w:t>
            </w:r>
          </w:p>
        </w:tc>
        <w:tc>
          <w:tcPr>
            <w:tcW w:w="1059" w:type="pct"/>
            <w:tcBorders>
              <w:top w:val="nil"/>
              <w:left w:val="nil"/>
              <w:bottom w:val="single" w:color="auto" w:sz="4" w:space="0"/>
              <w:right w:val="single" w:color="auto" w:sz="4" w:space="0"/>
            </w:tcBorders>
            <w:shd w:val="clear" w:color="auto" w:fill="auto"/>
            <w:noWrap/>
            <w:vAlign w:val="center"/>
          </w:tcPr>
          <w:p w14:paraId="573C3E5E">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基层宣讲次数</w:t>
            </w:r>
          </w:p>
        </w:tc>
        <w:tc>
          <w:tcPr>
            <w:tcW w:w="881" w:type="pct"/>
            <w:tcBorders>
              <w:top w:val="nil"/>
              <w:left w:val="nil"/>
              <w:bottom w:val="single" w:color="auto" w:sz="4" w:space="0"/>
              <w:right w:val="single" w:color="auto" w:sz="4" w:space="0"/>
            </w:tcBorders>
            <w:shd w:val="clear" w:color="auto" w:fill="auto"/>
            <w:noWrap/>
            <w:vAlign w:val="center"/>
          </w:tcPr>
          <w:p w14:paraId="7956CC2E">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78BBB706">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50</w:t>
            </w:r>
          </w:p>
        </w:tc>
        <w:tc>
          <w:tcPr>
            <w:tcW w:w="971" w:type="pct"/>
            <w:tcBorders>
              <w:top w:val="nil"/>
              <w:left w:val="nil"/>
              <w:bottom w:val="single" w:color="auto" w:sz="4" w:space="0"/>
              <w:right w:val="single" w:color="auto" w:sz="4" w:space="0"/>
            </w:tcBorders>
            <w:shd w:val="clear" w:color="auto" w:fill="auto"/>
            <w:vAlign w:val="center"/>
          </w:tcPr>
          <w:p w14:paraId="6A274219">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场次</w:t>
            </w:r>
          </w:p>
        </w:tc>
        <w:tc>
          <w:tcPr>
            <w:tcW w:w="1020" w:type="pct"/>
            <w:tcBorders>
              <w:top w:val="nil"/>
              <w:left w:val="nil"/>
              <w:bottom w:val="single" w:color="auto" w:sz="4" w:space="0"/>
              <w:right w:val="single" w:color="auto" w:sz="4" w:space="0"/>
            </w:tcBorders>
            <w:shd w:val="clear" w:color="auto" w:fill="auto"/>
            <w:vAlign w:val="center"/>
          </w:tcPr>
          <w:p w14:paraId="4BCACABB">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2659B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61ED6D94">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9</w:t>
            </w:r>
          </w:p>
        </w:tc>
        <w:tc>
          <w:tcPr>
            <w:tcW w:w="1059" w:type="pct"/>
            <w:tcBorders>
              <w:top w:val="nil"/>
              <w:left w:val="nil"/>
              <w:bottom w:val="single" w:color="auto" w:sz="4" w:space="0"/>
              <w:right w:val="single" w:color="auto" w:sz="4" w:space="0"/>
            </w:tcBorders>
            <w:shd w:val="clear" w:color="auto" w:fill="auto"/>
            <w:noWrap/>
            <w:vAlign w:val="center"/>
          </w:tcPr>
          <w:p w14:paraId="608BE3B2">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宽带网速</w:t>
            </w:r>
          </w:p>
        </w:tc>
        <w:tc>
          <w:tcPr>
            <w:tcW w:w="881" w:type="pct"/>
            <w:tcBorders>
              <w:top w:val="nil"/>
              <w:left w:val="nil"/>
              <w:bottom w:val="single" w:color="auto" w:sz="4" w:space="0"/>
              <w:right w:val="single" w:color="auto" w:sz="4" w:space="0"/>
            </w:tcBorders>
            <w:shd w:val="clear" w:color="auto" w:fill="auto"/>
            <w:noWrap/>
            <w:vAlign w:val="center"/>
          </w:tcPr>
          <w:p w14:paraId="4C7DFCE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2E0C0B99">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100</w:t>
            </w:r>
          </w:p>
        </w:tc>
        <w:tc>
          <w:tcPr>
            <w:tcW w:w="971" w:type="pct"/>
            <w:tcBorders>
              <w:top w:val="nil"/>
              <w:left w:val="nil"/>
              <w:bottom w:val="single" w:color="auto" w:sz="4" w:space="0"/>
              <w:right w:val="single" w:color="auto" w:sz="4" w:space="0"/>
            </w:tcBorders>
            <w:shd w:val="clear" w:color="auto" w:fill="auto"/>
            <w:vAlign w:val="center"/>
          </w:tcPr>
          <w:p w14:paraId="0F3B5921">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Mbps</w:t>
            </w:r>
          </w:p>
        </w:tc>
        <w:tc>
          <w:tcPr>
            <w:tcW w:w="1020" w:type="pct"/>
            <w:tcBorders>
              <w:top w:val="nil"/>
              <w:left w:val="nil"/>
              <w:bottom w:val="single" w:color="auto" w:sz="4" w:space="0"/>
              <w:right w:val="single" w:color="auto" w:sz="4" w:space="0"/>
            </w:tcBorders>
            <w:shd w:val="clear" w:color="auto" w:fill="auto"/>
            <w:vAlign w:val="center"/>
          </w:tcPr>
          <w:p w14:paraId="181C7858">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r w14:paraId="1104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5" w:hRule="atLeast"/>
          <w:jc w:val="center"/>
        </w:trPr>
        <w:tc>
          <w:tcPr>
            <w:tcW w:w="361" w:type="pct"/>
            <w:tcBorders>
              <w:top w:val="nil"/>
              <w:left w:val="single" w:color="auto" w:sz="4" w:space="0"/>
              <w:bottom w:val="single" w:color="auto" w:sz="4" w:space="0"/>
              <w:right w:val="single" w:color="auto" w:sz="4" w:space="0"/>
            </w:tcBorders>
            <w:shd w:val="clear" w:color="auto" w:fill="auto"/>
            <w:noWrap/>
            <w:vAlign w:val="center"/>
          </w:tcPr>
          <w:p w14:paraId="08C3ADBB">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c>
          <w:tcPr>
            <w:tcW w:w="1059" w:type="pct"/>
            <w:tcBorders>
              <w:top w:val="nil"/>
              <w:left w:val="nil"/>
              <w:bottom w:val="single" w:color="auto" w:sz="4" w:space="0"/>
              <w:right w:val="single" w:color="auto" w:sz="4" w:space="0"/>
            </w:tcBorders>
            <w:shd w:val="clear" w:color="auto" w:fill="auto"/>
            <w:noWrap/>
            <w:vAlign w:val="center"/>
          </w:tcPr>
          <w:p w14:paraId="1E60842C">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教职工及学员满意</w:t>
            </w:r>
          </w:p>
        </w:tc>
        <w:tc>
          <w:tcPr>
            <w:tcW w:w="881" w:type="pct"/>
            <w:tcBorders>
              <w:top w:val="nil"/>
              <w:left w:val="nil"/>
              <w:bottom w:val="single" w:color="auto" w:sz="4" w:space="0"/>
              <w:right w:val="single" w:color="auto" w:sz="4" w:space="0"/>
            </w:tcBorders>
            <w:shd w:val="clear" w:color="auto" w:fill="auto"/>
            <w:noWrap/>
            <w:vAlign w:val="center"/>
          </w:tcPr>
          <w:p w14:paraId="19C4673D">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eastAsia" w:ascii="Calibri" w:hAnsi="Calibri" w:eastAsia="宋体" w:cs="宋体"/>
                <w:color w:val="000000"/>
                <w:kern w:val="2"/>
                <w:sz w:val="20"/>
                <w:szCs w:val="20"/>
                <w:lang w:val="en-US" w:eastAsia="zh-CN" w:bidi="ar"/>
              </w:rPr>
              <w:t>≥</w:t>
            </w:r>
          </w:p>
        </w:tc>
        <w:tc>
          <w:tcPr>
            <w:tcW w:w="706" w:type="pct"/>
            <w:tcBorders>
              <w:top w:val="nil"/>
              <w:left w:val="nil"/>
              <w:bottom w:val="single" w:color="auto" w:sz="4" w:space="0"/>
              <w:right w:val="single" w:color="auto" w:sz="4" w:space="0"/>
            </w:tcBorders>
            <w:shd w:val="clear" w:color="auto" w:fill="auto"/>
            <w:noWrap/>
            <w:vAlign w:val="center"/>
          </w:tcPr>
          <w:p w14:paraId="4683C763">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95</w:t>
            </w:r>
          </w:p>
        </w:tc>
        <w:tc>
          <w:tcPr>
            <w:tcW w:w="971" w:type="pct"/>
            <w:tcBorders>
              <w:top w:val="nil"/>
              <w:left w:val="nil"/>
              <w:bottom w:val="single" w:color="auto" w:sz="4" w:space="0"/>
              <w:right w:val="single" w:color="auto" w:sz="4" w:space="0"/>
            </w:tcBorders>
            <w:shd w:val="clear" w:color="auto" w:fill="auto"/>
            <w:vAlign w:val="center"/>
          </w:tcPr>
          <w:p w14:paraId="2895FB4D">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w:t>
            </w:r>
          </w:p>
        </w:tc>
        <w:tc>
          <w:tcPr>
            <w:tcW w:w="1020" w:type="pct"/>
            <w:tcBorders>
              <w:top w:val="nil"/>
              <w:left w:val="nil"/>
              <w:bottom w:val="single" w:color="auto" w:sz="4" w:space="0"/>
              <w:right w:val="single" w:color="auto" w:sz="4" w:space="0"/>
            </w:tcBorders>
            <w:shd w:val="clear" w:color="auto" w:fill="auto"/>
            <w:vAlign w:val="center"/>
          </w:tcPr>
          <w:p w14:paraId="24BE14F1">
            <w:pPr>
              <w:keepNext w:val="0"/>
              <w:keepLines w:val="0"/>
              <w:widowControl w:val="0"/>
              <w:suppressLineNumbers w:val="0"/>
              <w:spacing w:before="0" w:beforeAutospacing="0" w:after="0" w:afterAutospacing="0" w:line="520" w:lineRule="exact"/>
              <w:ind w:left="0" w:right="0"/>
              <w:jc w:val="center"/>
              <w:rPr>
                <w:rFonts w:hint="default"/>
                <w:color w:val="000000"/>
                <w:sz w:val="20"/>
                <w:szCs w:val="20"/>
                <w:lang w:val="en-US"/>
              </w:rPr>
            </w:pPr>
            <w:r>
              <w:rPr>
                <w:rFonts w:hint="default" w:ascii="Calibri" w:hAnsi="Calibri" w:eastAsia="宋体" w:cs="Times New Roman"/>
                <w:color w:val="000000"/>
                <w:kern w:val="2"/>
                <w:sz w:val="20"/>
                <w:szCs w:val="20"/>
                <w:lang w:val="en-US" w:eastAsia="zh-CN" w:bidi="ar"/>
              </w:rPr>
              <w:t>10%</w:t>
            </w:r>
          </w:p>
        </w:tc>
      </w:tr>
    </w:tbl>
    <w:p w14:paraId="05FF12E6">
      <w:pPr>
        <w:spacing w:line="580" w:lineRule="exact"/>
        <w:ind w:firstLine="641"/>
        <w:rPr>
          <w:rFonts w:hint="eastAsia" w:ascii="楷体_GB2312" w:hAnsi="Calibri" w:eastAsia="楷体_GB2312"/>
          <w:b/>
          <w:sz w:val="32"/>
          <w:szCs w:val="32"/>
        </w:rPr>
      </w:pPr>
      <w:r>
        <w:rPr>
          <w:rFonts w:hint="eastAsia" w:ascii="楷体_GB2312" w:eastAsia="楷体_GB2312"/>
          <w:b/>
          <w:sz w:val="32"/>
          <w:szCs w:val="32"/>
        </w:rPr>
        <w:t>(二)当年预算执行情况</w:t>
      </w:r>
      <w:bookmarkEnd w:id="4"/>
      <w:r>
        <w:rPr>
          <w:rFonts w:hint="eastAsia" w:ascii="仿宋_GB2312" w:eastAsia="仿宋_GB2312"/>
          <w:sz w:val="32"/>
          <w:szCs w:val="32"/>
        </w:rPr>
        <w:t xml:space="preserve">  </w:t>
      </w:r>
    </w:p>
    <w:p w14:paraId="2391A1DD">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2025年全年预算数1,734.12万元，其中：基本支出1,125.85万元，占比64.9%；项目支出608.27万元，占比35.1%。</w:t>
      </w:r>
    </w:p>
    <w:p w14:paraId="2D065251">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 xml:space="preserve">截止到2025年12月31日，预算资金总体支出1,732.56万元，其中：基本支出1,125.85万元，占比65.0%；项目支出606.71万元，占比35.0%。部门预算执行率为99.9%。                    </w:t>
      </w:r>
    </w:p>
    <w:p w14:paraId="0E46809E">
      <w:pPr>
        <w:keepNext w:val="0"/>
        <w:keepLines w:val="0"/>
        <w:widowControl/>
        <w:suppressLineNumbers w:val="0"/>
        <w:jc w:val="left"/>
        <w:rPr>
          <w:sz w:val="32"/>
          <w:szCs w:val="32"/>
        </w:rPr>
      </w:pPr>
      <w:r>
        <w:rPr>
          <w:rFonts w:hint="eastAsia" w:ascii="仿宋_GB2312" w:hAnsi="Calibri" w:eastAsia="仿宋_GB2312" w:cs="Times New Roman"/>
          <w:kern w:val="2"/>
          <w:sz w:val="32"/>
          <w:szCs w:val="32"/>
          <w:lang w:val="en-US" w:eastAsia="zh-CN" w:bidi="ar"/>
        </w:rPr>
        <w:t>2025年年末结转结余资金总额为1.56万元，全年支出预算数为1,732.56万元，资金结转结余率为0.1%；2024年年末结转结余资金总额为0.53万元，全年支出预算数为1317.45万元，资金结转结余率为0.1%；2025年度部门结转结余率与上年一致。</w:t>
      </w:r>
    </w:p>
    <w:p w14:paraId="749FBCCE">
      <w:pPr>
        <w:spacing w:line="580" w:lineRule="exact"/>
        <w:ind w:firstLine="641"/>
        <w:rPr>
          <w:rFonts w:hint="eastAsia" w:ascii="楷体_GB2312" w:eastAsia="楷体_GB2312"/>
          <w:b/>
          <w:sz w:val="32"/>
          <w:szCs w:val="32"/>
        </w:rPr>
      </w:pPr>
      <w:r>
        <w:rPr>
          <w:rFonts w:hint="eastAsia" w:ascii="楷体_GB2312" w:eastAsia="楷体_GB2312"/>
          <w:b/>
          <w:sz w:val="32"/>
          <w:szCs w:val="32"/>
        </w:rPr>
        <w:t>（三）整体绩效目标实现情况</w:t>
      </w:r>
    </w:p>
    <w:p w14:paraId="17D4D639">
      <w:pPr>
        <w:spacing w:line="580" w:lineRule="exact"/>
        <w:ind w:firstLine="641"/>
        <w:rPr>
          <w:rFonts w:hint="eastAsia" w:ascii="仿宋_GB2312" w:eastAsia="仿宋_GB2312"/>
          <w:sz w:val="32"/>
          <w:szCs w:val="32"/>
        </w:rPr>
      </w:pPr>
      <w:r>
        <w:rPr>
          <w:rFonts w:hint="eastAsia" w:ascii="仿宋_GB2312" w:eastAsia="仿宋_GB2312"/>
          <w:sz w:val="32"/>
          <w:szCs w:val="32"/>
        </w:rPr>
        <w:t>1.产出完成情况分析</w:t>
      </w:r>
    </w:p>
    <w:p w14:paraId="39143602">
      <w:pPr>
        <w:spacing w:line="580" w:lineRule="exact"/>
        <w:ind w:firstLine="641"/>
        <w:rPr>
          <w:rFonts w:hint="eastAsia" w:ascii="仿宋_GB2312" w:eastAsia="仿宋_GB2312"/>
          <w:sz w:val="32"/>
          <w:szCs w:val="32"/>
        </w:rPr>
      </w:pPr>
      <w:r>
        <w:rPr>
          <w:rFonts w:hint="eastAsia" w:ascii="仿宋_GB2312" w:eastAsia="仿宋_GB2312"/>
          <w:sz w:val="32"/>
          <w:szCs w:val="32"/>
        </w:rPr>
        <w:t>（1）产出数量</w:t>
      </w:r>
    </w:p>
    <w:tbl>
      <w:tblPr>
        <w:tblStyle w:val="10"/>
        <w:tblW w:w="14388" w:type="dxa"/>
        <w:tblInd w:w="108" w:type="dxa"/>
        <w:tblLayout w:type="autofit"/>
        <w:tblCellMar>
          <w:top w:w="0" w:type="dxa"/>
          <w:left w:w="108" w:type="dxa"/>
          <w:bottom w:w="0" w:type="dxa"/>
          <w:right w:w="108" w:type="dxa"/>
        </w:tblCellMar>
      </w:tblPr>
      <w:tblGrid>
        <w:gridCol w:w="880"/>
        <w:gridCol w:w="1984"/>
        <w:gridCol w:w="1701"/>
        <w:gridCol w:w="1843"/>
        <w:gridCol w:w="7980"/>
      </w:tblGrid>
      <w:tr w14:paraId="32E0485F">
        <w:tblPrEx>
          <w:tblCellMar>
            <w:top w:w="0" w:type="dxa"/>
            <w:left w:w="108" w:type="dxa"/>
            <w:bottom w:w="0" w:type="dxa"/>
            <w:right w:w="108" w:type="dxa"/>
          </w:tblCellMar>
        </w:tblPrEx>
        <w:trPr>
          <w:trHeight w:val="510" w:hRule="atLeast"/>
        </w:trPr>
        <w:tc>
          <w:tcPr>
            <w:tcW w:w="880" w:type="dxa"/>
            <w:tcBorders>
              <w:top w:val="single" w:color="auto" w:sz="4" w:space="0"/>
              <w:left w:val="single" w:color="auto" w:sz="4" w:space="0"/>
              <w:bottom w:val="single" w:color="auto" w:sz="4" w:space="0"/>
              <w:right w:val="single" w:color="auto" w:sz="4" w:space="0"/>
            </w:tcBorders>
            <w:vAlign w:val="center"/>
          </w:tcPr>
          <w:p w14:paraId="6794EC99">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序号</w:t>
            </w:r>
          </w:p>
        </w:tc>
        <w:tc>
          <w:tcPr>
            <w:tcW w:w="1984" w:type="dxa"/>
            <w:tcBorders>
              <w:top w:val="single" w:color="auto" w:sz="4" w:space="0"/>
              <w:left w:val="nil"/>
              <w:bottom w:val="single" w:color="auto" w:sz="4" w:space="0"/>
              <w:right w:val="single" w:color="auto" w:sz="4" w:space="0"/>
            </w:tcBorders>
            <w:vAlign w:val="center"/>
          </w:tcPr>
          <w:p w14:paraId="0708DD43">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三级指标</w:t>
            </w:r>
          </w:p>
        </w:tc>
        <w:tc>
          <w:tcPr>
            <w:tcW w:w="1701" w:type="dxa"/>
            <w:tcBorders>
              <w:top w:val="single" w:color="auto" w:sz="4" w:space="0"/>
              <w:left w:val="nil"/>
              <w:bottom w:val="single" w:color="auto" w:sz="4" w:space="0"/>
              <w:right w:val="single" w:color="auto" w:sz="4" w:space="0"/>
            </w:tcBorders>
            <w:vAlign w:val="center"/>
          </w:tcPr>
          <w:p w14:paraId="0290B75F">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计划值</w:t>
            </w:r>
          </w:p>
        </w:tc>
        <w:tc>
          <w:tcPr>
            <w:tcW w:w="1843" w:type="dxa"/>
            <w:tcBorders>
              <w:top w:val="single" w:color="auto" w:sz="4" w:space="0"/>
              <w:left w:val="nil"/>
              <w:bottom w:val="single" w:color="auto" w:sz="4" w:space="0"/>
              <w:right w:val="single" w:color="auto" w:sz="4" w:space="0"/>
            </w:tcBorders>
            <w:vAlign w:val="center"/>
          </w:tcPr>
          <w:p w14:paraId="20098438">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完成值</w:t>
            </w:r>
          </w:p>
        </w:tc>
        <w:tc>
          <w:tcPr>
            <w:tcW w:w="7980" w:type="dxa"/>
            <w:tcBorders>
              <w:top w:val="single" w:color="auto" w:sz="4" w:space="0"/>
              <w:left w:val="nil"/>
              <w:bottom w:val="single" w:color="auto" w:sz="4" w:space="0"/>
              <w:right w:val="single" w:color="auto" w:sz="4" w:space="0"/>
            </w:tcBorders>
            <w:vAlign w:val="center"/>
          </w:tcPr>
          <w:p w14:paraId="30C31AE5">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偏差原因</w:t>
            </w:r>
          </w:p>
        </w:tc>
      </w:tr>
      <w:tr w14:paraId="5DAFAB53">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3780FF1D">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1</w:t>
            </w:r>
          </w:p>
        </w:tc>
        <w:tc>
          <w:tcPr>
            <w:tcW w:w="1984" w:type="dxa"/>
            <w:tcBorders>
              <w:top w:val="nil"/>
              <w:left w:val="nil"/>
              <w:bottom w:val="single" w:color="auto" w:sz="4" w:space="0"/>
              <w:right w:val="single" w:color="auto" w:sz="4" w:space="0"/>
            </w:tcBorders>
            <w:vAlign w:val="center"/>
          </w:tcPr>
          <w:p w14:paraId="71585A06">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Calibri" w:hAnsi="Calibri" w:eastAsia="宋体" w:cs="宋体"/>
                <w:color w:val="000000"/>
                <w:kern w:val="2"/>
                <w:sz w:val="20"/>
                <w:szCs w:val="20"/>
                <w:lang w:val="en-US" w:eastAsia="zh-CN" w:bidi="ar"/>
              </w:rPr>
              <w:t>门头沟理论刊物数</w:t>
            </w:r>
          </w:p>
        </w:tc>
        <w:tc>
          <w:tcPr>
            <w:tcW w:w="1701" w:type="dxa"/>
            <w:tcBorders>
              <w:top w:val="nil"/>
              <w:left w:val="nil"/>
              <w:bottom w:val="single" w:color="auto" w:sz="4" w:space="0"/>
              <w:right w:val="single" w:color="auto" w:sz="4" w:space="0"/>
            </w:tcBorders>
            <w:vAlign w:val="center"/>
          </w:tcPr>
          <w:p w14:paraId="6EA20A08">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200</w:t>
            </w:r>
            <w:r>
              <w:rPr>
                <w:rFonts w:hint="eastAsia" w:ascii="Calibri" w:hAnsi="Calibri" w:eastAsia="宋体" w:cs="宋体"/>
                <w:color w:val="000000"/>
                <w:kern w:val="2"/>
                <w:sz w:val="20"/>
                <w:szCs w:val="20"/>
                <w:lang w:val="en-US" w:eastAsia="zh-CN" w:bidi="ar"/>
              </w:rPr>
              <w:t>册</w:t>
            </w:r>
          </w:p>
        </w:tc>
        <w:tc>
          <w:tcPr>
            <w:tcW w:w="1843" w:type="dxa"/>
            <w:tcBorders>
              <w:top w:val="nil"/>
              <w:left w:val="nil"/>
              <w:bottom w:val="single" w:color="auto" w:sz="4" w:space="0"/>
              <w:right w:val="single" w:color="auto" w:sz="4" w:space="0"/>
            </w:tcBorders>
            <w:vAlign w:val="center"/>
          </w:tcPr>
          <w:p w14:paraId="05F80F6A">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default" w:ascii="Calibri" w:hAnsi="Calibri" w:eastAsia="宋体" w:cs="Times New Roman"/>
                <w:color w:val="000000"/>
                <w:kern w:val="2"/>
                <w:sz w:val="20"/>
                <w:szCs w:val="20"/>
                <w:lang w:val="en-US" w:eastAsia="zh-CN" w:bidi="ar"/>
              </w:rPr>
              <w:t>500</w:t>
            </w:r>
          </w:p>
        </w:tc>
        <w:tc>
          <w:tcPr>
            <w:tcW w:w="7980" w:type="dxa"/>
            <w:tcBorders>
              <w:top w:val="nil"/>
              <w:left w:val="nil"/>
              <w:bottom w:val="single" w:color="auto" w:sz="4" w:space="0"/>
              <w:right w:val="single" w:color="auto" w:sz="4" w:space="0"/>
            </w:tcBorders>
            <w:vAlign w:val="center"/>
          </w:tcPr>
          <w:p w14:paraId="2B0E4B01">
            <w:pPr>
              <w:keepNext w:val="0"/>
              <w:keepLines w:val="0"/>
              <w:widowControl w:val="0"/>
              <w:suppressLineNumbers w:val="0"/>
              <w:spacing w:before="0" w:beforeAutospacing="0" w:after="0" w:afterAutospacing="0" w:line="520" w:lineRule="exact"/>
              <w:ind w:left="0" w:leftChars="0" w:right="0" w:rightChars="0"/>
              <w:jc w:val="both"/>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本年度雁翅校区开班，多印刷的刊物用于学员宿舍摆放</w:t>
            </w:r>
          </w:p>
        </w:tc>
      </w:tr>
      <w:tr w14:paraId="55435851">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4DA41B46">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2</w:t>
            </w:r>
          </w:p>
        </w:tc>
        <w:tc>
          <w:tcPr>
            <w:tcW w:w="1984" w:type="dxa"/>
            <w:tcBorders>
              <w:top w:val="nil"/>
              <w:left w:val="nil"/>
              <w:bottom w:val="single" w:color="auto" w:sz="4" w:space="0"/>
              <w:right w:val="single" w:color="auto" w:sz="4" w:space="0"/>
            </w:tcBorders>
            <w:vAlign w:val="center"/>
          </w:tcPr>
          <w:p w14:paraId="78FFEB4B">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Calibri" w:hAnsi="Calibri" w:eastAsia="宋体" w:cs="宋体"/>
                <w:color w:val="000000"/>
                <w:kern w:val="2"/>
                <w:sz w:val="20"/>
                <w:szCs w:val="20"/>
                <w:lang w:val="en-US" w:eastAsia="zh-CN" w:bidi="ar"/>
              </w:rPr>
              <w:t>基层宣讲次数</w:t>
            </w:r>
          </w:p>
        </w:tc>
        <w:tc>
          <w:tcPr>
            <w:tcW w:w="1701" w:type="dxa"/>
            <w:tcBorders>
              <w:top w:val="nil"/>
              <w:left w:val="nil"/>
              <w:bottom w:val="single" w:color="auto" w:sz="4" w:space="0"/>
              <w:right w:val="single" w:color="auto" w:sz="4" w:space="0"/>
            </w:tcBorders>
            <w:vAlign w:val="center"/>
          </w:tcPr>
          <w:p w14:paraId="46AF58A2">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50</w:t>
            </w:r>
            <w:r>
              <w:rPr>
                <w:rFonts w:hint="eastAsia" w:ascii="Calibri" w:hAnsi="Calibri" w:eastAsia="宋体" w:cs="宋体"/>
                <w:color w:val="000000"/>
                <w:kern w:val="2"/>
                <w:sz w:val="20"/>
                <w:szCs w:val="20"/>
                <w:lang w:val="en-US" w:eastAsia="zh-CN" w:bidi="ar"/>
              </w:rPr>
              <w:t>场次</w:t>
            </w:r>
          </w:p>
        </w:tc>
        <w:tc>
          <w:tcPr>
            <w:tcW w:w="1843" w:type="dxa"/>
            <w:tcBorders>
              <w:top w:val="nil"/>
              <w:left w:val="nil"/>
              <w:bottom w:val="single" w:color="auto" w:sz="4" w:space="0"/>
              <w:right w:val="single" w:color="auto" w:sz="4" w:space="0"/>
            </w:tcBorders>
            <w:vAlign w:val="center"/>
          </w:tcPr>
          <w:p w14:paraId="3E4D09AA">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default" w:ascii="Calibri" w:hAnsi="Calibri" w:eastAsia="宋体" w:cs="Times New Roman"/>
                <w:color w:val="000000"/>
                <w:kern w:val="2"/>
                <w:sz w:val="20"/>
                <w:szCs w:val="20"/>
                <w:lang w:val="en-US" w:eastAsia="zh-CN" w:bidi="ar"/>
              </w:rPr>
              <w:t>200</w:t>
            </w:r>
          </w:p>
        </w:tc>
        <w:tc>
          <w:tcPr>
            <w:tcW w:w="7980" w:type="dxa"/>
            <w:tcBorders>
              <w:top w:val="nil"/>
              <w:left w:val="nil"/>
              <w:bottom w:val="single" w:color="auto" w:sz="4" w:space="0"/>
              <w:right w:val="single" w:color="auto" w:sz="4" w:space="0"/>
            </w:tcBorders>
            <w:vAlign w:val="center"/>
          </w:tcPr>
          <w:p w14:paraId="4BB02144">
            <w:pPr>
              <w:keepNext w:val="0"/>
              <w:keepLines w:val="0"/>
              <w:widowControl w:val="0"/>
              <w:suppressLineNumbers w:val="0"/>
              <w:spacing w:before="0" w:beforeAutospacing="0" w:after="0" w:afterAutospacing="0" w:line="520" w:lineRule="exact"/>
              <w:ind w:left="0" w:leftChars="0" w:right="0" w:rightChars="0"/>
              <w:jc w:val="both"/>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持续深入宣传阐释党的创新理论</w:t>
            </w:r>
          </w:p>
        </w:tc>
      </w:tr>
      <w:tr w14:paraId="666207A0">
        <w:tblPrEx>
          <w:tblCellMar>
            <w:top w:w="0" w:type="dxa"/>
            <w:left w:w="108" w:type="dxa"/>
            <w:bottom w:w="0" w:type="dxa"/>
            <w:right w:w="108" w:type="dxa"/>
          </w:tblCellMar>
        </w:tblPrEx>
        <w:trPr>
          <w:trHeight w:val="510" w:hRule="atLeast"/>
        </w:trPr>
        <w:tc>
          <w:tcPr>
            <w:tcW w:w="880" w:type="dxa"/>
            <w:tcBorders>
              <w:top w:val="nil"/>
              <w:left w:val="single" w:color="auto" w:sz="4" w:space="0"/>
              <w:bottom w:val="single" w:color="auto" w:sz="4" w:space="0"/>
              <w:right w:val="single" w:color="auto" w:sz="4" w:space="0"/>
            </w:tcBorders>
            <w:vAlign w:val="center"/>
          </w:tcPr>
          <w:p w14:paraId="58668183">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3</w:t>
            </w:r>
          </w:p>
        </w:tc>
        <w:tc>
          <w:tcPr>
            <w:tcW w:w="1984" w:type="dxa"/>
            <w:tcBorders>
              <w:top w:val="nil"/>
              <w:left w:val="nil"/>
              <w:bottom w:val="single" w:color="auto" w:sz="4" w:space="0"/>
              <w:right w:val="single" w:color="auto" w:sz="4" w:space="0"/>
            </w:tcBorders>
            <w:vAlign w:val="center"/>
          </w:tcPr>
          <w:p w14:paraId="0089783F">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Calibri" w:hAnsi="Calibri" w:eastAsia="宋体" w:cs="宋体"/>
                <w:color w:val="000000"/>
                <w:kern w:val="2"/>
                <w:sz w:val="20"/>
                <w:szCs w:val="20"/>
                <w:lang w:val="en-US" w:eastAsia="zh-CN" w:bidi="ar"/>
              </w:rPr>
              <w:t>宽带网速</w:t>
            </w:r>
          </w:p>
        </w:tc>
        <w:tc>
          <w:tcPr>
            <w:tcW w:w="1701" w:type="dxa"/>
            <w:tcBorders>
              <w:top w:val="nil"/>
              <w:left w:val="nil"/>
              <w:bottom w:val="single" w:color="auto" w:sz="4" w:space="0"/>
              <w:right w:val="single" w:color="auto" w:sz="4" w:space="0"/>
            </w:tcBorders>
            <w:vAlign w:val="center"/>
          </w:tcPr>
          <w:p w14:paraId="029665DD">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100Mbps</w:t>
            </w:r>
          </w:p>
        </w:tc>
        <w:tc>
          <w:tcPr>
            <w:tcW w:w="1843" w:type="dxa"/>
            <w:tcBorders>
              <w:top w:val="nil"/>
              <w:left w:val="nil"/>
              <w:bottom w:val="single" w:color="auto" w:sz="4" w:space="0"/>
              <w:right w:val="single" w:color="auto" w:sz="4" w:space="0"/>
            </w:tcBorders>
            <w:vAlign w:val="center"/>
          </w:tcPr>
          <w:p w14:paraId="6FD58AEB">
            <w:pPr>
              <w:keepNext w:val="0"/>
              <w:keepLines w:val="0"/>
              <w:widowControl w:val="0"/>
              <w:suppressLineNumbers w:val="0"/>
              <w:spacing w:before="0" w:beforeAutospacing="0" w:after="0" w:afterAutospacing="0" w:line="520" w:lineRule="exact"/>
              <w:ind w:left="0" w:leftChars="0" w:right="0" w:rightChars="0"/>
              <w:jc w:val="center"/>
              <w:rPr>
                <w:rFonts w:hint="eastAsia" w:ascii="仿宋_GB2312" w:eastAsia="仿宋_GB2312"/>
                <w:sz w:val="28"/>
                <w:szCs w:val="28"/>
              </w:rPr>
            </w:pPr>
            <w:r>
              <w:rPr>
                <w:rFonts w:hint="default" w:ascii="Calibri" w:hAnsi="Calibri" w:eastAsia="宋体" w:cs="Times New Roman"/>
                <w:color w:val="000000"/>
                <w:kern w:val="2"/>
                <w:sz w:val="20"/>
                <w:szCs w:val="20"/>
                <w:lang w:val="en-US" w:eastAsia="zh-CN" w:bidi="ar"/>
              </w:rPr>
              <w:t>100Mbps</w:t>
            </w:r>
          </w:p>
        </w:tc>
        <w:tc>
          <w:tcPr>
            <w:tcW w:w="7980" w:type="dxa"/>
            <w:tcBorders>
              <w:top w:val="nil"/>
              <w:left w:val="nil"/>
              <w:bottom w:val="single" w:color="auto" w:sz="4" w:space="0"/>
              <w:right w:val="single" w:color="auto" w:sz="4" w:space="0"/>
            </w:tcBorders>
            <w:vAlign w:val="center"/>
          </w:tcPr>
          <w:p w14:paraId="281F21D2">
            <w:pPr>
              <w:keepNext w:val="0"/>
              <w:keepLines w:val="0"/>
              <w:widowControl w:val="0"/>
              <w:suppressLineNumbers w:val="0"/>
              <w:spacing w:before="0" w:beforeAutospacing="0" w:after="0" w:afterAutospacing="0" w:line="520" w:lineRule="exact"/>
              <w:ind w:left="0" w:leftChars="0" w:right="0" w:rightChars="0" w:firstLine="640" w:firstLineChars="0"/>
              <w:jc w:val="both"/>
              <w:rPr>
                <w:rFonts w:hint="eastAsia" w:ascii="仿宋_GB2312" w:eastAsia="仿宋_GB2312"/>
                <w:sz w:val="28"/>
                <w:szCs w:val="28"/>
              </w:rPr>
            </w:pPr>
            <w:r>
              <w:rPr>
                <w:rFonts w:hint="eastAsia" w:ascii="仿宋_GB2312" w:hAnsi="Calibri" w:eastAsia="仿宋_GB2312" w:cs="仿宋_GB2312"/>
                <w:kern w:val="2"/>
                <w:sz w:val="28"/>
                <w:szCs w:val="28"/>
                <w:lang w:val="en-US" w:eastAsia="zh-CN" w:bidi="ar"/>
              </w:rPr>
              <w:t>　</w:t>
            </w:r>
          </w:p>
        </w:tc>
      </w:tr>
    </w:tbl>
    <w:p w14:paraId="03C040C2">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28"/>
          <w:szCs w:val="28"/>
          <w:lang w:val="en-US"/>
        </w:rPr>
      </w:pPr>
      <w:r>
        <w:rPr>
          <w:rFonts w:hint="eastAsia" w:ascii="仿宋_GB2312" w:hAnsi="Calibri" w:eastAsia="仿宋_GB2312" w:cs="仿宋_GB2312"/>
          <w:kern w:val="2"/>
          <w:sz w:val="32"/>
          <w:szCs w:val="32"/>
          <w:lang w:val="en-US" w:eastAsia="zh-CN" w:bidi="ar"/>
        </w:rPr>
        <w:t>（2）产出质量</w:t>
      </w:r>
    </w:p>
    <w:tbl>
      <w:tblPr>
        <w:tblStyle w:val="10"/>
        <w:tblW w:w="14388"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1984"/>
        <w:gridCol w:w="1702"/>
        <w:gridCol w:w="1843"/>
        <w:gridCol w:w="7980"/>
      </w:tblGrid>
      <w:tr w14:paraId="2EF19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6D4DB5C">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序号</w:t>
            </w:r>
          </w:p>
        </w:tc>
        <w:tc>
          <w:tcPr>
            <w:tcW w:w="1984" w:type="dxa"/>
            <w:tcBorders>
              <w:top w:val="single" w:color="auto" w:sz="4" w:space="0"/>
              <w:left w:val="nil"/>
              <w:bottom w:val="single" w:color="auto" w:sz="4" w:space="0"/>
              <w:right w:val="single" w:color="auto" w:sz="4" w:space="0"/>
            </w:tcBorders>
            <w:shd w:val="clear" w:color="auto" w:fill="auto"/>
            <w:vAlign w:val="center"/>
          </w:tcPr>
          <w:p w14:paraId="523938E0">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三级指标</w:t>
            </w:r>
          </w:p>
        </w:tc>
        <w:tc>
          <w:tcPr>
            <w:tcW w:w="1702" w:type="dxa"/>
            <w:tcBorders>
              <w:top w:val="single" w:color="auto" w:sz="4" w:space="0"/>
              <w:left w:val="nil"/>
              <w:bottom w:val="single" w:color="auto" w:sz="4" w:space="0"/>
              <w:right w:val="single" w:color="auto" w:sz="4" w:space="0"/>
            </w:tcBorders>
            <w:shd w:val="clear" w:color="auto" w:fill="auto"/>
            <w:vAlign w:val="center"/>
          </w:tcPr>
          <w:p w14:paraId="2D154C66">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计划值</w:t>
            </w:r>
          </w:p>
        </w:tc>
        <w:tc>
          <w:tcPr>
            <w:tcW w:w="1843" w:type="dxa"/>
            <w:tcBorders>
              <w:top w:val="single" w:color="auto" w:sz="4" w:space="0"/>
              <w:left w:val="nil"/>
              <w:bottom w:val="single" w:color="auto" w:sz="4" w:space="0"/>
              <w:right w:val="single" w:color="auto" w:sz="4" w:space="0"/>
            </w:tcBorders>
            <w:shd w:val="clear" w:color="auto" w:fill="auto"/>
            <w:vAlign w:val="center"/>
          </w:tcPr>
          <w:p w14:paraId="17F1333A">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完成值</w:t>
            </w:r>
          </w:p>
        </w:tc>
        <w:tc>
          <w:tcPr>
            <w:tcW w:w="7980" w:type="dxa"/>
            <w:tcBorders>
              <w:top w:val="single" w:color="auto" w:sz="4" w:space="0"/>
              <w:left w:val="nil"/>
              <w:bottom w:val="single" w:color="auto" w:sz="4" w:space="0"/>
              <w:right w:val="single" w:color="auto" w:sz="4" w:space="0"/>
            </w:tcBorders>
            <w:shd w:val="clear" w:color="auto" w:fill="auto"/>
            <w:vAlign w:val="center"/>
          </w:tcPr>
          <w:p w14:paraId="4FB2C5A2">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偏差原因</w:t>
            </w:r>
          </w:p>
        </w:tc>
      </w:tr>
      <w:tr w14:paraId="55CB3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nil"/>
              <w:left w:val="single" w:color="auto" w:sz="4" w:space="0"/>
              <w:bottom w:val="single" w:color="auto" w:sz="4" w:space="0"/>
              <w:right w:val="single" w:color="auto" w:sz="4" w:space="0"/>
            </w:tcBorders>
            <w:shd w:val="clear" w:color="auto" w:fill="auto"/>
            <w:vAlign w:val="center"/>
          </w:tcPr>
          <w:p w14:paraId="133E263F">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1</w:t>
            </w:r>
          </w:p>
        </w:tc>
        <w:tc>
          <w:tcPr>
            <w:tcW w:w="1984" w:type="dxa"/>
            <w:tcBorders>
              <w:top w:val="nil"/>
              <w:left w:val="nil"/>
              <w:bottom w:val="single" w:color="auto" w:sz="4" w:space="0"/>
              <w:right w:val="single" w:color="auto" w:sz="4" w:space="0"/>
            </w:tcBorders>
            <w:shd w:val="clear" w:color="auto" w:fill="auto"/>
            <w:vAlign w:val="center"/>
          </w:tcPr>
          <w:p w14:paraId="187C11A5">
            <w:pPr>
              <w:keepNext w:val="0"/>
              <w:keepLines w:val="0"/>
              <w:widowControl w:val="0"/>
              <w:suppressLineNumbers w:val="0"/>
              <w:spacing w:before="0" w:beforeAutospacing="0" w:after="0" w:afterAutospacing="0" w:line="520" w:lineRule="exact"/>
              <w:ind w:left="0" w:right="0"/>
              <w:jc w:val="both"/>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受培训干部的能力考核优的人数</w:t>
            </w:r>
          </w:p>
        </w:tc>
        <w:tc>
          <w:tcPr>
            <w:tcW w:w="1702" w:type="dxa"/>
            <w:tcBorders>
              <w:top w:val="nil"/>
              <w:left w:val="nil"/>
              <w:bottom w:val="single" w:color="auto" w:sz="4" w:space="0"/>
              <w:right w:val="single" w:color="auto" w:sz="4" w:space="0"/>
            </w:tcBorders>
            <w:shd w:val="clear" w:color="auto" w:fill="auto"/>
            <w:vAlign w:val="center"/>
          </w:tcPr>
          <w:p w14:paraId="087E2F66">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90%</w:t>
            </w:r>
          </w:p>
        </w:tc>
        <w:tc>
          <w:tcPr>
            <w:tcW w:w="1843" w:type="dxa"/>
            <w:tcBorders>
              <w:top w:val="nil"/>
              <w:left w:val="nil"/>
              <w:bottom w:val="single" w:color="auto" w:sz="4" w:space="0"/>
              <w:right w:val="single" w:color="auto" w:sz="4" w:space="0"/>
            </w:tcBorders>
            <w:shd w:val="clear" w:color="auto" w:fill="auto"/>
            <w:vAlign w:val="center"/>
          </w:tcPr>
          <w:p w14:paraId="7496A44D">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default" w:ascii="Calibri" w:hAnsi="Calibri" w:eastAsia="宋体" w:cs="Times New Roman"/>
                <w:color w:val="000000"/>
                <w:kern w:val="2"/>
                <w:sz w:val="20"/>
                <w:szCs w:val="20"/>
                <w:lang w:val="en-US" w:eastAsia="zh-CN" w:bidi="ar"/>
              </w:rPr>
              <w:t>95%</w:t>
            </w:r>
          </w:p>
        </w:tc>
        <w:tc>
          <w:tcPr>
            <w:tcW w:w="7980" w:type="dxa"/>
            <w:tcBorders>
              <w:top w:val="nil"/>
              <w:left w:val="nil"/>
              <w:bottom w:val="single" w:color="auto" w:sz="4" w:space="0"/>
              <w:right w:val="single" w:color="auto" w:sz="4" w:space="0"/>
            </w:tcBorders>
            <w:shd w:val="clear" w:color="auto" w:fill="auto"/>
            <w:vAlign w:val="center"/>
          </w:tcPr>
          <w:p w14:paraId="3145F9E6">
            <w:pPr>
              <w:keepNext w:val="0"/>
              <w:keepLines w:val="0"/>
              <w:suppressLineNumbers w:val="0"/>
              <w:spacing w:before="0" w:beforeAutospacing="0" w:after="0" w:afterAutospacing="0"/>
              <w:ind w:left="0" w:right="0"/>
              <w:rPr>
                <w:rFonts w:hint="default" w:ascii="Calibri" w:hAnsi="Calibri" w:cs="Times New Roman"/>
                <w:kern w:val="2"/>
                <w:sz w:val="21"/>
                <w:szCs w:val="22"/>
              </w:rPr>
            </w:pPr>
          </w:p>
        </w:tc>
      </w:tr>
    </w:tbl>
    <w:p w14:paraId="0F372C36">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（3）产出进度</w:t>
      </w:r>
    </w:p>
    <w:p w14:paraId="433EA73A">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无。</w:t>
      </w:r>
    </w:p>
    <w:p w14:paraId="4DC6248D">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（4）产出成本</w:t>
      </w:r>
    </w:p>
    <w:tbl>
      <w:tblPr>
        <w:tblStyle w:val="10"/>
        <w:tblW w:w="1440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1984"/>
        <w:gridCol w:w="1702"/>
        <w:gridCol w:w="1843"/>
        <w:gridCol w:w="7995"/>
      </w:tblGrid>
      <w:tr w14:paraId="0EC23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7C1BADC0">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序号</w:t>
            </w:r>
          </w:p>
        </w:tc>
        <w:tc>
          <w:tcPr>
            <w:tcW w:w="1984" w:type="dxa"/>
            <w:tcBorders>
              <w:top w:val="single" w:color="auto" w:sz="4" w:space="0"/>
              <w:left w:val="nil"/>
              <w:bottom w:val="single" w:color="auto" w:sz="4" w:space="0"/>
              <w:right w:val="single" w:color="auto" w:sz="4" w:space="0"/>
            </w:tcBorders>
            <w:shd w:val="clear" w:color="auto" w:fill="auto"/>
            <w:vAlign w:val="center"/>
          </w:tcPr>
          <w:p w14:paraId="022FD49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三级指标</w:t>
            </w:r>
          </w:p>
        </w:tc>
        <w:tc>
          <w:tcPr>
            <w:tcW w:w="1702" w:type="dxa"/>
            <w:tcBorders>
              <w:top w:val="single" w:color="auto" w:sz="4" w:space="0"/>
              <w:left w:val="nil"/>
              <w:bottom w:val="single" w:color="auto" w:sz="4" w:space="0"/>
              <w:right w:val="single" w:color="auto" w:sz="4" w:space="0"/>
            </w:tcBorders>
            <w:shd w:val="clear" w:color="auto" w:fill="auto"/>
            <w:vAlign w:val="center"/>
          </w:tcPr>
          <w:p w14:paraId="3989B01F">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计划值</w:t>
            </w:r>
          </w:p>
        </w:tc>
        <w:tc>
          <w:tcPr>
            <w:tcW w:w="1843" w:type="dxa"/>
            <w:tcBorders>
              <w:top w:val="single" w:color="auto" w:sz="4" w:space="0"/>
              <w:left w:val="nil"/>
              <w:bottom w:val="single" w:color="auto" w:sz="4" w:space="0"/>
              <w:right w:val="single" w:color="auto" w:sz="4" w:space="0"/>
            </w:tcBorders>
            <w:shd w:val="clear" w:color="auto" w:fill="auto"/>
            <w:vAlign w:val="center"/>
          </w:tcPr>
          <w:p w14:paraId="6E21F60D">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完成值</w:t>
            </w:r>
          </w:p>
        </w:tc>
        <w:tc>
          <w:tcPr>
            <w:tcW w:w="7995" w:type="dxa"/>
            <w:tcBorders>
              <w:top w:val="single" w:color="auto" w:sz="4" w:space="0"/>
              <w:left w:val="nil"/>
              <w:bottom w:val="single" w:color="auto" w:sz="4" w:space="0"/>
              <w:right w:val="single" w:color="auto" w:sz="4" w:space="0"/>
            </w:tcBorders>
            <w:shd w:val="clear" w:color="auto" w:fill="auto"/>
            <w:vAlign w:val="center"/>
          </w:tcPr>
          <w:p w14:paraId="377EAEB5">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偏差原因</w:t>
            </w:r>
          </w:p>
        </w:tc>
      </w:tr>
      <w:tr w14:paraId="049F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nil"/>
              <w:left w:val="single" w:color="auto" w:sz="4" w:space="0"/>
              <w:bottom w:val="single" w:color="auto" w:sz="4" w:space="0"/>
              <w:right w:val="single" w:color="auto" w:sz="4" w:space="0"/>
            </w:tcBorders>
            <w:shd w:val="clear" w:color="auto" w:fill="auto"/>
            <w:vAlign w:val="center"/>
          </w:tcPr>
          <w:p w14:paraId="444480FE">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1</w:t>
            </w:r>
          </w:p>
        </w:tc>
        <w:tc>
          <w:tcPr>
            <w:tcW w:w="1984" w:type="dxa"/>
            <w:tcBorders>
              <w:top w:val="nil"/>
              <w:left w:val="nil"/>
              <w:bottom w:val="single" w:color="auto" w:sz="4" w:space="0"/>
              <w:right w:val="single" w:color="auto" w:sz="4" w:space="0"/>
            </w:tcBorders>
            <w:shd w:val="clear" w:color="auto" w:fill="auto"/>
            <w:vAlign w:val="center"/>
          </w:tcPr>
          <w:p w14:paraId="4AFFE313">
            <w:pPr>
              <w:keepNext w:val="0"/>
              <w:keepLines w:val="0"/>
              <w:widowControl w:val="0"/>
              <w:suppressLineNumbers w:val="0"/>
              <w:spacing w:before="0" w:beforeAutospacing="0" w:after="0" w:afterAutospacing="0" w:line="520" w:lineRule="exact"/>
              <w:ind w:left="0" w:right="0"/>
              <w:jc w:val="both"/>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项目资金成本</w:t>
            </w:r>
          </w:p>
        </w:tc>
        <w:tc>
          <w:tcPr>
            <w:tcW w:w="1702" w:type="dxa"/>
            <w:tcBorders>
              <w:top w:val="nil"/>
              <w:left w:val="nil"/>
              <w:bottom w:val="single" w:color="auto" w:sz="4" w:space="0"/>
              <w:right w:val="single" w:color="auto" w:sz="4" w:space="0"/>
            </w:tcBorders>
            <w:shd w:val="clear" w:color="auto" w:fill="auto"/>
            <w:vAlign w:val="center"/>
          </w:tcPr>
          <w:p w14:paraId="79969C36">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200</w:t>
            </w:r>
            <w:r>
              <w:rPr>
                <w:rFonts w:hint="eastAsia" w:ascii="Calibri" w:hAnsi="Calibri" w:eastAsia="宋体" w:cs="宋体"/>
                <w:color w:val="000000"/>
                <w:kern w:val="2"/>
                <w:sz w:val="20"/>
                <w:szCs w:val="20"/>
                <w:lang w:val="en-US" w:eastAsia="zh-CN" w:bidi="ar"/>
              </w:rPr>
              <w:t>万元</w:t>
            </w:r>
          </w:p>
        </w:tc>
        <w:tc>
          <w:tcPr>
            <w:tcW w:w="1843" w:type="dxa"/>
            <w:tcBorders>
              <w:top w:val="nil"/>
              <w:left w:val="nil"/>
              <w:bottom w:val="single" w:color="auto" w:sz="4" w:space="0"/>
              <w:right w:val="single" w:color="auto" w:sz="4" w:space="0"/>
            </w:tcBorders>
            <w:shd w:val="clear" w:color="auto" w:fill="auto"/>
            <w:vAlign w:val="center"/>
          </w:tcPr>
          <w:p w14:paraId="5740C292">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default" w:ascii="Calibri" w:hAnsi="Calibri" w:eastAsia="宋体" w:cs="Times New Roman"/>
                <w:color w:val="000000"/>
                <w:kern w:val="2"/>
                <w:sz w:val="20"/>
                <w:szCs w:val="20"/>
                <w:lang w:val="en-US" w:eastAsia="zh-CN" w:bidi="ar"/>
              </w:rPr>
              <w:t>191.80</w:t>
            </w:r>
            <w:r>
              <w:rPr>
                <w:rFonts w:hint="eastAsia" w:ascii="Calibri" w:hAnsi="Calibri" w:eastAsia="宋体" w:cs="宋体"/>
                <w:color w:val="000000"/>
                <w:kern w:val="2"/>
                <w:sz w:val="20"/>
                <w:szCs w:val="20"/>
                <w:lang w:val="en-US" w:eastAsia="zh-CN" w:bidi="ar"/>
              </w:rPr>
              <w:t>万元</w:t>
            </w:r>
          </w:p>
        </w:tc>
        <w:tc>
          <w:tcPr>
            <w:tcW w:w="7995" w:type="dxa"/>
            <w:tcBorders>
              <w:top w:val="nil"/>
              <w:left w:val="nil"/>
              <w:bottom w:val="single" w:color="auto" w:sz="4" w:space="0"/>
              <w:right w:val="single" w:color="auto" w:sz="4" w:space="0"/>
            </w:tcBorders>
            <w:shd w:val="clear" w:color="auto" w:fill="auto"/>
            <w:vAlign w:val="center"/>
          </w:tcPr>
          <w:p w14:paraId="04299067">
            <w:pPr>
              <w:keepNext w:val="0"/>
              <w:keepLines w:val="0"/>
              <w:suppressLineNumbers w:val="0"/>
              <w:spacing w:before="0" w:beforeAutospacing="0" w:after="0" w:afterAutospacing="0"/>
              <w:ind w:left="0" w:right="0"/>
              <w:rPr>
                <w:rFonts w:hint="default" w:ascii="Calibri" w:hAnsi="Calibri" w:cs="Times New Roman"/>
                <w:kern w:val="2"/>
                <w:sz w:val="21"/>
                <w:szCs w:val="22"/>
              </w:rPr>
            </w:pPr>
          </w:p>
        </w:tc>
      </w:tr>
    </w:tbl>
    <w:p w14:paraId="0380D72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2.效果实现情况分析</w:t>
      </w:r>
    </w:p>
    <w:p w14:paraId="23C6DB50">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（1）经济效益</w:t>
      </w:r>
    </w:p>
    <w:tbl>
      <w:tblPr>
        <w:tblStyle w:val="10"/>
        <w:tblW w:w="1440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1984"/>
        <w:gridCol w:w="1702"/>
        <w:gridCol w:w="1843"/>
        <w:gridCol w:w="7995"/>
      </w:tblGrid>
      <w:tr w14:paraId="35DE9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36493C65">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序号</w:t>
            </w:r>
          </w:p>
        </w:tc>
        <w:tc>
          <w:tcPr>
            <w:tcW w:w="1984" w:type="dxa"/>
            <w:tcBorders>
              <w:top w:val="single" w:color="auto" w:sz="4" w:space="0"/>
              <w:left w:val="nil"/>
              <w:bottom w:val="single" w:color="auto" w:sz="4" w:space="0"/>
              <w:right w:val="single" w:color="auto" w:sz="4" w:space="0"/>
            </w:tcBorders>
            <w:shd w:val="clear" w:color="auto" w:fill="auto"/>
            <w:vAlign w:val="center"/>
          </w:tcPr>
          <w:p w14:paraId="17F55B77">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三级指标</w:t>
            </w:r>
          </w:p>
        </w:tc>
        <w:tc>
          <w:tcPr>
            <w:tcW w:w="1702" w:type="dxa"/>
            <w:tcBorders>
              <w:top w:val="single" w:color="auto" w:sz="4" w:space="0"/>
              <w:left w:val="nil"/>
              <w:bottom w:val="single" w:color="auto" w:sz="4" w:space="0"/>
              <w:right w:val="single" w:color="auto" w:sz="4" w:space="0"/>
            </w:tcBorders>
            <w:shd w:val="clear" w:color="auto" w:fill="auto"/>
            <w:vAlign w:val="center"/>
          </w:tcPr>
          <w:p w14:paraId="32C4E687">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计划值</w:t>
            </w:r>
          </w:p>
        </w:tc>
        <w:tc>
          <w:tcPr>
            <w:tcW w:w="1843" w:type="dxa"/>
            <w:tcBorders>
              <w:top w:val="single" w:color="auto" w:sz="4" w:space="0"/>
              <w:left w:val="nil"/>
              <w:bottom w:val="single" w:color="auto" w:sz="4" w:space="0"/>
              <w:right w:val="single" w:color="auto" w:sz="4" w:space="0"/>
            </w:tcBorders>
            <w:shd w:val="clear" w:color="auto" w:fill="auto"/>
            <w:vAlign w:val="center"/>
          </w:tcPr>
          <w:p w14:paraId="25981A3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完成值</w:t>
            </w:r>
          </w:p>
        </w:tc>
        <w:tc>
          <w:tcPr>
            <w:tcW w:w="7995" w:type="dxa"/>
            <w:tcBorders>
              <w:top w:val="single" w:color="auto" w:sz="4" w:space="0"/>
              <w:left w:val="nil"/>
              <w:bottom w:val="single" w:color="auto" w:sz="4" w:space="0"/>
              <w:right w:val="single" w:color="auto" w:sz="4" w:space="0"/>
            </w:tcBorders>
            <w:shd w:val="clear" w:color="auto" w:fill="auto"/>
            <w:vAlign w:val="center"/>
          </w:tcPr>
          <w:p w14:paraId="03C9AC82">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偏差原因</w:t>
            </w:r>
          </w:p>
        </w:tc>
      </w:tr>
      <w:tr w14:paraId="4D162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nil"/>
              <w:left w:val="single" w:color="auto" w:sz="4" w:space="0"/>
              <w:bottom w:val="single" w:color="auto" w:sz="4" w:space="0"/>
              <w:right w:val="single" w:color="auto" w:sz="4" w:space="0"/>
            </w:tcBorders>
            <w:shd w:val="clear" w:color="auto" w:fill="auto"/>
            <w:vAlign w:val="center"/>
          </w:tcPr>
          <w:p w14:paraId="2E8E9E74">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1</w:t>
            </w:r>
          </w:p>
        </w:tc>
        <w:tc>
          <w:tcPr>
            <w:tcW w:w="1984" w:type="dxa"/>
            <w:tcBorders>
              <w:top w:val="nil"/>
              <w:left w:val="nil"/>
              <w:bottom w:val="single" w:color="auto" w:sz="4" w:space="0"/>
              <w:right w:val="single" w:color="auto" w:sz="4" w:space="0"/>
            </w:tcBorders>
            <w:shd w:val="clear" w:color="auto" w:fill="auto"/>
            <w:vAlign w:val="center"/>
          </w:tcPr>
          <w:p w14:paraId="001EC690">
            <w:pPr>
              <w:keepNext w:val="0"/>
              <w:keepLines w:val="0"/>
              <w:widowControl w:val="0"/>
              <w:suppressLineNumbers w:val="0"/>
              <w:spacing w:before="0" w:beforeAutospacing="0" w:after="0" w:afterAutospacing="0" w:line="520" w:lineRule="exact"/>
              <w:ind w:left="0" w:right="0"/>
              <w:jc w:val="both"/>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服务我区经济发展</w:t>
            </w:r>
          </w:p>
        </w:tc>
        <w:tc>
          <w:tcPr>
            <w:tcW w:w="1702" w:type="dxa"/>
            <w:tcBorders>
              <w:top w:val="nil"/>
              <w:left w:val="nil"/>
              <w:bottom w:val="single" w:color="auto" w:sz="4" w:space="0"/>
              <w:right w:val="single" w:color="auto" w:sz="4" w:space="0"/>
            </w:tcBorders>
            <w:shd w:val="clear" w:color="auto" w:fill="auto"/>
            <w:vAlign w:val="center"/>
          </w:tcPr>
          <w:p w14:paraId="24983D2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优</w:t>
            </w:r>
          </w:p>
        </w:tc>
        <w:tc>
          <w:tcPr>
            <w:tcW w:w="1843" w:type="dxa"/>
            <w:tcBorders>
              <w:top w:val="nil"/>
              <w:left w:val="nil"/>
              <w:bottom w:val="single" w:color="auto" w:sz="4" w:space="0"/>
              <w:right w:val="single" w:color="auto" w:sz="4" w:space="0"/>
            </w:tcBorders>
            <w:shd w:val="clear" w:color="auto" w:fill="auto"/>
            <w:vAlign w:val="center"/>
          </w:tcPr>
          <w:p w14:paraId="3C4237A9">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优</w:t>
            </w:r>
          </w:p>
        </w:tc>
        <w:tc>
          <w:tcPr>
            <w:tcW w:w="7995" w:type="dxa"/>
            <w:tcBorders>
              <w:top w:val="nil"/>
              <w:left w:val="nil"/>
              <w:bottom w:val="single" w:color="auto" w:sz="4" w:space="0"/>
              <w:right w:val="single" w:color="auto" w:sz="4" w:space="0"/>
            </w:tcBorders>
            <w:shd w:val="clear" w:color="auto" w:fill="auto"/>
            <w:vAlign w:val="center"/>
          </w:tcPr>
          <w:p w14:paraId="15E68782">
            <w:pPr>
              <w:keepNext w:val="0"/>
              <w:keepLines w:val="0"/>
              <w:suppressLineNumbers w:val="0"/>
              <w:spacing w:before="0" w:beforeAutospacing="0" w:after="0" w:afterAutospacing="0"/>
              <w:ind w:left="0" w:right="0"/>
              <w:rPr>
                <w:rFonts w:hint="default" w:ascii="Calibri" w:hAnsi="Calibri" w:cs="Times New Roman"/>
                <w:kern w:val="2"/>
                <w:sz w:val="21"/>
                <w:szCs w:val="22"/>
              </w:rPr>
            </w:pPr>
          </w:p>
        </w:tc>
      </w:tr>
    </w:tbl>
    <w:p w14:paraId="37E267A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（2）社会效益</w:t>
      </w:r>
    </w:p>
    <w:tbl>
      <w:tblPr>
        <w:tblStyle w:val="10"/>
        <w:tblW w:w="1434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1984"/>
        <w:gridCol w:w="1702"/>
        <w:gridCol w:w="1843"/>
        <w:gridCol w:w="7935"/>
      </w:tblGrid>
      <w:tr w14:paraId="364067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7567DF2">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序号</w:t>
            </w:r>
          </w:p>
        </w:tc>
        <w:tc>
          <w:tcPr>
            <w:tcW w:w="1984" w:type="dxa"/>
            <w:tcBorders>
              <w:top w:val="single" w:color="auto" w:sz="4" w:space="0"/>
              <w:left w:val="nil"/>
              <w:bottom w:val="single" w:color="auto" w:sz="4" w:space="0"/>
              <w:right w:val="single" w:color="auto" w:sz="4" w:space="0"/>
            </w:tcBorders>
            <w:shd w:val="clear" w:color="auto" w:fill="auto"/>
            <w:vAlign w:val="center"/>
          </w:tcPr>
          <w:p w14:paraId="036C293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三级指标</w:t>
            </w:r>
          </w:p>
        </w:tc>
        <w:tc>
          <w:tcPr>
            <w:tcW w:w="1702" w:type="dxa"/>
            <w:tcBorders>
              <w:top w:val="single" w:color="auto" w:sz="4" w:space="0"/>
              <w:left w:val="nil"/>
              <w:bottom w:val="single" w:color="auto" w:sz="4" w:space="0"/>
              <w:right w:val="single" w:color="auto" w:sz="4" w:space="0"/>
            </w:tcBorders>
            <w:shd w:val="clear" w:color="auto" w:fill="auto"/>
            <w:vAlign w:val="center"/>
          </w:tcPr>
          <w:p w14:paraId="3EDB0E54">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计划值</w:t>
            </w:r>
          </w:p>
        </w:tc>
        <w:tc>
          <w:tcPr>
            <w:tcW w:w="1843" w:type="dxa"/>
            <w:tcBorders>
              <w:top w:val="single" w:color="auto" w:sz="4" w:space="0"/>
              <w:left w:val="nil"/>
              <w:bottom w:val="single" w:color="auto" w:sz="4" w:space="0"/>
              <w:right w:val="single" w:color="auto" w:sz="4" w:space="0"/>
            </w:tcBorders>
            <w:shd w:val="clear" w:color="auto" w:fill="auto"/>
            <w:vAlign w:val="center"/>
          </w:tcPr>
          <w:p w14:paraId="42BD2AE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完成值</w:t>
            </w:r>
          </w:p>
        </w:tc>
        <w:tc>
          <w:tcPr>
            <w:tcW w:w="7935" w:type="dxa"/>
            <w:tcBorders>
              <w:top w:val="single" w:color="auto" w:sz="4" w:space="0"/>
              <w:left w:val="nil"/>
              <w:bottom w:val="single" w:color="auto" w:sz="4" w:space="0"/>
              <w:right w:val="single" w:color="auto" w:sz="4" w:space="0"/>
            </w:tcBorders>
            <w:shd w:val="clear" w:color="auto" w:fill="auto"/>
            <w:vAlign w:val="center"/>
          </w:tcPr>
          <w:p w14:paraId="76C37B01">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偏差原因</w:t>
            </w:r>
          </w:p>
        </w:tc>
      </w:tr>
      <w:tr w14:paraId="242B6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nil"/>
              <w:left w:val="single" w:color="auto" w:sz="4" w:space="0"/>
              <w:bottom w:val="single" w:color="auto" w:sz="4" w:space="0"/>
              <w:right w:val="single" w:color="auto" w:sz="4" w:space="0"/>
            </w:tcBorders>
            <w:shd w:val="clear" w:color="auto" w:fill="auto"/>
            <w:vAlign w:val="center"/>
          </w:tcPr>
          <w:p w14:paraId="65170060">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1</w:t>
            </w:r>
          </w:p>
        </w:tc>
        <w:tc>
          <w:tcPr>
            <w:tcW w:w="1984" w:type="dxa"/>
            <w:tcBorders>
              <w:top w:val="nil"/>
              <w:left w:val="nil"/>
              <w:bottom w:val="single" w:color="auto" w:sz="4" w:space="0"/>
              <w:right w:val="single" w:color="auto" w:sz="4" w:space="0"/>
            </w:tcBorders>
            <w:shd w:val="clear" w:color="auto" w:fill="auto"/>
            <w:vAlign w:val="center"/>
          </w:tcPr>
          <w:p w14:paraId="275656DC">
            <w:pPr>
              <w:keepNext w:val="0"/>
              <w:keepLines w:val="0"/>
              <w:widowControl w:val="0"/>
              <w:suppressLineNumbers w:val="0"/>
              <w:spacing w:before="0" w:beforeAutospacing="0" w:after="0" w:afterAutospacing="0" w:line="520" w:lineRule="exact"/>
              <w:ind w:left="0" w:right="0"/>
              <w:jc w:val="both"/>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理论水平和专业化能力</w:t>
            </w:r>
          </w:p>
        </w:tc>
        <w:tc>
          <w:tcPr>
            <w:tcW w:w="1702" w:type="dxa"/>
            <w:tcBorders>
              <w:top w:val="nil"/>
              <w:left w:val="nil"/>
              <w:bottom w:val="single" w:color="auto" w:sz="4" w:space="0"/>
              <w:right w:val="single" w:color="auto" w:sz="4" w:space="0"/>
            </w:tcBorders>
            <w:shd w:val="clear" w:color="auto" w:fill="auto"/>
            <w:vAlign w:val="center"/>
          </w:tcPr>
          <w:p w14:paraId="3D66909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优</w:t>
            </w:r>
          </w:p>
        </w:tc>
        <w:tc>
          <w:tcPr>
            <w:tcW w:w="1843" w:type="dxa"/>
            <w:tcBorders>
              <w:top w:val="nil"/>
              <w:left w:val="nil"/>
              <w:bottom w:val="single" w:color="auto" w:sz="4" w:space="0"/>
              <w:right w:val="single" w:color="auto" w:sz="4" w:space="0"/>
            </w:tcBorders>
            <w:shd w:val="clear" w:color="auto" w:fill="auto"/>
            <w:vAlign w:val="center"/>
          </w:tcPr>
          <w:p w14:paraId="3844967D">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优</w:t>
            </w:r>
          </w:p>
        </w:tc>
        <w:tc>
          <w:tcPr>
            <w:tcW w:w="7935" w:type="dxa"/>
            <w:tcBorders>
              <w:top w:val="nil"/>
              <w:left w:val="nil"/>
              <w:bottom w:val="single" w:color="auto" w:sz="4" w:space="0"/>
              <w:right w:val="single" w:color="auto" w:sz="4" w:space="0"/>
            </w:tcBorders>
            <w:shd w:val="clear" w:color="auto" w:fill="auto"/>
            <w:vAlign w:val="center"/>
          </w:tcPr>
          <w:p w14:paraId="0B467344">
            <w:pPr>
              <w:keepNext w:val="0"/>
              <w:keepLines w:val="0"/>
              <w:suppressLineNumbers w:val="0"/>
              <w:spacing w:before="0" w:beforeAutospacing="0" w:after="0" w:afterAutospacing="0"/>
              <w:ind w:left="0" w:right="0"/>
              <w:rPr>
                <w:rFonts w:hint="default" w:ascii="Calibri" w:hAnsi="Calibri" w:cs="Times New Roman"/>
                <w:kern w:val="2"/>
                <w:sz w:val="21"/>
                <w:szCs w:val="22"/>
              </w:rPr>
            </w:pPr>
          </w:p>
        </w:tc>
      </w:tr>
    </w:tbl>
    <w:p w14:paraId="33D45ECD">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（3）环境效益</w:t>
      </w:r>
    </w:p>
    <w:p w14:paraId="141CB723">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无。</w:t>
      </w:r>
    </w:p>
    <w:p w14:paraId="3E3162C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（4）可持续影响</w:t>
      </w:r>
    </w:p>
    <w:p w14:paraId="46410FDE">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无。</w:t>
      </w:r>
    </w:p>
    <w:p w14:paraId="0EFD3249">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（5）服务对象满意度</w:t>
      </w:r>
    </w:p>
    <w:tbl>
      <w:tblPr>
        <w:tblStyle w:val="10"/>
        <w:tblW w:w="14343" w:type="dxa"/>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9"/>
        <w:gridCol w:w="1984"/>
        <w:gridCol w:w="1702"/>
        <w:gridCol w:w="1843"/>
        <w:gridCol w:w="7935"/>
      </w:tblGrid>
      <w:tr w14:paraId="2EDB5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single" w:color="auto" w:sz="4" w:space="0"/>
              <w:left w:val="single" w:color="auto" w:sz="4" w:space="0"/>
              <w:bottom w:val="single" w:color="auto" w:sz="4" w:space="0"/>
              <w:right w:val="single" w:color="auto" w:sz="4" w:space="0"/>
            </w:tcBorders>
            <w:shd w:val="clear" w:color="auto" w:fill="auto"/>
            <w:vAlign w:val="center"/>
          </w:tcPr>
          <w:p w14:paraId="01E24B2F">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序号</w:t>
            </w:r>
          </w:p>
        </w:tc>
        <w:tc>
          <w:tcPr>
            <w:tcW w:w="1984" w:type="dxa"/>
            <w:tcBorders>
              <w:top w:val="single" w:color="auto" w:sz="4" w:space="0"/>
              <w:left w:val="nil"/>
              <w:bottom w:val="single" w:color="auto" w:sz="4" w:space="0"/>
              <w:right w:val="single" w:color="auto" w:sz="4" w:space="0"/>
            </w:tcBorders>
            <w:shd w:val="clear" w:color="auto" w:fill="auto"/>
            <w:vAlign w:val="center"/>
          </w:tcPr>
          <w:p w14:paraId="7C180354">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三级指标</w:t>
            </w:r>
          </w:p>
        </w:tc>
        <w:tc>
          <w:tcPr>
            <w:tcW w:w="1702" w:type="dxa"/>
            <w:tcBorders>
              <w:top w:val="single" w:color="auto" w:sz="4" w:space="0"/>
              <w:left w:val="nil"/>
              <w:bottom w:val="single" w:color="auto" w:sz="4" w:space="0"/>
              <w:right w:val="single" w:color="auto" w:sz="4" w:space="0"/>
            </w:tcBorders>
            <w:shd w:val="clear" w:color="auto" w:fill="auto"/>
            <w:vAlign w:val="center"/>
          </w:tcPr>
          <w:p w14:paraId="06BB71C1">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计划值</w:t>
            </w:r>
          </w:p>
        </w:tc>
        <w:tc>
          <w:tcPr>
            <w:tcW w:w="1843" w:type="dxa"/>
            <w:tcBorders>
              <w:top w:val="single" w:color="auto" w:sz="4" w:space="0"/>
              <w:left w:val="nil"/>
              <w:bottom w:val="single" w:color="auto" w:sz="4" w:space="0"/>
              <w:right w:val="single" w:color="auto" w:sz="4" w:space="0"/>
            </w:tcBorders>
            <w:shd w:val="clear" w:color="auto" w:fill="auto"/>
            <w:vAlign w:val="center"/>
          </w:tcPr>
          <w:p w14:paraId="31D3C053">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完成值</w:t>
            </w:r>
          </w:p>
        </w:tc>
        <w:tc>
          <w:tcPr>
            <w:tcW w:w="7935" w:type="dxa"/>
            <w:tcBorders>
              <w:top w:val="single" w:color="auto" w:sz="4" w:space="0"/>
              <w:left w:val="nil"/>
              <w:bottom w:val="single" w:color="auto" w:sz="4" w:space="0"/>
              <w:right w:val="single" w:color="auto" w:sz="4" w:space="0"/>
            </w:tcBorders>
            <w:shd w:val="clear" w:color="auto" w:fill="auto"/>
            <w:vAlign w:val="center"/>
          </w:tcPr>
          <w:p w14:paraId="6A3C7DC0">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偏差原因</w:t>
            </w:r>
          </w:p>
        </w:tc>
      </w:tr>
      <w:tr w14:paraId="5662A9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79" w:type="dxa"/>
            <w:tcBorders>
              <w:top w:val="nil"/>
              <w:left w:val="single" w:color="auto" w:sz="4" w:space="0"/>
              <w:bottom w:val="single" w:color="auto" w:sz="4" w:space="0"/>
              <w:right w:val="single" w:color="auto" w:sz="4" w:space="0"/>
            </w:tcBorders>
            <w:shd w:val="clear" w:color="auto" w:fill="auto"/>
            <w:vAlign w:val="center"/>
          </w:tcPr>
          <w:p w14:paraId="24893DB9">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1</w:t>
            </w:r>
          </w:p>
        </w:tc>
        <w:tc>
          <w:tcPr>
            <w:tcW w:w="1984" w:type="dxa"/>
            <w:tcBorders>
              <w:top w:val="nil"/>
              <w:left w:val="nil"/>
              <w:bottom w:val="single" w:color="auto" w:sz="4" w:space="0"/>
              <w:right w:val="single" w:color="auto" w:sz="4" w:space="0"/>
            </w:tcBorders>
            <w:shd w:val="clear" w:color="auto" w:fill="auto"/>
            <w:vAlign w:val="center"/>
          </w:tcPr>
          <w:p w14:paraId="1F8FB08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学员满意度</w:t>
            </w:r>
          </w:p>
        </w:tc>
        <w:tc>
          <w:tcPr>
            <w:tcW w:w="1702" w:type="dxa"/>
            <w:tcBorders>
              <w:top w:val="nil"/>
              <w:left w:val="nil"/>
              <w:bottom w:val="single" w:color="auto" w:sz="4" w:space="0"/>
              <w:right w:val="single" w:color="auto" w:sz="4" w:space="0"/>
            </w:tcBorders>
            <w:shd w:val="clear" w:color="auto" w:fill="auto"/>
            <w:vAlign w:val="center"/>
          </w:tcPr>
          <w:p w14:paraId="15D8D911">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98%</w:t>
            </w:r>
          </w:p>
        </w:tc>
        <w:tc>
          <w:tcPr>
            <w:tcW w:w="1843" w:type="dxa"/>
            <w:tcBorders>
              <w:top w:val="nil"/>
              <w:left w:val="nil"/>
              <w:bottom w:val="single" w:color="auto" w:sz="4" w:space="0"/>
              <w:right w:val="single" w:color="auto" w:sz="4" w:space="0"/>
            </w:tcBorders>
            <w:shd w:val="clear" w:color="auto" w:fill="auto"/>
            <w:vAlign w:val="center"/>
          </w:tcPr>
          <w:p w14:paraId="6947906F">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default" w:ascii="Calibri" w:hAnsi="Calibri" w:eastAsia="宋体" w:cs="Times New Roman"/>
                <w:color w:val="000000"/>
                <w:kern w:val="2"/>
                <w:sz w:val="20"/>
                <w:szCs w:val="20"/>
                <w:lang w:val="en-US" w:eastAsia="zh-CN" w:bidi="ar"/>
              </w:rPr>
              <w:t>98%</w:t>
            </w:r>
          </w:p>
        </w:tc>
        <w:tc>
          <w:tcPr>
            <w:tcW w:w="7935" w:type="dxa"/>
            <w:tcBorders>
              <w:top w:val="nil"/>
              <w:left w:val="nil"/>
              <w:bottom w:val="single" w:color="auto" w:sz="4" w:space="0"/>
              <w:right w:val="single" w:color="auto" w:sz="4" w:space="0"/>
            </w:tcBorders>
            <w:shd w:val="clear" w:color="auto" w:fill="auto"/>
            <w:vAlign w:val="center"/>
          </w:tcPr>
          <w:p w14:paraId="13E17917">
            <w:pPr>
              <w:keepNext w:val="0"/>
              <w:keepLines w:val="0"/>
              <w:suppressLineNumbers w:val="0"/>
              <w:spacing w:before="0" w:beforeAutospacing="0" w:after="0" w:afterAutospacing="0"/>
              <w:ind w:left="0" w:right="0"/>
              <w:rPr>
                <w:rFonts w:hint="default" w:ascii="Calibri" w:hAnsi="Calibri" w:cs="Times New Roman"/>
                <w:kern w:val="2"/>
                <w:sz w:val="21"/>
                <w:szCs w:val="22"/>
              </w:rPr>
            </w:pPr>
          </w:p>
        </w:tc>
      </w:tr>
      <w:tr w14:paraId="192F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879" w:type="dxa"/>
            <w:tcBorders>
              <w:top w:val="nil"/>
              <w:left w:val="single" w:color="auto" w:sz="4" w:space="0"/>
              <w:bottom w:val="single" w:color="auto" w:sz="4" w:space="0"/>
              <w:right w:val="single" w:color="auto" w:sz="4" w:space="0"/>
            </w:tcBorders>
            <w:shd w:val="clear" w:color="auto" w:fill="auto"/>
            <w:vAlign w:val="center"/>
          </w:tcPr>
          <w:p w14:paraId="67A3AE91">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2</w:t>
            </w:r>
          </w:p>
        </w:tc>
        <w:tc>
          <w:tcPr>
            <w:tcW w:w="1984" w:type="dxa"/>
            <w:tcBorders>
              <w:top w:val="nil"/>
              <w:left w:val="nil"/>
              <w:bottom w:val="single" w:color="auto" w:sz="4" w:space="0"/>
              <w:right w:val="single" w:color="auto" w:sz="4" w:space="0"/>
            </w:tcBorders>
            <w:shd w:val="clear" w:color="auto" w:fill="auto"/>
            <w:vAlign w:val="center"/>
          </w:tcPr>
          <w:p w14:paraId="2C9FE76E">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咨询人员满意度</w:t>
            </w:r>
          </w:p>
        </w:tc>
        <w:tc>
          <w:tcPr>
            <w:tcW w:w="1702" w:type="dxa"/>
            <w:tcBorders>
              <w:top w:val="nil"/>
              <w:left w:val="nil"/>
              <w:bottom w:val="single" w:color="auto" w:sz="4" w:space="0"/>
              <w:right w:val="single" w:color="auto" w:sz="4" w:space="0"/>
            </w:tcBorders>
            <w:shd w:val="clear" w:color="auto" w:fill="auto"/>
            <w:vAlign w:val="center"/>
          </w:tcPr>
          <w:p w14:paraId="729862FA">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95%</w:t>
            </w:r>
          </w:p>
        </w:tc>
        <w:tc>
          <w:tcPr>
            <w:tcW w:w="1843" w:type="dxa"/>
            <w:tcBorders>
              <w:top w:val="nil"/>
              <w:left w:val="nil"/>
              <w:bottom w:val="single" w:color="auto" w:sz="4" w:space="0"/>
              <w:right w:val="single" w:color="auto" w:sz="4" w:space="0"/>
            </w:tcBorders>
            <w:shd w:val="clear" w:color="auto" w:fill="auto"/>
            <w:vAlign w:val="center"/>
          </w:tcPr>
          <w:p w14:paraId="5D2BB63B">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default" w:ascii="Calibri" w:hAnsi="Calibri" w:eastAsia="宋体" w:cs="Times New Roman"/>
                <w:color w:val="000000"/>
                <w:kern w:val="2"/>
                <w:sz w:val="20"/>
                <w:szCs w:val="20"/>
                <w:lang w:val="en-US" w:eastAsia="zh-CN" w:bidi="ar"/>
              </w:rPr>
              <w:t>100%</w:t>
            </w:r>
          </w:p>
        </w:tc>
        <w:tc>
          <w:tcPr>
            <w:tcW w:w="7935" w:type="dxa"/>
            <w:tcBorders>
              <w:top w:val="nil"/>
              <w:left w:val="nil"/>
              <w:bottom w:val="single" w:color="auto" w:sz="4" w:space="0"/>
              <w:right w:val="single" w:color="auto" w:sz="4" w:space="0"/>
            </w:tcBorders>
            <w:shd w:val="clear" w:color="auto" w:fill="auto"/>
            <w:vAlign w:val="center"/>
          </w:tcPr>
          <w:p w14:paraId="7A62F19B">
            <w:pPr>
              <w:keepNext w:val="0"/>
              <w:keepLines w:val="0"/>
              <w:suppressLineNumbers w:val="0"/>
              <w:spacing w:before="0" w:beforeAutospacing="0" w:after="0" w:afterAutospacing="0"/>
              <w:ind w:left="0" w:right="0"/>
              <w:rPr>
                <w:rFonts w:hint="default" w:ascii="Calibri" w:hAnsi="Calibri" w:cs="Times New Roman"/>
                <w:kern w:val="2"/>
                <w:sz w:val="21"/>
                <w:szCs w:val="22"/>
              </w:rPr>
            </w:pPr>
          </w:p>
        </w:tc>
      </w:tr>
      <w:tr w14:paraId="17BB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79" w:type="dxa"/>
            <w:tcBorders>
              <w:top w:val="nil"/>
              <w:left w:val="single" w:color="auto" w:sz="4" w:space="0"/>
              <w:bottom w:val="single" w:color="auto" w:sz="4" w:space="0"/>
              <w:right w:val="single" w:color="auto" w:sz="4" w:space="0"/>
            </w:tcBorders>
            <w:shd w:val="clear" w:color="auto" w:fill="auto"/>
            <w:vAlign w:val="center"/>
          </w:tcPr>
          <w:p w14:paraId="225E95A8">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3</w:t>
            </w:r>
          </w:p>
        </w:tc>
        <w:tc>
          <w:tcPr>
            <w:tcW w:w="1984" w:type="dxa"/>
            <w:tcBorders>
              <w:top w:val="nil"/>
              <w:left w:val="nil"/>
              <w:bottom w:val="single" w:color="auto" w:sz="4" w:space="0"/>
              <w:right w:val="single" w:color="auto" w:sz="4" w:space="0"/>
            </w:tcBorders>
            <w:shd w:val="clear" w:color="auto" w:fill="auto"/>
            <w:vAlign w:val="center"/>
          </w:tcPr>
          <w:p w14:paraId="2D98609A">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教职工及学员满意</w:t>
            </w:r>
          </w:p>
        </w:tc>
        <w:tc>
          <w:tcPr>
            <w:tcW w:w="1702" w:type="dxa"/>
            <w:tcBorders>
              <w:top w:val="nil"/>
              <w:left w:val="nil"/>
              <w:bottom w:val="single" w:color="auto" w:sz="4" w:space="0"/>
              <w:right w:val="single" w:color="auto" w:sz="4" w:space="0"/>
            </w:tcBorders>
            <w:shd w:val="clear" w:color="auto" w:fill="auto"/>
            <w:vAlign w:val="center"/>
          </w:tcPr>
          <w:p w14:paraId="1DEC7919">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eastAsia" w:ascii="Calibri" w:hAnsi="Calibri" w:eastAsia="宋体" w:cs="宋体"/>
                <w:color w:val="000000"/>
                <w:kern w:val="2"/>
                <w:sz w:val="20"/>
                <w:szCs w:val="20"/>
                <w:lang w:val="en-US" w:eastAsia="zh-CN" w:bidi="ar"/>
              </w:rPr>
              <w:t>≥</w:t>
            </w:r>
            <w:r>
              <w:rPr>
                <w:rFonts w:hint="default" w:ascii="Calibri" w:hAnsi="Calibri" w:eastAsia="宋体" w:cs="Times New Roman"/>
                <w:color w:val="000000"/>
                <w:kern w:val="2"/>
                <w:sz w:val="20"/>
                <w:szCs w:val="20"/>
                <w:lang w:val="en-US" w:eastAsia="zh-CN" w:bidi="ar"/>
              </w:rPr>
              <w:t>95%</w:t>
            </w:r>
          </w:p>
        </w:tc>
        <w:tc>
          <w:tcPr>
            <w:tcW w:w="1843" w:type="dxa"/>
            <w:tcBorders>
              <w:top w:val="nil"/>
              <w:left w:val="nil"/>
              <w:bottom w:val="single" w:color="auto" w:sz="4" w:space="0"/>
              <w:right w:val="single" w:color="auto" w:sz="4" w:space="0"/>
            </w:tcBorders>
            <w:shd w:val="clear" w:color="auto" w:fill="auto"/>
            <w:vAlign w:val="center"/>
          </w:tcPr>
          <w:p w14:paraId="385C3F39">
            <w:pPr>
              <w:keepNext w:val="0"/>
              <w:keepLines w:val="0"/>
              <w:widowControl w:val="0"/>
              <w:suppressLineNumbers w:val="0"/>
              <w:spacing w:before="0" w:beforeAutospacing="0" w:after="0" w:afterAutospacing="0" w:line="520" w:lineRule="exact"/>
              <w:ind w:left="0" w:right="0"/>
              <w:jc w:val="center"/>
              <w:rPr>
                <w:rFonts w:hint="eastAsia" w:ascii="仿宋_GB2312" w:eastAsia="仿宋_GB2312" w:cs="仿宋_GB2312"/>
                <w:sz w:val="28"/>
                <w:szCs w:val="28"/>
                <w:lang w:val="en-US"/>
              </w:rPr>
            </w:pPr>
            <w:r>
              <w:rPr>
                <w:rFonts w:hint="default" w:ascii="Calibri" w:hAnsi="Calibri" w:eastAsia="宋体" w:cs="Times New Roman"/>
                <w:color w:val="000000"/>
                <w:kern w:val="2"/>
                <w:sz w:val="20"/>
                <w:szCs w:val="20"/>
                <w:lang w:val="en-US" w:eastAsia="zh-CN" w:bidi="ar"/>
              </w:rPr>
              <w:t>95%</w:t>
            </w:r>
          </w:p>
        </w:tc>
        <w:tc>
          <w:tcPr>
            <w:tcW w:w="7935" w:type="dxa"/>
            <w:tcBorders>
              <w:top w:val="nil"/>
              <w:left w:val="nil"/>
              <w:bottom w:val="single" w:color="auto" w:sz="4" w:space="0"/>
              <w:right w:val="single" w:color="auto" w:sz="4" w:space="0"/>
            </w:tcBorders>
            <w:shd w:val="clear" w:color="auto" w:fill="auto"/>
            <w:vAlign w:val="center"/>
          </w:tcPr>
          <w:p w14:paraId="5F26B5F2">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28"/>
                <w:szCs w:val="28"/>
                <w:lang w:val="en-US"/>
              </w:rPr>
            </w:pPr>
            <w:r>
              <w:rPr>
                <w:rFonts w:hint="eastAsia" w:ascii="仿宋_GB2312" w:hAnsi="Calibri" w:eastAsia="仿宋_GB2312" w:cs="仿宋_GB2312"/>
                <w:kern w:val="2"/>
                <w:sz w:val="28"/>
                <w:szCs w:val="28"/>
                <w:lang w:val="en-US" w:eastAsia="zh-CN" w:bidi="ar"/>
              </w:rPr>
              <w:t>　</w:t>
            </w:r>
          </w:p>
        </w:tc>
      </w:tr>
    </w:tbl>
    <w:p w14:paraId="62A94B51">
      <w:pPr>
        <w:spacing w:line="580" w:lineRule="exact"/>
        <w:ind w:firstLine="640"/>
        <w:rPr>
          <w:rFonts w:hint="eastAsia" w:ascii="楷体_GB2312" w:eastAsia="楷体_GB2312"/>
          <w:b/>
          <w:sz w:val="32"/>
          <w:szCs w:val="32"/>
        </w:rPr>
      </w:pPr>
      <w:r>
        <w:rPr>
          <w:rFonts w:hint="eastAsia" w:ascii="楷体_GB2312" w:eastAsia="楷体_GB2312"/>
          <w:b/>
          <w:sz w:val="32"/>
          <w:szCs w:val="32"/>
        </w:rPr>
        <w:t>（四）预算管理情况分析</w:t>
      </w:r>
    </w:p>
    <w:p w14:paraId="5821E60D">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1.财务管理</w:t>
      </w:r>
    </w:p>
    <w:p w14:paraId="715B6895">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bidi="ar"/>
        </w:rPr>
        <w:t>本年度开展了内控制度修订，全面梳理现有内控体系，排查制度漏洞与流程衔接问题，结合单位实际业务场景，修订完善相关制度文件，目前新增管理制度九项，修改了多项财务制度。</w:t>
      </w:r>
    </w:p>
    <w:p w14:paraId="6343F9B8">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2.资产管理</w:t>
      </w:r>
    </w:p>
    <w:p w14:paraId="6C077029">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仿宋" w:eastAsia="仿宋_GB2312" w:cs="仿宋_GB2312"/>
          <w:kern w:val="2"/>
          <w:sz w:val="32"/>
          <w:szCs w:val="32"/>
          <w:lang w:val="en-US" w:eastAsia="zh-CN" w:bidi="ar"/>
        </w:rPr>
        <w:t>制订了固定资产管理办法，全面落实固定资产资产盘点工作。</w:t>
      </w:r>
    </w:p>
    <w:p w14:paraId="41FF9EC3">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3.绩效管理</w:t>
      </w:r>
    </w:p>
    <w:p w14:paraId="1914114D">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（1）预算绩效管理制度情况</w:t>
      </w:r>
    </w:p>
    <w:p w14:paraId="34D20318">
      <w:pPr>
        <w:keepNext w:val="0"/>
        <w:keepLines w:val="0"/>
        <w:widowControl w:val="0"/>
        <w:suppressLineNumbers w:val="0"/>
        <w:spacing w:before="0" w:beforeAutospacing="0" w:after="0" w:afterAutospacing="0" w:line="520" w:lineRule="exact"/>
        <w:ind w:left="0" w:right="0" w:firstLine="640" w:firstLineChars="200"/>
        <w:jc w:val="both"/>
        <w:rPr>
          <w:rFonts w:hint="eastAsia" w:ascii="仿宋_GB2312" w:hAnsi="仿宋" w:eastAsia="仿宋_GB2312" w:cs="仿宋_GB2312"/>
          <w:sz w:val="32"/>
          <w:szCs w:val="32"/>
          <w:lang w:val="en-US"/>
        </w:rPr>
      </w:pPr>
      <w:r>
        <w:rPr>
          <w:rFonts w:hint="eastAsia" w:ascii="仿宋_GB2312" w:hAnsi="仿宋" w:eastAsia="仿宋_GB2312" w:cs="仿宋_GB2312"/>
          <w:kern w:val="2"/>
          <w:sz w:val="32"/>
          <w:szCs w:val="32"/>
          <w:lang w:val="en-US" w:eastAsia="zh-CN" w:bidi="ar"/>
        </w:rPr>
        <w:t>严格落实绩效管理相关制度，加强绩效管理，强化绩效运行监控，绩效目标完成情况较好。</w:t>
      </w:r>
    </w:p>
    <w:p w14:paraId="3021B280">
      <w:pPr>
        <w:keepNext w:val="0"/>
        <w:keepLines w:val="0"/>
        <w:widowControl w:val="0"/>
        <w:suppressLineNumbers w:val="0"/>
        <w:spacing w:before="0" w:beforeAutospacing="0" w:after="0" w:afterAutospacing="0" w:line="520" w:lineRule="exact"/>
        <w:ind w:left="0" w:right="0" w:firstLine="640"/>
        <w:jc w:val="both"/>
        <w:rPr>
          <w:rFonts w:hint="eastAsia" w:ascii="仿宋_GB2312" w:eastAsia="仿宋_GB2312" w:cs="仿宋_GB2312"/>
          <w:sz w:val="32"/>
          <w:szCs w:val="32"/>
          <w:lang w:val="en-US"/>
        </w:rPr>
      </w:pPr>
      <w:r>
        <w:rPr>
          <w:rFonts w:hint="eastAsia" w:ascii="仿宋_GB2312" w:hAnsi="Calibri" w:eastAsia="仿宋_GB2312" w:cs="仿宋_GB2312"/>
          <w:kern w:val="2"/>
          <w:sz w:val="32"/>
          <w:szCs w:val="32"/>
          <w:lang w:val="en-US" w:eastAsia="zh-CN" w:bidi="ar"/>
        </w:rPr>
        <w:t>（2）绩效目标管理情况</w:t>
      </w:r>
    </w:p>
    <w:p w14:paraId="6C4CDF06">
      <w:pPr>
        <w:keepNext w:val="0"/>
        <w:keepLines w:val="0"/>
        <w:widowControl w:val="0"/>
        <w:suppressLineNumbers w:val="0"/>
        <w:spacing w:before="0" w:beforeAutospacing="0" w:after="0" w:afterAutospacing="0" w:line="520" w:lineRule="exact"/>
        <w:ind w:left="0" w:right="0" w:firstLine="640" w:firstLineChars="200"/>
        <w:jc w:val="both"/>
        <w:rPr>
          <w:rFonts w:hint="eastAsia" w:ascii="仿宋_GB2312" w:hAnsi="微软雅黑" w:eastAsia="仿宋_GB2312" w:cs="微软雅黑"/>
          <w:color w:val="404040"/>
          <w:sz w:val="32"/>
          <w:szCs w:val="32"/>
          <w:shd w:val="clear" w:fill="FFFFFF"/>
          <w:lang w:val="en-US"/>
        </w:rPr>
      </w:pPr>
      <w:r>
        <w:rPr>
          <w:rFonts w:hint="eastAsia" w:ascii="仿宋_GB2312" w:hAnsi="微软雅黑" w:eastAsia="仿宋_GB2312" w:cs="微软雅黑"/>
          <w:color w:val="404040"/>
          <w:kern w:val="2"/>
          <w:sz w:val="32"/>
          <w:szCs w:val="32"/>
          <w:shd w:val="clear" w:fill="FFFFFF"/>
          <w:lang w:val="en-US" w:eastAsia="zh-CN" w:bidi="ar"/>
        </w:rPr>
        <w:t>2025年部门预算项目13个，部门预算公开绩效目标的预算项目13个，占本部门全部预算项目的100.0%。</w:t>
      </w:r>
    </w:p>
    <w:p w14:paraId="4EDEDFCE">
      <w:pPr>
        <w:keepNext w:val="0"/>
        <w:keepLines w:val="0"/>
        <w:widowControl w:val="0"/>
        <w:suppressLineNumbers w:val="0"/>
        <w:spacing w:before="0" w:beforeAutospacing="0" w:after="0" w:afterAutospacing="0" w:line="520" w:lineRule="exact"/>
        <w:ind w:left="0" w:right="0" w:firstLine="640" w:firstLineChars="200"/>
        <w:jc w:val="both"/>
        <w:rPr>
          <w:rFonts w:hint="eastAsia" w:ascii="仿宋_GB2312" w:hAnsi="Calibri" w:eastAsia="仿宋_GB2312" w:cs="Times New Roman"/>
          <w:sz w:val="28"/>
          <w:szCs w:val="28"/>
          <w:lang w:val="en-US" w:eastAsia="zh-CN" w:bidi="ar"/>
        </w:rPr>
      </w:pPr>
      <w:r>
        <w:rPr>
          <w:rFonts w:hint="eastAsia" w:ascii="仿宋_GB2312" w:hAnsi="Calibri" w:eastAsia="仿宋_GB2312" w:cs="仿宋_GB2312"/>
          <w:kern w:val="2"/>
          <w:sz w:val="32"/>
          <w:szCs w:val="32"/>
          <w:lang w:val="en-US" w:eastAsia="zh-CN" w:bidi="ar"/>
        </w:rPr>
        <w:t>（3）</w:t>
      </w:r>
      <w:r>
        <w:rPr>
          <w:rFonts w:hint="eastAsia" w:ascii="仿宋_GB2312" w:hAnsi="微软雅黑" w:eastAsia="仿宋_GB2312" w:cs="微软雅黑"/>
          <w:color w:val="404040"/>
          <w:kern w:val="2"/>
          <w:sz w:val="32"/>
          <w:szCs w:val="32"/>
          <w:shd w:val="clear" w:fill="FFFFFF"/>
          <w:lang w:val="en-US" w:eastAsia="zh-CN" w:bidi="ar"/>
        </w:rPr>
        <w:t>绩效自评情况</w:t>
      </w:r>
    </w:p>
    <w:p w14:paraId="6374A81B">
      <w:pPr>
        <w:keepNext w:val="0"/>
        <w:keepLines w:val="0"/>
        <w:widowControl w:val="0"/>
        <w:numPr>
          <w:ilvl w:val="0"/>
          <w:numId w:val="0"/>
        </w:numPr>
        <w:suppressLineNumbers w:val="0"/>
        <w:spacing w:before="0" w:beforeAutospacing="0" w:after="0" w:afterAutospacing="0" w:line="520" w:lineRule="exact"/>
        <w:ind w:leftChars="200" w:right="0" w:rightChars="0" w:firstLine="320" w:firstLineChars="100"/>
        <w:jc w:val="both"/>
        <w:rPr>
          <w:rFonts w:hint="eastAsia" w:ascii="仿宋_GB2312" w:hAnsi="Times New Roman" w:eastAsia="仿宋_GB2312" w:cs="仿宋_GB2312"/>
          <w:sz w:val="32"/>
          <w:szCs w:val="32"/>
          <w:lang w:val="en-US"/>
        </w:rPr>
      </w:pPr>
      <w:r>
        <w:rPr>
          <w:rFonts w:hint="eastAsia" w:ascii="仿宋_GB2312" w:hAnsi="微软雅黑" w:eastAsia="仿宋_GB2312" w:cs="微软雅黑"/>
          <w:color w:val="404040"/>
          <w:kern w:val="2"/>
          <w:sz w:val="32"/>
          <w:szCs w:val="32"/>
          <w:shd w:val="clear" w:fill="FFFFFF"/>
          <w:lang w:val="en-US" w:eastAsia="zh-CN" w:bidi="ar"/>
        </w:rPr>
        <w:t>2025</w:t>
      </w:r>
      <w:r>
        <w:rPr>
          <w:rFonts w:hint="eastAsia" w:ascii="仿宋_GB2312" w:hAnsi="仿宋" w:eastAsia="仿宋_GB2312" w:cs="仿宋_GB2312"/>
          <w:kern w:val="2"/>
          <w:sz w:val="32"/>
          <w:szCs w:val="32"/>
          <w:lang w:val="en-US" w:eastAsia="zh-CN" w:bidi="ar"/>
        </w:rPr>
        <w:t>年</w:t>
      </w:r>
      <w:r>
        <w:rPr>
          <w:rFonts w:hint="eastAsia" w:ascii="仿宋_GB2312" w:hAnsi="Times New Roman" w:eastAsia="仿宋_GB2312" w:cs="仿宋_GB2312"/>
          <w:kern w:val="2"/>
          <w:sz w:val="32"/>
          <w:szCs w:val="32"/>
          <w:lang w:val="en-US" w:eastAsia="zh-CN" w:bidi="ar"/>
        </w:rPr>
        <w:t>对本部门2024年项目支出实施了绩效自评，评价项目11个，涉及金额243.99万元。</w:t>
      </w:r>
    </w:p>
    <w:p w14:paraId="669CBE89">
      <w:pPr>
        <w:spacing w:line="580" w:lineRule="exact"/>
        <w:ind w:firstLine="640"/>
        <w:rPr>
          <w:rFonts w:hint="eastAsia" w:ascii="楷体_GB2312" w:eastAsia="楷体_GB2312"/>
          <w:b/>
          <w:sz w:val="32"/>
          <w:szCs w:val="32"/>
        </w:rPr>
      </w:pPr>
      <w:r>
        <w:rPr>
          <w:rFonts w:hint="eastAsia" w:ascii="楷体_GB2312" w:eastAsia="楷体_GB2312"/>
          <w:b/>
          <w:sz w:val="32"/>
          <w:szCs w:val="32"/>
        </w:rPr>
        <w:t>（五）总体评价结论</w:t>
      </w:r>
    </w:p>
    <w:p w14:paraId="54672435">
      <w:pPr>
        <w:spacing w:line="580" w:lineRule="exact"/>
        <w:ind w:firstLine="640"/>
        <w:rPr>
          <w:rFonts w:hint="eastAsia" w:ascii="仿宋_GB2312" w:eastAsia="仿宋_GB2312"/>
          <w:sz w:val="32"/>
          <w:szCs w:val="32"/>
        </w:rPr>
      </w:pPr>
      <w:r>
        <w:rPr>
          <w:rFonts w:hint="eastAsia" w:ascii="仿宋_GB2312" w:eastAsia="仿宋_GB2312"/>
          <w:sz w:val="32"/>
          <w:szCs w:val="32"/>
        </w:rPr>
        <w:t>1.评价得分情况</w:t>
      </w:r>
    </w:p>
    <w:p w14:paraId="4E5532E5">
      <w:pPr>
        <w:spacing w:line="580" w:lineRule="exact"/>
        <w:ind w:firstLine="640"/>
        <w:rPr>
          <w:rFonts w:hint="eastAsia" w:ascii="仿宋_GB2312" w:eastAsia="仿宋_GB2312"/>
          <w:sz w:val="32"/>
          <w:szCs w:val="32"/>
        </w:rPr>
      </w:pPr>
      <w:r>
        <w:rPr>
          <w:rFonts w:hint="eastAsia" w:ascii="仿宋_GB2312" w:eastAsia="仿宋_GB2312"/>
          <w:sz w:val="32"/>
          <w:szCs w:val="32"/>
        </w:rPr>
        <w:t>绩效自评总分：</w:t>
      </w:r>
      <w:r>
        <w:rPr>
          <w:rFonts w:hint="eastAsia" w:ascii="仿宋_GB2312" w:eastAsia="仿宋_GB2312"/>
          <w:sz w:val="32"/>
          <w:szCs w:val="32"/>
          <w:lang w:val="en-US" w:eastAsia="zh-CN"/>
        </w:rPr>
        <w:t>98.5</w:t>
      </w:r>
      <w:r>
        <w:rPr>
          <w:rFonts w:hint="eastAsia" w:ascii="仿宋_GB2312" w:eastAsia="仿宋_GB2312"/>
          <w:sz w:val="32"/>
          <w:szCs w:val="32"/>
        </w:rPr>
        <w:t>分</w:t>
      </w:r>
    </w:p>
    <w:p w14:paraId="049EC0D3">
      <w:pPr>
        <w:spacing w:line="580" w:lineRule="exact"/>
        <w:ind w:firstLine="640"/>
        <w:rPr>
          <w:rFonts w:hint="eastAsia" w:ascii="仿宋_GB2312" w:eastAsia="仿宋_GB2312"/>
          <w:sz w:val="32"/>
          <w:szCs w:val="32"/>
          <w:lang w:val="en-US" w:eastAsia="zh-CN"/>
        </w:rPr>
      </w:pPr>
      <w:r>
        <w:rPr>
          <w:rFonts w:hint="eastAsia" w:ascii="仿宋_GB2312" w:eastAsia="仿宋_GB2312"/>
          <w:sz w:val="32"/>
          <w:szCs w:val="32"/>
        </w:rPr>
        <w:t>绩效自评等级：</w:t>
      </w:r>
      <w:r>
        <w:rPr>
          <w:rFonts w:hint="eastAsia" w:ascii="仿宋_GB2312" w:eastAsia="仿宋_GB2312"/>
          <w:sz w:val="32"/>
          <w:szCs w:val="32"/>
          <w:lang w:val="en-US" w:eastAsia="zh-CN"/>
        </w:rPr>
        <w:t>优秀</w:t>
      </w:r>
    </w:p>
    <w:p w14:paraId="28F40E9E">
      <w:pPr>
        <w:spacing w:line="580" w:lineRule="exact"/>
        <w:ind w:firstLine="640"/>
        <w:rPr>
          <w:rFonts w:hint="eastAsia" w:ascii="仿宋_GB2312" w:eastAsia="仿宋_GB2312"/>
          <w:sz w:val="32"/>
          <w:szCs w:val="32"/>
        </w:rPr>
      </w:pPr>
      <w:r>
        <w:rPr>
          <w:rFonts w:hint="eastAsia" w:ascii="仿宋_GB2312" w:eastAsia="仿宋_GB2312"/>
          <w:sz w:val="32"/>
          <w:szCs w:val="32"/>
        </w:rPr>
        <w:t>2.存在的问题及原因分析</w:t>
      </w:r>
    </w:p>
    <w:p w14:paraId="0E5C372B">
      <w:pPr>
        <w:spacing w:line="580" w:lineRule="exact"/>
        <w:ind w:firstLine="640"/>
        <w:rPr>
          <w:rFonts w:hint="eastAsia" w:ascii="仿宋_GB2312" w:eastAsia="仿宋_GB2312"/>
          <w:sz w:val="32"/>
          <w:szCs w:val="32"/>
          <w:lang w:eastAsia="zh-CN"/>
        </w:rPr>
      </w:pPr>
      <w:r>
        <w:rPr>
          <w:rFonts w:hint="eastAsia" w:ascii="仿宋_GB2312" w:eastAsia="仿宋_GB2312"/>
          <w:sz w:val="32"/>
          <w:szCs w:val="32"/>
          <w:lang w:val="en-US" w:eastAsia="zh-CN"/>
        </w:rPr>
        <w:t>无。</w:t>
      </w:r>
    </w:p>
    <w:p w14:paraId="1A07B7BD">
      <w:pPr>
        <w:spacing w:line="580" w:lineRule="exact"/>
        <w:ind w:firstLine="640"/>
        <w:rPr>
          <w:rFonts w:hint="eastAsia" w:ascii="仿宋_GB2312" w:eastAsia="仿宋_GB2312"/>
          <w:sz w:val="32"/>
          <w:szCs w:val="32"/>
        </w:rPr>
      </w:pPr>
      <w:r>
        <w:rPr>
          <w:rFonts w:hint="eastAsia" w:ascii="仿宋_GB2312" w:eastAsia="仿宋_GB2312"/>
          <w:sz w:val="32"/>
          <w:szCs w:val="32"/>
        </w:rPr>
        <w:t>3.改进措施</w:t>
      </w:r>
    </w:p>
    <w:bookmarkEnd w:id="3"/>
    <w:p w14:paraId="244B23A6">
      <w:pPr>
        <w:spacing w:line="580" w:lineRule="exact"/>
        <w:ind w:firstLine="640"/>
        <w:rPr>
          <w:rFonts w:hint="eastAsia" w:ascii="黑体" w:hAnsi="黑体" w:eastAsia="黑体"/>
          <w:sz w:val="32"/>
          <w:szCs w:val="32"/>
          <w:lang w:val="en-US" w:eastAsia="zh-CN"/>
        </w:rPr>
      </w:pPr>
      <w:r>
        <w:rPr>
          <w:rFonts w:hint="eastAsia" w:ascii="仿宋_GB2312" w:eastAsia="仿宋_GB2312"/>
          <w:sz w:val="32"/>
          <w:szCs w:val="32"/>
          <w:lang w:val="en-US" w:eastAsia="zh-CN"/>
        </w:rPr>
        <w:t>无。</w:t>
      </w:r>
    </w:p>
    <w:p w14:paraId="3050F56D">
      <w:pPr>
        <w:spacing w:line="580" w:lineRule="exact"/>
        <w:ind w:firstLine="640"/>
        <w:rPr>
          <w:rFonts w:hint="eastAsia" w:ascii="黑体" w:hAnsi="黑体" w:eastAsia="黑体"/>
          <w:sz w:val="32"/>
          <w:szCs w:val="32"/>
        </w:rPr>
      </w:pPr>
      <w:r>
        <w:rPr>
          <w:rFonts w:hint="eastAsia" w:ascii="黑体" w:hAnsi="黑体" w:eastAsia="黑体"/>
          <w:sz w:val="32"/>
          <w:szCs w:val="32"/>
        </w:rPr>
        <w:t>二、项目支出绩效自评情况</w:t>
      </w:r>
    </w:p>
    <w:p w14:paraId="3CFEA69B">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（一）绩效自评开展总体情况</w:t>
      </w:r>
    </w:p>
    <w:p w14:paraId="10261999">
      <w:pPr>
        <w:keepNext w:val="0"/>
        <w:keepLines w:val="0"/>
        <w:widowControl w:val="0"/>
        <w:suppressLineNumbers w:val="0"/>
        <w:spacing w:before="0" w:beforeAutospacing="0" w:after="0" w:afterAutospacing="0" w:line="520" w:lineRule="exact"/>
        <w:ind w:left="0" w:right="0" w:firstLine="806" w:firstLineChars="252"/>
        <w:jc w:val="both"/>
        <w:rPr>
          <w:rFonts w:hint="eastAsia" w:ascii="仿宋_GB2312" w:eastAsia="仿宋_GB2312" w:cs="仿宋_GB2312"/>
          <w:sz w:val="32"/>
          <w:szCs w:val="32"/>
          <w:lang w:val="en-US"/>
        </w:rPr>
      </w:pPr>
      <w:r>
        <w:rPr>
          <w:rFonts w:hint="eastAsia" w:ascii="仿宋_GB2312" w:hAnsi="宋体" w:eastAsia="仿宋_GB2312" w:cs="仿宋_GB2312"/>
          <w:kern w:val="2"/>
          <w:sz w:val="32"/>
          <w:szCs w:val="32"/>
          <w:lang w:val="en-US" w:eastAsia="zh-CN" w:bidi="ar"/>
        </w:rPr>
        <w:t>2025年度区财政批复项目支出预算项目13个，涉及金额608.26万元。本次实施绩效自评项目11个，涉及金额586.68万元。</w:t>
      </w:r>
      <w:r>
        <w:rPr>
          <w:rFonts w:hint="eastAsia" w:ascii="仿宋_GB2312" w:hAnsi="Calibri" w:eastAsia="仿宋_GB2312" w:cs="仿宋_GB2312"/>
          <w:kern w:val="2"/>
          <w:sz w:val="32"/>
          <w:szCs w:val="32"/>
          <w:lang w:val="en-US" w:eastAsia="zh-CN" w:bidi="ar"/>
        </w:rPr>
        <w:t>评价得分在90分（含90分）以上的11个。</w:t>
      </w:r>
    </w:p>
    <w:p w14:paraId="31AC715F">
      <w:pPr>
        <w:spacing w:line="580" w:lineRule="exact"/>
        <w:ind w:firstLine="809" w:firstLineChars="253"/>
        <w:rPr>
          <w:rFonts w:hint="eastAsia" w:ascii="楷体_GB2312" w:hAnsi="仿宋" w:eastAsia="楷体_GB2312"/>
          <w:b/>
          <w:sz w:val="32"/>
          <w:szCs w:val="32"/>
        </w:rPr>
      </w:pPr>
      <w:r>
        <w:rPr>
          <w:rFonts w:hint="eastAsia" w:ascii="楷体_GB2312" w:hAnsi="仿宋" w:eastAsia="楷体_GB2312"/>
          <w:b/>
          <w:sz w:val="32"/>
          <w:szCs w:val="32"/>
        </w:rPr>
        <w:t>（二）重点支出项目绩效自评报告</w:t>
      </w:r>
    </w:p>
    <w:p w14:paraId="03E9CDA3">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请参考《关于开展2025年度项目支出绩效自评工作的通知》（门财绩效[2026]72号）要求，将本部门撰写的《重点支出项目绩效自评报告》电子版汇总到1个文件夹中，作为部门决算草案的附件1，并随决算全部公开。</w:t>
      </w:r>
    </w:p>
    <w:p w14:paraId="264CD9DA">
      <w:pPr>
        <w:spacing w:line="580" w:lineRule="exact"/>
        <w:ind w:firstLine="640"/>
        <w:rPr>
          <w:rFonts w:hint="eastAsia" w:ascii="楷体_GB2312" w:hAnsi="仿宋" w:eastAsia="楷体_GB2312"/>
          <w:b/>
          <w:sz w:val="32"/>
          <w:szCs w:val="32"/>
        </w:rPr>
      </w:pPr>
      <w:r>
        <w:rPr>
          <w:rFonts w:hint="eastAsia" w:ascii="楷体_GB2312" w:hAnsi="仿宋" w:eastAsia="楷体_GB2312"/>
          <w:b/>
          <w:sz w:val="32"/>
          <w:szCs w:val="32"/>
        </w:rPr>
        <w:t>（三）项目支出绩效自评表</w:t>
      </w:r>
    </w:p>
    <w:p w14:paraId="79654289">
      <w:pPr>
        <w:spacing w:line="580" w:lineRule="exact"/>
        <w:ind w:firstLine="640" w:firstLineChars="200"/>
        <w:outlineLvl w:val="0"/>
        <w:rPr>
          <w:rFonts w:hint="eastAsia" w:ascii="仿宋_GB2312" w:hAnsi="Calibri" w:eastAsia="仿宋_GB2312"/>
          <w:sz w:val="32"/>
          <w:szCs w:val="32"/>
        </w:rPr>
      </w:pPr>
      <w:r>
        <w:rPr>
          <w:rFonts w:hint="eastAsia" w:ascii="仿宋_GB2312" w:eastAsia="仿宋_GB2312"/>
          <w:sz w:val="32"/>
          <w:szCs w:val="32"/>
        </w:rPr>
        <w:t>请参考《关于开展2025年度项目支出绩效自评工作的通知》（门财绩效[2026]72号）</w:t>
      </w:r>
      <w:r>
        <w:rPr>
          <w:rFonts w:hint="eastAsia" w:ascii="仿宋_GB2312" w:eastAsia="仿宋_GB2312"/>
          <w:b/>
          <w:sz w:val="32"/>
          <w:szCs w:val="32"/>
        </w:rPr>
        <w:t>及决算公开培训要求</w:t>
      </w:r>
      <w:r>
        <w:rPr>
          <w:rFonts w:hint="eastAsia" w:ascii="仿宋_GB2312" w:eastAsia="仿宋_GB2312"/>
          <w:sz w:val="32"/>
          <w:szCs w:val="32"/>
        </w:rPr>
        <w:t>，将本部门本单位拟公开的《项目支出绩效自评表》电子版汇总到1个文件夹中，作为部门决算草案的附件2，并随决算全部公开。</w:t>
      </w:r>
    </w:p>
    <w:p w14:paraId="73FDCEC1">
      <w:pPr>
        <w:spacing w:line="580" w:lineRule="exact"/>
        <w:ind w:firstLine="640" w:firstLineChars="200"/>
        <w:outlineLvl w:val="0"/>
        <w:rPr>
          <w:rFonts w:hint="eastAsia" w:ascii="仿宋_GB2312" w:eastAsia="仿宋_GB2312"/>
          <w:b/>
          <w:sz w:val="32"/>
          <w:szCs w:val="32"/>
        </w:rPr>
      </w:pPr>
      <w:r>
        <w:rPr>
          <w:rFonts w:hint="eastAsia" w:ascii="仿宋_GB2312" w:eastAsia="仿宋_GB2312"/>
          <w:b/>
          <w:sz w:val="32"/>
          <w:szCs w:val="32"/>
        </w:rPr>
        <w:t>（注：一级预算部门“一、二”均公开；二级预算单位仅公开“二（三）”。）</w:t>
      </w:r>
    </w:p>
    <w:p w14:paraId="764CF09F">
      <w:pPr>
        <w:spacing w:line="580" w:lineRule="exact"/>
        <w:ind w:firstLine="800" w:firstLineChars="250"/>
        <w:rPr>
          <w:rFonts w:hint="eastAsia" w:ascii="仿宋_GB2312" w:eastAsia="仿宋_GB2312"/>
          <w:sz w:val="32"/>
          <w:szCs w:val="32"/>
        </w:rPr>
      </w:pPr>
      <w:r>
        <w:rPr>
          <w:rFonts w:hint="eastAsia" w:ascii="仿宋_GB2312" w:eastAsia="仿宋_GB2312"/>
          <w:sz w:val="32"/>
          <w:szCs w:val="32"/>
        </w:rPr>
        <w:t>附件：1.重点支出项目绩效自评报告</w:t>
      </w:r>
    </w:p>
    <w:p w14:paraId="4C77F2E8">
      <w:pPr>
        <w:spacing w:line="580" w:lineRule="exact"/>
        <w:ind w:firstLine="1760" w:firstLineChars="550"/>
        <w:rPr>
          <w:rFonts w:hint="eastAsia" w:ascii="仿宋_GB2312" w:eastAsia="仿宋_GB2312"/>
          <w:sz w:val="32"/>
          <w:szCs w:val="32"/>
        </w:rPr>
      </w:pPr>
      <w:r>
        <w:rPr>
          <w:rFonts w:hint="eastAsia" w:ascii="仿宋_GB2312" w:eastAsia="仿宋_GB2312"/>
          <w:sz w:val="32"/>
          <w:szCs w:val="32"/>
        </w:rPr>
        <w:t>2.项目支出绩效自评表</w:t>
      </w:r>
    </w:p>
    <w:sectPr>
      <w:footerReference r:id="rId4" w:type="default"/>
      <w:footerReference r:id="rId5" w:type="even"/>
      <w:pgSz w:w="16838" w:h="11906" w:orient="landscape"/>
      <w:pgMar w:top="1134" w:right="1134" w:bottom="1134" w:left="1134"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Droid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4C8A8">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3</w:t>
    </w:r>
    <w:r>
      <w:fldChar w:fldCharType="end"/>
    </w:r>
  </w:p>
  <w:p w14:paraId="6C55B25D">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D70DE">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16</w:t>
    </w:r>
    <w:r>
      <w:fldChar w:fldCharType="end"/>
    </w:r>
  </w:p>
  <w:p w14:paraId="49C26837">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F32E30">
    <w:pPr>
      <w:pStyle w:val="7"/>
      <w:framePr w:wrap="around" w:vAnchor="text" w:hAnchor="margin" w:xAlign="center" w:y="1"/>
      <w:rPr>
        <w:rStyle w:val="13"/>
      </w:rPr>
    </w:pPr>
    <w:r>
      <w:fldChar w:fldCharType="begin"/>
    </w:r>
    <w:r>
      <w:rPr>
        <w:rStyle w:val="13"/>
      </w:rPr>
      <w:instrText xml:space="preserve">PAGE  </w:instrText>
    </w:r>
    <w:r>
      <w:fldChar w:fldCharType="separate"/>
    </w:r>
    <w:r>
      <w:rPr>
        <w:rStyle w:val="13"/>
      </w:rPr>
      <w:t>15</w:t>
    </w:r>
    <w:r>
      <w:fldChar w:fldCharType="end"/>
    </w:r>
  </w:p>
  <w:p w14:paraId="30215012">
    <w:pPr>
      <w:pStyle w:val="7"/>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852C71"/>
    <w:multiLevelType w:val="singleLevel"/>
    <w:tmpl w:val="82852C7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ZmNWE4NzRhMTczNjJlZDE5ZTE5YTczN2QxMzcyMjAifQ=="/>
  </w:docVars>
  <w:rsids>
    <w:rsidRoot w:val="00100246"/>
    <w:rsid w:val="00003B03"/>
    <w:rsid w:val="000040E6"/>
    <w:rsid w:val="00011D72"/>
    <w:rsid w:val="0002352D"/>
    <w:rsid w:val="00027CD5"/>
    <w:rsid w:val="00031B8E"/>
    <w:rsid w:val="00033EC1"/>
    <w:rsid w:val="00034224"/>
    <w:rsid w:val="00040275"/>
    <w:rsid w:val="0004719C"/>
    <w:rsid w:val="00047F6E"/>
    <w:rsid w:val="00051B00"/>
    <w:rsid w:val="000601B1"/>
    <w:rsid w:val="00063034"/>
    <w:rsid w:val="00066E19"/>
    <w:rsid w:val="0006752F"/>
    <w:rsid w:val="00071797"/>
    <w:rsid w:val="00071860"/>
    <w:rsid w:val="0007258E"/>
    <w:rsid w:val="00077A9E"/>
    <w:rsid w:val="00077F4A"/>
    <w:rsid w:val="00077FE5"/>
    <w:rsid w:val="00080447"/>
    <w:rsid w:val="00085663"/>
    <w:rsid w:val="00095948"/>
    <w:rsid w:val="00095C26"/>
    <w:rsid w:val="00096504"/>
    <w:rsid w:val="00096B86"/>
    <w:rsid w:val="000A1770"/>
    <w:rsid w:val="000A283C"/>
    <w:rsid w:val="000B15B7"/>
    <w:rsid w:val="000B70F1"/>
    <w:rsid w:val="000C4611"/>
    <w:rsid w:val="000D1B61"/>
    <w:rsid w:val="000D6854"/>
    <w:rsid w:val="000E0B26"/>
    <w:rsid w:val="000E3291"/>
    <w:rsid w:val="000F08FE"/>
    <w:rsid w:val="000F208B"/>
    <w:rsid w:val="000F2A48"/>
    <w:rsid w:val="000F49BE"/>
    <w:rsid w:val="00100246"/>
    <w:rsid w:val="0010682D"/>
    <w:rsid w:val="001073C6"/>
    <w:rsid w:val="00107DB5"/>
    <w:rsid w:val="00113613"/>
    <w:rsid w:val="0011483D"/>
    <w:rsid w:val="00115724"/>
    <w:rsid w:val="00130995"/>
    <w:rsid w:val="00131FF9"/>
    <w:rsid w:val="00132320"/>
    <w:rsid w:val="00135B6A"/>
    <w:rsid w:val="001369A7"/>
    <w:rsid w:val="001428C5"/>
    <w:rsid w:val="001503D8"/>
    <w:rsid w:val="00157540"/>
    <w:rsid w:val="0017111F"/>
    <w:rsid w:val="00173CF6"/>
    <w:rsid w:val="00180DAD"/>
    <w:rsid w:val="0018370E"/>
    <w:rsid w:val="001852E1"/>
    <w:rsid w:val="00191568"/>
    <w:rsid w:val="001A4277"/>
    <w:rsid w:val="001A7D2E"/>
    <w:rsid w:val="001B1DF9"/>
    <w:rsid w:val="001B1E93"/>
    <w:rsid w:val="001B375E"/>
    <w:rsid w:val="001B4A46"/>
    <w:rsid w:val="001B5E87"/>
    <w:rsid w:val="001B5E91"/>
    <w:rsid w:val="001B69BF"/>
    <w:rsid w:val="001B7988"/>
    <w:rsid w:val="001D78D9"/>
    <w:rsid w:val="001E0556"/>
    <w:rsid w:val="001E2355"/>
    <w:rsid w:val="001E2379"/>
    <w:rsid w:val="001E29A9"/>
    <w:rsid w:val="001F5857"/>
    <w:rsid w:val="00206EC3"/>
    <w:rsid w:val="0021047C"/>
    <w:rsid w:val="00211E4E"/>
    <w:rsid w:val="00213D1C"/>
    <w:rsid w:val="00214C3A"/>
    <w:rsid w:val="00217517"/>
    <w:rsid w:val="00222628"/>
    <w:rsid w:val="002253CB"/>
    <w:rsid w:val="002267A6"/>
    <w:rsid w:val="002326DE"/>
    <w:rsid w:val="00234314"/>
    <w:rsid w:val="00241724"/>
    <w:rsid w:val="0024390C"/>
    <w:rsid w:val="002441F4"/>
    <w:rsid w:val="00244204"/>
    <w:rsid w:val="002448A4"/>
    <w:rsid w:val="00245A0A"/>
    <w:rsid w:val="00246C42"/>
    <w:rsid w:val="002515CC"/>
    <w:rsid w:val="00253EC4"/>
    <w:rsid w:val="00254515"/>
    <w:rsid w:val="0026479D"/>
    <w:rsid w:val="002673C4"/>
    <w:rsid w:val="0027112B"/>
    <w:rsid w:val="00271C3F"/>
    <w:rsid w:val="00272460"/>
    <w:rsid w:val="00273070"/>
    <w:rsid w:val="0027394A"/>
    <w:rsid w:val="00274D50"/>
    <w:rsid w:val="002760D5"/>
    <w:rsid w:val="00276289"/>
    <w:rsid w:val="0028081D"/>
    <w:rsid w:val="0028458C"/>
    <w:rsid w:val="002911BD"/>
    <w:rsid w:val="00291C98"/>
    <w:rsid w:val="00294DE9"/>
    <w:rsid w:val="002A1488"/>
    <w:rsid w:val="002A4C2B"/>
    <w:rsid w:val="002B19D0"/>
    <w:rsid w:val="002B3682"/>
    <w:rsid w:val="002B5464"/>
    <w:rsid w:val="002C0443"/>
    <w:rsid w:val="002C12FB"/>
    <w:rsid w:val="002C24BC"/>
    <w:rsid w:val="002D03C6"/>
    <w:rsid w:val="002D0FDF"/>
    <w:rsid w:val="002D3955"/>
    <w:rsid w:val="002D68A9"/>
    <w:rsid w:val="002E06AE"/>
    <w:rsid w:val="002E4B75"/>
    <w:rsid w:val="002E68DD"/>
    <w:rsid w:val="002F17C2"/>
    <w:rsid w:val="002F32EE"/>
    <w:rsid w:val="002F4054"/>
    <w:rsid w:val="002F5574"/>
    <w:rsid w:val="00301D20"/>
    <w:rsid w:val="00302B19"/>
    <w:rsid w:val="00303428"/>
    <w:rsid w:val="003053C4"/>
    <w:rsid w:val="003058A3"/>
    <w:rsid w:val="00307204"/>
    <w:rsid w:val="00307DA5"/>
    <w:rsid w:val="0031169D"/>
    <w:rsid w:val="0031170D"/>
    <w:rsid w:val="00313E14"/>
    <w:rsid w:val="003167DD"/>
    <w:rsid w:val="00320C8B"/>
    <w:rsid w:val="00321BD8"/>
    <w:rsid w:val="00325687"/>
    <w:rsid w:val="00332C14"/>
    <w:rsid w:val="00335079"/>
    <w:rsid w:val="003352CE"/>
    <w:rsid w:val="00341D8E"/>
    <w:rsid w:val="003502B9"/>
    <w:rsid w:val="00351B8F"/>
    <w:rsid w:val="00353226"/>
    <w:rsid w:val="00353717"/>
    <w:rsid w:val="00354630"/>
    <w:rsid w:val="00365A24"/>
    <w:rsid w:val="003712DB"/>
    <w:rsid w:val="00373DDC"/>
    <w:rsid w:val="00382A86"/>
    <w:rsid w:val="00383BCC"/>
    <w:rsid w:val="00385243"/>
    <w:rsid w:val="003925D4"/>
    <w:rsid w:val="0039318C"/>
    <w:rsid w:val="00393366"/>
    <w:rsid w:val="003937DC"/>
    <w:rsid w:val="00393D75"/>
    <w:rsid w:val="003A2F2D"/>
    <w:rsid w:val="003A43AC"/>
    <w:rsid w:val="003A4EB6"/>
    <w:rsid w:val="003A7AE9"/>
    <w:rsid w:val="003A7BC5"/>
    <w:rsid w:val="003A7FF5"/>
    <w:rsid w:val="003B0352"/>
    <w:rsid w:val="003B4437"/>
    <w:rsid w:val="003B48C4"/>
    <w:rsid w:val="003B5E20"/>
    <w:rsid w:val="003B6DAD"/>
    <w:rsid w:val="003B735F"/>
    <w:rsid w:val="003C030C"/>
    <w:rsid w:val="003C55FC"/>
    <w:rsid w:val="003D0EC3"/>
    <w:rsid w:val="003D7274"/>
    <w:rsid w:val="003E4D82"/>
    <w:rsid w:val="003E5BC1"/>
    <w:rsid w:val="003F0D1B"/>
    <w:rsid w:val="003F1DD6"/>
    <w:rsid w:val="00401087"/>
    <w:rsid w:val="00402E26"/>
    <w:rsid w:val="00405701"/>
    <w:rsid w:val="004110BC"/>
    <w:rsid w:val="0041271F"/>
    <w:rsid w:val="0041688E"/>
    <w:rsid w:val="004170EF"/>
    <w:rsid w:val="0042093C"/>
    <w:rsid w:val="004233DD"/>
    <w:rsid w:val="00424405"/>
    <w:rsid w:val="00425B25"/>
    <w:rsid w:val="00425D24"/>
    <w:rsid w:val="00426A4D"/>
    <w:rsid w:val="00427687"/>
    <w:rsid w:val="00433231"/>
    <w:rsid w:val="004334CA"/>
    <w:rsid w:val="0043506A"/>
    <w:rsid w:val="00435830"/>
    <w:rsid w:val="0043619C"/>
    <w:rsid w:val="0044475D"/>
    <w:rsid w:val="00444D1E"/>
    <w:rsid w:val="0044571A"/>
    <w:rsid w:val="0044705D"/>
    <w:rsid w:val="0045090E"/>
    <w:rsid w:val="00453E36"/>
    <w:rsid w:val="00457286"/>
    <w:rsid w:val="00461FA5"/>
    <w:rsid w:val="00463566"/>
    <w:rsid w:val="00464182"/>
    <w:rsid w:val="00471C52"/>
    <w:rsid w:val="0047460C"/>
    <w:rsid w:val="00474FF2"/>
    <w:rsid w:val="00480098"/>
    <w:rsid w:val="00484A93"/>
    <w:rsid w:val="00485E12"/>
    <w:rsid w:val="004865DA"/>
    <w:rsid w:val="0048779C"/>
    <w:rsid w:val="00487AB7"/>
    <w:rsid w:val="00487ED0"/>
    <w:rsid w:val="00491D09"/>
    <w:rsid w:val="0049682C"/>
    <w:rsid w:val="004A168E"/>
    <w:rsid w:val="004A4EC7"/>
    <w:rsid w:val="004B0003"/>
    <w:rsid w:val="004C020A"/>
    <w:rsid w:val="004C03A3"/>
    <w:rsid w:val="004C44B8"/>
    <w:rsid w:val="004C7629"/>
    <w:rsid w:val="004D0D5D"/>
    <w:rsid w:val="004E27DD"/>
    <w:rsid w:val="004E3350"/>
    <w:rsid w:val="004E5292"/>
    <w:rsid w:val="004F2C5B"/>
    <w:rsid w:val="004F641B"/>
    <w:rsid w:val="004F71F3"/>
    <w:rsid w:val="005052FA"/>
    <w:rsid w:val="005069E1"/>
    <w:rsid w:val="00507E59"/>
    <w:rsid w:val="005122B5"/>
    <w:rsid w:val="0052381C"/>
    <w:rsid w:val="005346B3"/>
    <w:rsid w:val="0054051C"/>
    <w:rsid w:val="00546A84"/>
    <w:rsid w:val="00547BE2"/>
    <w:rsid w:val="0055353D"/>
    <w:rsid w:val="0056187C"/>
    <w:rsid w:val="00576B03"/>
    <w:rsid w:val="00581E1A"/>
    <w:rsid w:val="00591655"/>
    <w:rsid w:val="00591BEC"/>
    <w:rsid w:val="005940EA"/>
    <w:rsid w:val="00594448"/>
    <w:rsid w:val="005A1D6F"/>
    <w:rsid w:val="005A4D82"/>
    <w:rsid w:val="005A52A6"/>
    <w:rsid w:val="005B0DEC"/>
    <w:rsid w:val="005B368E"/>
    <w:rsid w:val="005B6E69"/>
    <w:rsid w:val="005C0015"/>
    <w:rsid w:val="005C1E82"/>
    <w:rsid w:val="005C2BCE"/>
    <w:rsid w:val="005C2CA5"/>
    <w:rsid w:val="005C7062"/>
    <w:rsid w:val="005C7788"/>
    <w:rsid w:val="005D10B9"/>
    <w:rsid w:val="005D18DA"/>
    <w:rsid w:val="005E00DC"/>
    <w:rsid w:val="005E3BBC"/>
    <w:rsid w:val="005E3EC6"/>
    <w:rsid w:val="005E4E07"/>
    <w:rsid w:val="005E4E46"/>
    <w:rsid w:val="005E5275"/>
    <w:rsid w:val="005E7DC8"/>
    <w:rsid w:val="005E7EC9"/>
    <w:rsid w:val="005F7087"/>
    <w:rsid w:val="00611BE4"/>
    <w:rsid w:val="0061219B"/>
    <w:rsid w:val="00621419"/>
    <w:rsid w:val="00626446"/>
    <w:rsid w:val="00626BE8"/>
    <w:rsid w:val="00631827"/>
    <w:rsid w:val="00632804"/>
    <w:rsid w:val="006376DA"/>
    <w:rsid w:val="006459DA"/>
    <w:rsid w:val="006502E8"/>
    <w:rsid w:val="00654A2B"/>
    <w:rsid w:val="0065675C"/>
    <w:rsid w:val="0065793F"/>
    <w:rsid w:val="0066263B"/>
    <w:rsid w:val="0066713A"/>
    <w:rsid w:val="0067195C"/>
    <w:rsid w:val="006724F7"/>
    <w:rsid w:val="0067511A"/>
    <w:rsid w:val="0067539B"/>
    <w:rsid w:val="00675543"/>
    <w:rsid w:val="00677396"/>
    <w:rsid w:val="00677AD9"/>
    <w:rsid w:val="00681970"/>
    <w:rsid w:val="00690641"/>
    <w:rsid w:val="00690D88"/>
    <w:rsid w:val="00691844"/>
    <w:rsid w:val="00693DDF"/>
    <w:rsid w:val="00696F9E"/>
    <w:rsid w:val="006A374A"/>
    <w:rsid w:val="006A505E"/>
    <w:rsid w:val="006A513E"/>
    <w:rsid w:val="006A5265"/>
    <w:rsid w:val="006B0CB9"/>
    <w:rsid w:val="006B2609"/>
    <w:rsid w:val="006B2750"/>
    <w:rsid w:val="006B3678"/>
    <w:rsid w:val="006B7390"/>
    <w:rsid w:val="006C0084"/>
    <w:rsid w:val="006C107D"/>
    <w:rsid w:val="006C3600"/>
    <w:rsid w:val="006C4534"/>
    <w:rsid w:val="006C5205"/>
    <w:rsid w:val="006C75F6"/>
    <w:rsid w:val="006D3F53"/>
    <w:rsid w:val="006D60AF"/>
    <w:rsid w:val="006E4722"/>
    <w:rsid w:val="00701651"/>
    <w:rsid w:val="007049BF"/>
    <w:rsid w:val="00704E79"/>
    <w:rsid w:val="00707A26"/>
    <w:rsid w:val="0071120F"/>
    <w:rsid w:val="00716380"/>
    <w:rsid w:val="00722165"/>
    <w:rsid w:val="00724B1C"/>
    <w:rsid w:val="007428F0"/>
    <w:rsid w:val="007512EF"/>
    <w:rsid w:val="007551AC"/>
    <w:rsid w:val="0076101C"/>
    <w:rsid w:val="00763D87"/>
    <w:rsid w:val="007670B2"/>
    <w:rsid w:val="00771795"/>
    <w:rsid w:val="00774925"/>
    <w:rsid w:val="0079279F"/>
    <w:rsid w:val="00793E69"/>
    <w:rsid w:val="007A063C"/>
    <w:rsid w:val="007A16B0"/>
    <w:rsid w:val="007A19EA"/>
    <w:rsid w:val="007A6092"/>
    <w:rsid w:val="007A60B7"/>
    <w:rsid w:val="007A64A6"/>
    <w:rsid w:val="007A6EE1"/>
    <w:rsid w:val="007A7C89"/>
    <w:rsid w:val="007B1487"/>
    <w:rsid w:val="007B2A43"/>
    <w:rsid w:val="007B326F"/>
    <w:rsid w:val="007B6A58"/>
    <w:rsid w:val="007B6C06"/>
    <w:rsid w:val="007B7B78"/>
    <w:rsid w:val="007C32B1"/>
    <w:rsid w:val="007C7A22"/>
    <w:rsid w:val="007C7C62"/>
    <w:rsid w:val="007D1076"/>
    <w:rsid w:val="007D12B7"/>
    <w:rsid w:val="007D2A49"/>
    <w:rsid w:val="007D5E38"/>
    <w:rsid w:val="007D7AC4"/>
    <w:rsid w:val="007E0340"/>
    <w:rsid w:val="007E1D4A"/>
    <w:rsid w:val="007E53C0"/>
    <w:rsid w:val="007E7703"/>
    <w:rsid w:val="007F4558"/>
    <w:rsid w:val="007F64DF"/>
    <w:rsid w:val="008050EF"/>
    <w:rsid w:val="0080652C"/>
    <w:rsid w:val="0080715F"/>
    <w:rsid w:val="008113D6"/>
    <w:rsid w:val="00812BA7"/>
    <w:rsid w:val="00813A87"/>
    <w:rsid w:val="00813F63"/>
    <w:rsid w:val="00815926"/>
    <w:rsid w:val="00815F57"/>
    <w:rsid w:val="0081760B"/>
    <w:rsid w:val="008218AC"/>
    <w:rsid w:val="00825359"/>
    <w:rsid w:val="00825E13"/>
    <w:rsid w:val="00826F07"/>
    <w:rsid w:val="008337CB"/>
    <w:rsid w:val="00834A3C"/>
    <w:rsid w:val="008360A0"/>
    <w:rsid w:val="00837658"/>
    <w:rsid w:val="00837CD4"/>
    <w:rsid w:val="00837F78"/>
    <w:rsid w:val="008400EE"/>
    <w:rsid w:val="00840791"/>
    <w:rsid w:val="00845576"/>
    <w:rsid w:val="00850708"/>
    <w:rsid w:val="00851024"/>
    <w:rsid w:val="008526D7"/>
    <w:rsid w:val="0086238C"/>
    <w:rsid w:val="008655DC"/>
    <w:rsid w:val="0086732D"/>
    <w:rsid w:val="00870183"/>
    <w:rsid w:val="00875726"/>
    <w:rsid w:val="00877F10"/>
    <w:rsid w:val="0088225D"/>
    <w:rsid w:val="00882F8D"/>
    <w:rsid w:val="00884FB0"/>
    <w:rsid w:val="008853A5"/>
    <w:rsid w:val="008944DA"/>
    <w:rsid w:val="00894D78"/>
    <w:rsid w:val="008A6A18"/>
    <w:rsid w:val="008B033F"/>
    <w:rsid w:val="008B4003"/>
    <w:rsid w:val="008B7443"/>
    <w:rsid w:val="008C179E"/>
    <w:rsid w:val="008C2379"/>
    <w:rsid w:val="008C4FF7"/>
    <w:rsid w:val="008C5C4C"/>
    <w:rsid w:val="008C7056"/>
    <w:rsid w:val="008C706D"/>
    <w:rsid w:val="008D3145"/>
    <w:rsid w:val="008E1A54"/>
    <w:rsid w:val="008E1F95"/>
    <w:rsid w:val="008E36B6"/>
    <w:rsid w:val="008E4267"/>
    <w:rsid w:val="008E4847"/>
    <w:rsid w:val="008E5FF1"/>
    <w:rsid w:val="008E63D2"/>
    <w:rsid w:val="008E6E14"/>
    <w:rsid w:val="008F1528"/>
    <w:rsid w:val="008F1AE5"/>
    <w:rsid w:val="008F55D9"/>
    <w:rsid w:val="009057DE"/>
    <w:rsid w:val="00905F97"/>
    <w:rsid w:val="00906FA3"/>
    <w:rsid w:val="0091239D"/>
    <w:rsid w:val="00912825"/>
    <w:rsid w:val="009129B8"/>
    <w:rsid w:val="00912B99"/>
    <w:rsid w:val="00912C78"/>
    <w:rsid w:val="00927892"/>
    <w:rsid w:val="009319B9"/>
    <w:rsid w:val="009351E9"/>
    <w:rsid w:val="00937862"/>
    <w:rsid w:val="00942279"/>
    <w:rsid w:val="009524EB"/>
    <w:rsid w:val="00962013"/>
    <w:rsid w:val="00963942"/>
    <w:rsid w:val="0096716C"/>
    <w:rsid w:val="009672B2"/>
    <w:rsid w:val="00971C66"/>
    <w:rsid w:val="00972363"/>
    <w:rsid w:val="0098419C"/>
    <w:rsid w:val="009843EF"/>
    <w:rsid w:val="009867F2"/>
    <w:rsid w:val="00991347"/>
    <w:rsid w:val="00996018"/>
    <w:rsid w:val="0099738E"/>
    <w:rsid w:val="009A493E"/>
    <w:rsid w:val="009A531F"/>
    <w:rsid w:val="009A6931"/>
    <w:rsid w:val="009B1F9A"/>
    <w:rsid w:val="009B1FA9"/>
    <w:rsid w:val="009B349F"/>
    <w:rsid w:val="009B4293"/>
    <w:rsid w:val="009B6715"/>
    <w:rsid w:val="009C7B74"/>
    <w:rsid w:val="009D0BE2"/>
    <w:rsid w:val="009D114E"/>
    <w:rsid w:val="009D210F"/>
    <w:rsid w:val="009D309C"/>
    <w:rsid w:val="009D37B1"/>
    <w:rsid w:val="009D4717"/>
    <w:rsid w:val="009D694D"/>
    <w:rsid w:val="009E264E"/>
    <w:rsid w:val="009F0C98"/>
    <w:rsid w:val="009F0F81"/>
    <w:rsid w:val="009F2543"/>
    <w:rsid w:val="009F256D"/>
    <w:rsid w:val="009F341E"/>
    <w:rsid w:val="009F57CE"/>
    <w:rsid w:val="00A117CA"/>
    <w:rsid w:val="00A12225"/>
    <w:rsid w:val="00A14C18"/>
    <w:rsid w:val="00A25898"/>
    <w:rsid w:val="00A3071D"/>
    <w:rsid w:val="00A3182E"/>
    <w:rsid w:val="00A31A89"/>
    <w:rsid w:val="00A32F06"/>
    <w:rsid w:val="00A34934"/>
    <w:rsid w:val="00A34EFE"/>
    <w:rsid w:val="00A36546"/>
    <w:rsid w:val="00A4069C"/>
    <w:rsid w:val="00A413B5"/>
    <w:rsid w:val="00A429CB"/>
    <w:rsid w:val="00A44E87"/>
    <w:rsid w:val="00A5063C"/>
    <w:rsid w:val="00A52749"/>
    <w:rsid w:val="00A5422E"/>
    <w:rsid w:val="00A56EC1"/>
    <w:rsid w:val="00A6350C"/>
    <w:rsid w:val="00A6370B"/>
    <w:rsid w:val="00A63A73"/>
    <w:rsid w:val="00A6655C"/>
    <w:rsid w:val="00A66CBB"/>
    <w:rsid w:val="00A6704E"/>
    <w:rsid w:val="00A67EA4"/>
    <w:rsid w:val="00A773FF"/>
    <w:rsid w:val="00A83AA1"/>
    <w:rsid w:val="00A906F4"/>
    <w:rsid w:val="00A9343A"/>
    <w:rsid w:val="00A9706C"/>
    <w:rsid w:val="00A97B34"/>
    <w:rsid w:val="00AA1B5C"/>
    <w:rsid w:val="00AA7A27"/>
    <w:rsid w:val="00AB3FB0"/>
    <w:rsid w:val="00AB465D"/>
    <w:rsid w:val="00AB713D"/>
    <w:rsid w:val="00AC114C"/>
    <w:rsid w:val="00AC1478"/>
    <w:rsid w:val="00AC6C2D"/>
    <w:rsid w:val="00AC6E17"/>
    <w:rsid w:val="00AD2FF3"/>
    <w:rsid w:val="00AD7764"/>
    <w:rsid w:val="00AD7FE2"/>
    <w:rsid w:val="00AE1284"/>
    <w:rsid w:val="00AE1B18"/>
    <w:rsid w:val="00AE7339"/>
    <w:rsid w:val="00AF1B0B"/>
    <w:rsid w:val="00AF242C"/>
    <w:rsid w:val="00AF3CC4"/>
    <w:rsid w:val="00B05903"/>
    <w:rsid w:val="00B12C7A"/>
    <w:rsid w:val="00B12E10"/>
    <w:rsid w:val="00B22BC3"/>
    <w:rsid w:val="00B25865"/>
    <w:rsid w:val="00B272B6"/>
    <w:rsid w:val="00B2771B"/>
    <w:rsid w:val="00B336E9"/>
    <w:rsid w:val="00B33AE5"/>
    <w:rsid w:val="00B35BE5"/>
    <w:rsid w:val="00B46965"/>
    <w:rsid w:val="00B54ED0"/>
    <w:rsid w:val="00B55D47"/>
    <w:rsid w:val="00B6204E"/>
    <w:rsid w:val="00B649EC"/>
    <w:rsid w:val="00B728DD"/>
    <w:rsid w:val="00B72D43"/>
    <w:rsid w:val="00B74121"/>
    <w:rsid w:val="00B80ABA"/>
    <w:rsid w:val="00B859FF"/>
    <w:rsid w:val="00B85C1B"/>
    <w:rsid w:val="00B85FF0"/>
    <w:rsid w:val="00B86150"/>
    <w:rsid w:val="00B878F9"/>
    <w:rsid w:val="00B9044A"/>
    <w:rsid w:val="00B960F3"/>
    <w:rsid w:val="00B96A31"/>
    <w:rsid w:val="00BA05E6"/>
    <w:rsid w:val="00BA51B0"/>
    <w:rsid w:val="00BA6319"/>
    <w:rsid w:val="00BC03B0"/>
    <w:rsid w:val="00BC06A3"/>
    <w:rsid w:val="00BC0CEA"/>
    <w:rsid w:val="00BC2220"/>
    <w:rsid w:val="00BC26B9"/>
    <w:rsid w:val="00BC26FA"/>
    <w:rsid w:val="00BC4E01"/>
    <w:rsid w:val="00BC73F6"/>
    <w:rsid w:val="00BD1177"/>
    <w:rsid w:val="00BD1374"/>
    <w:rsid w:val="00BD3531"/>
    <w:rsid w:val="00BD4E35"/>
    <w:rsid w:val="00BE34CA"/>
    <w:rsid w:val="00BF116A"/>
    <w:rsid w:val="00C0623C"/>
    <w:rsid w:val="00C06A07"/>
    <w:rsid w:val="00C132B6"/>
    <w:rsid w:val="00C21A6C"/>
    <w:rsid w:val="00C24A10"/>
    <w:rsid w:val="00C27003"/>
    <w:rsid w:val="00C27597"/>
    <w:rsid w:val="00C32BD4"/>
    <w:rsid w:val="00C33E48"/>
    <w:rsid w:val="00C3618B"/>
    <w:rsid w:val="00C403FB"/>
    <w:rsid w:val="00C4316E"/>
    <w:rsid w:val="00C441A2"/>
    <w:rsid w:val="00C5076B"/>
    <w:rsid w:val="00C512D4"/>
    <w:rsid w:val="00C51CF4"/>
    <w:rsid w:val="00C531E2"/>
    <w:rsid w:val="00C53204"/>
    <w:rsid w:val="00C57E34"/>
    <w:rsid w:val="00C64659"/>
    <w:rsid w:val="00C662E9"/>
    <w:rsid w:val="00C66C2D"/>
    <w:rsid w:val="00C7190B"/>
    <w:rsid w:val="00C76852"/>
    <w:rsid w:val="00C77210"/>
    <w:rsid w:val="00C777FA"/>
    <w:rsid w:val="00C77989"/>
    <w:rsid w:val="00C811F4"/>
    <w:rsid w:val="00C81E51"/>
    <w:rsid w:val="00C87B73"/>
    <w:rsid w:val="00C92444"/>
    <w:rsid w:val="00C92FBB"/>
    <w:rsid w:val="00C93327"/>
    <w:rsid w:val="00C97B4D"/>
    <w:rsid w:val="00CA5602"/>
    <w:rsid w:val="00CA5CA9"/>
    <w:rsid w:val="00CA78E2"/>
    <w:rsid w:val="00CB1BBE"/>
    <w:rsid w:val="00CB65DB"/>
    <w:rsid w:val="00CB6BD9"/>
    <w:rsid w:val="00CC293A"/>
    <w:rsid w:val="00CE19F6"/>
    <w:rsid w:val="00CE6B76"/>
    <w:rsid w:val="00CF366B"/>
    <w:rsid w:val="00CF5D9D"/>
    <w:rsid w:val="00CF606C"/>
    <w:rsid w:val="00CF7423"/>
    <w:rsid w:val="00D001F5"/>
    <w:rsid w:val="00D03E80"/>
    <w:rsid w:val="00D1505F"/>
    <w:rsid w:val="00D15B9F"/>
    <w:rsid w:val="00D15DD6"/>
    <w:rsid w:val="00D25548"/>
    <w:rsid w:val="00D2601F"/>
    <w:rsid w:val="00D27759"/>
    <w:rsid w:val="00D30028"/>
    <w:rsid w:val="00D325D3"/>
    <w:rsid w:val="00D408D6"/>
    <w:rsid w:val="00D511DD"/>
    <w:rsid w:val="00D55C2A"/>
    <w:rsid w:val="00D571C1"/>
    <w:rsid w:val="00D602F4"/>
    <w:rsid w:val="00D6457E"/>
    <w:rsid w:val="00D742E2"/>
    <w:rsid w:val="00D7580E"/>
    <w:rsid w:val="00D87DAF"/>
    <w:rsid w:val="00D9446D"/>
    <w:rsid w:val="00DA2994"/>
    <w:rsid w:val="00DB08E8"/>
    <w:rsid w:val="00DB0DED"/>
    <w:rsid w:val="00DB3073"/>
    <w:rsid w:val="00DB3BA9"/>
    <w:rsid w:val="00DB50FE"/>
    <w:rsid w:val="00DB5EDA"/>
    <w:rsid w:val="00DC2349"/>
    <w:rsid w:val="00DC3026"/>
    <w:rsid w:val="00DD1EDB"/>
    <w:rsid w:val="00DD57AA"/>
    <w:rsid w:val="00DE1578"/>
    <w:rsid w:val="00DE7F67"/>
    <w:rsid w:val="00DF0529"/>
    <w:rsid w:val="00DF09EF"/>
    <w:rsid w:val="00DF0D0F"/>
    <w:rsid w:val="00DF13D6"/>
    <w:rsid w:val="00DF27D6"/>
    <w:rsid w:val="00DF2BEA"/>
    <w:rsid w:val="00DF4488"/>
    <w:rsid w:val="00DF5B98"/>
    <w:rsid w:val="00DF6FA8"/>
    <w:rsid w:val="00DF701E"/>
    <w:rsid w:val="00DF7BE5"/>
    <w:rsid w:val="00E00D49"/>
    <w:rsid w:val="00E019A8"/>
    <w:rsid w:val="00E03A46"/>
    <w:rsid w:val="00E03C6D"/>
    <w:rsid w:val="00E0476F"/>
    <w:rsid w:val="00E04899"/>
    <w:rsid w:val="00E0796F"/>
    <w:rsid w:val="00E10948"/>
    <w:rsid w:val="00E24371"/>
    <w:rsid w:val="00E243AB"/>
    <w:rsid w:val="00E26641"/>
    <w:rsid w:val="00E2778F"/>
    <w:rsid w:val="00E278B0"/>
    <w:rsid w:val="00E33023"/>
    <w:rsid w:val="00E331F3"/>
    <w:rsid w:val="00E3498D"/>
    <w:rsid w:val="00E42425"/>
    <w:rsid w:val="00E43E55"/>
    <w:rsid w:val="00E4554E"/>
    <w:rsid w:val="00E46D22"/>
    <w:rsid w:val="00E4768F"/>
    <w:rsid w:val="00E53C0E"/>
    <w:rsid w:val="00E54F7E"/>
    <w:rsid w:val="00E560CE"/>
    <w:rsid w:val="00E5674E"/>
    <w:rsid w:val="00E63783"/>
    <w:rsid w:val="00E650E2"/>
    <w:rsid w:val="00E75CAD"/>
    <w:rsid w:val="00E76922"/>
    <w:rsid w:val="00E8595B"/>
    <w:rsid w:val="00E915EC"/>
    <w:rsid w:val="00EA11B1"/>
    <w:rsid w:val="00EA2224"/>
    <w:rsid w:val="00EA7194"/>
    <w:rsid w:val="00EB1329"/>
    <w:rsid w:val="00EB2987"/>
    <w:rsid w:val="00EB2D75"/>
    <w:rsid w:val="00EB34BE"/>
    <w:rsid w:val="00EB571A"/>
    <w:rsid w:val="00EC2804"/>
    <w:rsid w:val="00EC6117"/>
    <w:rsid w:val="00EC6138"/>
    <w:rsid w:val="00ED1DCF"/>
    <w:rsid w:val="00ED43C9"/>
    <w:rsid w:val="00EE2C60"/>
    <w:rsid w:val="00EE2E58"/>
    <w:rsid w:val="00EE487A"/>
    <w:rsid w:val="00EE734C"/>
    <w:rsid w:val="00EF6907"/>
    <w:rsid w:val="00EF6D91"/>
    <w:rsid w:val="00F01F54"/>
    <w:rsid w:val="00F04D4D"/>
    <w:rsid w:val="00F11DD8"/>
    <w:rsid w:val="00F12745"/>
    <w:rsid w:val="00F13766"/>
    <w:rsid w:val="00F20A77"/>
    <w:rsid w:val="00F22C60"/>
    <w:rsid w:val="00F231A4"/>
    <w:rsid w:val="00F23252"/>
    <w:rsid w:val="00F27B2A"/>
    <w:rsid w:val="00F31762"/>
    <w:rsid w:val="00F345D3"/>
    <w:rsid w:val="00F356ED"/>
    <w:rsid w:val="00F359B5"/>
    <w:rsid w:val="00F4144F"/>
    <w:rsid w:val="00F433F3"/>
    <w:rsid w:val="00F47F64"/>
    <w:rsid w:val="00F522D9"/>
    <w:rsid w:val="00F52F54"/>
    <w:rsid w:val="00F53584"/>
    <w:rsid w:val="00F61B24"/>
    <w:rsid w:val="00F62DE5"/>
    <w:rsid w:val="00F63F8A"/>
    <w:rsid w:val="00F6514E"/>
    <w:rsid w:val="00F703DC"/>
    <w:rsid w:val="00F71D06"/>
    <w:rsid w:val="00F73B46"/>
    <w:rsid w:val="00F73D01"/>
    <w:rsid w:val="00F7642B"/>
    <w:rsid w:val="00F76A43"/>
    <w:rsid w:val="00F80334"/>
    <w:rsid w:val="00F8139D"/>
    <w:rsid w:val="00F83DF9"/>
    <w:rsid w:val="00F85DA0"/>
    <w:rsid w:val="00F930AF"/>
    <w:rsid w:val="00F9352C"/>
    <w:rsid w:val="00F975B0"/>
    <w:rsid w:val="00FA15F1"/>
    <w:rsid w:val="00FA19F5"/>
    <w:rsid w:val="00FA4A69"/>
    <w:rsid w:val="00FA649A"/>
    <w:rsid w:val="00FB1248"/>
    <w:rsid w:val="00FB208D"/>
    <w:rsid w:val="00FB3CF4"/>
    <w:rsid w:val="00FB4A27"/>
    <w:rsid w:val="00FB4A49"/>
    <w:rsid w:val="00FB69B3"/>
    <w:rsid w:val="00FC6FBE"/>
    <w:rsid w:val="00FD1162"/>
    <w:rsid w:val="00FD2232"/>
    <w:rsid w:val="00FD4AE7"/>
    <w:rsid w:val="00FD65A9"/>
    <w:rsid w:val="00FD7508"/>
    <w:rsid w:val="00FE1E51"/>
    <w:rsid w:val="00FE2496"/>
    <w:rsid w:val="00FE6A2B"/>
    <w:rsid w:val="00FF0275"/>
    <w:rsid w:val="00FF07B3"/>
    <w:rsid w:val="00FF1E37"/>
    <w:rsid w:val="02F120AB"/>
    <w:rsid w:val="032B5196"/>
    <w:rsid w:val="04C3537C"/>
    <w:rsid w:val="079004AC"/>
    <w:rsid w:val="0BA148CA"/>
    <w:rsid w:val="0C1165C4"/>
    <w:rsid w:val="0D6D544B"/>
    <w:rsid w:val="0DD136FE"/>
    <w:rsid w:val="0F8E2C57"/>
    <w:rsid w:val="1059665E"/>
    <w:rsid w:val="10AC13BA"/>
    <w:rsid w:val="11980797"/>
    <w:rsid w:val="145A6C1B"/>
    <w:rsid w:val="14B73493"/>
    <w:rsid w:val="167A2FF9"/>
    <w:rsid w:val="17E05399"/>
    <w:rsid w:val="18581C69"/>
    <w:rsid w:val="186D28E5"/>
    <w:rsid w:val="1AEC0734"/>
    <w:rsid w:val="1C203C3A"/>
    <w:rsid w:val="1DEF20B0"/>
    <w:rsid w:val="214243FA"/>
    <w:rsid w:val="21AD613C"/>
    <w:rsid w:val="22467189"/>
    <w:rsid w:val="257A14F5"/>
    <w:rsid w:val="27196C26"/>
    <w:rsid w:val="29EF086F"/>
    <w:rsid w:val="2A014A0F"/>
    <w:rsid w:val="2C241C06"/>
    <w:rsid w:val="2EFFE297"/>
    <w:rsid w:val="301437CA"/>
    <w:rsid w:val="310B441D"/>
    <w:rsid w:val="32791381"/>
    <w:rsid w:val="349D1F0A"/>
    <w:rsid w:val="34DD0473"/>
    <w:rsid w:val="3C181CA7"/>
    <w:rsid w:val="3C684897"/>
    <w:rsid w:val="3CB12FDA"/>
    <w:rsid w:val="41C6204F"/>
    <w:rsid w:val="433E495C"/>
    <w:rsid w:val="489F2FD7"/>
    <w:rsid w:val="4AC27CB3"/>
    <w:rsid w:val="4BF72BEF"/>
    <w:rsid w:val="4CD20A23"/>
    <w:rsid w:val="4FA90297"/>
    <w:rsid w:val="4FC41A43"/>
    <w:rsid w:val="51DB3C59"/>
    <w:rsid w:val="550C0952"/>
    <w:rsid w:val="55762E42"/>
    <w:rsid w:val="57A7B272"/>
    <w:rsid w:val="58470068"/>
    <w:rsid w:val="58747CAC"/>
    <w:rsid w:val="5A1720F9"/>
    <w:rsid w:val="5B9C37C2"/>
    <w:rsid w:val="5BA7C654"/>
    <w:rsid w:val="5CC567C8"/>
    <w:rsid w:val="60A54109"/>
    <w:rsid w:val="61D01CDF"/>
    <w:rsid w:val="64C0607C"/>
    <w:rsid w:val="65756C86"/>
    <w:rsid w:val="674D385B"/>
    <w:rsid w:val="676F09E1"/>
    <w:rsid w:val="6C7F5E07"/>
    <w:rsid w:val="71793A80"/>
    <w:rsid w:val="7357290B"/>
    <w:rsid w:val="785155F2"/>
    <w:rsid w:val="798524E4"/>
    <w:rsid w:val="7A7F1C49"/>
    <w:rsid w:val="7B5B7AE6"/>
    <w:rsid w:val="7B7B6628"/>
    <w:rsid w:val="7BA7071E"/>
    <w:rsid w:val="7BDF6DA8"/>
    <w:rsid w:val="7BDF7589"/>
    <w:rsid w:val="7C7EDC1A"/>
    <w:rsid w:val="7CCED98D"/>
    <w:rsid w:val="7D08410F"/>
    <w:rsid w:val="7D2759BE"/>
    <w:rsid w:val="7DB96DED"/>
    <w:rsid w:val="7DD3AD81"/>
    <w:rsid w:val="7F7FE70F"/>
    <w:rsid w:val="7FFF772F"/>
    <w:rsid w:val="95F35EF6"/>
    <w:rsid w:val="9BFFD860"/>
    <w:rsid w:val="AC5F73DE"/>
    <w:rsid w:val="B5DDD2C8"/>
    <w:rsid w:val="B9DFABD9"/>
    <w:rsid w:val="BC0D83FC"/>
    <w:rsid w:val="BF3BDEFB"/>
    <w:rsid w:val="C75F6086"/>
    <w:rsid w:val="C7F7ED2D"/>
    <w:rsid w:val="CFAF854E"/>
    <w:rsid w:val="D8D7928E"/>
    <w:rsid w:val="D8FE3136"/>
    <w:rsid w:val="DDDE60B7"/>
    <w:rsid w:val="DE9F6A22"/>
    <w:rsid w:val="DF4FCE6A"/>
    <w:rsid w:val="E4FED278"/>
    <w:rsid w:val="EDAA365C"/>
    <w:rsid w:val="EDADFC12"/>
    <w:rsid w:val="F2FD229B"/>
    <w:rsid w:val="F7F709E9"/>
    <w:rsid w:val="F7FF3690"/>
    <w:rsid w:val="F9BD3900"/>
    <w:rsid w:val="FC8B9876"/>
    <w:rsid w:val="FEDFF218"/>
    <w:rsid w:val="FEDFF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100" w:beforeAutospacing="1" w:after="100" w:afterAutospacing="1"/>
      <w:outlineLvl w:val="1"/>
    </w:pPr>
    <w:rPr>
      <w:rFonts w:ascii="Cambria" w:hAnsi="Cambria" w:eastAsia="黑体"/>
      <w:b/>
      <w:bCs/>
      <w:kern w:val="0"/>
      <w:sz w:val="36"/>
      <w:szCs w:val="32"/>
    </w:rPr>
  </w:style>
  <w:style w:type="character" w:default="1" w:styleId="11">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kern w:val="2"/>
      <w:sz w:val="21"/>
      <w:szCs w:val="22"/>
    </w:rPr>
    <w:tblPr>
      <w:tblCellMar>
        <w:top w:w="0" w:type="dxa"/>
        <w:left w:w="108" w:type="dxa"/>
        <w:bottom w:w="0" w:type="dxa"/>
        <w:right w:w="108" w:type="dxa"/>
      </w:tblCellMar>
    </w:tblPr>
  </w:style>
  <w:style w:type="paragraph" w:styleId="3">
    <w:name w:val="Normal Indent"/>
    <w:basedOn w:val="1"/>
    <w:qFormat/>
    <w:uiPriority w:val="0"/>
    <w:pPr>
      <w:ind w:firstLine="200" w:firstLineChars="200"/>
    </w:pPr>
  </w:style>
  <w:style w:type="paragraph" w:styleId="4">
    <w:name w:val="Body Text Indent"/>
    <w:basedOn w:val="1"/>
    <w:qFormat/>
    <w:uiPriority w:val="0"/>
    <w:pPr>
      <w:ind w:firstLine="645"/>
    </w:pPr>
    <w:rPr>
      <w:rFonts w:ascii="仿宋_GB2312" w:hAnsi="Calibri" w:eastAsia="仿宋_GB2312"/>
      <w:sz w:val="32"/>
      <w:szCs w:val="32"/>
    </w:rPr>
  </w:style>
  <w:style w:type="paragraph" w:styleId="5">
    <w:name w:val="Date"/>
    <w:basedOn w:val="1"/>
    <w:next w:val="1"/>
    <w:qFormat/>
    <w:uiPriority w:val="0"/>
    <w:pPr>
      <w:ind w:left="100" w:leftChars="2500"/>
    </w:pPr>
  </w:style>
  <w:style w:type="paragraph" w:styleId="6">
    <w:name w:val="Balloon Text"/>
    <w:basedOn w:val="1"/>
    <w:semiHidden/>
    <w:qFormat/>
    <w:uiPriority w:val="0"/>
    <w:rPr>
      <w:sz w:val="18"/>
      <w:szCs w:val="18"/>
    </w:rPr>
  </w:style>
  <w:style w:type="paragraph" w:styleId="7">
    <w:name w:val="footer"/>
    <w:basedOn w:val="1"/>
    <w:link w:val="14"/>
    <w:qFormat/>
    <w:uiPriority w:val="0"/>
    <w:pPr>
      <w:tabs>
        <w:tab w:val="center" w:pos="4153"/>
        <w:tab w:val="right" w:pos="8306"/>
      </w:tabs>
      <w:snapToGrid w:val="0"/>
      <w:jc w:val="left"/>
    </w:pPr>
    <w:rPr>
      <w:sz w:val="18"/>
      <w:szCs w:val="18"/>
    </w:rPr>
  </w:style>
  <w:style w:type="paragraph" w:styleId="8">
    <w:name w:val="header"/>
    <w:basedOn w:val="1"/>
    <w:link w:val="15"/>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9">
    <w:name w:val="Normal (Web)"/>
    <w:basedOn w:val="1"/>
    <w:unhideWhenUsed/>
    <w:qFormat/>
    <w:uiPriority w:val="0"/>
    <w:pPr>
      <w:spacing w:before="100" w:beforeAutospacing="1" w:after="100" w:afterAutospacing="1"/>
      <w:ind w:right="238"/>
      <w:jc w:val="left"/>
    </w:pPr>
    <w:rPr>
      <w:b/>
      <w:kern w:val="0"/>
      <w:sz w:val="24"/>
      <w:szCs w:val="20"/>
    </w:rPr>
  </w:style>
  <w:style w:type="character" w:styleId="12">
    <w:name w:val="Strong"/>
    <w:qFormat/>
    <w:uiPriority w:val="0"/>
    <w:rPr>
      <w:b/>
    </w:rPr>
  </w:style>
  <w:style w:type="character" w:styleId="13">
    <w:name w:val="page number"/>
    <w:qFormat/>
    <w:uiPriority w:val="0"/>
  </w:style>
  <w:style w:type="character" w:customStyle="1" w:styleId="14">
    <w:name w:val="页脚 Char"/>
    <w:link w:val="7"/>
    <w:qFormat/>
    <w:uiPriority w:val="0"/>
    <w:rPr>
      <w:rFonts w:eastAsia="宋体"/>
      <w:kern w:val="2"/>
      <w:sz w:val="18"/>
      <w:szCs w:val="18"/>
      <w:lang w:val="en-US" w:eastAsia="zh-CN" w:bidi="ar-SA"/>
    </w:rPr>
  </w:style>
  <w:style w:type="character" w:customStyle="1" w:styleId="15">
    <w:name w:val="页眉 Char"/>
    <w:link w:val="8"/>
    <w:qFormat/>
    <w:uiPriority w:val="0"/>
    <w:rPr>
      <w:rFonts w:ascii="Calibri" w:hAnsi="Calibri" w:eastAsia="宋体"/>
      <w:kern w:val="2"/>
      <w:sz w:val="18"/>
      <w:szCs w:val="18"/>
      <w:lang w:val="en-US" w:eastAsia="zh-CN" w:bidi="ar-SA"/>
    </w:rPr>
  </w:style>
  <w:style w:type="paragraph" w:customStyle="1" w:styleId="16">
    <w:name w:val="Char Char Char Char Char Char Char"/>
    <w:basedOn w:val="1"/>
    <w:qFormat/>
    <w:uiPriority w:val="0"/>
    <w:rPr>
      <w:rFonts w:ascii="Tahoma" w:hAnsi="Tahoma"/>
      <w:sz w:val="24"/>
      <w:szCs w:val="20"/>
    </w:rPr>
  </w:style>
  <w:style w:type="paragraph" w:customStyle="1" w:styleId="17">
    <w:name w:val="Char1 Char Char Char"/>
    <w:basedOn w:val="1"/>
    <w:qFormat/>
    <w:uiPriority w:val="0"/>
    <w:pPr>
      <w:widowControl/>
      <w:spacing w:after="160" w:line="240" w:lineRule="exact"/>
      <w:jc w:val="left"/>
    </w:pPr>
    <w:rPr>
      <w:szCs w:val="20"/>
    </w:rPr>
  </w:style>
  <w:style w:type="paragraph" w:customStyle="1" w:styleId="18">
    <w:name w:val="Char"/>
    <w:basedOn w:val="1"/>
    <w:qFormat/>
    <w:uiPriority w:val="0"/>
    <w:rPr>
      <w:rFonts w:ascii="Tahoma" w:hAnsi="Tahoma"/>
      <w:sz w:val="24"/>
      <w:szCs w:val="20"/>
    </w:rPr>
  </w:style>
  <w:style w:type="paragraph" w:customStyle="1" w:styleId="19">
    <w:name w:val="Char Char3 Char Char"/>
    <w:basedOn w:val="1"/>
    <w:qFormat/>
    <w:uiPriority w:val="0"/>
    <w:rPr>
      <w:szCs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收入</c:v>
                </c:pt>
              </c:strCache>
            </c:strRef>
          </c:tx>
          <c:explosion val="0"/>
          <c:dPt>
            <c:idx val="0"/>
            <c:bubble3D val="0"/>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extLst>
                <c:ext xmlns:c15="http://schemas.microsoft.com/office/drawing/2012/chart" uri="{02D57815-91ED-43cb-92C2-25804820EDAC}">
                  <c15:fullRef>
                    <c15:sqref>Sheet1!$A$2:$A$7</c15:sqref>
                  </c15:fullRef>
                </c:ext>
              </c:extLst>
              <c:f>Sheet1!$A$2</c:f>
              <c:strCache>
                <c:ptCount val="1"/>
                <c:pt idx="0">
                  <c:v>财政拨款收入</c:v>
                </c:pt>
              </c:strCache>
            </c:strRef>
          </c:cat>
          <c:val>
            <c:numRef>
              <c:extLst>
                <c:ext xmlns:c15="http://schemas.microsoft.com/office/drawing/2012/chart" uri="{02D57815-91ED-43cb-92C2-25804820EDAC}">
                  <c15:fullRef>
                    <c15:sqref>Sheet1!$B$2:$B$7</c15:sqref>
                  </c15:fullRef>
                </c:ext>
              </c:extLst>
              <c:f>Sheet1!$B$2</c:f>
              <c:numCache>
                <c:formatCode>General</c:formatCode>
                <c:ptCount val="1"/>
                <c:pt idx="0">
                  <c:v>1462.11</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42cb4aab-5488-47ea-a9b4-01abd1c6e44c}"/>
      </c:ext>
    </c:extLst>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Sheet0!$B$1</c:f>
              <c:strCache>
                <c:ptCount val="1"/>
                <c:pt idx="0">
                  <c:v>支出</c:v>
                </c:pt>
              </c:strCache>
            </c:strRef>
          </c:tx>
          <c:explosion val="0"/>
          <c:dPt>
            <c:idx val="0"/>
            <c:bubble3D val="0"/>
            <c:spPr>
              <a:solidFill>
                <a:srgbClr val="4F81BD"/>
              </a:solidFill>
              <a:ln w="19050">
                <a:solidFill>
                  <a:srgbClr val="FFFFFF"/>
                </a:solidFill>
              </a:ln>
              <a:effectLst/>
            </c:spPr>
          </c:dPt>
          <c:dPt>
            <c:idx val="1"/>
            <c:bubble3D val="0"/>
            <c:spPr>
              <a:solidFill>
                <a:srgbClr val="C0504D"/>
              </a:solidFill>
              <a:ln w="19050">
                <a:solidFill>
                  <a:srgbClr val="FFFFFF"/>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A6A6A6">
                          <a:lumMod val="35000"/>
                          <a:lumOff val="65000"/>
                        </a:srgbClr>
                      </a:solidFill>
                      <a:prstDash val="solid"/>
                      <a:round/>
                    </a:ln>
                    <a:effectLst/>
                  </c:spPr>
                </c15:leaderLines>
              </c:ext>
            </c:extLst>
          </c:dLbls>
          <c:cat>
            <c:strRef>
              <c:extLst>
                <c:ext xmlns:c15="http://schemas.microsoft.com/office/drawing/2012/chart" uri="{02D57815-91ED-43cb-92C2-25804820EDAC}">
                  <c15:fullRef>
                    <c15:sqref>Sheet0!$A$2:$A$6</c15:sqref>
                  </c15:fullRef>
                </c:ext>
              </c:extLst>
              <c:f>Sheet0!$A$2:$A$3</c:f>
              <c:strCache>
                <c:ptCount val="2"/>
                <c:pt idx="0">
                  <c:v>基本支出</c:v>
                </c:pt>
                <c:pt idx="1">
                  <c:v>项目支出</c:v>
                </c:pt>
              </c:strCache>
            </c:strRef>
          </c:cat>
          <c:val>
            <c:numRef>
              <c:extLst>
                <c:ext xmlns:c15="http://schemas.microsoft.com/office/drawing/2012/chart" uri="{02D57815-91ED-43cb-92C2-25804820EDAC}">
                  <c15:fullRef>
                    <c15:sqref>Sheet0!$B$2:$B$6</c15:sqref>
                  </c15:fullRef>
                </c:ext>
              </c:extLst>
              <c:f>Sheet0!$B$2:$B$3</c:f>
              <c:numCache>
                <c:formatCode>General</c:formatCode>
                <c:ptCount val="2"/>
                <c:pt idx="0">
                  <c:v>1125.85</c:v>
                </c:pt>
                <c:pt idx="1">
                  <c:v>606.71</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1c093790-0594-4ae9-b087-a87ee06bf500}"/>
      </c:ext>
    </c:extLst>
  </c:chart>
  <c:spPr>
    <a:ln w="9525" cap="flat" cmpd="sng" algn="ctr">
      <a:solidFill>
        <a:srgbClr val="D9D9D9">
          <a:lumMod val="15000"/>
          <a:lumOff val="85000"/>
        </a:srgb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24</Pages>
  <Words>763</Words>
  <Characters>791</Characters>
  <Lines>47</Lines>
  <Paragraphs>13</Paragraphs>
  <TotalTime>36</TotalTime>
  <ScaleCrop>false</ScaleCrop>
  <LinksUpToDate>false</LinksUpToDate>
  <CharactersWithSpaces>804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2017-07-11T15:16:00Z</dcterms:created>
  <dc:creator>常程</dc:creator>
  <cp:lastModifiedBy>xxh</cp:lastModifiedBy>
  <cp:lastPrinted>2026-08-17T05:16:00Z</cp:lastPrinted>
  <dcterms:modified xsi:type="dcterms:W3CDTF">2026-08-19T09:15:16Z</dcterms:modified>
  <dc:title>北京市财政局关于做好向市人大常委会报送2015年度市级部门决算（草案）</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435078ACFECC4A5A8A519EF4C3681114_13</vt:lpwstr>
  </property>
  <property fmtid="{D5CDD505-2E9C-101B-9397-08002B2CF9AE}" pid="4" name="KSOTemplateDocerSaveRecord">
    <vt:lpwstr>eyJoZGlkIjoiYjY4N2IyYTJjYzg5NGUxMmIzMWE2Y2Q3ZDdiNjllM2MifQ==</vt:lpwstr>
  </property>
</Properties>
</file>