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Lines="50" w:afterLines="50"/>
        <w:jc w:val="center"/>
        <w:rPr>
          <w:rFonts w:ascii="宋体" w:hAnsi="宋体" w:cs="宋体"/>
          <w:b/>
          <w:bCs/>
          <w:spacing w:val="40"/>
          <w:kern w:val="0"/>
          <w:sz w:val="32"/>
          <w:szCs w:val="32"/>
        </w:rPr>
      </w:pPr>
    </w:p>
    <w:p>
      <w:pPr>
        <w:tabs>
          <w:tab w:val="center" w:pos="6979"/>
        </w:tabs>
        <w:spacing w:beforeLines="50" w:afterLines="50"/>
        <w:jc w:val="center"/>
        <w:rPr>
          <w:rFonts w:ascii="宋体" w:hAnsi="宋体" w:cs="宋体"/>
          <w:b/>
          <w:bCs/>
          <w:spacing w:val="40"/>
          <w:kern w:val="0"/>
          <w:sz w:val="32"/>
          <w:szCs w:val="32"/>
        </w:rPr>
      </w:pPr>
    </w:p>
    <w:p>
      <w:pPr>
        <w:tabs>
          <w:tab w:val="center" w:pos="6979"/>
        </w:tabs>
        <w:spacing w:beforeLines="50" w:afterLines="50"/>
        <w:jc w:val="center"/>
        <w:rPr>
          <w:rFonts w:ascii="宋体" w:hAnsi="宋体" w:cs="宋体"/>
          <w:b/>
          <w:bCs/>
          <w:spacing w:val="40"/>
          <w:kern w:val="0"/>
          <w:sz w:val="32"/>
          <w:szCs w:val="32"/>
        </w:rPr>
      </w:pPr>
    </w:p>
    <w:p>
      <w:pPr>
        <w:tabs>
          <w:tab w:val="center" w:pos="6979"/>
        </w:tabs>
        <w:spacing w:beforeLines="50" w:afterLines="50"/>
        <w:jc w:val="center"/>
        <w:rPr>
          <w:rFonts w:ascii="宋体" w:hAnsi="宋体" w:cs="宋体"/>
          <w:b/>
          <w:bCs/>
          <w:spacing w:val="40"/>
          <w:kern w:val="0"/>
          <w:sz w:val="32"/>
          <w:szCs w:val="32"/>
        </w:rPr>
      </w:pPr>
    </w:p>
    <w:p>
      <w:pPr>
        <w:tabs>
          <w:tab w:val="center" w:pos="6979"/>
        </w:tabs>
        <w:spacing w:beforeLines="50" w:afterLines="50"/>
        <w:jc w:val="center"/>
        <w:rPr>
          <w:rFonts w:ascii="宋体" w:hAnsi="宋体" w:cs="宋体"/>
          <w:b/>
          <w:bCs/>
          <w:spacing w:val="40"/>
          <w:kern w:val="0"/>
          <w:sz w:val="32"/>
          <w:szCs w:val="32"/>
        </w:rPr>
      </w:pPr>
    </w:p>
    <w:p>
      <w:pPr>
        <w:tabs>
          <w:tab w:val="center" w:pos="6979"/>
        </w:tabs>
        <w:spacing w:beforeLines="50"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Lines="50"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700" w:firstLineChars="250"/>
        <w:rPr>
          <w:rFonts w:ascii="仿宋_GB2312" w:eastAsia="仿宋_GB2312"/>
          <w:color w:val="000000" w:themeColor="text1"/>
          <w:sz w:val="28"/>
          <w:szCs w:val="28"/>
        </w:rPr>
      </w:pPr>
      <w:r>
        <w:rPr>
          <w:rFonts w:hint="eastAsia" w:ascii="仿宋_GB2312" w:eastAsia="仿宋_GB2312"/>
          <w:color w:val="000000" w:themeColor="text1"/>
          <w:sz w:val="28"/>
          <w:szCs w:val="28"/>
        </w:rPr>
        <w:t>（一</w:t>
      </w:r>
      <w:r>
        <w:rPr>
          <w:rFonts w:ascii="仿宋_GB2312" w:eastAsia="仿宋_GB2312"/>
          <w:color w:val="000000" w:themeColor="text1"/>
          <w:sz w:val="28"/>
          <w:szCs w:val="28"/>
        </w:rPr>
        <w:t>）</w:t>
      </w:r>
      <w:r>
        <w:rPr>
          <w:rFonts w:hint="eastAsia" w:ascii="仿宋_GB2312" w:eastAsia="仿宋_GB2312"/>
          <w:color w:val="000000" w:themeColor="text1"/>
          <w:sz w:val="28"/>
          <w:szCs w:val="28"/>
        </w:rPr>
        <w:t>本部门职责情况</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本单位负责承担文化旅游融合发展的服务保障与促进工作。负责区域文旅资源挖掘、整理与开发利用，推动京西古道等文化遗产的保护传承与活化利用，促进文旅产业提质升级；负责组织开展“消费博览会”等文旅宣传推介活动，拓展文旅市场渠道，推动区域文旅品牌建设；负责本区文旅品牌IP的整体策划、体系建设、巩固提升、对外宣传和重大宣传活动组织实施工作。完成区文化和旅游局交办的其他任务。</w:t>
      </w:r>
    </w:p>
    <w:p>
      <w:pPr>
        <w:tabs>
          <w:tab w:val="center" w:pos="6979"/>
        </w:tabs>
        <w:spacing w:line="580" w:lineRule="exact"/>
        <w:ind w:firstLine="700" w:firstLineChars="250"/>
        <w:rPr>
          <w:rFonts w:ascii="仿宋_GB2312" w:eastAsia="仿宋_GB2312"/>
          <w:color w:val="000000" w:themeColor="text1"/>
          <w:sz w:val="28"/>
          <w:szCs w:val="28"/>
        </w:rPr>
      </w:pPr>
      <w:r>
        <w:rPr>
          <w:rFonts w:hint="eastAsia" w:ascii="仿宋_GB2312" w:eastAsia="仿宋_GB2312"/>
          <w:color w:val="000000" w:themeColor="text1"/>
          <w:sz w:val="28"/>
          <w:szCs w:val="28"/>
        </w:rPr>
        <w:t>（二）机构</w:t>
      </w:r>
      <w:r>
        <w:rPr>
          <w:rFonts w:ascii="仿宋_GB2312" w:eastAsia="仿宋_GB2312"/>
          <w:color w:val="000000" w:themeColor="text1"/>
          <w:sz w:val="28"/>
          <w:szCs w:val="28"/>
        </w:rPr>
        <w:t>设置</w:t>
      </w:r>
      <w:r>
        <w:rPr>
          <w:rFonts w:hint="eastAsia" w:ascii="仿宋_GB2312" w:eastAsia="仿宋_GB2312"/>
          <w:color w:val="000000" w:themeColor="text1"/>
          <w:sz w:val="28"/>
          <w:szCs w:val="28"/>
        </w:rPr>
        <w:t>情况</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本单位无内设机构。</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212</w:t>
      </w:r>
      <w:r>
        <w:rPr>
          <w:rFonts w:hint="eastAsia" w:ascii="仿宋_GB2312" w:eastAsia="仿宋_GB2312"/>
          <w:sz w:val="28"/>
          <w:szCs w:val="28"/>
        </w:rPr>
        <w:t>,</w:t>
      </w:r>
      <w:r>
        <w:rPr>
          <w:rFonts w:ascii="仿宋_GB2312" w:eastAsia="仿宋_GB2312"/>
          <w:sz w:val="28"/>
          <w:szCs w:val="28"/>
        </w:rPr>
        <w:t>265.05</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8,115,815.26元，增长740.2%。</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212</w:t>
      </w:r>
      <w:r>
        <w:rPr>
          <w:rFonts w:hint="eastAsia" w:ascii="仿宋_GB2312" w:eastAsia="仿宋_GB2312"/>
          <w:sz w:val="28"/>
          <w:szCs w:val="28"/>
        </w:rPr>
        <w:t>,</w:t>
      </w:r>
      <w:r>
        <w:rPr>
          <w:rFonts w:ascii="仿宋_GB2312" w:eastAsia="仿宋_GB2312"/>
          <w:sz w:val="28"/>
          <w:szCs w:val="28"/>
        </w:rPr>
        <w:t>265.05</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8,115,815.26元，增长740.2%。</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212</w:t>
      </w:r>
      <w:r>
        <w:rPr>
          <w:rFonts w:hint="eastAsia" w:ascii="仿宋_GB2312" w:eastAsia="仿宋_GB2312"/>
          <w:sz w:val="28"/>
          <w:szCs w:val="28"/>
        </w:rPr>
        <w:t>,</w:t>
      </w:r>
      <w:r>
        <w:rPr>
          <w:rFonts w:ascii="仿宋_GB2312" w:eastAsia="仿宋_GB2312"/>
          <w:sz w:val="28"/>
          <w:szCs w:val="28"/>
        </w:rPr>
        <w:t>265.05</w:t>
      </w:r>
      <w:r>
        <w:rPr>
          <w:rFonts w:hint="eastAsia" w:ascii="仿宋_GB2312" w:eastAsia="仿宋_GB2312"/>
          <w:sz w:val="28"/>
          <w:szCs w:val="28"/>
        </w:rPr>
        <w:t>元，占收入合计的100.0%。其中：一般公共预算财政拨款收入</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212</w:t>
      </w:r>
      <w:r>
        <w:rPr>
          <w:rFonts w:hint="eastAsia" w:ascii="仿宋_GB2312" w:eastAsia="仿宋_GB2312"/>
          <w:sz w:val="28"/>
          <w:szCs w:val="28"/>
        </w:rPr>
        <w:t>,</w:t>
      </w:r>
      <w:r>
        <w:rPr>
          <w:rFonts w:ascii="仿宋_GB2312" w:eastAsia="仿宋_GB2312"/>
          <w:sz w:val="28"/>
          <w:szCs w:val="28"/>
        </w:rPr>
        <w:t>265.05</w:t>
      </w:r>
      <w:r>
        <w:rPr>
          <w:rFonts w:hint="eastAsia" w:ascii="仿宋_GB2312" w:eastAsia="仿宋_GB2312"/>
          <w:sz w:val="28"/>
          <w:szCs w:val="28"/>
        </w:rPr>
        <w:t>元，占收入合计的100.0%；政府性基金预算财政拨款收入</w:t>
      </w:r>
      <w:r>
        <w:rPr>
          <w:rFonts w:ascii="仿宋_GB2312" w:eastAsia="仿宋_GB2312"/>
          <w:sz w:val="28"/>
          <w:szCs w:val="28"/>
        </w:rPr>
        <w:t>0</w:t>
      </w:r>
      <w:r>
        <w:rPr>
          <w:rFonts w:hint="eastAsia" w:ascii="仿宋_GB2312" w:eastAsia="仿宋_GB2312"/>
          <w:sz w:val="28"/>
          <w:szCs w:val="28"/>
        </w:rPr>
        <w:t>.00元，占收入合计的0.0%；国有资本经营预算财政拨款收入</w:t>
      </w:r>
      <w:r>
        <w:rPr>
          <w:rFonts w:ascii="仿宋_GB2312" w:eastAsia="仿宋_GB2312"/>
          <w:sz w:val="28"/>
          <w:szCs w:val="28"/>
        </w:rPr>
        <w:t>0</w:t>
      </w:r>
      <w:r>
        <w:rPr>
          <w:rFonts w:hint="eastAsia" w:ascii="仿宋_GB2312" w:eastAsia="仿宋_GB2312"/>
          <w:sz w:val="28"/>
          <w:szCs w:val="28"/>
        </w:rPr>
        <w:t>.00元，占收入合计的0.0%；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.00元，占收入合计的0.0%；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.00元，占收入合计的0.0%；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.00元，占收入合计的0.0%；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.00元，占收入合计的0.0%；</w:t>
      </w:r>
    </w:p>
    <w:p>
      <w:pPr>
        <w:tabs>
          <w:tab w:val="center" w:pos="6979"/>
        </w:tabs>
        <w:spacing w:line="580" w:lineRule="exact"/>
        <w:ind w:firstLine="560" w:firstLineChars="200"/>
        <w:rPr>
          <w:rFonts w:ascii="仿宋_GB2312" w:eastAsia="仿宋_GB2312" w:cs="Droid Sans"/>
          <w:color w:val="000000" w:themeColor="text1"/>
          <w:sz w:val="32"/>
          <w:szCs w:val="32"/>
          <w:shd w:val="clear" w:color="FFFFFF" w:fill="D9D9D9"/>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.00元，占收入合计的0.0%。</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212</w:t>
      </w:r>
      <w:r>
        <w:rPr>
          <w:rFonts w:hint="eastAsia" w:ascii="仿宋_GB2312" w:eastAsia="仿宋_GB2312"/>
          <w:sz w:val="28"/>
          <w:szCs w:val="28"/>
        </w:rPr>
        <w:t>,</w:t>
      </w:r>
      <w:r>
        <w:rPr>
          <w:rFonts w:ascii="仿宋_GB2312" w:eastAsia="仿宋_GB2312"/>
          <w:sz w:val="28"/>
          <w:szCs w:val="28"/>
        </w:rPr>
        <w:t>265.05</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8,115,815.26元，增长740.2%，其中：基本支出</w:t>
      </w:r>
      <w:r>
        <w:rPr>
          <w:rFonts w:ascii="仿宋_GB2312" w:eastAsia="仿宋_GB2312"/>
          <w:sz w:val="28"/>
          <w:szCs w:val="28"/>
        </w:rPr>
        <w:t>3</w:t>
      </w:r>
      <w:r>
        <w:rPr>
          <w:rFonts w:hint="eastAsia" w:ascii="仿宋_GB2312" w:eastAsia="仿宋_GB2312"/>
          <w:sz w:val="28"/>
          <w:szCs w:val="28"/>
        </w:rPr>
        <w:t>,</w:t>
      </w:r>
      <w:r>
        <w:rPr>
          <w:rFonts w:ascii="仿宋_GB2312" w:eastAsia="仿宋_GB2312"/>
          <w:sz w:val="28"/>
          <w:szCs w:val="28"/>
        </w:rPr>
        <w:t>636</w:t>
      </w:r>
      <w:r>
        <w:rPr>
          <w:rFonts w:hint="eastAsia" w:ascii="仿宋_GB2312" w:eastAsia="仿宋_GB2312"/>
          <w:sz w:val="28"/>
          <w:szCs w:val="28"/>
        </w:rPr>
        <w:t>,</w:t>
      </w:r>
      <w:r>
        <w:rPr>
          <w:rFonts w:ascii="仿宋_GB2312" w:eastAsia="仿宋_GB2312"/>
          <w:sz w:val="28"/>
          <w:szCs w:val="28"/>
        </w:rPr>
        <w:t>107.54</w:t>
      </w:r>
      <w:r>
        <w:rPr>
          <w:rFonts w:hint="eastAsia" w:ascii="仿宋_GB2312" w:eastAsia="仿宋_GB2312"/>
          <w:sz w:val="28"/>
          <w:szCs w:val="28"/>
        </w:rPr>
        <w:t>元，占支出合计的39.5%；项目支出</w:t>
      </w:r>
      <w:r>
        <w:rPr>
          <w:rFonts w:ascii="仿宋_GB2312" w:eastAsia="仿宋_GB2312"/>
          <w:sz w:val="28"/>
          <w:szCs w:val="28"/>
        </w:rPr>
        <w:t>5</w:t>
      </w:r>
      <w:r>
        <w:rPr>
          <w:rFonts w:hint="eastAsia" w:ascii="仿宋_GB2312" w:eastAsia="仿宋_GB2312"/>
          <w:sz w:val="28"/>
          <w:szCs w:val="28"/>
        </w:rPr>
        <w:t>,</w:t>
      </w:r>
      <w:r>
        <w:rPr>
          <w:rFonts w:ascii="仿宋_GB2312" w:eastAsia="仿宋_GB2312"/>
          <w:sz w:val="28"/>
          <w:szCs w:val="28"/>
        </w:rPr>
        <w:t>576</w:t>
      </w:r>
      <w:r>
        <w:rPr>
          <w:rFonts w:hint="eastAsia" w:ascii="仿宋_GB2312" w:eastAsia="仿宋_GB2312"/>
          <w:sz w:val="28"/>
          <w:szCs w:val="28"/>
        </w:rPr>
        <w:t>,</w:t>
      </w:r>
      <w:r>
        <w:rPr>
          <w:rFonts w:ascii="仿宋_GB2312" w:eastAsia="仿宋_GB2312"/>
          <w:sz w:val="28"/>
          <w:szCs w:val="28"/>
        </w:rPr>
        <w:t>157.51</w:t>
      </w:r>
      <w:r>
        <w:rPr>
          <w:rFonts w:hint="eastAsia" w:ascii="仿宋_GB2312" w:eastAsia="仿宋_GB2312"/>
          <w:sz w:val="28"/>
          <w:szCs w:val="28"/>
        </w:rPr>
        <w:t>元，占支出合计的60.5%;上缴上级支出</w:t>
      </w:r>
      <w:r>
        <w:rPr>
          <w:rFonts w:ascii="仿宋_GB2312" w:eastAsia="仿宋_GB2312"/>
          <w:sz w:val="28"/>
          <w:szCs w:val="28"/>
        </w:rPr>
        <w:t>0</w:t>
      </w:r>
      <w:r>
        <w:rPr>
          <w:rFonts w:hint="eastAsia" w:ascii="仿宋_GB2312" w:eastAsia="仿宋_GB2312"/>
          <w:sz w:val="28"/>
          <w:szCs w:val="28"/>
        </w:rPr>
        <w:t>.00元，占支出合计的0.0%；经营支出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%；对附属单位补助支出</w:t>
      </w:r>
      <w:r>
        <w:rPr>
          <w:rFonts w:hint="eastAsia" w:ascii="仿宋_GB2312" w:eastAsia="仿宋_GB2312"/>
          <w:sz w:val="28"/>
          <w:szCs w:val="28"/>
          <w:lang w:val="en-US" w:eastAsia="zh-CN"/>
        </w:rPr>
        <w:t>0.00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212</w:t>
      </w:r>
      <w:r>
        <w:rPr>
          <w:rFonts w:hint="eastAsia" w:ascii="仿宋_GB2312" w:eastAsia="仿宋_GB2312"/>
          <w:sz w:val="28"/>
          <w:szCs w:val="28"/>
        </w:rPr>
        <w:t>,</w:t>
      </w:r>
      <w:r>
        <w:rPr>
          <w:rFonts w:ascii="仿宋_GB2312" w:eastAsia="仿宋_GB2312"/>
          <w:sz w:val="28"/>
          <w:szCs w:val="28"/>
        </w:rPr>
        <w:t>265.05</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rPr>
        <w:t>8,115,815.26元，增长740.2%。主要原因：本单位于2024年新成立，财政拨款支出主要用于人员经费等基本运转保障与少量项目支出。2025年随着业务工作全面展开，新增了门头沟区文旅IP设计项目、永定楼及门头沟路周边景观亮化等重点业务项目，财政拨款收支规模随之显著增长。</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212</w:t>
      </w:r>
      <w:r>
        <w:rPr>
          <w:rFonts w:hint="eastAsia" w:ascii="仿宋_GB2312" w:eastAsia="仿宋_GB2312"/>
          <w:sz w:val="28"/>
          <w:szCs w:val="28"/>
        </w:rPr>
        <w:t>,</w:t>
      </w:r>
      <w:r>
        <w:rPr>
          <w:rFonts w:ascii="仿宋_GB2312" w:eastAsia="仿宋_GB2312"/>
          <w:sz w:val="28"/>
          <w:szCs w:val="28"/>
        </w:rPr>
        <w:t>265.05</w:t>
      </w:r>
      <w:r>
        <w:rPr>
          <w:rFonts w:hint="eastAsia" w:ascii="仿宋_GB2312" w:eastAsia="仿宋_GB2312"/>
          <w:sz w:val="28"/>
          <w:szCs w:val="28"/>
        </w:rPr>
        <w:t>元，主要用于以下方面（按大类）：文化旅游体育与传媒支出</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212</w:t>
      </w:r>
      <w:r>
        <w:rPr>
          <w:rFonts w:hint="eastAsia" w:ascii="仿宋_GB2312" w:eastAsia="仿宋_GB2312"/>
          <w:sz w:val="28"/>
          <w:szCs w:val="28"/>
        </w:rPr>
        <w:t>,</w:t>
      </w:r>
      <w:r>
        <w:rPr>
          <w:rFonts w:ascii="仿宋_GB2312" w:eastAsia="仿宋_GB2312"/>
          <w:sz w:val="28"/>
          <w:szCs w:val="28"/>
        </w:rPr>
        <w:t>265.05</w:t>
      </w:r>
      <w:r>
        <w:rPr>
          <w:rFonts w:hint="eastAsia" w:ascii="仿宋_GB2312" w:eastAsia="仿宋_GB2312"/>
          <w:sz w:val="28"/>
          <w:szCs w:val="28"/>
        </w:rPr>
        <w:t>元，占本年财政拨款支出100</w:t>
      </w:r>
      <w:r>
        <w:rPr>
          <w:rFonts w:hint="eastAsia" w:ascii="仿宋_GB2312" w:eastAsia="仿宋_GB2312"/>
          <w:sz w:val="28"/>
          <w:szCs w:val="28"/>
          <w:lang w:val="en-US" w:eastAsia="zh-CN"/>
        </w:rPr>
        <w:t>.0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color w:val="000000" w:themeColor="text1"/>
          <w:sz w:val="28"/>
          <w:szCs w:val="28"/>
        </w:rPr>
      </w:pPr>
      <w:r>
        <w:rPr>
          <w:rFonts w:hint="eastAsia" w:ascii="仿宋_GB2312" w:eastAsia="仿宋_GB2312"/>
          <w:sz w:val="28"/>
          <w:szCs w:val="28"/>
        </w:rPr>
        <w:t>1、</w:t>
      </w:r>
      <w:r>
        <w:rPr>
          <w:rFonts w:hint="eastAsia" w:ascii="仿宋_GB2312" w:eastAsia="仿宋_GB2312"/>
          <w:color w:val="000000" w:themeColor="text1"/>
          <w:sz w:val="28"/>
          <w:szCs w:val="28"/>
        </w:rPr>
        <w:t>“文化旅游体育与传媒</w:t>
      </w:r>
      <w:r>
        <w:rPr>
          <w:rFonts w:hint="eastAsia" w:ascii="仿宋_GB2312" w:eastAsia="仿宋_GB2312"/>
          <w:color w:val="000000" w:themeColor="text1"/>
          <w:sz w:val="28"/>
          <w:szCs w:val="28"/>
          <w:lang w:val="en-US" w:eastAsia="zh-CN"/>
        </w:rPr>
        <w:t>支出</w:t>
      </w:r>
      <w:bookmarkStart w:id="2" w:name="_GoBack"/>
      <w:bookmarkEnd w:id="2"/>
      <w:r>
        <w:rPr>
          <w:rFonts w:hint="eastAsia" w:ascii="仿宋_GB2312" w:eastAsia="仿宋_GB2312"/>
          <w:color w:val="000000" w:themeColor="text1"/>
          <w:sz w:val="28"/>
          <w:szCs w:val="28"/>
        </w:rPr>
        <w:t>”（类）2025年度年初预算4,134,906.30元，2025年度决算</w:t>
      </w:r>
      <w:r>
        <w:rPr>
          <w:rFonts w:ascii="仿宋_GB2312" w:eastAsia="仿宋_GB2312"/>
          <w:color w:val="000000" w:themeColor="text1"/>
          <w:sz w:val="28"/>
          <w:szCs w:val="28"/>
        </w:rPr>
        <w:t>9</w:t>
      </w:r>
      <w:r>
        <w:rPr>
          <w:rFonts w:hint="eastAsia" w:ascii="仿宋_GB2312" w:eastAsia="仿宋_GB2312"/>
          <w:color w:val="000000" w:themeColor="text1"/>
          <w:sz w:val="28"/>
          <w:szCs w:val="28"/>
        </w:rPr>
        <w:t>,</w:t>
      </w:r>
      <w:r>
        <w:rPr>
          <w:rFonts w:ascii="仿宋_GB2312" w:eastAsia="仿宋_GB2312"/>
          <w:color w:val="000000" w:themeColor="text1"/>
          <w:sz w:val="28"/>
          <w:szCs w:val="28"/>
        </w:rPr>
        <w:t>212</w:t>
      </w:r>
      <w:r>
        <w:rPr>
          <w:rFonts w:hint="eastAsia" w:ascii="仿宋_GB2312" w:eastAsia="仿宋_GB2312"/>
          <w:color w:val="000000" w:themeColor="text1"/>
          <w:sz w:val="28"/>
          <w:szCs w:val="28"/>
        </w:rPr>
        <w:t>,</w:t>
      </w:r>
      <w:r>
        <w:rPr>
          <w:rFonts w:ascii="仿宋_GB2312" w:eastAsia="仿宋_GB2312"/>
          <w:color w:val="000000" w:themeColor="text1"/>
          <w:sz w:val="28"/>
          <w:szCs w:val="28"/>
        </w:rPr>
        <w:t>265.05</w:t>
      </w:r>
      <w:r>
        <w:rPr>
          <w:rFonts w:hint="eastAsia" w:ascii="仿宋_GB2312" w:eastAsia="仿宋_GB2312"/>
          <w:color w:val="000000" w:themeColor="text1"/>
          <w:sz w:val="28"/>
          <w:szCs w:val="28"/>
        </w:rPr>
        <w:t>元，完成年初预算的222.8%。</w:t>
      </w:r>
    </w:p>
    <w:p>
      <w:pPr>
        <w:autoSpaceDE w:val="0"/>
        <w:autoSpaceDN w:val="0"/>
        <w:adjustRightInd w:val="0"/>
        <w:spacing w:line="580" w:lineRule="exact"/>
        <w:jc w:val="left"/>
        <w:rPr>
          <w:rFonts w:ascii="仿宋_GB2312" w:eastAsia="仿宋_GB2312"/>
          <w:color w:val="000000" w:themeColor="text1"/>
          <w:sz w:val="28"/>
          <w:szCs w:val="28"/>
        </w:rPr>
      </w:pPr>
      <w:r>
        <w:rPr>
          <w:rFonts w:hint="eastAsia" w:ascii="仿宋_GB2312" w:eastAsia="仿宋_GB2312"/>
          <w:color w:val="000000" w:themeColor="text1"/>
          <w:sz w:val="28"/>
          <w:szCs w:val="28"/>
        </w:rPr>
        <w:t>其中：</w:t>
      </w:r>
    </w:p>
    <w:p>
      <w:pPr>
        <w:spacing w:line="580" w:lineRule="exact"/>
        <w:ind w:firstLine="560" w:firstLineChars="200"/>
        <w:rPr>
          <w:rFonts w:ascii="仿宋_GB2312" w:eastAsia="仿宋_GB2312"/>
          <w:color w:val="000000" w:themeColor="text1"/>
          <w:sz w:val="28"/>
          <w:szCs w:val="28"/>
        </w:rPr>
      </w:pPr>
      <w:r>
        <w:rPr>
          <w:rFonts w:hint="eastAsia" w:ascii="仿宋_GB2312" w:eastAsia="仿宋_GB2312"/>
          <w:color w:val="000000" w:themeColor="text1"/>
          <w:sz w:val="28"/>
          <w:szCs w:val="28"/>
        </w:rPr>
        <w:t>“文化和旅游”（款）2025年度年初预算4,134,906.30元，2025年度决算</w:t>
      </w:r>
      <w:r>
        <w:rPr>
          <w:rFonts w:ascii="仿宋_GB2312" w:eastAsia="仿宋_GB2312"/>
          <w:color w:val="000000" w:themeColor="text1"/>
          <w:sz w:val="28"/>
          <w:szCs w:val="28"/>
        </w:rPr>
        <w:t>9</w:t>
      </w:r>
      <w:r>
        <w:rPr>
          <w:rFonts w:hint="eastAsia" w:ascii="仿宋_GB2312" w:eastAsia="仿宋_GB2312"/>
          <w:color w:val="000000" w:themeColor="text1"/>
          <w:sz w:val="28"/>
          <w:szCs w:val="28"/>
        </w:rPr>
        <w:t>,</w:t>
      </w:r>
      <w:r>
        <w:rPr>
          <w:rFonts w:ascii="仿宋_GB2312" w:eastAsia="仿宋_GB2312"/>
          <w:color w:val="000000" w:themeColor="text1"/>
          <w:sz w:val="28"/>
          <w:szCs w:val="28"/>
        </w:rPr>
        <w:t>212</w:t>
      </w:r>
      <w:r>
        <w:rPr>
          <w:rFonts w:hint="eastAsia" w:ascii="仿宋_GB2312" w:eastAsia="仿宋_GB2312"/>
          <w:color w:val="000000" w:themeColor="text1"/>
          <w:sz w:val="28"/>
          <w:szCs w:val="28"/>
        </w:rPr>
        <w:t>,</w:t>
      </w:r>
      <w:r>
        <w:rPr>
          <w:rFonts w:ascii="仿宋_GB2312" w:eastAsia="仿宋_GB2312"/>
          <w:color w:val="000000" w:themeColor="text1"/>
          <w:sz w:val="28"/>
          <w:szCs w:val="28"/>
        </w:rPr>
        <w:t>265.05</w:t>
      </w:r>
      <w:r>
        <w:rPr>
          <w:rFonts w:hint="eastAsia" w:ascii="仿宋_GB2312" w:eastAsia="仿宋_GB2312"/>
          <w:color w:val="000000" w:themeColor="text1"/>
          <w:sz w:val="28"/>
          <w:szCs w:val="28"/>
        </w:rPr>
        <w:t>元，完成年初预算的222.8%。主要原因：新增项目需追加项目预算。</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w:t>
      </w:r>
      <w:r>
        <w:rPr>
          <w:rFonts w:ascii="仿宋_GB2312" w:eastAsia="仿宋_GB2312"/>
          <w:sz w:val="28"/>
          <w:szCs w:val="28"/>
        </w:rPr>
        <w:t>0</w:t>
      </w:r>
      <w:r>
        <w:rPr>
          <w:rFonts w:hint="eastAsia" w:ascii="仿宋_GB2312" w:eastAsia="仿宋_GB2312"/>
          <w:sz w:val="28"/>
          <w:szCs w:val="28"/>
        </w:rPr>
        <w:t>.00元。</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.00元，国有资本经营预算财政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.00元。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3</w:t>
      </w:r>
      <w:r>
        <w:rPr>
          <w:rFonts w:hint="eastAsia" w:ascii="仿宋_GB2312" w:eastAsia="仿宋_GB2312"/>
          <w:sz w:val="28"/>
          <w:szCs w:val="28"/>
        </w:rPr>
        <w:t>,</w:t>
      </w:r>
      <w:r>
        <w:rPr>
          <w:rFonts w:ascii="仿宋_GB2312" w:eastAsia="仿宋_GB2312"/>
          <w:sz w:val="28"/>
          <w:szCs w:val="28"/>
        </w:rPr>
        <w:t>636</w:t>
      </w:r>
      <w:r>
        <w:rPr>
          <w:rFonts w:hint="eastAsia" w:ascii="仿宋_GB2312" w:eastAsia="仿宋_GB2312"/>
          <w:sz w:val="28"/>
          <w:szCs w:val="28"/>
        </w:rPr>
        <w:t>,</w:t>
      </w:r>
      <w:r>
        <w:rPr>
          <w:rFonts w:ascii="仿宋_GB2312" w:eastAsia="仿宋_GB2312"/>
          <w:sz w:val="28"/>
          <w:szCs w:val="28"/>
        </w:rPr>
        <w:t>107.54</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.00元，（1）工资福利支出包括基本工资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仿宋_GB2312" w:eastAsia="仿宋_GB2312"/>
          <w:b/>
          <w:sz w:val="32"/>
          <w:szCs w:val="32"/>
        </w:rPr>
      </w:pPr>
      <w:r>
        <w:rPr>
          <w:rFonts w:ascii="仿宋_GB2312" w:eastAsia="仿宋_GB2312"/>
          <w:b/>
          <w:sz w:val="32"/>
          <w:szCs w:val="32"/>
        </w:rPr>
        <w:tab/>
      </w:r>
    </w:p>
    <w:p>
      <w:pPr>
        <w:pStyle w:val="2"/>
        <w:rPr>
          <w:rFonts w:ascii="仿宋_GB2312" w:eastAsia="仿宋_GB2312"/>
          <w:sz w:val="32"/>
        </w:rPr>
      </w:pPr>
    </w:p>
    <w:p>
      <w:pPr>
        <w:rPr>
          <w:rFonts w:ascii="仿宋_GB2312" w:eastAsia="仿宋_GB2312"/>
          <w:b/>
          <w:sz w:val="32"/>
          <w:szCs w:val="32"/>
        </w:rPr>
      </w:pPr>
    </w:p>
    <w:p>
      <w:pPr>
        <w:pStyle w:val="2"/>
        <w:rPr>
          <w:rFonts w:ascii="仿宋_GB2312" w:eastAsia="仿宋_GB2312"/>
          <w:sz w:val="32"/>
        </w:rPr>
      </w:pPr>
    </w:p>
    <w:p>
      <w:pPr>
        <w:pStyle w:val="2"/>
      </w:pPr>
    </w:p>
    <w:p/>
    <w:p>
      <w:pPr>
        <w:tabs>
          <w:tab w:val="center" w:pos="6979"/>
        </w:tabs>
        <w:jc w:val="center"/>
        <w:rPr>
          <w:rFonts w:ascii="宋体" w:hAnsi="宋体" w:cs="宋体"/>
          <w:b/>
          <w:bCs/>
          <w:spacing w:val="40"/>
          <w:kern w:val="0"/>
          <w:sz w:val="32"/>
          <w:szCs w:val="32"/>
        </w:rPr>
      </w:pPr>
    </w:p>
    <w:p>
      <w:pPr>
        <w:tabs>
          <w:tab w:val="center" w:pos="6979"/>
        </w:tabs>
        <w:jc w:val="center"/>
        <w:rPr>
          <w:rFonts w:ascii="宋体" w:hAnsi="宋体" w:cs="宋体"/>
          <w:b/>
          <w:bCs/>
          <w:spacing w:val="40"/>
          <w:kern w:val="0"/>
          <w:sz w:val="32"/>
          <w:szCs w:val="32"/>
        </w:rPr>
      </w:pP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6</w:t>
      </w:r>
      <w:r>
        <w:rPr>
          <w:rFonts w:hint="eastAsia" w:ascii="仿宋_GB2312" w:eastAsia="仿宋_GB2312"/>
          <w:sz w:val="28"/>
          <w:szCs w:val="28"/>
        </w:rPr>
        <w:t>,</w:t>
      </w:r>
      <w:r>
        <w:rPr>
          <w:rFonts w:ascii="仿宋_GB2312" w:eastAsia="仿宋_GB2312"/>
          <w:sz w:val="28"/>
          <w:szCs w:val="28"/>
        </w:rPr>
        <w:t>019.65</w:t>
      </w:r>
      <w:r>
        <w:rPr>
          <w:rFonts w:hint="eastAsia" w:ascii="仿宋_GB2312" w:eastAsia="仿宋_GB2312"/>
          <w:sz w:val="28"/>
          <w:szCs w:val="28"/>
        </w:rPr>
        <w:t>元，比2025年度“三公”经费财政拨款年初预算</w:t>
      </w:r>
      <w:r>
        <w:rPr>
          <w:rFonts w:ascii="仿宋_GB2312" w:eastAsia="仿宋_GB2312"/>
          <w:sz w:val="28"/>
          <w:szCs w:val="28"/>
        </w:rPr>
        <w:t>18</w:t>
      </w:r>
      <w:r>
        <w:rPr>
          <w:rFonts w:hint="eastAsia" w:ascii="仿宋_GB2312" w:eastAsia="仿宋_GB2312"/>
          <w:sz w:val="28"/>
          <w:szCs w:val="28"/>
        </w:rPr>
        <w:t>,</w:t>
      </w:r>
      <w:r>
        <w:rPr>
          <w:rFonts w:ascii="仿宋_GB2312" w:eastAsia="仿宋_GB2312"/>
          <w:sz w:val="28"/>
          <w:szCs w:val="28"/>
        </w:rPr>
        <w:t>348</w:t>
      </w:r>
      <w:r>
        <w:rPr>
          <w:rFonts w:hint="eastAsia" w:ascii="仿宋_GB2312" w:eastAsia="仿宋_GB2312"/>
          <w:sz w:val="28"/>
          <w:szCs w:val="28"/>
        </w:rPr>
        <w:t>.00元减少</w:t>
      </w:r>
      <w:r>
        <w:rPr>
          <w:rFonts w:ascii="仿宋_GB2312" w:eastAsia="仿宋_GB2312"/>
          <w:sz w:val="28"/>
          <w:szCs w:val="28"/>
        </w:rPr>
        <w:t>12</w:t>
      </w:r>
      <w:r>
        <w:rPr>
          <w:rFonts w:hint="eastAsia" w:ascii="仿宋_GB2312" w:eastAsia="仿宋_GB2312"/>
          <w:sz w:val="28"/>
          <w:szCs w:val="28"/>
        </w:rPr>
        <w:t>,</w:t>
      </w:r>
      <w:r>
        <w:rPr>
          <w:rFonts w:ascii="仿宋_GB2312" w:eastAsia="仿宋_GB2312"/>
          <w:sz w:val="28"/>
          <w:szCs w:val="28"/>
        </w:rPr>
        <w:t>328.35</w:t>
      </w:r>
      <w:r>
        <w:rPr>
          <w:rFonts w:hint="eastAsia" w:ascii="仿宋_GB2312" w:eastAsia="仿宋_GB2312"/>
          <w:sz w:val="28"/>
          <w:szCs w:val="28"/>
        </w:rPr>
        <w:t>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.00元，比2025年度年初预算数</w:t>
      </w:r>
      <w:r>
        <w:rPr>
          <w:rFonts w:ascii="仿宋_GB2312" w:eastAsia="仿宋_GB2312"/>
          <w:sz w:val="28"/>
          <w:szCs w:val="28"/>
        </w:rPr>
        <w:t>0</w:t>
      </w:r>
      <w:r>
        <w:rPr>
          <w:rFonts w:hint="eastAsia" w:ascii="仿宋_GB2312" w:eastAsia="仿宋_GB2312"/>
          <w:sz w:val="28"/>
          <w:szCs w:val="28"/>
        </w:rPr>
        <w:t>.00元增加（减少）</w:t>
      </w:r>
      <w:r>
        <w:rPr>
          <w:rFonts w:ascii="仿宋_GB2312" w:eastAsia="仿宋_GB2312"/>
          <w:sz w:val="28"/>
          <w:szCs w:val="28"/>
        </w:rPr>
        <w:t>0</w:t>
      </w:r>
      <w:r>
        <w:rPr>
          <w:rFonts w:hint="eastAsia" w:ascii="仿宋_GB2312" w:eastAsia="仿宋_GB2312"/>
          <w:sz w:val="28"/>
          <w:szCs w:val="28"/>
        </w:rPr>
        <w:t>.00元。主要原因：</w:t>
      </w:r>
      <w:bookmarkStart w:id="0" w:name="OLE_LINK6"/>
      <w:bookmarkStart w:id="1" w:name="OLE_LINK7"/>
      <w:r>
        <w:rPr>
          <w:rFonts w:hint="eastAsia" w:ascii="仿宋_GB2312" w:eastAsia="仿宋_GB2312"/>
          <w:sz w:val="28"/>
          <w:szCs w:val="28"/>
        </w:rPr>
        <w:t>本单位无此项支出。</w:t>
      </w:r>
      <w:bookmarkEnd w:id="0"/>
      <w:bookmarkEnd w:id="1"/>
    </w:p>
    <w:p>
      <w:pPr>
        <w:spacing w:line="560" w:lineRule="exact"/>
        <w:ind w:firstLine="600"/>
        <w:rPr>
          <w:rFonts w:ascii="仿宋_GB2312" w:eastAsia="仿宋_GB2312"/>
          <w:color w:val="000000" w:themeColor="text1"/>
          <w:sz w:val="28"/>
          <w:szCs w:val="28"/>
        </w:rPr>
      </w:pPr>
      <w:r>
        <w:rPr>
          <w:rFonts w:hint="eastAsia" w:ascii="仿宋_GB2312" w:eastAsia="仿宋_GB2312"/>
          <w:color w:val="000000" w:themeColor="text1"/>
          <w:sz w:val="28"/>
          <w:szCs w:val="28"/>
        </w:rPr>
        <w:t>2.公务接待费。2025年度决算数</w:t>
      </w:r>
      <w:r>
        <w:rPr>
          <w:rFonts w:ascii="仿宋_GB2312" w:eastAsia="仿宋_GB2312"/>
          <w:color w:val="000000" w:themeColor="text1"/>
          <w:sz w:val="28"/>
          <w:szCs w:val="28"/>
        </w:rPr>
        <w:t>0</w:t>
      </w:r>
      <w:r>
        <w:rPr>
          <w:rFonts w:hint="eastAsia" w:ascii="仿宋_GB2312" w:eastAsia="仿宋_GB2312"/>
          <w:color w:val="000000" w:themeColor="text1"/>
          <w:sz w:val="28"/>
          <w:szCs w:val="28"/>
        </w:rPr>
        <w:t>.00元，比2025年度年初预算数</w:t>
      </w:r>
      <w:r>
        <w:rPr>
          <w:rFonts w:ascii="仿宋_GB2312" w:eastAsia="仿宋_GB2312"/>
          <w:color w:val="000000" w:themeColor="text1"/>
          <w:sz w:val="28"/>
          <w:szCs w:val="28"/>
        </w:rPr>
        <w:t>348</w:t>
      </w:r>
      <w:r>
        <w:rPr>
          <w:rFonts w:hint="eastAsia" w:ascii="仿宋_GB2312" w:eastAsia="仿宋_GB2312"/>
          <w:color w:val="000000" w:themeColor="text1"/>
          <w:sz w:val="28"/>
          <w:szCs w:val="28"/>
        </w:rPr>
        <w:t>.00元减少</w:t>
      </w:r>
      <w:r>
        <w:rPr>
          <w:rFonts w:ascii="仿宋_GB2312" w:eastAsia="仿宋_GB2312"/>
          <w:color w:val="000000" w:themeColor="text1"/>
          <w:sz w:val="28"/>
          <w:szCs w:val="28"/>
        </w:rPr>
        <w:t>348</w:t>
      </w:r>
      <w:r>
        <w:rPr>
          <w:rFonts w:hint="eastAsia" w:ascii="仿宋_GB2312" w:eastAsia="仿宋_GB2312"/>
          <w:color w:val="000000" w:themeColor="text1"/>
          <w:sz w:val="28"/>
          <w:szCs w:val="28"/>
        </w:rPr>
        <w:t>.00元。主要原因：</w:t>
      </w:r>
      <w:r>
        <w:rPr>
          <w:rFonts w:hint="eastAsia" w:ascii="仿宋_GB2312" w:eastAsia="仿宋_GB2312"/>
          <w:sz w:val="28"/>
          <w:szCs w:val="28"/>
        </w:rPr>
        <w:t>本单位无此项支出。</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6</w:t>
      </w:r>
      <w:r>
        <w:rPr>
          <w:rFonts w:hint="eastAsia" w:ascii="仿宋_GB2312" w:eastAsia="仿宋_GB2312"/>
          <w:sz w:val="28"/>
          <w:szCs w:val="28"/>
        </w:rPr>
        <w:t>,</w:t>
      </w:r>
      <w:r>
        <w:rPr>
          <w:rFonts w:ascii="仿宋_GB2312" w:eastAsia="仿宋_GB2312"/>
          <w:sz w:val="28"/>
          <w:szCs w:val="28"/>
        </w:rPr>
        <w:t>019.65</w:t>
      </w:r>
      <w:r>
        <w:rPr>
          <w:rFonts w:hint="eastAsia" w:ascii="仿宋_GB2312" w:eastAsia="仿宋_GB2312"/>
          <w:sz w:val="28"/>
          <w:szCs w:val="28"/>
        </w:rPr>
        <w:t>元，比2025年度年初预算数</w:t>
      </w:r>
      <w:r>
        <w:rPr>
          <w:rFonts w:ascii="仿宋_GB2312" w:eastAsia="仿宋_GB2312"/>
          <w:sz w:val="28"/>
          <w:szCs w:val="28"/>
        </w:rPr>
        <w:t>18</w:t>
      </w:r>
      <w:r>
        <w:rPr>
          <w:rFonts w:hint="eastAsia" w:ascii="仿宋_GB2312" w:eastAsia="仿宋_GB2312"/>
          <w:sz w:val="28"/>
          <w:szCs w:val="28"/>
        </w:rPr>
        <w:t>,</w:t>
      </w:r>
      <w:r>
        <w:rPr>
          <w:rFonts w:ascii="仿宋_GB2312" w:eastAsia="仿宋_GB2312"/>
          <w:sz w:val="28"/>
          <w:szCs w:val="28"/>
        </w:rPr>
        <w:t>000</w:t>
      </w:r>
      <w:r>
        <w:rPr>
          <w:rFonts w:hint="eastAsia" w:ascii="仿宋_GB2312" w:eastAsia="仿宋_GB2312"/>
          <w:sz w:val="28"/>
          <w:szCs w:val="28"/>
        </w:rPr>
        <w:t>.00元减少</w:t>
      </w:r>
      <w:r>
        <w:rPr>
          <w:rFonts w:ascii="仿宋_GB2312" w:eastAsia="仿宋_GB2312"/>
          <w:sz w:val="28"/>
          <w:szCs w:val="28"/>
        </w:rPr>
        <w:t>11</w:t>
      </w:r>
      <w:r>
        <w:rPr>
          <w:rFonts w:hint="eastAsia" w:ascii="仿宋_GB2312" w:eastAsia="仿宋_GB2312"/>
          <w:sz w:val="28"/>
          <w:szCs w:val="28"/>
        </w:rPr>
        <w:t>,</w:t>
      </w:r>
      <w:r>
        <w:rPr>
          <w:rFonts w:ascii="仿宋_GB2312" w:eastAsia="仿宋_GB2312"/>
          <w:sz w:val="28"/>
          <w:szCs w:val="28"/>
        </w:rPr>
        <w:t>980.35</w:t>
      </w:r>
      <w:r>
        <w:rPr>
          <w:rFonts w:hint="eastAsia" w:ascii="仿宋_GB2312" w:eastAsia="仿宋_GB2312"/>
          <w:sz w:val="28"/>
          <w:szCs w:val="28"/>
        </w:rPr>
        <w:t>元。其中，公务用车购置费2025年度决算数0.00元，主要原因：未购置公务用车，2025年度购置（更新）0辆。公务用车运行维护费2025年度决算数6,019.65元，</w:t>
      </w:r>
      <w:r>
        <w:rPr>
          <w:rFonts w:hint="eastAsia" w:ascii="仿宋_GB2312" w:eastAsia="仿宋_GB2312"/>
          <w:color w:val="000000" w:themeColor="text1"/>
          <w:sz w:val="28"/>
          <w:szCs w:val="28"/>
        </w:rPr>
        <w:t>主要原因：公务用车加油、保险费用以及其他支出。</w:t>
      </w:r>
      <w:r>
        <w:rPr>
          <w:rFonts w:hint="eastAsia" w:ascii="仿宋_GB2312" w:eastAsia="仿宋_GB2312"/>
          <w:sz w:val="28"/>
          <w:szCs w:val="28"/>
        </w:rPr>
        <w:t>2025年度公务用车保有量</w:t>
      </w:r>
      <w:r>
        <w:rPr>
          <w:rFonts w:ascii="仿宋_GB2312" w:eastAsia="仿宋_GB2312"/>
          <w:sz w:val="28"/>
          <w:szCs w:val="28"/>
        </w:rPr>
        <w:t>1</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本部门2025年无机关运行经费。</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本部门2025年无政府采购支出。</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截至12月31日，北京市门头沟区文化旅游发展中心共有车辆1台；单位价值100万元（含）以上的设备0台（套）。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eastAsia="仿宋_GB2312"/>
          <w:sz w:val="28"/>
          <w:szCs w:val="28"/>
        </w:rPr>
      </w:pPr>
      <w:r>
        <w:rPr>
          <w:rFonts w:hint="eastAsia" w:ascii="仿宋_GB2312" w:eastAsia="仿宋_GB2312"/>
          <w:sz w:val="28"/>
          <w:szCs w:val="28"/>
        </w:rPr>
        <w:t>6.各单位需根据自身业务职能，补充当年使用的所有支出功能分类项级科目名词解释，例如：</w:t>
      </w:r>
    </w:p>
    <w:p>
      <w:pPr>
        <w:ind w:firstLine="560" w:firstLineChars="200"/>
      </w:pPr>
      <w:r>
        <w:rPr>
          <w:rFonts w:hint="eastAsia" w:ascii="仿宋_GB2312" w:eastAsia="仿宋_GB2312"/>
          <w:sz w:val="28"/>
          <w:szCs w:val="28"/>
        </w:rPr>
        <w:t>一般公共服务支出（类）人大事务（款）行政运行（项）：反映行政单位（包括实行公务员管理的事业单位）的基本支出。</w:t>
      </w:r>
    </w:p>
    <w:p>
      <w:pPr>
        <w:tabs>
          <w:tab w:val="center" w:pos="6979"/>
        </w:tabs>
        <w:spacing w:line="580" w:lineRule="exact"/>
        <w:ind w:firstLine="720" w:firstLineChars="200"/>
        <w:jc w:val="center"/>
        <w:rPr>
          <w:rFonts w:asciiTheme="minorEastAsia" w:hAnsiTheme="minorEastAsia" w:eastAsiaTheme="minorEastAsia"/>
          <w:b/>
          <w:sz w:val="36"/>
          <w:szCs w:val="36"/>
        </w:rPr>
      </w:pPr>
    </w:p>
    <w:p>
      <w:pPr>
        <w:tabs>
          <w:tab w:val="center" w:pos="6979"/>
        </w:tabs>
        <w:spacing w:line="580" w:lineRule="exact"/>
        <w:ind w:firstLine="720" w:firstLineChars="200"/>
        <w:jc w:val="center"/>
        <w:rPr>
          <w:rFonts w:asciiTheme="minorEastAsia" w:hAnsiTheme="minorEastAsia" w:eastAsiaTheme="minorEastAsia"/>
          <w:b/>
          <w:sz w:val="36"/>
          <w:szCs w:val="36"/>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ascii="华文中宋" w:hAnsi="华文中宋" w:eastAsia="华文中宋"/>
          <w:sz w:val="28"/>
          <w:szCs w:val="28"/>
        </w:rPr>
      </w:pPr>
    </w:p>
    <w:p>
      <w:pPr>
        <w:spacing w:line="580" w:lineRule="exact"/>
        <w:ind w:firstLine="640" w:firstLineChars="200"/>
        <w:rPr>
          <w:rFonts w:ascii="仿宋_GB2312" w:eastAsia="仿宋_GB2312"/>
          <w:sz w:val="32"/>
          <w:szCs w:val="32"/>
        </w:rPr>
      </w:pPr>
      <w:r>
        <w:rPr>
          <w:rFonts w:hint="eastAsia" w:ascii="黑体" w:eastAsia="黑体"/>
          <w:sz w:val="32"/>
          <w:szCs w:val="32"/>
        </w:rPr>
        <w:t xml:space="preserve"> </w:t>
      </w:r>
      <w:r>
        <w:rPr>
          <w:rFonts w:hint="eastAsia" w:ascii="仿宋_GB2312" w:eastAsia="仿宋_GB2312"/>
          <w:sz w:val="32"/>
          <w:szCs w:val="32"/>
        </w:rPr>
        <w:t>附件：项目支出绩效自评表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11</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15F70"/>
    <w:rsid w:val="0002352D"/>
    <w:rsid w:val="00027CD5"/>
    <w:rsid w:val="00031B8E"/>
    <w:rsid w:val="00033EC1"/>
    <w:rsid w:val="00034224"/>
    <w:rsid w:val="00040275"/>
    <w:rsid w:val="0004719C"/>
    <w:rsid w:val="00047F6E"/>
    <w:rsid w:val="00051B00"/>
    <w:rsid w:val="000601B1"/>
    <w:rsid w:val="00063034"/>
    <w:rsid w:val="00065988"/>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42E98"/>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0CBB"/>
    <w:rsid w:val="001D78D9"/>
    <w:rsid w:val="001E0556"/>
    <w:rsid w:val="001E2355"/>
    <w:rsid w:val="001E2379"/>
    <w:rsid w:val="001E29A9"/>
    <w:rsid w:val="001F5857"/>
    <w:rsid w:val="00206EC3"/>
    <w:rsid w:val="0021047C"/>
    <w:rsid w:val="002117C7"/>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39FE"/>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C8C"/>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376D"/>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87D25"/>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340"/>
    <w:rsid w:val="00963942"/>
    <w:rsid w:val="0096716C"/>
    <w:rsid w:val="009672B2"/>
    <w:rsid w:val="00971C66"/>
    <w:rsid w:val="00972363"/>
    <w:rsid w:val="0098419C"/>
    <w:rsid w:val="009843EF"/>
    <w:rsid w:val="009853B4"/>
    <w:rsid w:val="009867F2"/>
    <w:rsid w:val="00991347"/>
    <w:rsid w:val="00996018"/>
    <w:rsid w:val="0099738E"/>
    <w:rsid w:val="009A493E"/>
    <w:rsid w:val="009A531F"/>
    <w:rsid w:val="009A6931"/>
    <w:rsid w:val="009B1F9A"/>
    <w:rsid w:val="009B1FA9"/>
    <w:rsid w:val="009B30C5"/>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9EA"/>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172A"/>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56D7"/>
    <w:rsid w:val="00DE7F67"/>
    <w:rsid w:val="00DF0529"/>
    <w:rsid w:val="00DF09EF"/>
    <w:rsid w:val="00DF0D0F"/>
    <w:rsid w:val="00DF13D6"/>
    <w:rsid w:val="00DF164A"/>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570"/>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1B2110"/>
    <w:rsid w:val="024C0B1E"/>
    <w:rsid w:val="02BD304B"/>
    <w:rsid w:val="02F120AB"/>
    <w:rsid w:val="032B5196"/>
    <w:rsid w:val="04C3537C"/>
    <w:rsid w:val="079004AC"/>
    <w:rsid w:val="097C50F2"/>
    <w:rsid w:val="0A7650F6"/>
    <w:rsid w:val="0BA148CA"/>
    <w:rsid w:val="0C1165C4"/>
    <w:rsid w:val="0D6D544B"/>
    <w:rsid w:val="0DD136FE"/>
    <w:rsid w:val="0F8E2C57"/>
    <w:rsid w:val="1059665E"/>
    <w:rsid w:val="10AC13BA"/>
    <w:rsid w:val="11980797"/>
    <w:rsid w:val="12107727"/>
    <w:rsid w:val="13A0565F"/>
    <w:rsid w:val="145A6C1B"/>
    <w:rsid w:val="14B73493"/>
    <w:rsid w:val="14F75772"/>
    <w:rsid w:val="167A2FF9"/>
    <w:rsid w:val="17E05399"/>
    <w:rsid w:val="18581C69"/>
    <w:rsid w:val="186D28E5"/>
    <w:rsid w:val="1AEC0734"/>
    <w:rsid w:val="1C203C3A"/>
    <w:rsid w:val="1DEF20B0"/>
    <w:rsid w:val="214243FA"/>
    <w:rsid w:val="21AD613C"/>
    <w:rsid w:val="22467189"/>
    <w:rsid w:val="22707E0B"/>
    <w:rsid w:val="22A92191"/>
    <w:rsid w:val="24EB7A24"/>
    <w:rsid w:val="257A14F5"/>
    <w:rsid w:val="27196C26"/>
    <w:rsid w:val="2791341C"/>
    <w:rsid w:val="29EF086F"/>
    <w:rsid w:val="2A014A0F"/>
    <w:rsid w:val="2A5C012C"/>
    <w:rsid w:val="2AC2618A"/>
    <w:rsid w:val="2EFFE297"/>
    <w:rsid w:val="301437CA"/>
    <w:rsid w:val="32791381"/>
    <w:rsid w:val="349D1F0A"/>
    <w:rsid w:val="34DD0473"/>
    <w:rsid w:val="391B6A79"/>
    <w:rsid w:val="3C181CA7"/>
    <w:rsid w:val="3C684897"/>
    <w:rsid w:val="4009291E"/>
    <w:rsid w:val="41C6204F"/>
    <w:rsid w:val="433E495C"/>
    <w:rsid w:val="489F2FD7"/>
    <w:rsid w:val="4A921764"/>
    <w:rsid w:val="4AC27CB3"/>
    <w:rsid w:val="4AD41253"/>
    <w:rsid w:val="4BF72BEF"/>
    <w:rsid w:val="4FA90297"/>
    <w:rsid w:val="4FC41A43"/>
    <w:rsid w:val="51644400"/>
    <w:rsid w:val="51DB3C59"/>
    <w:rsid w:val="547F5925"/>
    <w:rsid w:val="550C0952"/>
    <w:rsid w:val="55762E42"/>
    <w:rsid w:val="57A7B272"/>
    <w:rsid w:val="57DA5DAE"/>
    <w:rsid w:val="58470068"/>
    <w:rsid w:val="58747CAC"/>
    <w:rsid w:val="5A1720F9"/>
    <w:rsid w:val="5B9C37C2"/>
    <w:rsid w:val="5BA7C654"/>
    <w:rsid w:val="5D284994"/>
    <w:rsid w:val="5DFD637E"/>
    <w:rsid w:val="60A54109"/>
    <w:rsid w:val="61B93686"/>
    <w:rsid w:val="61D01CDF"/>
    <w:rsid w:val="621E4D27"/>
    <w:rsid w:val="63295892"/>
    <w:rsid w:val="64C0607C"/>
    <w:rsid w:val="65756C86"/>
    <w:rsid w:val="674D385B"/>
    <w:rsid w:val="676F09E1"/>
    <w:rsid w:val="6A276630"/>
    <w:rsid w:val="711F219E"/>
    <w:rsid w:val="71793A80"/>
    <w:rsid w:val="7357290B"/>
    <w:rsid w:val="762A586E"/>
    <w:rsid w:val="77EB5B66"/>
    <w:rsid w:val="798524E4"/>
    <w:rsid w:val="7A7F1C49"/>
    <w:rsid w:val="7B5B7AE6"/>
    <w:rsid w:val="7B7B6628"/>
    <w:rsid w:val="7BA7071E"/>
    <w:rsid w:val="7BDF6DA8"/>
    <w:rsid w:val="7BDF7589"/>
    <w:rsid w:val="7C7EDC1A"/>
    <w:rsid w:val="7CCED98D"/>
    <w:rsid w:val="7D08410F"/>
    <w:rsid w:val="7D0D2A7E"/>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0">
    <w:name w:val="Default Paragraph Font"/>
    <w:unhideWhenUsed/>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1">
    <w:name w:val="Strong"/>
    <w:qFormat/>
    <w:uiPriority w:val="0"/>
    <w:rPr>
      <w:b/>
    </w:rPr>
  </w:style>
  <w:style w:type="character" w:styleId="12">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921.23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egendEntry>
        <c:idx val="1"/>
        <c:delete val="1"/>
      </c:legendEntry>
      <c:legendEntry>
        <c:idx val="2"/>
        <c:delete val="1"/>
      </c:legendEntry>
      <c:legendEntry>
        <c:idx val="3"/>
        <c:delete val="1"/>
      </c:legendEntry>
      <c:legendEntry>
        <c:idx val="4"/>
        <c:delete val="1"/>
      </c:legendEntry>
      <c:legendEntry>
        <c:idx val="5"/>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363.61</c:v>
                </c:pt>
                <c:pt idx="1">
                  <c:v>557.62</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delete val="1"/>
      </c:legendEntry>
      <c:legendEntry>
        <c:idx val="3"/>
        <c:delete val="1"/>
      </c:legendEntry>
      <c:legendEntry>
        <c:idx val="4"/>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zero"/>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482</Words>
  <Characters>2749</Characters>
  <Lines>22</Lines>
  <Paragraphs>6</Paragraphs>
  <TotalTime>0</TotalTime>
  <ScaleCrop>false</ScaleCrop>
  <LinksUpToDate>false</LinksUpToDate>
  <CharactersWithSpaces>3225</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pc</cp:lastModifiedBy>
  <cp:lastPrinted>2020-08-07T11:39:00Z</cp:lastPrinted>
  <dcterms:modified xsi:type="dcterms:W3CDTF">2026-09-04T08:17:19Z</dcterms:modified>
  <dc:title>北京市财政局关于做好向市人大常委会报送2015年度市级部门决算（草案）</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5B7FAF00E2534EE98C55EEDE092D8F3C</vt:lpwstr>
  </property>
  <property fmtid="{D5CDD505-2E9C-101B-9397-08002B2CF9AE}" pid="4" name="KSOTemplateDocerSaveRecord">
    <vt:lpwstr>eyJoZGlkIjoiYjNlN2I2OGQxOGI1NmIxMWI3ZTg2MzgyOGIwNzE1YjAiLCJ1c2VySWQiOiI2NzgwOTI3MjgifQ==</vt:lpwstr>
  </property>
</Properties>
</file>