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7AC92">
      <w:pPr>
        <w:keepNext w:val="0"/>
        <w:keepLines w:val="0"/>
        <w:pageBreakBefore w:val="0"/>
        <w:widowControl w:val="0"/>
        <w:kinsoku/>
        <w:wordWrap/>
        <w:overflowPunct/>
        <w:topLinePunct w:val="0"/>
        <w:autoSpaceDE/>
        <w:autoSpaceDN/>
        <w:bidi w:val="0"/>
        <w:adjustRightInd/>
        <w:snapToGrid/>
        <w:spacing w:before="3121" w:beforeLines="1000" w:line="240" w:lineRule="auto"/>
        <w:ind w:firstLine="883" w:firstLineChars="200"/>
        <w:jc w:val="center"/>
        <w:textAlignment w:val="auto"/>
        <w:rPr>
          <w:rFonts w:ascii="微软雅黑" w:hAnsi="微软雅黑" w:eastAsia="微软雅黑" w:cs="微软雅黑"/>
          <w:b/>
          <w:bCs/>
          <w:color w:val="auto"/>
          <w:sz w:val="44"/>
          <w:szCs w:val="44"/>
          <w:highlight w:val="none"/>
        </w:rPr>
      </w:pPr>
      <w:r>
        <w:rPr>
          <w:rFonts w:ascii="微软雅黑" w:hAnsi="微软雅黑" w:eastAsia="微软雅黑" w:cs="微软雅黑"/>
          <w:b/>
          <w:bCs/>
          <w:color w:val="auto"/>
          <w:sz w:val="44"/>
          <w:szCs w:val="44"/>
          <w:highlight w:val="none"/>
        </w:rPr>
        <w:t>北京市门头沟区“十</w:t>
      </w:r>
      <w:r>
        <w:rPr>
          <w:rFonts w:hint="eastAsia" w:ascii="微软雅黑" w:hAnsi="微软雅黑" w:eastAsia="微软雅黑" w:cs="微软雅黑"/>
          <w:b/>
          <w:bCs/>
          <w:color w:val="auto"/>
          <w:sz w:val="44"/>
          <w:szCs w:val="44"/>
          <w:highlight w:val="none"/>
        </w:rPr>
        <w:t>五</w:t>
      </w:r>
      <w:r>
        <w:rPr>
          <w:rFonts w:ascii="微软雅黑" w:hAnsi="微软雅黑" w:eastAsia="微软雅黑" w:cs="微软雅黑"/>
          <w:b/>
          <w:bCs/>
          <w:color w:val="auto"/>
          <w:sz w:val="44"/>
          <w:szCs w:val="44"/>
          <w:highlight w:val="none"/>
        </w:rPr>
        <w:t>五”时期</w:t>
      </w:r>
    </w:p>
    <w:p w14:paraId="60FD2BF5">
      <w:pPr>
        <w:spacing w:line="240" w:lineRule="auto"/>
        <w:ind w:firstLine="883" w:firstLineChars="200"/>
        <w:jc w:val="center"/>
        <w:rPr>
          <w:color w:val="auto"/>
          <w:highlight w:val="none"/>
        </w:rPr>
      </w:pPr>
      <w:r>
        <w:rPr>
          <w:rFonts w:ascii="微软雅黑" w:hAnsi="微软雅黑" w:eastAsia="微软雅黑" w:cs="微软雅黑"/>
          <w:b/>
          <w:bCs/>
          <w:color w:val="auto"/>
          <w:sz w:val="44"/>
          <w:szCs w:val="44"/>
          <w:highlight w:val="none"/>
        </w:rPr>
        <w:t>卫生健康事业发展规划</w:t>
      </w:r>
    </w:p>
    <w:p w14:paraId="73793023">
      <w:pPr>
        <w:spacing w:line="240" w:lineRule="auto"/>
        <w:ind w:firstLine="0" w:firstLineChars="0"/>
        <w:jc w:val="center"/>
        <w:rPr>
          <w:rFonts w:ascii="宋体" w:hAnsi="宋体" w:eastAsia="宋体"/>
          <w:color w:val="auto"/>
          <w:sz w:val="21"/>
          <w:szCs w:val="21"/>
          <w:highlight w:val="none"/>
        </w:rPr>
      </w:pPr>
    </w:p>
    <w:p w14:paraId="3BBCAAC6">
      <w:pPr>
        <w:bidi w:val="0"/>
        <w:rPr>
          <w:rFonts w:eastAsia="仿宋_GB2312" w:asciiTheme="minorHAnsi" w:hAnsiTheme="minorHAnsi" w:cstheme="minorBidi"/>
          <w:kern w:val="2"/>
          <w:sz w:val="32"/>
          <w:szCs w:val="24"/>
          <w:lang w:val="en-US" w:eastAsia="zh-CN" w:bidi="ar-SA"/>
        </w:rPr>
      </w:pPr>
    </w:p>
    <w:p w14:paraId="5FC97BE0">
      <w:pPr>
        <w:bidi w:val="0"/>
        <w:rPr>
          <w:lang w:val="en-US" w:eastAsia="zh-CN"/>
        </w:rPr>
      </w:pPr>
    </w:p>
    <w:p w14:paraId="4325E8F0">
      <w:pPr>
        <w:bidi w:val="0"/>
        <w:rPr>
          <w:lang w:val="en-US" w:eastAsia="zh-CN"/>
        </w:rPr>
      </w:pPr>
    </w:p>
    <w:p w14:paraId="36E808CA">
      <w:pPr>
        <w:bidi w:val="0"/>
        <w:rPr>
          <w:lang w:val="en-US" w:eastAsia="zh-CN"/>
        </w:rPr>
      </w:pPr>
    </w:p>
    <w:p w14:paraId="5AC9C6D1">
      <w:pPr>
        <w:bidi w:val="0"/>
        <w:rPr>
          <w:lang w:val="en-US" w:eastAsia="zh-CN"/>
        </w:rPr>
      </w:pPr>
    </w:p>
    <w:p w14:paraId="02BD424C">
      <w:pPr>
        <w:bidi w:val="0"/>
        <w:rPr>
          <w:lang w:val="en-US" w:eastAsia="zh-CN"/>
        </w:rPr>
      </w:pPr>
    </w:p>
    <w:p w14:paraId="5C54AB36">
      <w:pPr>
        <w:bidi w:val="0"/>
        <w:ind w:left="0" w:leftChars="0" w:firstLine="0" w:firstLineChars="0"/>
        <w:rPr>
          <w:lang w:val="en-US" w:eastAsia="zh-CN"/>
        </w:rPr>
      </w:pPr>
    </w:p>
    <w:p w14:paraId="6D9D741F">
      <w:pPr>
        <w:pStyle w:val="16"/>
        <w:outlineLvl w:val="9"/>
        <w:rPr>
          <w:lang w:val="en-US" w:eastAsia="zh-CN"/>
        </w:rPr>
      </w:pPr>
    </w:p>
    <w:p w14:paraId="6E8F3991">
      <w:pPr>
        <w:rPr>
          <w:lang w:val="en-US" w:eastAsia="zh-CN"/>
        </w:rPr>
      </w:pPr>
    </w:p>
    <w:p w14:paraId="0BB2FBAD">
      <w:pPr>
        <w:keepNext w:val="0"/>
        <w:keepLines w:val="0"/>
        <w:pageBreakBefore w:val="0"/>
        <w:widowControl w:val="0"/>
        <w:tabs>
          <w:tab w:val="left" w:pos="3833"/>
        </w:tabs>
        <w:kinsoku/>
        <w:wordWrap/>
        <w:overflowPunct/>
        <w:topLinePunct w:val="0"/>
        <w:autoSpaceDE/>
        <w:autoSpaceDN/>
        <w:bidi w:val="0"/>
        <w:adjustRightInd/>
        <w:snapToGrid/>
        <w:ind w:firstLine="640" w:firstLineChars="200"/>
        <w:jc w:val="left"/>
        <w:textAlignment w:val="auto"/>
        <w:rPr>
          <w:rFonts w:hint="default"/>
          <w:lang w:val="en-US" w:eastAsia="zh-CN"/>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r>
        <w:rPr>
          <w:rFonts w:hint="eastAsia"/>
          <w:lang w:val="en-US" w:eastAsia="zh-CN"/>
        </w:rPr>
        <w:tab/>
      </w:r>
      <w:r>
        <w:rPr>
          <w:rFonts w:hint="eastAsia"/>
          <w:lang w:val="en-US" w:eastAsia="zh-CN"/>
        </w:rPr>
        <w:t>2026年10月</w:t>
      </w:r>
    </w:p>
    <w:sdt>
      <w:sdtPr>
        <w:rPr>
          <w:rFonts w:ascii="宋体" w:hAnsi="宋体" w:eastAsia="宋体" w:cstheme="minorBidi"/>
          <w:kern w:val="2"/>
          <w:sz w:val="21"/>
          <w:szCs w:val="24"/>
          <w:lang w:val="en-US" w:eastAsia="zh-CN" w:bidi="ar-SA"/>
        </w:rPr>
        <w:id w:val="147466985"/>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1068F3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center"/>
            <w:textAlignment w:val="auto"/>
            <w:rPr>
              <w:rFonts w:hint="eastAsia" w:ascii="方正小标宋简体" w:hAnsi="方正小标宋简体" w:eastAsia="方正小标宋简体" w:cs="方正小标宋简体"/>
              <w:b w:val="0"/>
              <w:bCs w:val="0"/>
              <w:kern w:val="0"/>
              <w:sz w:val="44"/>
              <w:szCs w:val="22"/>
              <w:highlight w:val="none"/>
              <w:lang w:val="en-US" w:eastAsia="zh-CN"/>
            </w:rPr>
          </w:pPr>
          <w:r>
            <w:rPr>
              <w:rFonts w:hint="eastAsia" w:ascii="方正小标宋简体" w:hAnsi="方正小标宋简体" w:eastAsia="方正小标宋简体" w:cs="方正小标宋简体"/>
              <w:b w:val="0"/>
              <w:bCs w:val="0"/>
              <w:kern w:val="0"/>
              <w:sz w:val="32"/>
              <w:szCs w:val="32"/>
              <w:highlight w:val="none"/>
              <w:lang w:val="en-US" w:eastAsia="zh-CN"/>
            </w:rPr>
            <w:t>目  录</w:t>
          </w:r>
        </w:p>
        <w:p w14:paraId="6BC24B79">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fldChar w:fldCharType="begin"/>
          </w:r>
          <w:r>
            <w:instrText xml:space="preserve">TOC \o "1-2" \h \u </w:instrText>
          </w:r>
          <w:r>
            <w:fldChar w:fldCharType="separate"/>
          </w:r>
          <w:r>
            <w:rPr>
              <w:sz w:val="24"/>
              <w:szCs w:val="24"/>
            </w:rPr>
            <w:fldChar w:fldCharType="begin"/>
          </w:r>
          <w:r>
            <w:rPr>
              <w:sz w:val="24"/>
              <w:szCs w:val="24"/>
            </w:rPr>
            <w:instrText xml:space="preserve"> HYPERLINK \l _Toc9181 </w:instrText>
          </w:r>
          <w:r>
            <w:rPr>
              <w:sz w:val="24"/>
              <w:szCs w:val="24"/>
            </w:rPr>
            <w:fldChar w:fldCharType="separate"/>
          </w:r>
          <w:r>
            <w:rPr>
              <w:rFonts w:hint="eastAsia" w:ascii="黑体" w:hAnsi="黑体" w:eastAsia="黑体" w:cs="黑体"/>
              <w:bCs w:val="0"/>
              <w:kern w:val="2"/>
              <w:sz w:val="24"/>
              <w:szCs w:val="24"/>
              <w:highlight w:val="none"/>
              <w:lang w:val="en-US" w:eastAsia="zh-CN" w:bidi="ar-SA"/>
            </w:rPr>
            <w:t>一、总体要求</w:t>
          </w:r>
          <w:r>
            <w:rPr>
              <w:sz w:val="24"/>
              <w:szCs w:val="24"/>
            </w:rPr>
            <w:tab/>
          </w:r>
          <w:r>
            <w:rPr>
              <w:sz w:val="24"/>
              <w:szCs w:val="24"/>
            </w:rPr>
            <w:fldChar w:fldCharType="begin"/>
          </w:r>
          <w:r>
            <w:rPr>
              <w:sz w:val="24"/>
              <w:szCs w:val="24"/>
            </w:rPr>
            <w:instrText xml:space="preserve"> PAGEREF _Toc9181 \h </w:instrText>
          </w:r>
          <w:r>
            <w:rPr>
              <w:sz w:val="24"/>
              <w:szCs w:val="24"/>
            </w:rPr>
            <w:fldChar w:fldCharType="separate"/>
          </w:r>
          <w:r>
            <w:rPr>
              <w:sz w:val="24"/>
              <w:szCs w:val="24"/>
            </w:rPr>
            <w:t>1</w:t>
          </w:r>
          <w:r>
            <w:rPr>
              <w:sz w:val="24"/>
              <w:szCs w:val="24"/>
            </w:rPr>
            <w:fldChar w:fldCharType="end"/>
          </w:r>
          <w:r>
            <w:rPr>
              <w:sz w:val="24"/>
              <w:szCs w:val="24"/>
            </w:rPr>
            <w:fldChar w:fldCharType="end"/>
          </w:r>
        </w:p>
        <w:p w14:paraId="11766110">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_Toc4125 </w:instrText>
          </w:r>
          <w:r>
            <w:rPr>
              <w:sz w:val="24"/>
              <w:szCs w:val="24"/>
            </w:rPr>
            <w:fldChar w:fldCharType="separate"/>
          </w:r>
          <w:r>
            <w:rPr>
              <w:rFonts w:hint="eastAsia" w:ascii="黑体" w:hAnsi="黑体" w:eastAsia="黑体" w:cs="黑体"/>
              <w:bCs w:val="0"/>
              <w:kern w:val="2"/>
              <w:sz w:val="24"/>
              <w:szCs w:val="24"/>
              <w:highlight w:val="none"/>
              <w:lang w:val="en-US" w:eastAsia="zh-CN" w:bidi="ar-SA"/>
            </w:rPr>
            <w:t>二、实施健康促进提质行动，构筑全民健康新格局</w:t>
          </w:r>
          <w:r>
            <w:rPr>
              <w:sz w:val="24"/>
              <w:szCs w:val="24"/>
            </w:rPr>
            <w:tab/>
          </w:r>
          <w:r>
            <w:rPr>
              <w:sz w:val="24"/>
              <w:szCs w:val="24"/>
            </w:rPr>
            <w:fldChar w:fldCharType="begin"/>
          </w:r>
          <w:r>
            <w:rPr>
              <w:sz w:val="24"/>
              <w:szCs w:val="24"/>
            </w:rPr>
            <w:instrText xml:space="preserve"> PAGEREF _Toc4125 \h </w:instrText>
          </w:r>
          <w:r>
            <w:rPr>
              <w:sz w:val="24"/>
              <w:szCs w:val="24"/>
            </w:rPr>
            <w:fldChar w:fldCharType="separate"/>
          </w:r>
          <w:r>
            <w:rPr>
              <w:sz w:val="24"/>
              <w:szCs w:val="24"/>
            </w:rPr>
            <w:t>4</w:t>
          </w:r>
          <w:r>
            <w:rPr>
              <w:sz w:val="24"/>
              <w:szCs w:val="24"/>
            </w:rPr>
            <w:fldChar w:fldCharType="end"/>
          </w:r>
          <w:r>
            <w:rPr>
              <w:sz w:val="24"/>
              <w:szCs w:val="24"/>
            </w:rPr>
            <w:fldChar w:fldCharType="end"/>
          </w:r>
        </w:p>
        <w:p w14:paraId="111C5166">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_Toc3191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（一）提升爱国卫生运动成效，提高全民健康素养水平</w:t>
          </w:r>
          <w:r>
            <w:rPr>
              <w:sz w:val="24"/>
              <w:szCs w:val="24"/>
            </w:rPr>
            <w:tab/>
          </w:r>
          <w:r>
            <w:rPr>
              <w:sz w:val="24"/>
              <w:szCs w:val="24"/>
            </w:rPr>
            <w:fldChar w:fldCharType="begin"/>
          </w:r>
          <w:r>
            <w:rPr>
              <w:sz w:val="24"/>
              <w:szCs w:val="24"/>
            </w:rPr>
            <w:instrText xml:space="preserve"> PAGEREF _Toc3191 \h </w:instrText>
          </w:r>
          <w:r>
            <w:rPr>
              <w:sz w:val="24"/>
              <w:szCs w:val="24"/>
            </w:rPr>
            <w:fldChar w:fldCharType="separate"/>
          </w:r>
          <w:r>
            <w:rPr>
              <w:sz w:val="24"/>
              <w:szCs w:val="24"/>
            </w:rPr>
            <w:t>4</w:t>
          </w:r>
          <w:r>
            <w:rPr>
              <w:sz w:val="24"/>
              <w:szCs w:val="24"/>
            </w:rPr>
            <w:fldChar w:fldCharType="end"/>
          </w:r>
          <w:r>
            <w:rPr>
              <w:sz w:val="24"/>
              <w:szCs w:val="24"/>
            </w:rPr>
            <w:fldChar w:fldCharType="end"/>
          </w:r>
        </w:p>
        <w:p w14:paraId="499B6FC3">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_Toc31434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（二）全方位统筹慢性病综合防控，提升全民健康管理水平</w:t>
          </w:r>
          <w:r>
            <w:rPr>
              <w:sz w:val="24"/>
              <w:szCs w:val="24"/>
            </w:rPr>
            <w:tab/>
          </w:r>
          <w:r>
            <w:rPr>
              <w:sz w:val="24"/>
              <w:szCs w:val="24"/>
            </w:rPr>
            <w:fldChar w:fldCharType="begin"/>
          </w:r>
          <w:r>
            <w:rPr>
              <w:sz w:val="24"/>
              <w:szCs w:val="24"/>
            </w:rPr>
            <w:instrText xml:space="preserve"> PAGEREF _Toc31434 \h </w:instrText>
          </w:r>
          <w:r>
            <w:rPr>
              <w:sz w:val="24"/>
              <w:szCs w:val="24"/>
            </w:rPr>
            <w:fldChar w:fldCharType="separate"/>
          </w:r>
          <w:r>
            <w:rPr>
              <w:sz w:val="24"/>
              <w:szCs w:val="24"/>
            </w:rPr>
            <w:t>5</w:t>
          </w:r>
          <w:r>
            <w:rPr>
              <w:sz w:val="24"/>
              <w:szCs w:val="24"/>
            </w:rPr>
            <w:fldChar w:fldCharType="end"/>
          </w:r>
          <w:r>
            <w:rPr>
              <w:sz w:val="24"/>
              <w:szCs w:val="24"/>
            </w:rPr>
            <w:fldChar w:fldCharType="end"/>
          </w:r>
        </w:p>
        <w:p w14:paraId="39AF8352">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_Toc20892 </w:instrText>
          </w:r>
          <w:r>
            <w:rPr>
              <w:sz w:val="24"/>
              <w:szCs w:val="24"/>
            </w:rPr>
            <w:fldChar w:fldCharType="separate"/>
          </w:r>
          <w:r>
            <w:rPr>
              <w:rFonts w:hint="eastAsia" w:ascii="黑体" w:hAnsi="黑体" w:eastAsia="黑体" w:cs="黑体"/>
              <w:bCs w:val="0"/>
              <w:kern w:val="2"/>
              <w:sz w:val="24"/>
              <w:szCs w:val="24"/>
              <w:highlight w:val="none"/>
              <w:lang w:val="en-US" w:eastAsia="zh-CN" w:bidi="ar-SA"/>
            </w:rPr>
            <w:t>三、实施公立医院高质量发展行动，构建公立医院动能发展新体系</w:t>
          </w:r>
          <w:r>
            <w:rPr>
              <w:sz w:val="24"/>
              <w:szCs w:val="24"/>
            </w:rPr>
            <w:tab/>
          </w:r>
          <w:r>
            <w:rPr>
              <w:sz w:val="24"/>
              <w:szCs w:val="24"/>
            </w:rPr>
            <w:fldChar w:fldCharType="begin"/>
          </w:r>
          <w:r>
            <w:rPr>
              <w:sz w:val="24"/>
              <w:szCs w:val="24"/>
            </w:rPr>
            <w:instrText xml:space="preserve"> PAGEREF _Toc20892 \h </w:instrText>
          </w:r>
          <w:r>
            <w:rPr>
              <w:sz w:val="24"/>
              <w:szCs w:val="24"/>
            </w:rPr>
            <w:fldChar w:fldCharType="separate"/>
          </w:r>
          <w:r>
            <w:rPr>
              <w:sz w:val="24"/>
              <w:szCs w:val="24"/>
            </w:rPr>
            <w:t>5</w:t>
          </w:r>
          <w:r>
            <w:rPr>
              <w:sz w:val="24"/>
              <w:szCs w:val="24"/>
            </w:rPr>
            <w:fldChar w:fldCharType="end"/>
          </w:r>
          <w:r>
            <w:rPr>
              <w:sz w:val="24"/>
              <w:szCs w:val="24"/>
            </w:rPr>
            <w:fldChar w:fldCharType="end"/>
          </w:r>
        </w:p>
        <w:p w14:paraId="54EEF299">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_Toc17402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（三）改善条件，打造区域医疗核心高地</w:t>
          </w:r>
          <w:r>
            <w:rPr>
              <w:sz w:val="24"/>
              <w:szCs w:val="24"/>
            </w:rPr>
            <w:tab/>
          </w:r>
          <w:r>
            <w:rPr>
              <w:sz w:val="24"/>
              <w:szCs w:val="24"/>
            </w:rPr>
            <w:fldChar w:fldCharType="begin"/>
          </w:r>
          <w:r>
            <w:rPr>
              <w:sz w:val="24"/>
              <w:szCs w:val="24"/>
            </w:rPr>
            <w:instrText xml:space="preserve"> PAGEREF _Toc17402 \h </w:instrText>
          </w:r>
          <w:r>
            <w:rPr>
              <w:sz w:val="24"/>
              <w:szCs w:val="24"/>
            </w:rPr>
            <w:fldChar w:fldCharType="separate"/>
          </w:r>
          <w:r>
            <w:rPr>
              <w:sz w:val="24"/>
              <w:szCs w:val="24"/>
            </w:rPr>
            <w:t>5</w:t>
          </w:r>
          <w:r>
            <w:rPr>
              <w:sz w:val="24"/>
              <w:szCs w:val="24"/>
            </w:rPr>
            <w:fldChar w:fldCharType="end"/>
          </w:r>
          <w:r>
            <w:rPr>
              <w:sz w:val="24"/>
              <w:szCs w:val="24"/>
            </w:rPr>
            <w:fldChar w:fldCharType="end"/>
          </w:r>
        </w:p>
        <w:p w14:paraId="0FE0CE8D">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_Toc13268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（四）发展学科，提升医院服务能力</w:t>
          </w:r>
          <w:r>
            <w:rPr>
              <w:sz w:val="24"/>
              <w:szCs w:val="24"/>
            </w:rPr>
            <w:tab/>
          </w:r>
          <w:r>
            <w:rPr>
              <w:sz w:val="24"/>
              <w:szCs w:val="24"/>
            </w:rPr>
            <w:fldChar w:fldCharType="begin"/>
          </w:r>
          <w:r>
            <w:rPr>
              <w:sz w:val="24"/>
              <w:szCs w:val="24"/>
            </w:rPr>
            <w:instrText xml:space="preserve"> PAGEREF _Toc13268 \h </w:instrText>
          </w:r>
          <w:r>
            <w:rPr>
              <w:sz w:val="24"/>
              <w:szCs w:val="24"/>
            </w:rPr>
            <w:fldChar w:fldCharType="separate"/>
          </w:r>
          <w:r>
            <w:rPr>
              <w:sz w:val="24"/>
              <w:szCs w:val="24"/>
            </w:rPr>
            <w:t>6</w:t>
          </w:r>
          <w:r>
            <w:rPr>
              <w:sz w:val="24"/>
              <w:szCs w:val="24"/>
            </w:rPr>
            <w:fldChar w:fldCharType="end"/>
          </w:r>
          <w:r>
            <w:rPr>
              <w:sz w:val="24"/>
              <w:szCs w:val="24"/>
            </w:rPr>
            <w:fldChar w:fldCharType="end"/>
          </w:r>
        </w:p>
        <w:p w14:paraId="214DCAE6">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_Toc19739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（五）提升质量，优化医疗服务体系</w:t>
          </w:r>
          <w:r>
            <w:rPr>
              <w:sz w:val="24"/>
              <w:szCs w:val="24"/>
            </w:rPr>
            <w:tab/>
          </w:r>
          <w:r>
            <w:rPr>
              <w:sz w:val="24"/>
              <w:szCs w:val="24"/>
            </w:rPr>
            <w:fldChar w:fldCharType="begin"/>
          </w:r>
          <w:r>
            <w:rPr>
              <w:sz w:val="24"/>
              <w:szCs w:val="24"/>
            </w:rPr>
            <w:instrText xml:space="preserve"> PAGEREF _Toc19739 \h </w:instrText>
          </w:r>
          <w:r>
            <w:rPr>
              <w:sz w:val="24"/>
              <w:szCs w:val="24"/>
            </w:rPr>
            <w:fldChar w:fldCharType="separate"/>
          </w:r>
          <w:r>
            <w:rPr>
              <w:sz w:val="24"/>
              <w:szCs w:val="24"/>
            </w:rPr>
            <w:t>7</w:t>
          </w:r>
          <w:r>
            <w:rPr>
              <w:sz w:val="24"/>
              <w:szCs w:val="24"/>
            </w:rPr>
            <w:fldChar w:fldCharType="end"/>
          </w:r>
          <w:r>
            <w:rPr>
              <w:sz w:val="24"/>
              <w:szCs w:val="24"/>
            </w:rPr>
            <w:fldChar w:fldCharType="end"/>
          </w:r>
        </w:p>
        <w:p w14:paraId="46A089A9">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rFonts w:hint="eastAsia" w:ascii="黑体" w:hAnsi="黑体" w:eastAsia="黑体" w:cs="黑体"/>
              <w:bCs w:val="0"/>
              <w:kern w:val="2"/>
              <w:sz w:val="24"/>
              <w:szCs w:val="24"/>
              <w:highlight w:val="none"/>
              <w:lang w:val="en-US" w:eastAsia="zh-CN" w:bidi="ar-SA"/>
            </w:rPr>
            <w:t>四</w:t>
          </w:r>
          <w:r>
            <w:rPr>
              <w:sz w:val="24"/>
              <w:szCs w:val="24"/>
            </w:rPr>
            <w:fldChar w:fldCharType="begin"/>
          </w:r>
          <w:r>
            <w:rPr>
              <w:sz w:val="24"/>
              <w:szCs w:val="24"/>
            </w:rPr>
            <w:instrText xml:space="preserve"> HYPERLINK \l _Toc19894 </w:instrText>
          </w:r>
          <w:r>
            <w:rPr>
              <w:sz w:val="24"/>
              <w:szCs w:val="24"/>
            </w:rPr>
            <w:fldChar w:fldCharType="separate"/>
          </w:r>
          <w:r>
            <w:rPr>
              <w:rFonts w:hint="eastAsia" w:ascii="黑体" w:hAnsi="黑体" w:eastAsia="黑体" w:cs="黑体"/>
              <w:bCs w:val="0"/>
              <w:kern w:val="2"/>
              <w:sz w:val="24"/>
              <w:szCs w:val="24"/>
              <w:highlight w:val="none"/>
              <w:lang w:val="en-US" w:eastAsia="zh-CN" w:bidi="ar-SA"/>
            </w:rPr>
            <w:t>、实施城乡健康一体化改革行动，构建基层卫生健康服务新网底</w:t>
          </w:r>
          <w:r>
            <w:rPr>
              <w:sz w:val="24"/>
              <w:szCs w:val="24"/>
            </w:rPr>
            <w:tab/>
          </w:r>
          <w:r>
            <w:rPr>
              <w:sz w:val="24"/>
              <w:szCs w:val="24"/>
            </w:rPr>
            <w:fldChar w:fldCharType="begin"/>
          </w:r>
          <w:r>
            <w:rPr>
              <w:sz w:val="24"/>
              <w:szCs w:val="24"/>
            </w:rPr>
            <w:instrText xml:space="preserve"> PAGEREF _Toc19894 \h </w:instrText>
          </w:r>
          <w:r>
            <w:rPr>
              <w:sz w:val="24"/>
              <w:szCs w:val="24"/>
            </w:rPr>
            <w:fldChar w:fldCharType="separate"/>
          </w:r>
          <w:r>
            <w:rPr>
              <w:sz w:val="24"/>
              <w:szCs w:val="24"/>
            </w:rPr>
            <w:t>8</w:t>
          </w:r>
          <w:r>
            <w:rPr>
              <w:sz w:val="24"/>
              <w:szCs w:val="24"/>
            </w:rPr>
            <w:fldChar w:fldCharType="end"/>
          </w:r>
          <w:r>
            <w:rPr>
              <w:sz w:val="24"/>
              <w:szCs w:val="24"/>
            </w:rPr>
            <w:fldChar w:fldCharType="end"/>
          </w:r>
        </w:p>
        <w:p w14:paraId="00BD69FF">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_Toc4546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（六）优化基层医疗卫生资源布局</w:t>
          </w:r>
          <w:r>
            <w:rPr>
              <w:sz w:val="24"/>
              <w:szCs w:val="24"/>
            </w:rPr>
            <w:tab/>
          </w:r>
          <w:r>
            <w:rPr>
              <w:sz w:val="24"/>
              <w:szCs w:val="24"/>
            </w:rPr>
            <w:fldChar w:fldCharType="begin"/>
          </w:r>
          <w:r>
            <w:rPr>
              <w:sz w:val="24"/>
              <w:szCs w:val="24"/>
            </w:rPr>
            <w:instrText xml:space="preserve"> PAGEREF _Toc4546 \h </w:instrText>
          </w:r>
          <w:r>
            <w:rPr>
              <w:sz w:val="24"/>
              <w:szCs w:val="24"/>
            </w:rPr>
            <w:fldChar w:fldCharType="separate"/>
          </w:r>
          <w:r>
            <w:rPr>
              <w:sz w:val="24"/>
              <w:szCs w:val="24"/>
            </w:rPr>
            <w:t>8</w:t>
          </w:r>
          <w:r>
            <w:rPr>
              <w:sz w:val="24"/>
              <w:szCs w:val="24"/>
            </w:rPr>
            <w:fldChar w:fldCharType="end"/>
          </w:r>
          <w:r>
            <w:rPr>
              <w:sz w:val="24"/>
              <w:szCs w:val="24"/>
            </w:rPr>
            <w:fldChar w:fldCharType="end"/>
          </w:r>
        </w:p>
        <w:p w14:paraId="34ABAAEB">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_Toc12918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（七）实施强基工程</w:t>
          </w:r>
          <w:r>
            <w:rPr>
              <w:sz w:val="24"/>
              <w:szCs w:val="24"/>
            </w:rPr>
            <w:tab/>
          </w:r>
          <w:r>
            <w:rPr>
              <w:sz w:val="24"/>
              <w:szCs w:val="24"/>
            </w:rPr>
            <w:fldChar w:fldCharType="begin"/>
          </w:r>
          <w:r>
            <w:rPr>
              <w:sz w:val="24"/>
              <w:szCs w:val="24"/>
            </w:rPr>
            <w:instrText xml:space="preserve"> PAGEREF _Toc12918 \h </w:instrText>
          </w:r>
          <w:r>
            <w:rPr>
              <w:sz w:val="24"/>
              <w:szCs w:val="24"/>
            </w:rPr>
            <w:fldChar w:fldCharType="separate"/>
          </w:r>
          <w:r>
            <w:rPr>
              <w:sz w:val="24"/>
              <w:szCs w:val="24"/>
            </w:rPr>
            <w:t>8</w:t>
          </w:r>
          <w:r>
            <w:rPr>
              <w:sz w:val="24"/>
              <w:szCs w:val="24"/>
            </w:rPr>
            <w:fldChar w:fldCharType="end"/>
          </w:r>
          <w:r>
            <w:rPr>
              <w:sz w:val="24"/>
              <w:szCs w:val="24"/>
            </w:rPr>
            <w:fldChar w:fldCharType="end"/>
          </w:r>
        </w:p>
        <w:p w14:paraId="1873E12C">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_Toc3711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（八）提升基层服务水平</w:t>
          </w:r>
          <w:r>
            <w:rPr>
              <w:sz w:val="24"/>
              <w:szCs w:val="24"/>
            </w:rPr>
            <w:tab/>
          </w:r>
          <w:r>
            <w:rPr>
              <w:sz w:val="24"/>
              <w:szCs w:val="24"/>
            </w:rPr>
            <w:fldChar w:fldCharType="begin"/>
          </w:r>
          <w:r>
            <w:rPr>
              <w:sz w:val="24"/>
              <w:szCs w:val="24"/>
            </w:rPr>
            <w:instrText xml:space="preserve"> PAGEREF _Toc3711 \h </w:instrText>
          </w:r>
          <w:r>
            <w:rPr>
              <w:sz w:val="24"/>
              <w:szCs w:val="24"/>
            </w:rPr>
            <w:fldChar w:fldCharType="separate"/>
          </w:r>
          <w:r>
            <w:rPr>
              <w:sz w:val="24"/>
              <w:szCs w:val="24"/>
            </w:rPr>
            <w:t>9</w:t>
          </w:r>
          <w:r>
            <w:rPr>
              <w:sz w:val="24"/>
              <w:szCs w:val="24"/>
            </w:rPr>
            <w:fldChar w:fldCharType="end"/>
          </w:r>
          <w:r>
            <w:rPr>
              <w:sz w:val="24"/>
              <w:szCs w:val="24"/>
            </w:rPr>
            <w:fldChar w:fldCharType="end"/>
          </w:r>
        </w:p>
        <w:p w14:paraId="19D5557C">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_Toc29159 </w:instrText>
          </w:r>
          <w:r>
            <w:rPr>
              <w:sz w:val="24"/>
              <w:szCs w:val="24"/>
            </w:rPr>
            <w:fldChar w:fldCharType="separate"/>
          </w:r>
          <w:r>
            <w:rPr>
              <w:rFonts w:hint="eastAsia" w:ascii="黑体" w:hAnsi="黑体" w:eastAsia="黑体" w:cs="黑体"/>
              <w:bCs w:val="0"/>
              <w:kern w:val="2"/>
              <w:sz w:val="24"/>
              <w:szCs w:val="24"/>
              <w:highlight w:val="none"/>
              <w:lang w:val="en-US" w:eastAsia="zh-CN" w:bidi="ar-SA"/>
            </w:rPr>
            <w:t>五、实施数字健康共同体建设行动，注入卫生健康事业发展新活力</w:t>
          </w:r>
          <w:r>
            <w:rPr>
              <w:sz w:val="24"/>
              <w:szCs w:val="24"/>
            </w:rPr>
            <w:tab/>
          </w:r>
          <w:r>
            <w:rPr>
              <w:sz w:val="24"/>
              <w:szCs w:val="24"/>
            </w:rPr>
            <w:fldChar w:fldCharType="begin"/>
          </w:r>
          <w:r>
            <w:rPr>
              <w:sz w:val="24"/>
              <w:szCs w:val="24"/>
            </w:rPr>
            <w:instrText xml:space="preserve"> PAGEREF _Toc29159 \h </w:instrText>
          </w:r>
          <w:r>
            <w:rPr>
              <w:sz w:val="24"/>
              <w:szCs w:val="24"/>
            </w:rPr>
            <w:fldChar w:fldCharType="separate"/>
          </w:r>
          <w:r>
            <w:rPr>
              <w:sz w:val="24"/>
              <w:szCs w:val="24"/>
            </w:rPr>
            <w:t>9</w:t>
          </w:r>
          <w:r>
            <w:rPr>
              <w:sz w:val="24"/>
              <w:szCs w:val="24"/>
            </w:rPr>
            <w:fldChar w:fldCharType="end"/>
          </w:r>
          <w:r>
            <w:rPr>
              <w:sz w:val="24"/>
              <w:szCs w:val="24"/>
            </w:rPr>
            <w:fldChar w:fldCharType="end"/>
          </w:r>
        </w:p>
        <w:p w14:paraId="37E7A74B">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_Toc2897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（九）打造智慧诊疗集群体系</w:t>
          </w:r>
          <w:r>
            <w:rPr>
              <w:sz w:val="24"/>
              <w:szCs w:val="24"/>
            </w:rPr>
            <w:tab/>
          </w:r>
          <w:r>
            <w:rPr>
              <w:sz w:val="24"/>
              <w:szCs w:val="24"/>
            </w:rPr>
            <w:fldChar w:fldCharType="begin"/>
          </w:r>
          <w:r>
            <w:rPr>
              <w:sz w:val="24"/>
              <w:szCs w:val="24"/>
            </w:rPr>
            <w:instrText xml:space="preserve"> PAGEREF _Toc2897 \h </w:instrText>
          </w:r>
          <w:r>
            <w:rPr>
              <w:sz w:val="24"/>
              <w:szCs w:val="24"/>
            </w:rPr>
            <w:fldChar w:fldCharType="separate"/>
          </w:r>
          <w:r>
            <w:rPr>
              <w:sz w:val="24"/>
              <w:szCs w:val="24"/>
            </w:rPr>
            <w:t>9</w:t>
          </w:r>
          <w:r>
            <w:rPr>
              <w:sz w:val="24"/>
              <w:szCs w:val="24"/>
            </w:rPr>
            <w:fldChar w:fldCharType="end"/>
          </w:r>
          <w:r>
            <w:rPr>
              <w:sz w:val="24"/>
              <w:szCs w:val="24"/>
            </w:rPr>
            <w:fldChar w:fldCharType="end"/>
          </w:r>
        </w:p>
        <w:p w14:paraId="3F5AF0B4">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_Toc13727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（十）构建智慧服务体系</w:t>
          </w:r>
          <w:r>
            <w:rPr>
              <w:sz w:val="24"/>
              <w:szCs w:val="24"/>
            </w:rPr>
            <w:tab/>
          </w:r>
          <w:r>
            <w:rPr>
              <w:sz w:val="24"/>
              <w:szCs w:val="24"/>
            </w:rPr>
            <w:fldChar w:fldCharType="begin"/>
          </w:r>
          <w:r>
            <w:rPr>
              <w:sz w:val="24"/>
              <w:szCs w:val="24"/>
            </w:rPr>
            <w:instrText xml:space="preserve"> PAGEREF _Toc13727 \h </w:instrText>
          </w:r>
          <w:r>
            <w:rPr>
              <w:sz w:val="24"/>
              <w:szCs w:val="24"/>
            </w:rPr>
            <w:fldChar w:fldCharType="separate"/>
          </w:r>
          <w:r>
            <w:rPr>
              <w:sz w:val="24"/>
              <w:szCs w:val="24"/>
            </w:rPr>
            <w:t>10</w:t>
          </w:r>
          <w:r>
            <w:rPr>
              <w:sz w:val="24"/>
              <w:szCs w:val="24"/>
            </w:rPr>
            <w:fldChar w:fldCharType="end"/>
          </w:r>
          <w:r>
            <w:rPr>
              <w:sz w:val="24"/>
              <w:szCs w:val="24"/>
            </w:rPr>
            <w:fldChar w:fldCharType="end"/>
          </w:r>
        </w:p>
        <w:p w14:paraId="2C8D7956">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_Toc20165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（十一）构建基层一体化服务模式</w:t>
          </w:r>
          <w:r>
            <w:rPr>
              <w:sz w:val="24"/>
              <w:szCs w:val="24"/>
            </w:rPr>
            <w:tab/>
          </w:r>
          <w:r>
            <w:rPr>
              <w:sz w:val="24"/>
              <w:szCs w:val="24"/>
            </w:rPr>
            <w:fldChar w:fldCharType="begin"/>
          </w:r>
          <w:r>
            <w:rPr>
              <w:sz w:val="24"/>
              <w:szCs w:val="24"/>
            </w:rPr>
            <w:instrText xml:space="preserve"> PAGEREF _Toc20165 \h </w:instrText>
          </w:r>
          <w:r>
            <w:rPr>
              <w:sz w:val="24"/>
              <w:szCs w:val="24"/>
            </w:rPr>
            <w:fldChar w:fldCharType="separate"/>
          </w:r>
          <w:r>
            <w:rPr>
              <w:sz w:val="24"/>
              <w:szCs w:val="24"/>
            </w:rPr>
            <w:t>10</w:t>
          </w:r>
          <w:r>
            <w:rPr>
              <w:sz w:val="24"/>
              <w:szCs w:val="24"/>
            </w:rPr>
            <w:fldChar w:fldCharType="end"/>
          </w:r>
          <w:r>
            <w:rPr>
              <w:sz w:val="24"/>
              <w:szCs w:val="24"/>
            </w:rPr>
            <w:fldChar w:fldCharType="end"/>
          </w:r>
        </w:p>
        <w:p w14:paraId="36A14852">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_Toc2070 </w:instrText>
          </w:r>
          <w:r>
            <w:rPr>
              <w:sz w:val="24"/>
              <w:szCs w:val="24"/>
            </w:rPr>
            <w:fldChar w:fldCharType="separate"/>
          </w:r>
          <w:r>
            <w:rPr>
              <w:rFonts w:hint="eastAsia" w:ascii="黑体" w:hAnsi="黑体" w:eastAsia="黑体" w:cs="黑体"/>
              <w:bCs w:val="0"/>
              <w:kern w:val="2"/>
              <w:sz w:val="24"/>
              <w:szCs w:val="24"/>
              <w:highlight w:val="none"/>
              <w:lang w:val="en-US" w:eastAsia="zh-CN" w:bidi="ar-SA"/>
            </w:rPr>
            <w:t>六、实施公卫应急体系强化行动，筑牢群众健康守护新防线</w:t>
          </w:r>
          <w:r>
            <w:rPr>
              <w:sz w:val="24"/>
              <w:szCs w:val="24"/>
            </w:rPr>
            <w:tab/>
          </w:r>
          <w:r>
            <w:rPr>
              <w:sz w:val="24"/>
              <w:szCs w:val="24"/>
            </w:rPr>
            <w:fldChar w:fldCharType="begin"/>
          </w:r>
          <w:r>
            <w:rPr>
              <w:sz w:val="24"/>
              <w:szCs w:val="24"/>
            </w:rPr>
            <w:instrText xml:space="preserve"> PAGEREF _Toc2070 \h </w:instrText>
          </w:r>
          <w:r>
            <w:rPr>
              <w:sz w:val="24"/>
              <w:szCs w:val="24"/>
            </w:rPr>
            <w:fldChar w:fldCharType="separate"/>
          </w:r>
          <w:r>
            <w:rPr>
              <w:sz w:val="24"/>
              <w:szCs w:val="24"/>
            </w:rPr>
            <w:t>11</w:t>
          </w:r>
          <w:r>
            <w:rPr>
              <w:sz w:val="24"/>
              <w:szCs w:val="24"/>
            </w:rPr>
            <w:fldChar w:fldCharType="end"/>
          </w:r>
          <w:r>
            <w:rPr>
              <w:sz w:val="24"/>
              <w:szCs w:val="24"/>
            </w:rPr>
            <w:fldChar w:fldCharType="end"/>
          </w:r>
        </w:p>
        <w:p w14:paraId="0F34E5E0">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_Toc9989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（十二）提升现代化疾控核心能力</w:t>
          </w:r>
          <w:r>
            <w:rPr>
              <w:sz w:val="24"/>
              <w:szCs w:val="24"/>
            </w:rPr>
            <w:tab/>
          </w:r>
          <w:r>
            <w:rPr>
              <w:sz w:val="24"/>
              <w:szCs w:val="24"/>
            </w:rPr>
            <w:fldChar w:fldCharType="begin"/>
          </w:r>
          <w:r>
            <w:rPr>
              <w:sz w:val="24"/>
              <w:szCs w:val="24"/>
            </w:rPr>
            <w:instrText xml:space="preserve"> PAGEREF _Toc9989 \h </w:instrText>
          </w:r>
          <w:r>
            <w:rPr>
              <w:sz w:val="24"/>
              <w:szCs w:val="24"/>
            </w:rPr>
            <w:fldChar w:fldCharType="separate"/>
          </w:r>
          <w:r>
            <w:rPr>
              <w:sz w:val="24"/>
              <w:szCs w:val="24"/>
            </w:rPr>
            <w:t>11</w:t>
          </w:r>
          <w:r>
            <w:rPr>
              <w:sz w:val="24"/>
              <w:szCs w:val="24"/>
            </w:rPr>
            <w:fldChar w:fldCharType="end"/>
          </w:r>
          <w:r>
            <w:rPr>
              <w:sz w:val="24"/>
              <w:szCs w:val="24"/>
            </w:rPr>
            <w:fldChar w:fldCharType="end"/>
          </w:r>
        </w:p>
        <w:p w14:paraId="05DBD692">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_Toc7682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（十三）健全公卫应急体系建设</w:t>
          </w:r>
          <w:r>
            <w:rPr>
              <w:sz w:val="24"/>
              <w:szCs w:val="24"/>
            </w:rPr>
            <w:tab/>
          </w:r>
          <w:r>
            <w:rPr>
              <w:sz w:val="24"/>
              <w:szCs w:val="24"/>
            </w:rPr>
            <w:fldChar w:fldCharType="begin"/>
          </w:r>
          <w:r>
            <w:rPr>
              <w:sz w:val="24"/>
              <w:szCs w:val="24"/>
            </w:rPr>
            <w:instrText xml:space="preserve"> PAGEREF _Toc7682 \h </w:instrText>
          </w:r>
          <w:r>
            <w:rPr>
              <w:sz w:val="24"/>
              <w:szCs w:val="24"/>
            </w:rPr>
            <w:fldChar w:fldCharType="separate"/>
          </w:r>
          <w:r>
            <w:rPr>
              <w:sz w:val="24"/>
              <w:szCs w:val="24"/>
            </w:rPr>
            <w:t>11</w:t>
          </w:r>
          <w:r>
            <w:rPr>
              <w:sz w:val="24"/>
              <w:szCs w:val="24"/>
            </w:rPr>
            <w:fldChar w:fldCharType="end"/>
          </w:r>
          <w:r>
            <w:rPr>
              <w:sz w:val="24"/>
              <w:szCs w:val="24"/>
            </w:rPr>
            <w:fldChar w:fldCharType="end"/>
          </w:r>
        </w:p>
        <w:p w14:paraId="3D6CE8F9">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_Toc24672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（十四）完善精神卫生服务体系</w:t>
          </w:r>
          <w:r>
            <w:rPr>
              <w:sz w:val="24"/>
              <w:szCs w:val="24"/>
            </w:rPr>
            <w:tab/>
          </w:r>
          <w:r>
            <w:rPr>
              <w:sz w:val="24"/>
              <w:szCs w:val="24"/>
            </w:rPr>
            <w:fldChar w:fldCharType="begin"/>
          </w:r>
          <w:r>
            <w:rPr>
              <w:sz w:val="24"/>
              <w:szCs w:val="24"/>
            </w:rPr>
            <w:instrText xml:space="preserve"> PAGEREF _Toc24672 \h </w:instrText>
          </w:r>
          <w:r>
            <w:rPr>
              <w:sz w:val="24"/>
              <w:szCs w:val="24"/>
            </w:rPr>
            <w:fldChar w:fldCharType="separate"/>
          </w:r>
          <w:r>
            <w:rPr>
              <w:sz w:val="24"/>
              <w:szCs w:val="24"/>
            </w:rPr>
            <w:t>12</w:t>
          </w:r>
          <w:r>
            <w:rPr>
              <w:sz w:val="24"/>
              <w:szCs w:val="24"/>
            </w:rPr>
            <w:fldChar w:fldCharType="end"/>
          </w:r>
          <w:r>
            <w:rPr>
              <w:sz w:val="24"/>
              <w:szCs w:val="24"/>
            </w:rPr>
            <w:fldChar w:fldCharType="end"/>
          </w:r>
        </w:p>
        <w:p w14:paraId="023D6DD2">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_Toc31542 </w:instrText>
          </w:r>
          <w:r>
            <w:rPr>
              <w:sz w:val="24"/>
              <w:szCs w:val="24"/>
            </w:rPr>
            <w:fldChar w:fldCharType="separate"/>
          </w:r>
          <w:r>
            <w:rPr>
              <w:rFonts w:hint="eastAsia" w:ascii="黑体" w:hAnsi="黑体" w:eastAsia="黑体" w:cs="黑体"/>
              <w:bCs w:val="0"/>
              <w:kern w:val="2"/>
              <w:sz w:val="24"/>
              <w:szCs w:val="24"/>
              <w:highlight w:val="none"/>
              <w:lang w:val="en-US" w:eastAsia="zh-CN" w:bidi="ar-SA"/>
            </w:rPr>
            <w:t>七、实施“构建全生命周期健康服务网”行动，打造全民健康保障新体系</w:t>
          </w:r>
          <w:r>
            <w:rPr>
              <w:sz w:val="24"/>
              <w:szCs w:val="24"/>
            </w:rPr>
            <w:tab/>
          </w:r>
          <w:r>
            <w:rPr>
              <w:sz w:val="24"/>
              <w:szCs w:val="24"/>
            </w:rPr>
            <w:fldChar w:fldCharType="begin"/>
          </w:r>
          <w:r>
            <w:rPr>
              <w:sz w:val="24"/>
              <w:szCs w:val="24"/>
            </w:rPr>
            <w:instrText xml:space="preserve"> PAGEREF _Toc31542 \h </w:instrText>
          </w:r>
          <w:r>
            <w:rPr>
              <w:sz w:val="24"/>
              <w:szCs w:val="24"/>
            </w:rPr>
            <w:fldChar w:fldCharType="separate"/>
          </w:r>
          <w:r>
            <w:rPr>
              <w:sz w:val="24"/>
              <w:szCs w:val="24"/>
            </w:rPr>
            <w:t>13</w:t>
          </w:r>
          <w:r>
            <w:rPr>
              <w:sz w:val="24"/>
              <w:szCs w:val="24"/>
            </w:rPr>
            <w:fldChar w:fldCharType="end"/>
          </w:r>
          <w:r>
            <w:rPr>
              <w:sz w:val="24"/>
              <w:szCs w:val="24"/>
            </w:rPr>
            <w:fldChar w:fldCharType="end"/>
          </w:r>
        </w:p>
        <w:p w14:paraId="45E648C5">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_Toc15636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（十五）完善“育有所助”的生育支持体系</w:t>
          </w:r>
          <w:r>
            <w:rPr>
              <w:sz w:val="24"/>
              <w:szCs w:val="24"/>
            </w:rPr>
            <w:tab/>
          </w:r>
          <w:r>
            <w:rPr>
              <w:sz w:val="24"/>
              <w:szCs w:val="24"/>
            </w:rPr>
            <w:fldChar w:fldCharType="begin"/>
          </w:r>
          <w:r>
            <w:rPr>
              <w:sz w:val="24"/>
              <w:szCs w:val="24"/>
            </w:rPr>
            <w:instrText xml:space="preserve"> PAGEREF _Toc15636 \h </w:instrText>
          </w:r>
          <w:r>
            <w:rPr>
              <w:sz w:val="24"/>
              <w:szCs w:val="24"/>
            </w:rPr>
            <w:fldChar w:fldCharType="separate"/>
          </w:r>
          <w:r>
            <w:rPr>
              <w:sz w:val="24"/>
              <w:szCs w:val="24"/>
            </w:rPr>
            <w:t>13</w:t>
          </w:r>
          <w:r>
            <w:rPr>
              <w:sz w:val="24"/>
              <w:szCs w:val="24"/>
            </w:rPr>
            <w:fldChar w:fldCharType="end"/>
          </w:r>
          <w:r>
            <w:rPr>
              <w:sz w:val="24"/>
              <w:szCs w:val="24"/>
            </w:rPr>
            <w:fldChar w:fldCharType="end"/>
          </w:r>
        </w:p>
        <w:p w14:paraId="488F0FBF">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_Toc22475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（十六）筑牢“幼有善育”的起点关怀体系</w:t>
          </w:r>
          <w:r>
            <w:rPr>
              <w:sz w:val="24"/>
              <w:szCs w:val="24"/>
            </w:rPr>
            <w:tab/>
          </w:r>
          <w:r>
            <w:rPr>
              <w:sz w:val="24"/>
              <w:szCs w:val="24"/>
            </w:rPr>
            <w:fldChar w:fldCharType="begin"/>
          </w:r>
          <w:r>
            <w:rPr>
              <w:sz w:val="24"/>
              <w:szCs w:val="24"/>
            </w:rPr>
            <w:instrText xml:space="preserve"> PAGEREF _Toc22475 \h </w:instrText>
          </w:r>
          <w:r>
            <w:rPr>
              <w:sz w:val="24"/>
              <w:szCs w:val="24"/>
            </w:rPr>
            <w:fldChar w:fldCharType="separate"/>
          </w:r>
          <w:r>
            <w:rPr>
              <w:sz w:val="24"/>
              <w:szCs w:val="24"/>
            </w:rPr>
            <w:t>13</w:t>
          </w:r>
          <w:r>
            <w:rPr>
              <w:sz w:val="24"/>
              <w:szCs w:val="24"/>
            </w:rPr>
            <w:fldChar w:fldCharType="end"/>
          </w:r>
          <w:r>
            <w:rPr>
              <w:sz w:val="24"/>
              <w:szCs w:val="24"/>
            </w:rPr>
            <w:fldChar w:fldCharType="end"/>
          </w:r>
        </w:p>
        <w:p w14:paraId="1A2AA5E7">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_Toc24671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（十七）健全“老有颐养”的晚年幸福体系</w:t>
          </w:r>
          <w:r>
            <w:rPr>
              <w:sz w:val="24"/>
              <w:szCs w:val="24"/>
            </w:rPr>
            <w:tab/>
          </w:r>
          <w:r>
            <w:rPr>
              <w:sz w:val="24"/>
              <w:szCs w:val="24"/>
            </w:rPr>
            <w:fldChar w:fldCharType="begin"/>
          </w:r>
          <w:r>
            <w:rPr>
              <w:sz w:val="24"/>
              <w:szCs w:val="24"/>
            </w:rPr>
            <w:instrText xml:space="preserve"> PAGEREF _Toc24671 \h </w:instrText>
          </w:r>
          <w:r>
            <w:rPr>
              <w:sz w:val="24"/>
              <w:szCs w:val="24"/>
            </w:rPr>
            <w:fldChar w:fldCharType="separate"/>
          </w:r>
          <w:r>
            <w:rPr>
              <w:sz w:val="24"/>
              <w:szCs w:val="24"/>
            </w:rPr>
            <w:t>14</w:t>
          </w:r>
          <w:r>
            <w:rPr>
              <w:sz w:val="24"/>
              <w:szCs w:val="24"/>
            </w:rPr>
            <w:fldChar w:fldCharType="end"/>
          </w:r>
          <w:r>
            <w:rPr>
              <w:sz w:val="24"/>
              <w:szCs w:val="24"/>
            </w:rPr>
            <w:fldChar w:fldCharType="end"/>
          </w:r>
        </w:p>
        <w:p w14:paraId="4CB0CDF9">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_Toc3946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（十八</w:t>
          </w:r>
          <w:r>
            <w:rPr>
              <w:rFonts w:hint="default" w:ascii="宋体" w:hAnsi="宋体" w:eastAsia="楷体_GB2312" w:cs="Times New Roman"/>
              <w:bCs/>
              <w:kern w:val="0"/>
              <w:sz w:val="24"/>
              <w:szCs w:val="24"/>
              <w:highlight w:val="none"/>
              <w:lang w:val="en-US" w:eastAsia="zh-CN" w:bidi="ar-SA"/>
            </w:rPr>
            <w:t>）筑牢“弱有所扶”的普惠保障体系</w:t>
          </w:r>
          <w:r>
            <w:rPr>
              <w:sz w:val="24"/>
              <w:szCs w:val="24"/>
            </w:rPr>
            <w:tab/>
          </w:r>
          <w:r>
            <w:rPr>
              <w:sz w:val="24"/>
              <w:szCs w:val="24"/>
            </w:rPr>
            <w:fldChar w:fldCharType="begin"/>
          </w:r>
          <w:r>
            <w:rPr>
              <w:sz w:val="24"/>
              <w:szCs w:val="24"/>
            </w:rPr>
            <w:instrText xml:space="preserve"> PAGEREF _Toc3946 \h </w:instrText>
          </w:r>
          <w:r>
            <w:rPr>
              <w:sz w:val="24"/>
              <w:szCs w:val="24"/>
            </w:rPr>
            <w:fldChar w:fldCharType="separate"/>
          </w:r>
          <w:r>
            <w:rPr>
              <w:sz w:val="24"/>
              <w:szCs w:val="24"/>
            </w:rPr>
            <w:t>14</w:t>
          </w:r>
          <w:r>
            <w:rPr>
              <w:sz w:val="24"/>
              <w:szCs w:val="24"/>
            </w:rPr>
            <w:fldChar w:fldCharType="end"/>
          </w:r>
          <w:r>
            <w:rPr>
              <w:sz w:val="24"/>
              <w:szCs w:val="24"/>
            </w:rPr>
            <w:fldChar w:fldCharType="end"/>
          </w:r>
        </w:p>
        <w:p w14:paraId="4E100673">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_Toc28451 </w:instrText>
          </w:r>
          <w:r>
            <w:rPr>
              <w:sz w:val="24"/>
              <w:szCs w:val="24"/>
            </w:rPr>
            <w:fldChar w:fldCharType="separate"/>
          </w:r>
          <w:r>
            <w:rPr>
              <w:rFonts w:hint="eastAsia" w:ascii="黑体" w:hAnsi="黑体" w:eastAsia="黑体" w:cs="黑体"/>
              <w:bCs w:val="0"/>
              <w:kern w:val="2"/>
              <w:sz w:val="24"/>
              <w:szCs w:val="24"/>
              <w:highlight w:val="none"/>
              <w:lang w:val="en-US" w:eastAsia="zh-CN" w:bidi="ar-SA"/>
            </w:rPr>
            <w:t>八、实施大健康产业生态培育行动，激活医疗健康事业发展新引擎</w:t>
          </w:r>
          <w:r>
            <w:rPr>
              <w:sz w:val="24"/>
              <w:szCs w:val="24"/>
            </w:rPr>
            <w:tab/>
          </w:r>
          <w:r>
            <w:rPr>
              <w:sz w:val="24"/>
              <w:szCs w:val="24"/>
            </w:rPr>
            <w:fldChar w:fldCharType="begin"/>
          </w:r>
          <w:r>
            <w:rPr>
              <w:sz w:val="24"/>
              <w:szCs w:val="24"/>
            </w:rPr>
            <w:instrText xml:space="preserve"> PAGEREF _Toc28451 \h </w:instrText>
          </w:r>
          <w:r>
            <w:rPr>
              <w:sz w:val="24"/>
              <w:szCs w:val="24"/>
            </w:rPr>
            <w:fldChar w:fldCharType="separate"/>
          </w:r>
          <w:r>
            <w:rPr>
              <w:sz w:val="24"/>
              <w:szCs w:val="24"/>
            </w:rPr>
            <w:t>15</w:t>
          </w:r>
          <w:r>
            <w:rPr>
              <w:sz w:val="24"/>
              <w:szCs w:val="24"/>
            </w:rPr>
            <w:fldChar w:fldCharType="end"/>
          </w:r>
          <w:r>
            <w:rPr>
              <w:sz w:val="24"/>
              <w:szCs w:val="24"/>
            </w:rPr>
            <w:fldChar w:fldCharType="end"/>
          </w:r>
        </w:p>
        <w:p w14:paraId="58FA302B">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_Toc29664 </w:instrText>
          </w:r>
          <w:r>
            <w:rPr>
              <w:sz w:val="24"/>
              <w:szCs w:val="24"/>
            </w:rPr>
            <w:fldChar w:fldCharType="separate"/>
          </w:r>
          <w:r>
            <w:rPr>
              <w:rFonts w:hint="default" w:ascii="宋体" w:hAnsi="宋体" w:eastAsia="楷体_GB2312" w:cs="Times New Roman"/>
              <w:bCs/>
              <w:kern w:val="0"/>
              <w:sz w:val="24"/>
              <w:szCs w:val="24"/>
              <w:highlight w:val="none"/>
              <w:lang w:val="en-US" w:eastAsia="zh-CN" w:bidi="ar-SA"/>
            </w:rPr>
            <w:t>（</w:t>
          </w:r>
          <w:r>
            <w:rPr>
              <w:rFonts w:hint="eastAsia" w:ascii="宋体" w:hAnsi="宋体" w:eastAsia="楷体_GB2312" w:cs="Times New Roman"/>
              <w:bCs/>
              <w:kern w:val="0"/>
              <w:sz w:val="24"/>
              <w:szCs w:val="24"/>
              <w:highlight w:val="none"/>
              <w:lang w:val="en-US" w:eastAsia="zh-CN" w:bidi="ar-SA"/>
            </w:rPr>
            <w:t>十九</w:t>
          </w:r>
          <w:r>
            <w:rPr>
              <w:rFonts w:hint="default" w:ascii="宋体" w:hAnsi="宋体" w:eastAsia="楷体_GB2312" w:cs="Times New Roman"/>
              <w:bCs/>
              <w:kern w:val="0"/>
              <w:sz w:val="24"/>
              <w:szCs w:val="24"/>
              <w:highlight w:val="none"/>
              <w:lang w:val="en-US" w:eastAsia="zh-CN" w:bidi="ar-SA"/>
            </w:rPr>
            <w:t>）推动医药健康产业发展</w:t>
          </w:r>
          <w:r>
            <w:rPr>
              <w:sz w:val="24"/>
              <w:szCs w:val="24"/>
            </w:rPr>
            <w:tab/>
          </w:r>
          <w:r>
            <w:rPr>
              <w:sz w:val="24"/>
              <w:szCs w:val="24"/>
            </w:rPr>
            <w:fldChar w:fldCharType="begin"/>
          </w:r>
          <w:r>
            <w:rPr>
              <w:sz w:val="24"/>
              <w:szCs w:val="24"/>
            </w:rPr>
            <w:instrText xml:space="preserve"> PAGEREF _Toc29664 \h </w:instrText>
          </w:r>
          <w:r>
            <w:rPr>
              <w:sz w:val="24"/>
              <w:szCs w:val="24"/>
            </w:rPr>
            <w:fldChar w:fldCharType="separate"/>
          </w:r>
          <w:r>
            <w:rPr>
              <w:sz w:val="24"/>
              <w:szCs w:val="24"/>
            </w:rPr>
            <w:t>15</w:t>
          </w:r>
          <w:r>
            <w:rPr>
              <w:sz w:val="24"/>
              <w:szCs w:val="24"/>
            </w:rPr>
            <w:fldChar w:fldCharType="end"/>
          </w:r>
          <w:r>
            <w:rPr>
              <w:sz w:val="24"/>
              <w:szCs w:val="24"/>
            </w:rPr>
            <w:fldChar w:fldCharType="end"/>
          </w:r>
        </w:p>
        <w:p w14:paraId="5E07F7E5">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_Toc31392 </w:instrText>
          </w:r>
          <w:r>
            <w:rPr>
              <w:sz w:val="24"/>
              <w:szCs w:val="24"/>
            </w:rPr>
            <w:fldChar w:fldCharType="separate"/>
          </w:r>
          <w:r>
            <w:rPr>
              <w:rFonts w:hint="default" w:ascii="宋体" w:hAnsi="宋体" w:eastAsia="楷体_GB2312" w:cs="Times New Roman"/>
              <w:bCs/>
              <w:kern w:val="0"/>
              <w:sz w:val="24"/>
              <w:szCs w:val="24"/>
              <w:highlight w:val="none"/>
              <w:lang w:val="en-US" w:eastAsia="zh-CN" w:bidi="ar-SA"/>
            </w:rPr>
            <w:t>（二</w:t>
          </w:r>
          <w:r>
            <w:rPr>
              <w:rFonts w:hint="eastAsia" w:ascii="宋体" w:hAnsi="宋体" w:eastAsia="楷体_GB2312" w:cs="Times New Roman"/>
              <w:bCs/>
              <w:kern w:val="0"/>
              <w:sz w:val="24"/>
              <w:szCs w:val="24"/>
              <w:highlight w:val="none"/>
              <w:lang w:val="en-US" w:eastAsia="zh-CN" w:bidi="ar-SA"/>
            </w:rPr>
            <w:t>十</w:t>
          </w:r>
          <w:r>
            <w:rPr>
              <w:rFonts w:hint="default" w:ascii="宋体" w:hAnsi="宋体" w:eastAsia="楷体_GB2312" w:cs="Times New Roman"/>
              <w:bCs/>
              <w:kern w:val="0"/>
              <w:sz w:val="24"/>
              <w:szCs w:val="24"/>
              <w:highlight w:val="none"/>
              <w:lang w:val="en-US" w:eastAsia="zh-CN" w:bidi="ar-SA"/>
            </w:rPr>
            <w:t>）提升中医药文化品牌吸引力</w:t>
          </w:r>
          <w:r>
            <w:rPr>
              <w:sz w:val="24"/>
              <w:szCs w:val="24"/>
            </w:rPr>
            <w:tab/>
          </w:r>
          <w:r>
            <w:rPr>
              <w:sz w:val="24"/>
              <w:szCs w:val="24"/>
            </w:rPr>
            <w:fldChar w:fldCharType="begin"/>
          </w:r>
          <w:r>
            <w:rPr>
              <w:sz w:val="24"/>
              <w:szCs w:val="24"/>
            </w:rPr>
            <w:instrText xml:space="preserve"> PAGEREF _Toc31392 \h </w:instrText>
          </w:r>
          <w:r>
            <w:rPr>
              <w:sz w:val="24"/>
              <w:szCs w:val="24"/>
            </w:rPr>
            <w:fldChar w:fldCharType="separate"/>
          </w:r>
          <w:r>
            <w:rPr>
              <w:sz w:val="24"/>
              <w:szCs w:val="24"/>
            </w:rPr>
            <w:t>16</w:t>
          </w:r>
          <w:r>
            <w:rPr>
              <w:sz w:val="24"/>
              <w:szCs w:val="24"/>
            </w:rPr>
            <w:fldChar w:fldCharType="end"/>
          </w:r>
          <w:r>
            <w:rPr>
              <w:sz w:val="24"/>
              <w:szCs w:val="24"/>
            </w:rPr>
            <w:fldChar w:fldCharType="end"/>
          </w:r>
        </w:p>
        <w:p w14:paraId="435B5158">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_Toc25964 </w:instrText>
          </w:r>
          <w:r>
            <w:rPr>
              <w:sz w:val="24"/>
              <w:szCs w:val="24"/>
            </w:rPr>
            <w:fldChar w:fldCharType="separate"/>
          </w:r>
          <w:r>
            <w:rPr>
              <w:rFonts w:hint="default" w:ascii="宋体" w:hAnsi="宋体" w:eastAsia="楷体_GB2312" w:cs="Times New Roman"/>
              <w:bCs/>
              <w:kern w:val="0"/>
              <w:sz w:val="24"/>
              <w:szCs w:val="24"/>
              <w:highlight w:val="none"/>
              <w:lang w:val="en-US" w:eastAsia="zh-CN" w:bidi="ar-SA"/>
            </w:rPr>
            <w:t>（</w:t>
          </w:r>
          <w:r>
            <w:rPr>
              <w:rFonts w:hint="eastAsia" w:ascii="宋体" w:hAnsi="宋体" w:eastAsia="楷体_GB2312" w:cs="Times New Roman"/>
              <w:bCs/>
              <w:kern w:val="0"/>
              <w:sz w:val="24"/>
              <w:szCs w:val="24"/>
              <w:highlight w:val="none"/>
              <w:lang w:val="en-US" w:eastAsia="zh-CN" w:bidi="ar-SA"/>
            </w:rPr>
            <w:t>二十一</w:t>
          </w:r>
          <w:r>
            <w:rPr>
              <w:rFonts w:hint="default" w:ascii="宋体" w:hAnsi="宋体" w:eastAsia="楷体_GB2312" w:cs="Times New Roman"/>
              <w:bCs/>
              <w:kern w:val="0"/>
              <w:sz w:val="24"/>
              <w:szCs w:val="24"/>
              <w:highlight w:val="none"/>
              <w:lang w:val="en-US" w:eastAsia="zh-CN" w:bidi="ar-SA"/>
            </w:rPr>
            <w:t>）优化为企服务体系</w:t>
          </w:r>
          <w:r>
            <w:rPr>
              <w:sz w:val="24"/>
              <w:szCs w:val="24"/>
            </w:rPr>
            <w:tab/>
          </w:r>
          <w:r>
            <w:rPr>
              <w:sz w:val="24"/>
              <w:szCs w:val="24"/>
            </w:rPr>
            <w:fldChar w:fldCharType="begin"/>
          </w:r>
          <w:r>
            <w:rPr>
              <w:sz w:val="24"/>
              <w:szCs w:val="24"/>
            </w:rPr>
            <w:instrText xml:space="preserve"> PAGEREF _Toc25964 \h </w:instrText>
          </w:r>
          <w:r>
            <w:rPr>
              <w:sz w:val="24"/>
              <w:szCs w:val="24"/>
            </w:rPr>
            <w:fldChar w:fldCharType="separate"/>
          </w:r>
          <w:r>
            <w:rPr>
              <w:sz w:val="24"/>
              <w:szCs w:val="24"/>
            </w:rPr>
            <w:t>16</w:t>
          </w:r>
          <w:r>
            <w:rPr>
              <w:sz w:val="24"/>
              <w:szCs w:val="24"/>
            </w:rPr>
            <w:fldChar w:fldCharType="end"/>
          </w:r>
          <w:r>
            <w:rPr>
              <w:sz w:val="24"/>
              <w:szCs w:val="24"/>
            </w:rPr>
            <w:fldChar w:fldCharType="end"/>
          </w:r>
        </w:p>
        <w:p w14:paraId="69FE5891">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_Toc11796 </w:instrText>
          </w:r>
          <w:r>
            <w:rPr>
              <w:sz w:val="24"/>
              <w:szCs w:val="24"/>
            </w:rPr>
            <w:fldChar w:fldCharType="separate"/>
          </w:r>
          <w:r>
            <w:rPr>
              <w:rFonts w:hint="eastAsia" w:ascii="黑体" w:hAnsi="黑体" w:eastAsia="黑体" w:cs="黑体"/>
              <w:bCs w:val="0"/>
              <w:kern w:val="2"/>
              <w:sz w:val="24"/>
              <w:szCs w:val="24"/>
              <w:highlight w:val="none"/>
              <w:lang w:val="en-US" w:eastAsia="zh-CN" w:bidi="ar-SA"/>
            </w:rPr>
            <w:t>九、实施卫生健康人才能力提升行动，构建人才驱动发展新格局</w:t>
          </w:r>
          <w:r>
            <w:rPr>
              <w:sz w:val="24"/>
              <w:szCs w:val="24"/>
            </w:rPr>
            <w:tab/>
          </w:r>
          <w:r>
            <w:rPr>
              <w:sz w:val="24"/>
              <w:szCs w:val="24"/>
            </w:rPr>
            <w:fldChar w:fldCharType="begin"/>
          </w:r>
          <w:r>
            <w:rPr>
              <w:sz w:val="24"/>
              <w:szCs w:val="24"/>
            </w:rPr>
            <w:instrText xml:space="preserve"> PAGEREF _Toc11796 \h </w:instrText>
          </w:r>
          <w:r>
            <w:rPr>
              <w:sz w:val="24"/>
              <w:szCs w:val="24"/>
            </w:rPr>
            <w:fldChar w:fldCharType="separate"/>
          </w:r>
          <w:r>
            <w:rPr>
              <w:sz w:val="24"/>
              <w:szCs w:val="24"/>
            </w:rPr>
            <w:t>17</w:t>
          </w:r>
          <w:r>
            <w:rPr>
              <w:sz w:val="24"/>
              <w:szCs w:val="24"/>
            </w:rPr>
            <w:fldChar w:fldCharType="end"/>
          </w:r>
          <w:r>
            <w:rPr>
              <w:sz w:val="24"/>
              <w:szCs w:val="24"/>
            </w:rPr>
            <w:fldChar w:fldCharType="end"/>
          </w:r>
        </w:p>
        <w:p w14:paraId="56CC424D">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_Toc26214 </w:instrText>
          </w:r>
          <w:r>
            <w:rPr>
              <w:sz w:val="24"/>
              <w:szCs w:val="24"/>
            </w:rPr>
            <w:fldChar w:fldCharType="separate"/>
          </w:r>
          <w:r>
            <w:rPr>
              <w:rFonts w:hint="default" w:ascii="宋体" w:hAnsi="宋体" w:eastAsia="楷体_GB2312" w:cs="Times New Roman"/>
              <w:bCs/>
              <w:kern w:val="0"/>
              <w:sz w:val="24"/>
              <w:szCs w:val="24"/>
              <w:highlight w:val="none"/>
              <w:lang w:val="en-US" w:eastAsia="zh-CN" w:bidi="ar-SA"/>
            </w:rPr>
            <w:t>（</w:t>
          </w:r>
          <w:r>
            <w:rPr>
              <w:rFonts w:hint="eastAsia" w:ascii="宋体" w:hAnsi="宋体" w:eastAsia="楷体_GB2312" w:cs="Times New Roman"/>
              <w:bCs/>
              <w:kern w:val="0"/>
              <w:sz w:val="24"/>
              <w:szCs w:val="24"/>
              <w:highlight w:val="none"/>
              <w:lang w:val="en-US" w:eastAsia="zh-CN" w:bidi="ar-SA"/>
            </w:rPr>
            <w:t>二十二</w:t>
          </w:r>
          <w:r>
            <w:rPr>
              <w:rFonts w:hint="default" w:ascii="宋体" w:hAnsi="宋体" w:eastAsia="楷体_GB2312" w:cs="Times New Roman"/>
              <w:bCs/>
              <w:kern w:val="0"/>
              <w:sz w:val="24"/>
              <w:szCs w:val="24"/>
              <w:highlight w:val="none"/>
              <w:lang w:val="en-US" w:eastAsia="zh-CN" w:bidi="ar-SA"/>
            </w:rPr>
            <w:t>）拓宽引才渠道，打造结构优化人才集聚体系</w:t>
          </w:r>
          <w:r>
            <w:rPr>
              <w:sz w:val="24"/>
              <w:szCs w:val="24"/>
            </w:rPr>
            <w:tab/>
          </w:r>
          <w:r>
            <w:rPr>
              <w:sz w:val="24"/>
              <w:szCs w:val="24"/>
            </w:rPr>
            <w:fldChar w:fldCharType="begin"/>
          </w:r>
          <w:r>
            <w:rPr>
              <w:sz w:val="24"/>
              <w:szCs w:val="24"/>
            </w:rPr>
            <w:instrText xml:space="preserve"> PAGEREF _Toc26214 \h </w:instrText>
          </w:r>
          <w:r>
            <w:rPr>
              <w:sz w:val="24"/>
              <w:szCs w:val="24"/>
            </w:rPr>
            <w:fldChar w:fldCharType="separate"/>
          </w:r>
          <w:r>
            <w:rPr>
              <w:sz w:val="24"/>
              <w:szCs w:val="24"/>
            </w:rPr>
            <w:t>17</w:t>
          </w:r>
          <w:r>
            <w:rPr>
              <w:sz w:val="24"/>
              <w:szCs w:val="24"/>
            </w:rPr>
            <w:fldChar w:fldCharType="end"/>
          </w:r>
          <w:r>
            <w:rPr>
              <w:sz w:val="24"/>
              <w:szCs w:val="24"/>
            </w:rPr>
            <w:fldChar w:fldCharType="end"/>
          </w:r>
        </w:p>
        <w:p w14:paraId="07BB123A">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_Toc15936 </w:instrText>
          </w:r>
          <w:r>
            <w:rPr>
              <w:sz w:val="24"/>
              <w:szCs w:val="24"/>
            </w:rPr>
            <w:fldChar w:fldCharType="separate"/>
          </w:r>
          <w:r>
            <w:rPr>
              <w:rFonts w:hint="default" w:ascii="宋体" w:hAnsi="宋体" w:eastAsia="楷体_GB2312" w:cs="Times New Roman"/>
              <w:bCs/>
              <w:kern w:val="0"/>
              <w:sz w:val="24"/>
              <w:szCs w:val="24"/>
              <w:highlight w:val="none"/>
              <w:lang w:val="en-US" w:eastAsia="zh-CN" w:bidi="ar-SA"/>
            </w:rPr>
            <w:t>（</w:t>
          </w:r>
          <w:r>
            <w:rPr>
              <w:rFonts w:hint="eastAsia" w:ascii="宋体" w:hAnsi="宋体" w:eastAsia="楷体_GB2312" w:cs="Times New Roman"/>
              <w:bCs/>
              <w:kern w:val="0"/>
              <w:sz w:val="24"/>
              <w:szCs w:val="24"/>
              <w:highlight w:val="none"/>
              <w:lang w:val="en-US" w:eastAsia="zh-CN" w:bidi="ar-SA"/>
            </w:rPr>
            <w:t>二十三</w:t>
          </w:r>
          <w:r>
            <w:rPr>
              <w:rFonts w:hint="default" w:ascii="宋体" w:hAnsi="宋体" w:eastAsia="楷体_GB2312" w:cs="Times New Roman"/>
              <w:bCs/>
              <w:kern w:val="0"/>
              <w:sz w:val="24"/>
              <w:szCs w:val="24"/>
              <w:highlight w:val="none"/>
              <w:lang w:val="en-US" w:eastAsia="zh-CN" w:bidi="ar-SA"/>
            </w:rPr>
            <w:t>）分层分类培训，构建科学系统人才培育体系</w:t>
          </w:r>
          <w:r>
            <w:rPr>
              <w:sz w:val="24"/>
              <w:szCs w:val="24"/>
            </w:rPr>
            <w:tab/>
          </w:r>
          <w:r>
            <w:rPr>
              <w:sz w:val="24"/>
              <w:szCs w:val="24"/>
            </w:rPr>
            <w:fldChar w:fldCharType="begin"/>
          </w:r>
          <w:r>
            <w:rPr>
              <w:sz w:val="24"/>
              <w:szCs w:val="24"/>
            </w:rPr>
            <w:instrText xml:space="preserve"> PAGEREF _Toc15936 \h </w:instrText>
          </w:r>
          <w:r>
            <w:rPr>
              <w:sz w:val="24"/>
              <w:szCs w:val="24"/>
            </w:rPr>
            <w:fldChar w:fldCharType="separate"/>
          </w:r>
          <w:r>
            <w:rPr>
              <w:sz w:val="24"/>
              <w:szCs w:val="24"/>
            </w:rPr>
            <w:t>18</w:t>
          </w:r>
          <w:r>
            <w:rPr>
              <w:sz w:val="24"/>
              <w:szCs w:val="24"/>
            </w:rPr>
            <w:fldChar w:fldCharType="end"/>
          </w:r>
          <w:r>
            <w:rPr>
              <w:sz w:val="24"/>
              <w:szCs w:val="24"/>
            </w:rPr>
            <w:fldChar w:fldCharType="end"/>
          </w:r>
        </w:p>
        <w:p w14:paraId="1940D03E">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_Toc19759 </w:instrText>
          </w:r>
          <w:r>
            <w:rPr>
              <w:sz w:val="24"/>
              <w:szCs w:val="24"/>
            </w:rPr>
            <w:fldChar w:fldCharType="separate"/>
          </w:r>
          <w:r>
            <w:rPr>
              <w:rFonts w:hint="default" w:ascii="宋体" w:hAnsi="宋体" w:eastAsia="楷体_GB2312" w:cs="Times New Roman"/>
              <w:bCs/>
              <w:kern w:val="0"/>
              <w:sz w:val="24"/>
              <w:szCs w:val="24"/>
              <w:highlight w:val="none"/>
              <w:lang w:val="en-US" w:eastAsia="zh-CN" w:bidi="ar-SA"/>
            </w:rPr>
            <w:t>（</w:t>
          </w:r>
          <w:r>
            <w:rPr>
              <w:rFonts w:hint="eastAsia" w:ascii="宋体" w:hAnsi="宋体" w:eastAsia="楷体_GB2312" w:cs="Times New Roman"/>
              <w:bCs/>
              <w:kern w:val="0"/>
              <w:sz w:val="24"/>
              <w:szCs w:val="24"/>
              <w:highlight w:val="none"/>
              <w:lang w:val="en-US" w:eastAsia="zh-CN" w:bidi="ar-SA"/>
            </w:rPr>
            <w:t>二十四</w:t>
          </w:r>
          <w:r>
            <w:rPr>
              <w:rFonts w:hint="default" w:ascii="宋体" w:hAnsi="宋体" w:eastAsia="楷体_GB2312" w:cs="Times New Roman"/>
              <w:bCs/>
              <w:kern w:val="0"/>
              <w:sz w:val="24"/>
              <w:szCs w:val="24"/>
              <w:highlight w:val="none"/>
              <w:lang w:val="en-US" w:eastAsia="zh-CN" w:bidi="ar-SA"/>
            </w:rPr>
            <w:t>）搭建多元平台，激发人才干事创业内生动能</w:t>
          </w:r>
          <w:r>
            <w:rPr>
              <w:sz w:val="24"/>
              <w:szCs w:val="24"/>
            </w:rPr>
            <w:tab/>
          </w:r>
          <w:r>
            <w:rPr>
              <w:sz w:val="24"/>
              <w:szCs w:val="24"/>
            </w:rPr>
            <w:fldChar w:fldCharType="begin"/>
          </w:r>
          <w:r>
            <w:rPr>
              <w:sz w:val="24"/>
              <w:szCs w:val="24"/>
            </w:rPr>
            <w:instrText xml:space="preserve"> PAGEREF _Toc19759 \h </w:instrText>
          </w:r>
          <w:r>
            <w:rPr>
              <w:sz w:val="24"/>
              <w:szCs w:val="24"/>
            </w:rPr>
            <w:fldChar w:fldCharType="separate"/>
          </w:r>
          <w:r>
            <w:rPr>
              <w:sz w:val="24"/>
              <w:szCs w:val="24"/>
            </w:rPr>
            <w:t>18</w:t>
          </w:r>
          <w:r>
            <w:rPr>
              <w:sz w:val="24"/>
              <w:szCs w:val="24"/>
            </w:rPr>
            <w:fldChar w:fldCharType="end"/>
          </w:r>
          <w:r>
            <w:rPr>
              <w:sz w:val="24"/>
              <w:szCs w:val="24"/>
            </w:rPr>
            <w:fldChar w:fldCharType="end"/>
          </w:r>
        </w:p>
        <w:p w14:paraId="66D78593">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_Toc21023 </w:instrText>
          </w:r>
          <w:r>
            <w:rPr>
              <w:sz w:val="24"/>
              <w:szCs w:val="24"/>
            </w:rPr>
            <w:fldChar w:fldCharType="separate"/>
          </w:r>
          <w:r>
            <w:rPr>
              <w:rFonts w:hint="default" w:ascii="宋体" w:hAnsi="宋体" w:eastAsia="楷体_GB2312" w:cs="Times New Roman"/>
              <w:bCs/>
              <w:kern w:val="0"/>
              <w:sz w:val="24"/>
              <w:szCs w:val="24"/>
              <w:highlight w:val="none"/>
              <w:lang w:val="en-US" w:eastAsia="zh-CN" w:bidi="ar-SA"/>
            </w:rPr>
            <w:t>（</w:t>
          </w:r>
          <w:r>
            <w:rPr>
              <w:rFonts w:hint="eastAsia" w:ascii="宋体" w:hAnsi="宋体" w:eastAsia="楷体_GB2312" w:cs="Times New Roman"/>
              <w:bCs/>
              <w:kern w:val="0"/>
              <w:sz w:val="24"/>
              <w:szCs w:val="24"/>
              <w:highlight w:val="none"/>
              <w:lang w:val="en-US" w:eastAsia="zh-CN" w:bidi="ar-SA"/>
            </w:rPr>
            <w:t>二十五</w:t>
          </w:r>
          <w:r>
            <w:rPr>
              <w:rFonts w:hint="default" w:ascii="宋体" w:hAnsi="宋体" w:eastAsia="楷体_GB2312" w:cs="Times New Roman"/>
              <w:bCs/>
              <w:kern w:val="0"/>
              <w:sz w:val="24"/>
              <w:szCs w:val="24"/>
              <w:highlight w:val="none"/>
              <w:lang w:val="en-US" w:eastAsia="zh-CN" w:bidi="ar-SA"/>
            </w:rPr>
            <w:t>）坚持党建引领，筑牢保障有力人才服务生态</w:t>
          </w:r>
          <w:r>
            <w:rPr>
              <w:sz w:val="24"/>
              <w:szCs w:val="24"/>
            </w:rPr>
            <w:tab/>
          </w:r>
          <w:r>
            <w:rPr>
              <w:sz w:val="24"/>
              <w:szCs w:val="24"/>
            </w:rPr>
            <w:fldChar w:fldCharType="begin"/>
          </w:r>
          <w:r>
            <w:rPr>
              <w:sz w:val="24"/>
              <w:szCs w:val="24"/>
            </w:rPr>
            <w:instrText xml:space="preserve"> PAGEREF _Toc21023 \h </w:instrText>
          </w:r>
          <w:r>
            <w:rPr>
              <w:sz w:val="24"/>
              <w:szCs w:val="24"/>
            </w:rPr>
            <w:fldChar w:fldCharType="separate"/>
          </w:r>
          <w:r>
            <w:rPr>
              <w:sz w:val="24"/>
              <w:szCs w:val="24"/>
            </w:rPr>
            <w:t>19</w:t>
          </w:r>
          <w:r>
            <w:rPr>
              <w:sz w:val="24"/>
              <w:szCs w:val="24"/>
            </w:rPr>
            <w:fldChar w:fldCharType="end"/>
          </w:r>
          <w:r>
            <w:rPr>
              <w:sz w:val="24"/>
              <w:szCs w:val="24"/>
            </w:rPr>
            <w:fldChar w:fldCharType="end"/>
          </w:r>
        </w:p>
        <w:p w14:paraId="6C91A618">
          <w:pPr>
            <w:pStyle w:val="11"/>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_Toc3720 </w:instrText>
          </w:r>
          <w:r>
            <w:rPr>
              <w:sz w:val="24"/>
              <w:szCs w:val="24"/>
            </w:rPr>
            <w:fldChar w:fldCharType="separate"/>
          </w:r>
          <w:r>
            <w:rPr>
              <w:rFonts w:hint="eastAsia" w:ascii="Arial" w:hAnsi="Arial" w:eastAsia="黑体" w:cstheme="minorBidi"/>
              <w:kern w:val="2"/>
              <w:sz w:val="24"/>
              <w:szCs w:val="24"/>
              <w:lang w:val="en-US" w:eastAsia="zh-CN" w:bidi="ar-SA"/>
            </w:rPr>
            <w:t>十、</w:t>
          </w:r>
          <w:r>
            <w:rPr>
              <w:rFonts w:hint="eastAsia" w:ascii="Arial" w:hAnsi="Arial" w:eastAsia="黑体" w:cstheme="minorBidi"/>
              <w:kern w:val="2"/>
              <w:sz w:val="24"/>
              <w:szCs w:val="24"/>
              <w:highlight w:val="none"/>
              <w:lang w:val="en-US" w:eastAsia="zh-CN" w:bidi="ar-SA"/>
            </w:rPr>
            <w:t>保障措施</w:t>
          </w:r>
          <w:r>
            <w:rPr>
              <w:sz w:val="24"/>
              <w:szCs w:val="24"/>
            </w:rPr>
            <w:tab/>
          </w:r>
          <w:r>
            <w:rPr>
              <w:sz w:val="24"/>
              <w:szCs w:val="24"/>
            </w:rPr>
            <w:fldChar w:fldCharType="begin"/>
          </w:r>
          <w:r>
            <w:rPr>
              <w:sz w:val="24"/>
              <w:szCs w:val="24"/>
            </w:rPr>
            <w:instrText xml:space="preserve"> PAGEREF _Toc3720 \h </w:instrText>
          </w:r>
          <w:r>
            <w:rPr>
              <w:sz w:val="24"/>
              <w:szCs w:val="24"/>
            </w:rPr>
            <w:fldChar w:fldCharType="separate"/>
          </w:r>
          <w:r>
            <w:rPr>
              <w:sz w:val="24"/>
              <w:szCs w:val="24"/>
            </w:rPr>
            <w:t>19</w:t>
          </w:r>
          <w:r>
            <w:rPr>
              <w:sz w:val="24"/>
              <w:szCs w:val="24"/>
            </w:rPr>
            <w:fldChar w:fldCharType="end"/>
          </w:r>
          <w:r>
            <w:rPr>
              <w:sz w:val="24"/>
              <w:szCs w:val="24"/>
            </w:rPr>
            <w:fldChar w:fldCharType="end"/>
          </w:r>
        </w:p>
        <w:p w14:paraId="49C84270">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_Toc5717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（二十六）强化组织领导与协同机制</w:t>
          </w:r>
          <w:r>
            <w:rPr>
              <w:sz w:val="24"/>
              <w:szCs w:val="24"/>
            </w:rPr>
            <w:tab/>
          </w:r>
          <w:r>
            <w:rPr>
              <w:sz w:val="24"/>
              <w:szCs w:val="24"/>
            </w:rPr>
            <w:fldChar w:fldCharType="begin"/>
          </w:r>
          <w:r>
            <w:rPr>
              <w:sz w:val="24"/>
              <w:szCs w:val="24"/>
            </w:rPr>
            <w:instrText xml:space="preserve"> PAGEREF _Toc5717 \h </w:instrText>
          </w:r>
          <w:r>
            <w:rPr>
              <w:sz w:val="24"/>
              <w:szCs w:val="24"/>
            </w:rPr>
            <w:fldChar w:fldCharType="separate"/>
          </w:r>
          <w:r>
            <w:rPr>
              <w:sz w:val="24"/>
              <w:szCs w:val="24"/>
            </w:rPr>
            <w:t>19</w:t>
          </w:r>
          <w:r>
            <w:rPr>
              <w:sz w:val="24"/>
              <w:szCs w:val="24"/>
            </w:rPr>
            <w:fldChar w:fldCharType="end"/>
          </w:r>
          <w:r>
            <w:rPr>
              <w:sz w:val="24"/>
              <w:szCs w:val="24"/>
            </w:rPr>
            <w:fldChar w:fldCharType="end"/>
          </w:r>
        </w:p>
        <w:p w14:paraId="42EBB9C7">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_Toc11203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（二十七）优化财政投入与资源配置</w:t>
          </w:r>
          <w:r>
            <w:rPr>
              <w:sz w:val="24"/>
              <w:szCs w:val="24"/>
            </w:rPr>
            <w:tab/>
          </w:r>
          <w:r>
            <w:rPr>
              <w:sz w:val="24"/>
              <w:szCs w:val="24"/>
            </w:rPr>
            <w:fldChar w:fldCharType="begin"/>
          </w:r>
          <w:r>
            <w:rPr>
              <w:sz w:val="24"/>
              <w:szCs w:val="24"/>
            </w:rPr>
            <w:instrText xml:space="preserve"> PAGEREF _Toc11203 \h </w:instrText>
          </w:r>
          <w:r>
            <w:rPr>
              <w:sz w:val="24"/>
              <w:szCs w:val="24"/>
            </w:rPr>
            <w:fldChar w:fldCharType="separate"/>
          </w:r>
          <w:r>
            <w:rPr>
              <w:sz w:val="24"/>
              <w:szCs w:val="24"/>
            </w:rPr>
            <w:t>19</w:t>
          </w:r>
          <w:r>
            <w:rPr>
              <w:sz w:val="24"/>
              <w:szCs w:val="24"/>
            </w:rPr>
            <w:fldChar w:fldCharType="end"/>
          </w:r>
          <w:r>
            <w:rPr>
              <w:sz w:val="24"/>
              <w:szCs w:val="24"/>
            </w:rPr>
            <w:fldChar w:fldCharType="end"/>
          </w:r>
        </w:p>
        <w:p w14:paraId="6B6ACED6">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_Toc31012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（二十八）完善监督评估与动态调整</w:t>
          </w:r>
          <w:r>
            <w:rPr>
              <w:sz w:val="24"/>
              <w:szCs w:val="24"/>
            </w:rPr>
            <w:tab/>
          </w:r>
          <w:r>
            <w:rPr>
              <w:sz w:val="24"/>
              <w:szCs w:val="24"/>
            </w:rPr>
            <w:fldChar w:fldCharType="begin"/>
          </w:r>
          <w:r>
            <w:rPr>
              <w:sz w:val="24"/>
              <w:szCs w:val="24"/>
            </w:rPr>
            <w:instrText xml:space="preserve"> PAGEREF _Toc31012 \h </w:instrText>
          </w:r>
          <w:r>
            <w:rPr>
              <w:sz w:val="24"/>
              <w:szCs w:val="24"/>
            </w:rPr>
            <w:fldChar w:fldCharType="separate"/>
          </w:r>
          <w:r>
            <w:rPr>
              <w:sz w:val="24"/>
              <w:szCs w:val="24"/>
            </w:rPr>
            <w:t>20</w:t>
          </w:r>
          <w:r>
            <w:rPr>
              <w:sz w:val="24"/>
              <w:szCs w:val="24"/>
            </w:rPr>
            <w:fldChar w:fldCharType="end"/>
          </w:r>
          <w:r>
            <w:rPr>
              <w:sz w:val="24"/>
              <w:szCs w:val="24"/>
            </w:rPr>
            <w:fldChar w:fldCharType="end"/>
          </w:r>
        </w:p>
        <w:p w14:paraId="16CA6A8E">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rPr>
              <w:sz w:val="24"/>
              <w:szCs w:val="24"/>
            </w:rPr>
          </w:pPr>
          <w:r>
            <w:rPr>
              <w:sz w:val="24"/>
              <w:szCs w:val="24"/>
            </w:rPr>
            <w:fldChar w:fldCharType="begin"/>
          </w:r>
          <w:r>
            <w:rPr>
              <w:sz w:val="24"/>
              <w:szCs w:val="24"/>
            </w:rPr>
            <w:instrText xml:space="preserve"> HYPERLINK \l _Toc27507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（二十九）深化健康宣传与社会参与</w:t>
          </w:r>
          <w:r>
            <w:rPr>
              <w:sz w:val="24"/>
              <w:szCs w:val="24"/>
            </w:rPr>
            <w:tab/>
          </w:r>
          <w:r>
            <w:rPr>
              <w:sz w:val="24"/>
              <w:szCs w:val="24"/>
            </w:rPr>
            <w:fldChar w:fldCharType="begin"/>
          </w:r>
          <w:r>
            <w:rPr>
              <w:sz w:val="24"/>
              <w:szCs w:val="24"/>
            </w:rPr>
            <w:instrText xml:space="preserve"> PAGEREF _Toc27507 \h </w:instrText>
          </w:r>
          <w:r>
            <w:rPr>
              <w:sz w:val="24"/>
              <w:szCs w:val="24"/>
            </w:rPr>
            <w:fldChar w:fldCharType="separate"/>
          </w:r>
          <w:r>
            <w:rPr>
              <w:sz w:val="24"/>
              <w:szCs w:val="24"/>
            </w:rPr>
            <w:t>20</w:t>
          </w:r>
          <w:r>
            <w:rPr>
              <w:sz w:val="24"/>
              <w:szCs w:val="24"/>
            </w:rPr>
            <w:fldChar w:fldCharType="end"/>
          </w:r>
          <w:r>
            <w:rPr>
              <w:sz w:val="24"/>
              <w:szCs w:val="24"/>
            </w:rPr>
            <w:fldChar w:fldCharType="end"/>
          </w:r>
        </w:p>
        <w:p w14:paraId="19B65A0F">
          <w:pPr>
            <w:pStyle w:val="13"/>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firstLine="0" w:firstLineChars="0"/>
            <w:textAlignment w:val="auto"/>
          </w:pPr>
          <w:r>
            <w:rPr>
              <w:sz w:val="24"/>
              <w:szCs w:val="24"/>
            </w:rPr>
            <w:fldChar w:fldCharType="begin"/>
          </w:r>
          <w:r>
            <w:rPr>
              <w:sz w:val="24"/>
              <w:szCs w:val="24"/>
            </w:rPr>
            <w:instrText xml:space="preserve"> HYPERLINK \l _Toc15072 </w:instrText>
          </w:r>
          <w:r>
            <w:rPr>
              <w:sz w:val="24"/>
              <w:szCs w:val="24"/>
            </w:rPr>
            <w:fldChar w:fldCharType="separate"/>
          </w:r>
          <w:r>
            <w:rPr>
              <w:rFonts w:hint="eastAsia" w:ascii="宋体" w:hAnsi="宋体" w:eastAsia="楷体_GB2312" w:cs="Times New Roman"/>
              <w:bCs/>
              <w:kern w:val="0"/>
              <w:sz w:val="24"/>
              <w:szCs w:val="24"/>
              <w:highlight w:val="none"/>
              <w:lang w:val="en-US" w:eastAsia="zh-CN" w:bidi="ar-SA"/>
            </w:rPr>
            <w:t>（三十）全面推进卫生健康法治建设</w:t>
          </w:r>
          <w:r>
            <w:rPr>
              <w:sz w:val="24"/>
              <w:szCs w:val="24"/>
            </w:rPr>
            <w:tab/>
          </w:r>
          <w:r>
            <w:rPr>
              <w:sz w:val="24"/>
              <w:szCs w:val="24"/>
            </w:rPr>
            <w:fldChar w:fldCharType="begin"/>
          </w:r>
          <w:r>
            <w:rPr>
              <w:sz w:val="24"/>
              <w:szCs w:val="24"/>
            </w:rPr>
            <w:instrText xml:space="preserve"> PAGEREF _Toc15072 \h </w:instrText>
          </w:r>
          <w:r>
            <w:rPr>
              <w:sz w:val="24"/>
              <w:szCs w:val="24"/>
            </w:rPr>
            <w:fldChar w:fldCharType="separate"/>
          </w:r>
          <w:r>
            <w:rPr>
              <w:sz w:val="24"/>
              <w:szCs w:val="24"/>
            </w:rPr>
            <w:t>20</w:t>
          </w:r>
          <w:r>
            <w:rPr>
              <w:sz w:val="24"/>
              <w:szCs w:val="24"/>
            </w:rPr>
            <w:fldChar w:fldCharType="end"/>
          </w:r>
          <w:r>
            <w:rPr>
              <w:sz w:val="24"/>
              <w:szCs w:val="24"/>
            </w:rPr>
            <w:fldChar w:fldCharType="end"/>
          </w:r>
        </w:p>
        <w:p w14:paraId="64DD39E1">
          <w:pPr>
            <w:keepNext w:val="0"/>
            <w:keepLines w:val="0"/>
            <w:pageBreakBefore w:val="0"/>
            <w:widowControl w:val="0"/>
            <w:kinsoku/>
            <w:wordWrap/>
            <w:overflowPunct/>
            <w:topLinePunct w:val="0"/>
            <w:autoSpaceDE/>
            <w:autoSpaceDN/>
            <w:bidi w:val="0"/>
            <w:adjustRightInd/>
            <w:snapToGrid/>
            <w:spacing w:before="0" w:after="0" w:line="240" w:lineRule="auto"/>
            <w:ind w:firstLine="640" w:firstLineChars="200"/>
            <w:textAlignment w:val="auto"/>
          </w:pPr>
          <w:r>
            <w:fldChar w:fldCharType="end"/>
          </w:r>
        </w:p>
      </w:sdtContent>
    </w:sdt>
    <w:p w14:paraId="11D02A98">
      <w:pPr>
        <w:sectPr>
          <w:footerReference r:id="rId7" w:type="default"/>
          <w:pgSz w:w="11906" w:h="16838"/>
          <w:pgMar w:top="1440" w:right="1800" w:bottom="1440" w:left="1800" w:header="851" w:footer="992" w:gutter="0"/>
          <w:pgNumType w:fmt="decimal" w:start="1"/>
          <w:cols w:space="425" w:num="1"/>
          <w:docGrid w:type="lines" w:linePitch="312" w:charSpace="0"/>
        </w:sectPr>
      </w:pPr>
    </w:p>
    <w:p w14:paraId="731B6F1C">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720"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color w:val="auto"/>
          <w:kern w:val="0"/>
          <w:sz w:val="44"/>
          <w:szCs w:val="22"/>
          <w:highlight w:val="none"/>
          <w:u w:val="none"/>
          <w:lang w:eastAsia="en-US"/>
        </w:rPr>
      </w:pPr>
      <w:r>
        <w:rPr>
          <w:rFonts w:hint="eastAsia" w:ascii="方正小标宋简体" w:hAnsi="方正小标宋简体" w:eastAsia="方正小标宋简体" w:cs="方正小标宋简体"/>
          <w:b w:val="0"/>
          <w:bCs w:val="0"/>
          <w:color w:val="auto"/>
          <w:kern w:val="0"/>
          <w:sz w:val="44"/>
          <w:szCs w:val="22"/>
          <w:highlight w:val="none"/>
          <w:u w:val="none"/>
          <w:lang w:eastAsia="en-US"/>
        </w:rPr>
        <w:t>北京市门头沟区“十五五”时期</w:t>
      </w:r>
    </w:p>
    <w:p w14:paraId="5F7BE184">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720"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color w:val="auto"/>
          <w:kern w:val="0"/>
          <w:sz w:val="44"/>
          <w:szCs w:val="22"/>
          <w:highlight w:val="none"/>
          <w:u w:val="none"/>
          <w:lang w:eastAsia="en-US"/>
        </w:rPr>
      </w:pPr>
      <w:r>
        <w:rPr>
          <w:rFonts w:hint="eastAsia" w:ascii="方正小标宋简体" w:hAnsi="方正小标宋简体" w:eastAsia="方正小标宋简体" w:cs="方正小标宋简体"/>
          <w:b w:val="0"/>
          <w:bCs w:val="0"/>
          <w:color w:val="auto"/>
          <w:kern w:val="0"/>
          <w:sz w:val="44"/>
          <w:szCs w:val="22"/>
          <w:highlight w:val="none"/>
          <w:u w:val="none"/>
          <w:lang w:eastAsia="en-US"/>
        </w:rPr>
        <w:t>卫生健康事业发展规划</w:t>
      </w:r>
    </w:p>
    <w:p w14:paraId="13C0CC20">
      <w:pPr>
        <w:pStyle w:val="2"/>
        <w:rPr>
          <w:rFonts w:hint="eastAsia"/>
          <w:lang w:eastAsia="en-US"/>
        </w:rPr>
      </w:pPr>
    </w:p>
    <w:p w14:paraId="0F619CF4">
      <w:pPr>
        <w:pStyle w:val="2"/>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cs="仿宋_GB2312"/>
          <w:color w:val="auto"/>
          <w:kern w:val="2"/>
          <w:sz w:val="32"/>
          <w:szCs w:val="32"/>
          <w:highlight w:val="none"/>
          <w:lang w:val="en-US" w:eastAsia="zh-CN" w:bidi="ar-SA"/>
        </w:rPr>
        <w:t>为深入实施健康优先发展战略，立足首都西大门功能定位，高水平推进“健康门头沟”建设，根</w:t>
      </w:r>
      <w:r>
        <w:rPr>
          <w:rFonts w:hint="eastAsia" w:ascii="仿宋_GB2312" w:hAnsi="仿宋_GB2312" w:eastAsia="仿宋_GB2312" w:cs="仿宋_GB2312"/>
          <w:color w:val="auto"/>
          <w:kern w:val="2"/>
          <w:sz w:val="32"/>
          <w:szCs w:val="32"/>
          <w:highlight w:val="none"/>
          <w:lang w:val="en-US" w:eastAsia="zh-CN" w:bidi="ar-SA"/>
        </w:rPr>
        <w:t>据</w:t>
      </w:r>
      <w:r>
        <w:rPr>
          <w:rFonts w:hint="eastAsia" w:ascii="仿宋_GB2312" w:hAnsi="仿宋_GB2312" w:cs="仿宋_GB2312"/>
          <w:color w:val="auto"/>
          <w:kern w:val="2"/>
          <w:sz w:val="32"/>
          <w:szCs w:val="32"/>
          <w:highlight w:val="none"/>
          <w:lang w:val="en-US" w:eastAsia="zh-CN" w:bidi="ar-SA"/>
        </w:rPr>
        <w:t>《</w:t>
      </w:r>
      <w:r>
        <w:rPr>
          <w:rFonts w:hint="eastAsia" w:ascii="仿宋_GB2312" w:hAnsi="仿宋_GB2312" w:eastAsia="仿宋_GB2312" w:cs="仿宋_GB2312"/>
          <w:b w:val="0"/>
          <w:bCs w:val="0"/>
          <w:color w:val="auto"/>
          <w:sz w:val="32"/>
          <w:szCs w:val="32"/>
          <w:highlight w:val="none"/>
          <w:u w:val="none"/>
          <w:lang w:val="en-US" w:eastAsia="zh-CN"/>
        </w:rPr>
        <w:t>国民健康“十五五”规划</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《北京市国民经济和社会发展第十五个五年规划纲要》《“健康北京2030”规划纲要》</w:t>
      </w:r>
      <w:r>
        <w:rPr>
          <w:rFonts w:hint="eastAsia" w:ascii="仿宋_GB2312" w:hAnsi="仿宋_GB2312" w:eastAsia="仿宋_GB2312" w:cs="仿宋_GB2312"/>
          <w:color w:val="auto"/>
          <w:kern w:val="2"/>
          <w:sz w:val="32"/>
          <w:szCs w:val="32"/>
          <w:highlight w:val="none"/>
          <w:lang w:val="en-US" w:eastAsia="zh-CN" w:bidi="ar-SA"/>
        </w:rPr>
        <w:t>《北京市生态涵养区生态保护和绿色发展条例》《北京市门头沟分区规划（国土空间规划）（2017年-2035年）》</w:t>
      </w:r>
      <w:r>
        <w:rPr>
          <w:rFonts w:hint="eastAsia" w:ascii="仿宋_GB2312" w:hAnsi="仿宋_GB2312" w:cs="仿宋_GB2312"/>
          <w:color w:val="auto"/>
          <w:kern w:val="2"/>
          <w:sz w:val="32"/>
          <w:szCs w:val="32"/>
          <w:highlight w:val="none"/>
          <w:lang w:val="en-US" w:eastAsia="zh-CN" w:bidi="ar-SA"/>
        </w:rPr>
        <w:t>《“十五五”时期健康北京建设规划》，</w:t>
      </w:r>
      <w:r>
        <w:rPr>
          <w:rFonts w:hint="eastAsia" w:ascii="仿宋_GB2312" w:hAnsi="仿宋_GB2312" w:eastAsia="仿宋_GB2312" w:cs="仿宋_GB2312"/>
          <w:color w:val="auto"/>
          <w:kern w:val="2"/>
          <w:sz w:val="32"/>
          <w:szCs w:val="32"/>
          <w:highlight w:val="none"/>
          <w:lang w:val="en-US" w:eastAsia="zh-CN" w:bidi="ar-SA"/>
        </w:rPr>
        <w:t>制定</w:t>
      </w:r>
      <w:r>
        <w:rPr>
          <w:rFonts w:hint="eastAsia" w:ascii="仿宋_GB2312" w:hAnsi="仿宋_GB2312" w:cs="仿宋_GB2312"/>
          <w:color w:val="auto"/>
          <w:kern w:val="2"/>
          <w:sz w:val="32"/>
          <w:szCs w:val="32"/>
          <w:highlight w:val="none"/>
          <w:lang w:val="en-US" w:eastAsia="zh-CN" w:bidi="ar-SA"/>
        </w:rPr>
        <w:t>本规划</w:t>
      </w:r>
      <w:r>
        <w:rPr>
          <w:rFonts w:hint="eastAsia" w:ascii="仿宋_GB2312" w:hAnsi="仿宋_GB2312" w:eastAsia="仿宋_GB2312" w:cs="仿宋_GB2312"/>
          <w:color w:val="auto"/>
          <w:kern w:val="2"/>
          <w:sz w:val="32"/>
          <w:szCs w:val="32"/>
          <w:highlight w:val="none"/>
          <w:lang w:val="en-US" w:eastAsia="zh-CN" w:bidi="ar-SA"/>
        </w:rPr>
        <w:t>。</w:t>
      </w:r>
    </w:p>
    <w:p w14:paraId="1C435624">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0"/>
        <w:rPr>
          <w:rFonts w:hint="eastAsia" w:ascii="黑体" w:hAnsi="黑体" w:eastAsia="黑体" w:cs="黑体"/>
          <w:b w:val="0"/>
          <w:bCs w:val="0"/>
          <w:color w:val="auto"/>
          <w:kern w:val="2"/>
          <w:sz w:val="32"/>
          <w:szCs w:val="32"/>
          <w:highlight w:val="none"/>
          <w:u w:val="none"/>
          <w:lang w:val="en-US" w:eastAsia="zh-CN" w:bidi="ar-SA"/>
        </w:rPr>
      </w:pPr>
      <w:bookmarkStart w:id="0" w:name="_Toc15516"/>
      <w:bookmarkStart w:id="1" w:name="_Toc9181"/>
      <w:r>
        <w:rPr>
          <w:rFonts w:hint="eastAsia" w:ascii="黑体" w:hAnsi="黑体" w:eastAsia="黑体" w:cs="黑体"/>
          <w:b w:val="0"/>
          <w:bCs w:val="0"/>
          <w:color w:val="auto"/>
          <w:kern w:val="2"/>
          <w:sz w:val="32"/>
          <w:szCs w:val="32"/>
          <w:highlight w:val="none"/>
          <w:u w:val="none"/>
          <w:lang w:val="en-US" w:eastAsia="zh-CN" w:bidi="ar-SA"/>
        </w:rPr>
        <w:t>一、总体要求</w:t>
      </w:r>
      <w:bookmarkEnd w:id="0"/>
      <w:bookmarkEnd w:id="1"/>
    </w:p>
    <w:p w14:paraId="502233ED">
      <w:pPr>
        <w:pStyle w:val="2"/>
        <w:ind w:firstLine="640" w:firstLineChars="200"/>
        <w:rPr>
          <w:rFonts w:hint="default" w:ascii="仿宋_GB2312" w:hAnsi="仿宋_GB2312" w:eastAsia="仿宋_GB2312" w:cs="仿宋_GB2312"/>
          <w:color w:val="auto"/>
          <w:kern w:val="0"/>
          <w:sz w:val="32"/>
          <w:szCs w:val="32"/>
          <w:highlight w:val="yellow"/>
          <w:shd w:val="clear" w:color="auto" w:fill="FFFFFF"/>
        </w:rPr>
      </w:pPr>
      <w:r>
        <w:rPr>
          <w:rFonts w:hint="eastAsia" w:ascii="仿宋_GB2312" w:hAnsi="仿宋_GB2312" w:eastAsia="仿宋_GB2312" w:cs="仿宋_GB2312"/>
          <w:color w:val="auto"/>
          <w:kern w:val="0"/>
          <w:sz w:val="32"/>
          <w:szCs w:val="32"/>
          <w:highlight w:val="none"/>
          <w:shd w:val="clear" w:color="auto" w:fill="FFFFFF"/>
        </w:rPr>
        <w:t>坚持以习近平新时代中国特色社会主义思想为指导，深入贯彻党的二十届四中全会、市委十三届七次全会及门头沟区第十三届委员会第十二次全体会议精神，深入落实“共建共享、全民健康”的战略主题，以人民健康为中心，坚持新时代党的卫生与健康工作方针，将健康融入所有政策。认真贯彻《北京市关于深化医药卫生体制改革的实施方案（2025—2029年）》，遵循“大卫生、大健康”理念，立足门头沟区生态涵养区功能定位和山区发展实际，以高质量发展为主线，以改革创新为动力，积极应对人口老龄化、少子化等结构性挑战，加快构建与人口发展新形势相适应、覆盖全民、全生命周期的整合型卫生健康服务体系，推动卫生健康事业与经济社会协调发展。</w:t>
      </w:r>
    </w:p>
    <w:p w14:paraId="6BC11C05">
      <w:pPr>
        <w:pStyle w:val="2"/>
        <w:ind w:firstLine="640" w:firstLineChars="200"/>
        <w:rPr>
          <w:rFonts w:hint="eastAsia" w:ascii="仿宋_GB2312" w:hAnsi="仿宋_GB2312" w:cs="仿宋_GB2312"/>
          <w:color w:val="auto"/>
          <w:kern w:val="0"/>
          <w:sz w:val="32"/>
          <w:szCs w:val="32"/>
          <w:highlight w:val="none"/>
          <w:shd w:val="clear" w:color="auto" w:fill="FFFFFF"/>
          <w:lang w:val="en-US" w:eastAsia="zh-CN"/>
        </w:rPr>
      </w:pPr>
      <w:r>
        <w:rPr>
          <w:rFonts w:hint="default" w:ascii="仿宋_GB2312" w:hAnsi="仿宋_GB2312" w:eastAsia="仿宋_GB2312" w:cs="仿宋_GB2312"/>
          <w:color w:val="auto"/>
          <w:kern w:val="0"/>
          <w:sz w:val="32"/>
          <w:szCs w:val="32"/>
          <w:highlight w:val="none"/>
          <w:shd w:val="clear" w:color="auto" w:fill="FFFFFF"/>
          <w:lang w:val="en-US" w:eastAsia="zh-CN"/>
        </w:rPr>
        <w:t>通过优化资源配置、深化体制改革、强化系统整合，到2030年，医疗服务</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default" w:ascii="仿宋_GB2312" w:hAnsi="仿宋_GB2312" w:eastAsia="仿宋_GB2312" w:cs="仿宋_GB2312"/>
          <w:color w:val="auto"/>
          <w:kern w:val="0"/>
          <w:sz w:val="32"/>
          <w:szCs w:val="32"/>
          <w:highlight w:val="none"/>
          <w:shd w:val="clear" w:color="auto" w:fill="FFFFFF"/>
          <w:lang w:val="en-US" w:eastAsia="zh-CN"/>
        </w:rPr>
        <w:t>公卫应急</w:t>
      </w:r>
      <w:r>
        <w:rPr>
          <w:rFonts w:hint="eastAsia" w:ascii="仿宋_GB2312" w:hAnsi="仿宋_GB2312" w:eastAsia="仿宋_GB2312" w:cs="仿宋_GB2312"/>
          <w:color w:val="auto"/>
          <w:kern w:val="0"/>
          <w:sz w:val="32"/>
          <w:szCs w:val="32"/>
          <w:highlight w:val="none"/>
          <w:shd w:val="clear" w:color="auto" w:fill="FFFFFF"/>
          <w:lang w:val="en-US" w:eastAsia="zh-CN"/>
        </w:rPr>
        <w:t>服务、</w:t>
      </w:r>
      <w:r>
        <w:rPr>
          <w:rFonts w:hint="default" w:ascii="仿宋_GB2312" w:hAnsi="仿宋_GB2312" w:eastAsia="仿宋_GB2312" w:cs="仿宋_GB2312"/>
          <w:color w:val="auto"/>
          <w:kern w:val="0"/>
          <w:sz w:val="32"/>
          <w:szCs w:val="32"/>
          <w:highlight w:val="none"/>
          <w:shd w:val="clear" w:color="auto" w:fill="FFFFFF"/>
          <w:lang w:val="en-US" w:eastAsia="zh-CN"/>
        </w:rPr>
        <w:t>重点人群服务更加优质高效</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default" w:ascii="仿宋_GB2312" w:hAnsi="仿宋_GB2312" w:eastAsia="仿宋_GB2312" w:cs="仿宋_GB2312"/>
          <w:color w:val="auto"/>
          <w:kern w:val="0"/>
          <w:sz w:val="32"/>
          <w:szCs w:val="32"/>
          <w:highlight w:val="none"/>
          <w:shd w:val="clear" w:color="auto" w:fill="FFFFFF"/>
          <w:lang w:val="en-US" w:eastAsia="zh-CN"/>
        </w:rPr>
        <w:t>城乡健康服务一体化新格局</w:t>
      </w:r>
      <w:r>
        <w:rPr>
          <w:rFonts w:hint="eastAsia" w:ascii="仿宋_GB2312" w:hAnsi="仿宋_GB2312" w:cs="仿宋_GB2312"/>
          <w:color w:val="auto"/>
          <w:kern w:val="0"/>
          <w:sz w:val="32"/>
          <w:szCs w:val="32"/>
          <w:highlight w:val="none"/>
          <w:shd w:val="clear" w:color="auto" w:fill="FFFFFF"/>
          <w:lang w:val="en-US" w:eastAsia="zh-CN"/>
        </w:rPr>
        <w:t>建设进一步推动</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default" w:ascii="仿宋_GB2312" w:hAnsi="仿宋_GB2312" w:eastAsia="仿宋_GB2312" w:cs="仿宋_GB2312"/>
          <w:color w:val="auto"/>
          <w:kern w:val="0"/>
          <w:sz w:val="32"/>
          <w:szCs w:val="32"/>
          <w:highlight w:val="none"/>
          <w:shd w:val="clear" w:color="auto" w:fill="FFFFFF"/>
          <w:lang w:val="en-US" w:eastAsia="zh-CN"/>
        </w:rPr>
        <w:t>居民主要健康指标持续改善</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default" w:ascii="仿宋_GB2312" w:hAnsi="仿宋_GB2312" w:eastAsia="仿宋_GB2312" w:cs="仿宋_GB2312"/>
          <w:color w:val="auto"/>
          <w:kern w:val="0"/>
          <w:sz w:val="32"/>
          <w:szCs w:val="32"/>
          <w:highlight w:val="none"/>
          <w:shd w:val="clear" w:color="auto" w:fill="FFFFFF"/>
          <w:lang w:val="en-US" w:eastAsia="zh-CN"/>
        </w:rPr>
        <w:t>改革创新与产业融合新活力</w:t>
      </w:r>
      <w:r>
        <w:rPr>
          <w:rFonts w:hint="eastAsia" w:ascii="仿宋_GB2312" w:hAnsi="仿宋_GB2312" w:cs="仿宋_GB2312"/>
          <w:color w:val="auto"/>
          <w:kern w:val="0"/>
          <w:sz w:val="32"/>
          <w:szCs w:val="32"/>
          <w:highlight w:val="none"/>
          <w:shd w:val="clear" w:color="auto" w:fill="FFFFFF"/>
          <w:lang w:val="en-US" w:eastAsia="zh-CN"/>
        </w:rPr>
        <w:t>不断</w:t>
      </w:r>
      <w:r>
        <w:rPr>
          <w:rFonts w:hint="default" w:ascii="仿宋_GB2312" w:hAnsi="仿宋_GB2312" w:eastAsia="仿宋_GB2312" w:cs="仿宋_GB2312"/>
          <w:color w:val="auto"/>
          <w:kern w:val="0"/>
          <w:sz w:val="32"/>
          <w:szCs w:val="32"/>
          <w:highlight w:val="none"/>
          <w:shd w:val="clear" w:color="auto" w:fill="FFFFFF"/>
          <w:lang w:val="en-US" w:eastAsia="zh-CN"/>
        </w:rPr>
        <w:t>激发</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default" w:ascii="仿宋_GB2312" w:hAnsi="仿宋_GB2312" w:eastAsia="仿宋_GB2312" w:cs="仿宋_GB2312"/>
          <w:color w:val="auto"/>
          <w:kern w:val="0"/>
          <w:sz w:val="32"/>
          <w:szCs w:val="32"/>
          <w:highlight w:val="none"/>
          <w:shd w:val="clear" w:color="auto" w:fill="FFFFFF"/>
          <w:lang w:val="en-US" w:eastAsia="zh-CN"/>
        </w:rPr>
        <w:t>人才队伍结构</w:t>
      </w:r>
      <w:r>
        <w:rPr>
          <w:rFonts w:hint="eastAsia" w:ascii="仿宋_GB2312" w:hAnsi="仿宋_GB2312" w:cs="仿宋_GB2312"/>
          <w:color w:val="auto"/>
          <w:kern w:val="0"/>
          <w:sz w:val="32"/>
          <w:szCs w:val="32"/>
          <w:highlight w:val="none"/>
          <w:shd w:val="clear" w:color="auto" w:fill="FFFFFF"/>
          <w:lang w:val="en-US" w:eastAsia="zh-CN"/>
        </w:rPr>
        <w:t>不断</w:t>
      </w:r>
      <w:r>
        <w:rPr>
          <w:rFonts w:hint="default" w:ascii="仿宋_GB2312" w:hAnsi="仿宋_GB2312" w:eastAsia="仿宋_GB2312" w:cs="仿宋_GB2312"/>
          <w:color w:val="auto"/>
          <w:kern w:val="0"/>
          <w:sz w:val="32"/>
          <w:szCs w:val="32"/>
          <w:highlight w:val="none"/>
          <w:shd w:val="clear" w:color="auto" w:fill="FFFFFF"/>
          <w:lang w:val="en-US" w:eastAsia="zh-CN"/>
        </w:rPr>
        <w:t>完善</w:t>
      </w:r>
      <w:r>
        <w:rPr>
          <w:rFonts w:hint="eastAsia" w:ascii="仿宋_GB2312" w:hAnsi="仿宋_GB2312" w:cs="仿宋_GB2312"/>
          <w:color w:val="auto"/>
          <w:kern w:val="0"/>
          <w:sz w:val="32"/>
          <w:szCs w:val="32"/>
          <w:highlight w:val="none"/>
          <w:shd w:val="clear" w:color="auto" w:fill="FFFFFF"/>
          <w:lang w:val="en-US" w:eastAsia="zh-CN"/>
        </w:rPr>
        <w:t>。</w:t>
      </w:r>
      <w:bookmarkStart w:id="2" w:name="_Toc21460"/>
      <w:r>
        <w:rPr>
          <w:rFonts w:hint="eastAsia" w:ascii="仿宋_GB2312" w:hAnsi="仿宋_GB2312" w:cs="仿宋_GB2312"/>
          <w:color w:val="auto"/>
          <w:kern w:val="0"/>
          <w:sz w:val="32"/>
          <w:szCs w:val="32"/>
          <w:highlight w:val="none"/>
          <w:shd w:val="clear" w:color="auto" w:fill="FFFFFF"/>
          <w:lang w:val="en-US" w:eastAsia="zh-CN"/>
        </w:rPr>
        <w:t>为守好首都西大门，推进生态涵养区高质量发展筑牢坚实的区域健康基础。</w:t>
      </w:r>
    </w:p>
    <w:p w14:paraId="4A5BD7CD">
      <w:pPr>
        <w:keepNext w:val="0"/>
        <w:keepLines w:val="0"/>
        <w:pageBreakBefore w:val="0"/>
        <w:widowControl w:val="0"/>
        <w:shd w:val="clear" w:color="auto" w:fill="auto"/>
        <w:kinsoku/>
        <w:wordWrap/>
        <w:overflowPunct/>
        <w:topLinePunct w:val="0"/>
        <w:autoSpaceDE/>
        <w:autoSpaceDN/>
        <w:bidi w:val="0"/>
        <w:adjustRightInd w:val="0"/>
        <w:snapToGrid w:val="0"/>
        <w:spacing w:before="0" w:after="0" w:line="560" w:lineRule="exact"/>
        <w:ind w:firstLine="0" w:firstLineChars="0"/>
        <w:jc w:val="center"/>
        <w:textAlignment w:val="auto"/>
        <w:outlineLvl w:val="9"/>
        <w:rPr>
          <w:rFonts w:hint="default" w:ascii="仿宋_GB2312" w:hAnsi="仿宋_GB2312" w:eastAsia="仿宋_GB2312" w:cs="仿宋_GB2312"/>
          <w:color w:val="auto"/>
          <w:szCs w:val="32"/>
          <w:highlight w:val="none"/>
        </w:rPr>
      </w:pPr>
      <w:r>
        <w:rPr>
          <w:rFonts w:hint="eastAsia" w:ascii="黑体" w:hAnsi="黑体" w:eastAsia="黑体" w:cs="黑体"/>
          <w:b w:val="0"/>
          <w:bCs w:val="0"/>
          <w:color w:val="auto"/>
          <w:kern w:val="0"/>
          <w:sz w:val="28"/>
          <w:szCs w:val="21"/>
          <w:highlight w:val="none"/>
          <w:u w:val="none"/>
          <w:lang w:val="en-US" w:eastAsia="zh-CN"/>
        </w:rPr>
        <w:t>门头沟“十五五”时期卫生健康事业发展主要调控指标</w:t>
      </w:r>
    </w:p>
    <w:tbl>
      <w:tblPr>
        <w:tblStyle w:val="18"/>
        <w:tblW w:w="5327" w:type="pct"/>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202"/>
        <w:gridCol w:w="1323"/>
        <w:gridCol w:w="1622"/>
        <w:gridCol w:w="1255"/>
        <w:gridCol w:w="2454"/>
        <w:gridCol w:w="681"/>
      </w:tblGrid>
      <w:tr w14:paraId="7BC8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9" w:type="pct"/>
            <w:shd w:val="clear" w:color="auto" w:fill="CFCECE"/>
            <w:vAlign w:val="center"/>
          </w:tcPr>
          <w:p w14:paraId="1F0C6F86">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en-US" w:bidi="ar"/>
              </w:rPr>
            </w:pPr>
            <w:r>
              <w:rPr>
                <w:rFonts w:hint="eastAsia" w:ascii="黑体" w:hAnsi="黑体" w:eastAsia="黑体" w:cs="黑体"/>
                <w:b w:val="0"/>
                <w:bCs w:val="0"/>
                <w:color w:val="auto"/>
                <w:kern w:val="0"/>
                <w:sz w:val="24"/>
                <w:szCs w:val="24"/>
                <w:highlight w:val="none"/>
                <w:u w:val="none"/>
                <w:lang w:eastAsia="en-US" w:bidi="ar"/>
              </w:rPr>
              <w:t>序号</w:t>
            </w:r>
          </w:p>
        </w:tc>
        <w:tc>
          <w:tcPr>
            <w:tcW w:w="661" w:type="pct"/>
            <w:shd w:val="clear" w:color="auto" w:fill="CFCECE"/>
            <w:vAlign w:val="center"/>
          </w:tcPr>
          <w:p w14:paraId="19F09242">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en-US" w:bidi="ar"/>
              </w:rPr>
            </w:pPr>
            <w:r>
              <w:rPr>
                <w:rFonts w:hint="eastAsia" w:ascii="黑体" w:hAnsi="黑体" w:eastAsia="黑体" w:cs="黑体"/>
                <w:b w:val="0"/>
                <w:bCs w:val="0"/>
                <w:color w:val="auto"/>
                <w:kern w:val="0"/>
                <w:sz w:val="24"/>
                <w:szCs w:val="24"/>
                <w:highlight w:val="none"/>
                <w:u w:val="none"/>
                <w:lang w:eastAsia="en-US" w:bidi="ar"/>
              </w:rPr>
              <w:t>指标</w:t>
            </w:r>
          </w:p>
        </w:tc>
        <w:tc>
          <w:tcPr>
            <w:tcW w:w="728" w:type="pct"/>
            <w:shd w:val="clear" w:color="auto" w:fill="CFCECE"/>
            <w:vAlign w:val="center"/>
          </w:tcPr>
          <w:p w14:paraId="0C1F1B25">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en-US" w:bidi="ar"/>
              </w:rPr>
            </w:pPr>
            <w:r>
              <w:rPr>
                <w:rFonts w:hint="eastAsia" w:ascii="黑体" w:hAnsi="黑体" w:eastAsia="黑体" w:cs="黑体"/>
                <w:b w:val="0"/>
                <w:bCs w:val="0"/>
                <w:color w:val="auto"/>
                <w:kern w:val="0"/>
                <w:sz w:val="24"/>
                <w:szCs w:val="24"/>
                <w:highlight w:val="none"/>
                <w:u w:val="none"/>
                <w:lang w:eastAsia="en-US" w:bidi="ar"/>
              </w:rPr>
              <w:t>2025完成情况</w:t>
            </w:r>
          </w:p>
          <w:p w14:paraId="1D473BB1">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zh-CN" w:bidi="ar"/>
              </w:rPr>
            </w:pPr>
            <w:r>
              <w:rPr>
                <w:rFonts w:hint="eastAsia" w:ascii="黑体" w:hAnsi="黑体" w:eastAsia="黑体" w:cs="黑体"/>
                <w:b w:val="0"/>
                <w:bCs w:val="0"/>
                <w:color w:val="auto"/>
                <w:kern w:val="0"/>
                <w:sz w:val="24"/>
                <w:szCs w:val="24"/>
                <w:highlight w:val="none"/>
                <w:u w:val="none"/>
                <w:lang w:eastAsia="zh-CN" w:bidi="ar"/>
              </w:rPr>
              <w:t>（区级）</w:t>
            </w:r>
          </w:p>
        </w:tc>
        <w:tc>
          <w:tcPr>
            <w:tcW w:w="893" w:type="pct"/>
            <w:shd w:val="clear" w:color="auto" w:fill="CFCECE"/>
            <w:vAlign w:val="center"/>
          </w:tcPr>
          <w:p w14:paraId="60625F14">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en-US" w:bidi="ar"/>
              </w:rPr>
            </w:pPr>
            <w:r>
              <w:rPr>
                <w:rFonts w:hint="eastAsia" w:ascii="黑体" w:hAnsi="黑体" w:eastAsia="黑体" w:cs="黑体"/>
                <w:b w:val="0"/>
                <w:bCs w:val="0"/>
                <w:color w:val="auto"/>
                <w:kern w:val="0"/>
                <w:sz w:val="24"/>
                <w:szCs w:val="24"/>
                <w:highlight w:val="none"/>
                <w:u w:val="none"/>
                <w:lang w:eastAsia="en-US" w:bidi="ar"/>
              </w:rPr>
              <w:t>2030规划目标值</w:t>
            </w:r>
          </w:p>
          <w:p w14:paraId="27F58D8F">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zh-CN" w:bidi="ar"/>
              </w:rPr>
            </w:pPr>
            <w:r>
              <w:rPr>
                <w:rFonts w:hint="eastAsia" w:ascii="黑体" w:hAnsi="黑体" w:eastAsia="黑体" w:cs="黑体"/>
                <w:b w:val="0"/>
                <w:bCs w:val="0"/>
                <w:color w:val="auto"/>
                <w:kern w:val="0"/>
                <w:sz w:val="24"/>
                <w:szCs w:val="24"/>
                <w:highlight w:val="none"/>
                <w:u w:val="none"/>
                <w:lang w:eastAsia="zh-CN" w:bidi="ar"/>
              </w:rPr>
              <w:t>（</w:t>
            </w:r>
            <w:r>
              <w:rPr>
                <w:rFonts w:hint="eastAsia" w:ascii="黑体" w:hAnsi="黑体" w:eastAsia="黑体" w:cs="黑体"/>
                <w:b w:val="0"/>
                <w:bCs w:val="0"/>
                <w:color w:val="auto"/>
                <w:kern w:val="0"/>
                <w:sz w:val="24"/>
                <w:szCs w:val="24"/>
                <w:highlight w:val="none"/>
                <w:u w:val="none"/>
                <w:lang w:val="en-US" w:eastAsia="zh-CN" w:bidi="ar"/>
              </w:rPr>
              <w:t>区级</w:t>
            </w:r>
            <w:r>
              <w:rPr>
                <w:rFonts w:hint="eastAsia" w:ascii="黑体" w:hAnsi="黑体" w:eastAsia="黑体" w:cs="黑体"/>
                <w:b w:val="0"/>
                <w:bCs w:val="0"/>
                <w:color w:val="auto"/>
                <w:kern w:val="0"/>
                <w:sz w:val="24"/>
                <w:szCs w:val="24"/>
                <w:highlight w:val="none"/>
                <w:u w:val="none"/>
                <w:lang w:eastAsia="zh-CN" w:bidi="ar"/>
              </w:rPr>
              <w:t>）</w:t>
            </w:r>
          </w:p>
        </w:tc>
        <w:tc>
          <w:tcPr>
            <w:tcW w:w="691" w:type="pct"/>
            <w:shd w:val="clear" w:color="auto" w:fill="CFCECE"/>
            <w:vAlign w:val="center"/>
          </w:tcPr>
          <w:p w14:paraId="75293CBD">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en-US" w:bidi="ar"/>
              </w:rPr>
            </w:pPr>
            <w:r>
              <w:rPr>
                <w:rFonts w:hint="eastAsia" w:ascii="黑体" w:hAnsi="黑体" w:eastAsia="黑体" w:cs="黑体"/>
                <w:b w:val="0"/>
                <w:bCs w:val="0"/>
                <w:color w:val="auto"/>
                <w:kern w:val="0"/>
                <w:sz w:val="24"/>
                <w:szCs w:val="24"/>
                <w:highlight w:val="none"/>
                <w:u w:val="none"/>
                <w:lang w:eastAsia="en-US" w:bidi="ar"/>
              </w:rPr>
              <w:t>2030规划目标值</w:t>
            </w:r>
          </w:p>
          <w:p w14:paraId="61D0ED6A">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zh-CN" w:bidi="ar"/>
              </w:rPr>
            </w:pPr>
            <w:r>
              <w:rPr>
                <w:rFonts w:hint="eastAsia" w:ascii="黑体" w:hAnsi="黑体" w:eastAsia="黑体" w:cs="黑体"/>
                <w:b w:val="0"/>
                <w:bCs w:val="0"/>
                <w:color w:val="auto"/>
                <w:kern w:val="0"/>
                <w:sz w:val="24"/>
                <w:szCs w:val="24"/>
                <w:highlight w:val="none"/>
                <w:u w:val="none"/>
                <w:lang w:eastAsia="zh-CN" w:bidi="ar"/>
              </w:rPr>
              <w:t>（市级）</w:t>
            </w:r>
          </w:p>
        </w:tc>
        <w:tc>
          <w:tcPr>
            <w:tcW w:w="1351" w:type="pct"/>
            <w:shd w:val="clear" w:color="auto" w:fill="CFCECE"/>
            <w:vAlign w:val="center"/>
          </w:tcPr>
          <w:p w14:paraId="16993CB6">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en-US" w:bidi="ar"/>
              </w:rPr>
            </w:pPr>
            <w:r>
              <w:rPr>
                <w:rFonts w:hint="eastAsia" w:ascii="黑体" w:hAnsi="黑体" w:eastAsia="黑体" w:cs="黑体"/>
                <w:b w:val="0"/>
                <w:bCs w:val="0"/>
                <w:color w:val="auto"/>
                <w:kern w:val="0"/>
                <w:sz w:val="24"/>
                <w:szCs w:val="24"/>
                <w:highlight w:val="none"/>
                <w:u w:val="none"/>
                <w:lang w:eastAsia="en-US" w:bidi="ar"/>
              </w:rPr>
              <w:t>指标说明</w:t>
            </w:r>
          </w:p>
        </w:tc>
        <w:tc>
          <w:tcPr>
            <w:tcW w:w="375" w:type="pct"/>
            <w:shd w:val="clear" w:color="auto" w:fill="CFCECE"/>
            <w:vAlign w:val="center"/>
          </w:tcPr>
          <w:p w14:paraId="087BE95D">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黑体" w:hAnsi="黑体" w:eastAsia="黑体" w:cs="黑体"/>
                <w:b w:val="0"/>
                <w:bCs w:val="0"/>
                <w:color w:val="auto"/>
                <w:kern w:val="0"/>
                <w:sz w:val="24"/>
                <w:szCs w:val="24"/>
                <w:highlight w:val="none"/>
                <w:u w:val="none"/>
                <w:lang w:eastAsia="en-US" w:bidi="ar"/>
              </w:rPr>
            </w:pPr>
            <w:r>
              <w:rPr>
                <w:rFonts w:hint="eastAsia" w:ascii="黑体" w:hAnsi="黑体" w:eastAsia="黑体" w:cs="黑体"/>
                <w:b w:val="0"/>
                <w:bCs w:val="0"/>
                <w:color w:val="auto"/>
                <w:kern w:val="0"/>
                <w:sz w:val="24"/>
                <w:szCs w:val="24"/>
                <w:highlight w:val="none"/>
                <w:u w:val="none"/>
                <w:lang w:eastAsia="en-US" w:bidi="ar"/>
              </w:rPr>
              <w:t>属性</w:t>
            </w:r>
          </w:p>
        </w:tc>
      </w:tr>
      <w:tr w14:paraId="04CB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vAlign w:val="center"/>
          </w:tcPr>
          <w:p w14:paraId="58013C9C">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1</w:t>
            </w:r>
          </w:p>
        </w:tc>
        <w:tc>
          <w:tcPr>
            <w:tcW w:w="661" w:type="pct"/>
            <w:vAlign w:val="center"/>
          </w:tcPr>
          <w:p w14:paraId="36BF467D">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kern w:val="0"/>
                <w:sz w:val="24"/>
                <w:highlight w:val="none"/>
              </w:rPr>
              <w:t>人均</w:t>
            </w:r>
            <w:r>
              <w:rPr>
                <w:rFonts w:hint="eastAsia" w:ascii="仿宋_GB2312" w:hAnsi="仿宋_GB2312" w:cs="仿宋_GB2312"/>
                <w:color w:val="auto"/>
                <w:kern w:val="0"/>
                <w:sz w:val="24"/>
                <w:highlight w:val="none"/>
                <w:lang w:eastAsia="zh-CN"/>
              </w:rPr>
              <w:t>预期</w:t>
            </w:r>
            <w:r>
              <w:rPr>
                <w:rFonts w:hint="eastAsia" w:ascii="仿宋_GB2312" w:hAnsi="仿宋_GB2312" w:cs="仿宋_GB2312"/>
                <w:color w:val="auto"/>
                <w:kern w:val="0"/>
                <w:sz w:val="24"/>
                <w:highlight w:val="none"/>
              </w:rPr>
              <w:t>寿命</w:t>
            </w:r>
            <w:r>
              <w:rPr>
                <w:rFonts w:hint="eastAsia" w:ascii="仿宋_GB2312" w:hAnsi="仿宋_GB2312" w:cs="仿宋_GB2312"/>
                <w:color w:val="auto"/>
                <w:kern w:val="0"/>
                <w:sz w:val="24"/>
                <w:highlight w:val="none"/>
                <w:lang w:eastAsia="zh-CN"/>
              </w:rPr>
              <w:t>（岁）</w:t>
            </w:r>
          </w:p>
        </w:tc>
        <w:tc>
          <w:tcPr>
            <w:tcW w:w="728" w:type="pct"/>
            <w:vAlign w:val="center"/>
          </w:tcPr>
          <w:p w14:paraId="7F586E02">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sz w:val="24"/>
                <w:highlight w:val="none"/>
                <w:lang w:val="en-US" w:eastAsia="zh-CN"/>
              </w:rPr>
            </w:pPr>
            <w:r>
              <w:rPr>
                <w:rFonts w:hint="eastAsia" w:ascii="仿宋_GB2312" w:hAnsi="仿宋_GB2312" w:cs="仿宋_GB2312"/>
                <w:color w:val="auto"/>
                <w:kern w:val="0"/>
                <w:sz w:val="24"/>
                <w:highlight w:val="none"/>
              </w:rPr>
              <w:t>82.2</w:t>
            </w:r>
            <w:r>
              <w:rPr>
                <w:rFonts w:hint="eastAsia" w:ascii="仿宋_GB2312" w:hAnsi="仿宋_GB2312" w:cs="仿宋_GB2312"/>
                <w:color w:val="auto"/>
                <w:kern w:val="0"/>
                <w:sz w:val="24"/>
                <w:highlight w:val="none"/>
                <w:lang w:val="en-US" w:eastAsia="zh-CN"/>
              </w:rPr>
              <w:t>9</w:t>
            </w:r>
          </w:p>
        </w:tc>
        <w:tc>
          <w:tcPr>
            <w:tcW w:w="893" w:type="pct"/>
            <w:vAlign w:val="center"/>
          </w:tcPr>
          <w:p w14:paraId="0E9F111F">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83.09</w:t>
            </w:r>
          </w:p>
        </w:tc>
        <w:tc>
          <w:tcPr>
            <w:tcW w:w="691" w:type="pct"/>
            <w:vAlign w:val="center"/>
          </w:tcPr>
          <w:p w14:paraId="1606BBBE">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84.8</w:t>
            </w:r>
          </w:p>
        </w:tc>
        <w:tc>
          <w:tcPr>
            <w:tcW w:w="1351" w:type="pct"/>
            <w:vAlign w:val="center"/>
          </w:tcPr>
          <w:p w14:paraId="7C558525">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按当年户籍居民死亡水平，刚出生婴儿预计平均可以存活的年数</w:t>
            </w:r>
          </w:p>
        </w:tc>
        <w:tc>
          <w:tcPr>
            <w:tcW w:w="375" w:type="pct"/>
            <w:vAlign w:val="center"/>
          </w:tcPr>
          <w:p w14:paraId="75EAD510">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2DCD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vAlign w:val="center"/>
          </w:tcPr>
          <w:p w14:paraId="02D03A53">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2</w:t>
            </w:r>
          </w:p>
        </w:tc>
        <w:tc>
          <w:tcPr>
            <w:tcW w:w="661" w:type="pct"/>
            <w:shd w:val="clear" w:color="auto" w:fill="auto"/>
            <w:vAlign w:val="center"/>
          </w:tcPr>
          <w:p w14:paraId="7CB89081">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kern w:val="0"/>
                <w:sz w:val="24"/>
                <w:highlight w:val="none"/>
              </w:rPr>
              <w:t>孕产妇死亡率</w:t>
            </w:r>
            <w:r>
              <w:rPr>
                <w:rFonts w:hint="eastAsia" w:ascii="仿宋_GB2312" w:hAnsi="仿宋_GB2312" w:cs="仿宋_GB2312"/>
                <w:color w:val="auto"/>
                <w:kern w:val="0"/>
                <w:sz w:val="24"/>
                <w:highlight w:val="none"/>
                <w:lang w:eastAsia="zh-CN"/>
              </w:rPr>
              <w:t>（</w:t>
            </w:r>
            <w:r>
              <w:rPr>
                <w:rFonts w:hint="eastAsia" w:ascii="仿宋_GB2312" w:hAnsi="仿宋_GB2312" w:cs="仿宋_GB2312"/>
                <w:color w:val="auto"/>
                <w:kern w:val="0"/>
                <w:sz w:val="24"/>
                <w:highlight w:val="none"/>
                <w:lang w:val="en-US" w:eastAsia="zh-CN"/>
              </w:rPr>
              <w:t>1/10万</w:t>
            </w:r>
            <w:r>
              <w:rPr>
                <w:rFonts w:hint="eastAsia" w:ascii="仿宋_GB2312" w:hAnsi="仿宋_GB2312" w:cs="仿宋_GB2312"/>
                <w:color w:val="auto"/>
                <w:kern w:val="0"/>
                <w:sz w:val="24"/>
                <w:highlight w:val="none"/>
                <w:lang w:eastAsia="zh-CN"/>
              </w:rPr>
              <w:t>）</w:t>
            </w:r>
          </w:p>
        </w:tc>
        <w:tc>
          <w:tcPr>
            <w:tcW w:w="728" w:type="pct"/>
            <w:shd w:val="clear" w:color="auto" w:fill="auto"/>
            <w:vAlign w:val="center"/>
          </w:tcPr>
          <w:p w14:paraId="3D2B3E3B">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0</w:t>
            </w:r>
          </w:p>
        </w:tc>
        <w:tc>
          <w:tcPr>
            <w:tcW w:w="893" w:type="pct"/>
            <w:shd w:val="clear" w:color="auto" w:fill="auto"/>
            <w:vAlign w:val="center"/>
          </w:tcPr>
          <w:p w14:paraId="4CCB6304">
            <w:pPr>
              <w:spacing w:line="240" w:lineRule="auto"/>
              <w:ind w:left="0" w:leftChars="0" w:right="0" w:rightChars="0" w:firstLine="0" w:firstLineChars="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cs="仿宋_GB2312"/>
                <w:color w:val="auto"/>
                <w:sz w:val="24"/>
                <w:highlight w:val="none"/>
              </w:rPr>
              <w:t>国际先进水平</w:t>
            </w:r>
          </w:p>
        </w:tc>
        <w:tc>
          <w:tcPr>
            <w:tcW w:w="691" w:type="pct"/>
            <w:shd w:val="clear" w:color="auto" w:fill="auto"/>
            <w:vAlign w:val="center"/>
          </w:tcPr>
          <w:p w14:paraId="7CDDC634">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国际先进水平</w:t>
            </w:r>
          </w:p>
        </w:tc>
        <w:tc>
          <w:tcPr>
            <w:tcW w:w="1351" w:type="pct"/>
            <w:shd w:val="clear" w:color="auto" w:fill="auto"/>
            <w:vAlign w:val="center"/>
          </w:tcPr>
          <w:p w14:paraId="01D546DB">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统计时限内孕产妇死亡人数/活产数*10万/10万</w:t>
            </w:r>
          </w:p>
        </w:tc>
        <w:tc>
          <w:tcPr>
            <w:tcW w:w="375" w:type="pct"/>
            <w:shd w:val="clear" w:color="auto" w:fill="auto"/>
            <w:vAlign w:val="center"/>
          </w:tcPr>
          <w:p w14:paraId="3287EFCC">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1F2D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vAlign w:val="center"/>
          </w:tcPr>
          <w:p w14:paraId="1D9DA8A0">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3</w:t>
            </w:r>
          </w:p>
        </w:tc>
        <w:tc>
          <w:tcPr>
            <w:tcW w:w="661" w:type="pct"/>
            <w:shd w:val="clear" w:color="auto" w:fill="auto"/>
            <w:vAlign w:val="center"/>
          </w:tcPr>
          <w:p w14:paraId="2B75ACC7">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kern w:val="0"/>
                <w:sz w:val="24"/>
                <w:highlight w:val="none"/>
              </w:rPr>
              <w:t>婴儿死亡率</w:t>
            </w:r>
            <w:r>
              <w:rPr>
                <w:rFonts w:hint="eastAsia" w:ascii="仿宋_GB2312" w:hAnsi="仿宋_GB2312" w:cs="仿宋_GB2312"/>
                <w:color w:val="auto"/>
                <w:kern w:val="0"/>
                <w:sz w:val="24"/>
                <w:highlight w:val="none"/>
                <w:lang w:eastAsia="zh-CN"/>
              </w:rPr>
              <w:t>（</w:t>
            </w:r>
            <w:r>
              <w:rPr>
                <w:rFonts w:hint="default" w:ascii="Arial" w:hAnsi="Arial" w:cs="Arial"/>
                <w:color w:val="auto"/>
                <w:kern w:val="0"/>
                <w:sz w:val="24"/>
                <w:highlight w:val="none"/>
                <w:lang w:eastAsia="zh-CN"/>
              </w:rPr>
              <w:t>‰</w:t>
            </w:r>
            <w:r>
              <w:rPr>
                <w:rFonts w:hint="eastAsia" w:ascii="仿宋_GB2312" w:hAnsi="仿宋_GB2312" w:cs="仿宋_GB2312"/>
                <w:color w:val="auto"/>
                <w:kern w:val="0"/>
                <w:sz w:val="24"/>
                <w:highlight w:val="none"/>
                <w:lang w:eastAsia="zh-CN"/>
              </w:rPr>
              <w:t>）</w:t>
            </w:r>
          </w:p>
        </w:tc>
        <w:tc>
          <w:tcPr>
            <w:tcW w:w="728" w:type="pct"/>
            <w:shd w:val="clear" w:color="auto" w:fill="auto"/>
            <w:vAlign w:val="center"/>
          </w:tcPr>
          <w:p w14:paraId="43C81373">
            <w:pPr>
              <w:widowControl/>
              <w:spacing w:line="240" w:lineRule="auto"/>
              <w:ind w:left="0" w:leftChars="0" w:right="0" w:rightChars="0" w:firstLine="0" w:firstLineChars="0"/>
              <w:jc w:val="center"/>
              <w:textAlignment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2.06</w:t>
            </w:r>
          </w:p>
        </w:tc>
        <w:tc>
          <w:tcPr>
            <w:tcW w:w="893" w:type="pct"/>
            <w:shd w:val="clear" w:color="auto" w:fill="auto"/>
            <w:vAlign w:val="center"/>
          </w:tcPr>
          <w:p w14:paraId="094201B9">
            <w:pPr>
              <w:spacing w:line="240" w:lineRule="auto"/>
              <w:ind w:left="0" w:leftChars="0" w:right="0" w:rightChars="0" w:firstLine="0" w:firstLineChars="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cs="仿宋_GB2312"/>
                <w:color w:val="auto"/>
                <w:sz w:val="24"/>
                <w:highlight w:val="none"/>
              </w:rPr>
              <w:t>国际先进水平</w:t>
            </w:r>
          </w:p>
        </w:tc>
        <w:tc>
          <w:tcPr>
            <w:tcW w:w="691" w:type="pct"/>
            <w:shd w:val="clear" w:color="auto" w:fill="auto"/>
            <w:vAlign w:val="center"/>
          </w:tcPr>
          <w:p w14:paraId="09278043">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国际先进水平</w:t>
            </w:r>
          </w:p>
        </w:tc>
        <w:tc>
          <w:tcPr>
            <w:tcW w:w="1351" w:type="pct"/>
            <w:shd w:val="clear" w:color="auto" w:fill="auto"/>
            <w:vAlign w:val="center"/>
          </w:tcPr>
          <w:p w14:paraId="54C3CB51">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统计时限内未满周岁死亡的活产婴儿数/活产数*1000‰</w:t>
            </w:r>
          </w:p>
        </w:tc>
        <w:tc>
          <w:tcPr>
            <w:tcW w:w="375" w:type="pct"/>
            <w:shd w:val="clear" w:color="auto" w:fill="auto"/>
            <w:vAlign w:val="center"/>
          </w:tcPr>
          <w:p w14:paraId="3E9817B3">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08D5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vAlign w:val="center"/>
          </w:tcPr>
          <w:p w14:paraId="1DDEFC90">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4</w:t>
            </w:r>
          </w:p>
        </w:tc>
        <w:tc>
          <w:tcPr>
            <w:tcW w:w="661" w:type="pct"/>
            <w:shd w:val="clear" w:color="auto" w:fill="auto"/>
            <w:vAlign w:val="center"/>
          </w:tcPr>
          <w:p w14:paraId="18988CA6">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重大慢性病（心脑血管疾病、癌症、慢性呼吸系统疾病、糖尿病）过早死亡率（%）</w:t>
            </w:r>
          </w:p>
        </w:tc>
        <w:tc>
          <w:tcPr>
            <w:tcW w:w="728" w:type="pct"/>
            <w:shd w:val="clear" w:color="auto" w:fill="auto"/>
            <w:vAlign w:val="center"/>
          </w:tcPr>
          <w:p w14:paraId="2A161273">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kern w:val="0"/>
                <w:sz w:val="24"/>
                <w:highlight w:val="none"/>
              </w:rPr>
              <w:t>11.</w:t>
            </w:r>
            <w:r>
              <w:rPr>
                <w:rFonts w:hint="eastAsia" w:ascii="仿宋_GB2312" w:hAnsi="仿宋_GB2312" w:cs="仿宋_GB2312"/>
                <w:color w:val="auto"/>
                <w:kern w:val="0"/>
                <w:sz w:val="24"/>
                <w:highlight w:val="none"/>
                <w:lang w:val="en-US" w:eastAsia="zh-CN"/>
              </w:rPr>
              <w:t>3</w:t>
            </w:r>
          </w:p>
        </w:tc>
        <w:tc>
          <w:tcPr>
            <w:tcW w:w="893" w:type="pct"/>
            <w:shd w:val="clear" w:color="auto" w:fill="auto"/>
            <w:vAlign w:val="center"/>
          </w:tcPr>
          <w:p w14:paraId="37FB65C5">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10</w:t>
            </w:r>
          </w:p>
        </w:tc>
        <w:tc>
          <w:tcPr>
            <w:tcW w:w="691" w:type="pct"/>
            <w:shd w:val="clear" w:color="auto" w:fill="auto"/>
            <w:vAlign w:val="center"/>
          </w:tcPr>
          <w:p w14:paraId="048C15B2">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8.0</w:t>
            </w:r>
          </w:p>
        </w:tc>
        <w:tc>
          <w:tcPr>
            <w:tcW w:w="1351" w:type="pct"/>
            <w:shd w:val="clear" w:color="auto" w:fill="auto"/>
            <w:vAlign w:val="center"/>
          </w:tcPr>
          <w:p w14:paraId="268FC657">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30-69岁人群中因这四类疾</w:t>
            </w:r>
            <w:r>
              <w:rPr>
                <w:rFonts w:hint="eastAsia" w:ascii="仿宋_GB2312" w:hAnsi="仿宋_GB2312" w:cs="仿宋_GB2312"/>
                <w:color w:val="auto"/>
                <w:kern w:val="0"/>
                <w:sz w:val="24"/>
                <w:highlight w:val="none"/>
                <w:lang w:eastAsia="zh-CN"/>
              </w:rPr>
              <w:t>病</w:t>
            </w:r>
            <w:r>
              <w:rPr>
                <w:rFonts w:hint="eastAsia" w:ascii="仿宋_GB2312" w:hAnsi="仿宋_GB2312" w:cs="仿宋_GB2312"/>
                <w:color w:val="auto"/>
                <w:kern w:val="0"/>
                <w:sz w:val="24"/>
                <w:highlight w:val="none"/>
              </w:rPr>
              <w:t>死亡的风险</w:t>
            </w:r>
          </w:p>
        </w:tc>
        <w:tc>
          <w:tcPr>
            <w:tcW w:w="375" w:type="pct"/>
            <w:shd w:val="clear" w:color="auto" w:fill="auto"/>
            <w:vAlign w:val="center"/>
          </w:tcPr>
          <w:p w14:paraId="772D90D4">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61F8E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vAlign w:val="center"/>
          </w:tcPr>
          <w:p w14:paraId="1F19C331">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5</w:t>
            </w:r>
          </w:p>
        </w:tc>
        <w:tc>
          <w:tcPr>
            <w:tcW w:w="661" w:type="pct"/>
            <w:shd w:val="clear" w:color="auto" w:fill="auto"/>
            <w:vAlign w:val="center"/>
          </w:tcPr>
          <w:p w14:paraId="6D2AE483">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居民健康素养水平（%）</w:t>
            </w:r>
          </w:p>
        </w:tc>
        <w:tc>
          <w:tcPr>
            <w:tcW w:w="728" w:type="pct"/>
            <w:shd w:val="clear" w:color="auto" w:fill="auto"/>
            <w:vAlign w:val="center"/>
          </w:tcPr>
          <w:p w14:paraId="0AEA5A8D">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eastAsia="zh-CN"/>
              </w:rPr>
              <w:t>35.2</w:t>
            </w:r>
          </w:p>
        </w:tc>
        <w:tc>
          <w:tcPr>
            <w:tcW w:w="893" w:type="pct"/>
            <w:shd w:val="clear" w:color="auto" w:fill="auto"/>
            <w:vAlign w:val="center"/>
          </w:tcPr>
          <w:p w14:paraId="037BBDB8">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rPr>
              <w:t>≥</w:t>
            </w:r>
            <w:r>
              <w:rPr>
                <w:rFonts w:hint="eastAsia" w:ascii="仿宋_GB2312" w:hAnsi="仿宋_GB2312" w:cs="仿宋_GB2312"/>
                <w:color w:val="auto"/>
                <w:sz w:val="24"/>
                <w:highlight w:val="none"/>
                <w:lang w:val="en-US" w:eastAsia="zh-CN"/>
              </w:rPr>
              <w:t>42</w:t>
            </w:r>
          </w:p>
        </w:tc>
        <w:tc>
          <w:tcPr>
            <w:tcW w:w="691" w:type="pct"/>
            <w:shd w:val="clear" w:color="auto" w:fill="auto"/>
            <w:vAlign w:val="center"/>
          </w:tcPr>
          <w:p w14:paraId="437C6099">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≥48</w:t>
            </w:r>
          </w:p>
        </w:tc>
        <w:tc>
          <w:tcPr>
            <w:tcW w:w="1351" w:type="pct"/>
            <w:shd w:val="clear" w:color="auto" w:fill="auto"/>
            <w:vAlign w:val="center"/>
          </w:tcPr>
          <w:p w14:paraId="3F9763CC">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调查居民中具备基本健康素养的人数/调查居民总人数*100%</w:t>
            </w:r>
          </w:p>
        </w:tc>
        <w:tc>
          <w:tcPr>
            <w:tcW w:w="375" w:type="pct"/>
            <w:shd w:val="clear" w:color="auto" w:fill="auto"/>
            <w:vAlign w:val="center"/>
          </w:tcPr>
          <w:p w14:paraId="7DB229D2">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348B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vAlign w:val="center"/>
          </w:tcPr>
          <w:p w14:paraId="726E90A6">
            <w:pPr>
              <w:spacing w:line="240" w:lineRule="auto"/>
              <w:ind w:left="0" w:leftChars="0" w:right="0" w:rightChars="0" w:firstLine="0" w:firstLineChars="0"/>
              <w:jc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sz w:val="24"/>
                <w:highlight w:val="none"/>
                <w:lang w:val="en-US" w:eastAsia="zh-CN"/>
              </w:rPr>
              <w:t>6</w:t>
            </w:r>
          </w:p>
        </w:tc>
        <w:tc>
          <w:tcPr>
            <w:tcW w:w="661" w:type="pct"/>
            <w:shd w:val="clear" w:color="auto" w:fill="auto"/>
            <w:vAlign w:val="center"/>
          </w:tcPr>
          <w:p w14:paraId="35DD6542">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每千常</w:t>
            </w:r>
            <w:r>
              <w:rPr>
                <w:rFonts w:hint="eastAsia" w:ascii="仿宋_GB2312" w:hAnsi="仿宋_GB2312" w:cs="仿宋_GB2312"/>
                <w:color w:val="auto"/>
                <w:kern w:val="0"/>
                <w:sz w:val="24"/>
                <w:highlight w:val="none"/>
                <w:lang w:eastAsia="zh-CN"/>
              </w:rPr>
              <w:t>住</w:t>
            </w:r>
            <w:r>
              <w:rPr>
                <w:rFonts w:hint="eastAsia" w:ascii="仿宋_GB2312" w:hAnsi="仿宋_GB2312" w:cs="仿宋_GB2312"/>
                <w:color w:val="auto"/>
                <w:kern w:val="0"/>
                <w:sz w:val="24"/>
                <w:highlight w:val="none"/>
              </w:rPr>
              <w:t>人口</w:t>
            </w:r>
            <w:r>
              <w:rPr>
                <w:rFonts w:hint="eastAsia" w:ascii="仿宋_GB2312" w:hAnsi="仿宋_GB2312" w:cs="仿宋_GB2312"/>
                <w:color w:val="auto"/>
                <w:kern w:val="0"/>
                <w:sz w:val="24"/>
                <w:highlight w:val="none"/>
                <w:lang w:eastAsia="zh-CN"/>
              </w:rPr>
              <w:t>医</w:t>
            </w:r>
            <w:r>
              <w:rPr>
                <w:rFonts w:hint="eastAsia" w:ascii="仿宋_GB2312" w:hAnsi="仿宋_GB2312" w:cs="仿宋_GB2312"/>
                <w:color w:val="auto"/>
                <w:kern w:val="0"/>
                <w:sz w:val="24"/>
                <w:highlight w:val="none"/>
              </w:rPr>
              <w:t>疗卫生机构床位数（张）</w:t>
            </w:r>
          </w:p>
        </w:tc>
        <w:tc>
          <w:tcPr>
            <w:tcW w:w="728" w:type="pct"/>
            <w:shd w:val="clear" w:color="auto" w:fill="auto"/>
            <w:vAlign w:val="center"/>
          </w:tcPr>
          <w:p w14:paraId="166B1B0D">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7.2</w:t>
            </w:r>
          </w:p>
        </w:tc>
        <w:tc>
          <w:tcPr>
            <w:tcW w:w="893" w:type="pct"/>
            <w:shd w:val="clear" w:color="auto" w:fill="auto"/>
            <w:vAlign w:val="center"/>
          </w:tcPr>
          <w:p w14:paraId="60BB72E3">
            <w:pPr>
              <w:spacing w:line="240" w:lineRule="auto"/>
              <w:ind w:left="0" w:leftChars="0" w:right="0" w:rightChars="0" w:firstLine="0" w:firstLineChars="0"/>
              <w:jc w:val="center"/>
              <w:rPr>
                <w:rFonts w:hint="default" w:ascii="仿宋_GB2312" w:hAnsi="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7.2左右</w:t>
            </w:r>
          </w:p>
        </w:tc>
        <w:tc>
          <w:tcPr>
            <w:tcW w:w="691" w:type="pct"/>
            <w:shd w:val="clear" w:color="auto" w:fill="auto"/>
            <w:vAlign w:val="center"/>
          </w:tcPr>
          <w:p w14:paraId="53804A9B">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6.7左右</w:t>
            </w:r>
          </w:p>
        </w:tc>
        <w:tc>
          <w:tcPr>
            <w:tcW w:w="1351" w:type="pct"/>
            <w:shd w:val="clear" w:color="auto" w:fill="auto"/>
            <w:vAlign w:val="center"/>
          </w:tcPr>
          <w:p w14:paraId="54DC0129">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医疗卫生机构床位数/常住人口数*1000</w:t>
            </w:r>
          </w:p>
        </w:tc>
        <w:tc>
          <w:tcPr>
            <w:tcW w:w="375" w:type="pct"/>
            <w:shd w:val="clear" w:color="auto" w:fill="auto"/>
            <w:vAlign w:val="center"/>
          </w:tcPr>
          <w:p w14:paraId="599A9EB6">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421C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vAlign w:val="center"/>
          </w:tcPr>
          <w:p w14:paraId="74809592">
            <w:pPr>
              <w:spacing w:line="240" w:lineRule="auto"/>
              <w:ind w:left="0" w:leftChars="0" w:right="0" w:rightChars="0" w:firstLine="0" w:firstLineChars="0"/>
              <w:jc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sz w:val="24"/>
                <w:highlight w:val="none"/>
                <w:lang w:val="en-US" w:eastAsia="zh-CN"/>
              </w:rPr>
              <w:t>7</w:t>
            </w:r>
          </w:p>
        </w:tc>
        <w:tc>
          <w:tcPr>
            <w:tcW w:w="661" w:type="pct"/>
            <w:shd w:val="clear" w:color="auto" w:fill="auto"/>
            <w:vAlign w:val="center"/>
          </w:tcPr>
          <w:p w14:paraId="303C29D1">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每千常住人口执业（助理）医师数（人）</w:t>
            </w:r>
          </w:p>
        </w:tc>
        <w:tc>
          <w:tcPr>
            <w:tcW w:w="728" w:type="pct"/>
            <w:shd w:val="clear" w:color="auto" w:fill="auto"/>
            <w:vAlign w:val="center"/>
          </w:tcPr>
          <w:p w14:paraId="2DDD9A91">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4.69</w:t>
            </w:r>
          </w:p>
        </w:tc>
        <w:tc>
          <w:tcPr>
            <w:tcW w:w="893" w:type="pct"/>
            <w:shd w:val="clear" w:color="auto" w:fill="auto"/>
            <w:vAlign w:val="center"/>
          </w:tcPr>
          <w:p w14:paraId="6A64BF41">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5.0左右</w:t>
            </w:r>
          </w:p>
        </w:tc>
        <w:tc>
          <w:tcPr>
            <w:tcW w:w="691" w:type="pct"/>
            <w:shd w:val="clear" w:color="auto" w:fill="auto"/>
            <w:vAlign w:val="center"/>
          </w:tcPr>
          <w:p w14:paraId="20466C6B">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6.</w:t>
            </w:r>
            <w:r>
              <w:rPr>
                <w:rFonts w:hint="eastAsia" w:ascii="仿宋_GB2312" w:hAnsi="仿宋_GB2312" w:cs="仿宋_GB2312"/>
                <w:color w:val="auto"/>
                <w:sz w:val="24"/>
                <w:highlight w:val="none"/>
                <w:lang w:val="en-US" w:eastAsia="zh-CN"/>
              </w:rPr>
              <w:t>3</w:t>
            </w:r>
            <w:r>
              <w:rPr>
                <w:rFonts w:hint="eastAsia" w:ascii="仿宋_GB2312" w:hAnsi="仿宋_GB2312" w:cs="仿宋_GB2312"/>
                <w:color w:val="auto"/>
                <w:sz w:val="24"/>
                <w:highlight w:val="none"/>
              </w:rPr>
              <w:t>左右</w:t>
            </w:r>
          </w:p>
        </w:tc>
        <w:tc>
          <w:tcPr>
            <w:tcW w:w="1351" w:type="pct"/>
            <w:shd w:val="clear" w:color="auto" w:fill="auto"/>
            <w:vAlign w:val="center"/>
          </w:tcPr>
          <w:p w14:paraId="5AD7A9F5">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医疗卫生机构执业（助理）医师数/常住人口数*1000</w:t>
            </w:r>
          </w:p>
        </w:tc>
        <w:tc>
          <w:tcPr>
            <w:tcW w:w="375" w:type="pct"/>
            <w:shd w:val="clear" w:color="auto" w:fill="auto"/>
            <w:vAlign w:val="center"/>
          </w:tcPr>
          <w:p w14:paraId="41B384BF">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1984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vAlign w:val="center"/>
          </w:tcPr>
          <w:p w14:paraId="03D185A0">
            <w:pPr>
              <w:spacing w:line="240" w:lineRule="auto"/>
              <w:ind w:left="0" w:leftChars="0" w:right="0" w:rightChars="0" w:firstLine="0" w:firstLineChars="0"/>
              <w:jc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sz w:val="24"/>
                <w:highlight w:val="none"/>
                <w:lang w:val="en-US" w:eastAsia="zh-CN"/>
              </w:rPr>
              <w:t>8</w:t>
            </w:r>
          </w:p>
        </w:tc>
        <w:tc>
          <w:tcPr>
            <w:tcW w:w="661" w:type="pct"/>
            <w:shd w:val="clear" w:color="auto" w:fill="auto"/>
            <w:vAlign w:val="center"/>
          </w:tcPr>
          <w:p w14:paraId="4E42847B">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每千常住人口注册护士数（人）</w:t>
            </w:r>
          </w:p>
        </w:tc>
        <w:tc>
          <w:tcPr>
            <w:tcW w:w="728" w:type="pct"/>
            <w:shd w:val="clear" w:color="auto" w:fill="auto"/>
            <w:vAlign w:val="center"/>
          </w:tcPr>
          <w:p w14:paraId="5D8C9B80">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5.08</w:t>
            </w:r>
          </w:p>
        </w:tc>
        <w:tc>
          <w:tcPr>
            <w:tcW w:w="893" w:type="pct"/>
            <w:shd w:val="clear" w:color="auto" w:fill="auto"/>
            <w:vAlign w:val="center"/>
          </w:tcPr>
          <w:p w14:paraId="6E4446B3">
            <w:pPr>
              <w:spacing w:line="240" w:lineRule="auto"/>
              <w:ind w:left="0" w:leftChars="0" w:right="0" w:rightChars="0" w:firstLine="0" w:firstLineChars="0"/>
              <w:jc w:val="center"/>
              <w:rPr>
                <w:rFonts w:hint="default" w:ascii="仿宋_GB2312" w:hAnsi="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6.0左右</w:t>
            </w:r>
          </w:p>
        </w:tc>
        <w:tc>
          <w:tcPr>
            <w:tcW w:w="691" w:type="pct"/>
            <w:shd w:val="clear" w:color="auto" w:fill="auto"/>
            <w:vAlign w:val="center"/>
          </w:tcPr>
          <w:p w14:paraId="6065CEA3">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lang w:val="en-US" w:eastAsia="zh-CN"/>
              </w:rPr>
              <w:t>7</w:t>
            </w:r>
            <w:r>
              <w:rPr>
                <w:rFonts w:hint="eastAsia" w:ascii="仿宋_GB2312" w:hAnsi="仿宋_GB2312" w:cs="仿宋_GB2312"/>
                <w:color w:val="auto"/>
                <w:sz w:val="24"/>
                <w:highlight w:val="none"/>
              </w:rPr>
              <w:t>.3左右</w:t>
            </w:r>
          </w:p>
        </w:tc>
        <w:tc>
          <w:tcPr>
            <w:tcW w:w="1351" w:type="pct"/>
            <w:shd w:val="clear" w:color="auto" w:fill="auto"/>
            <w:vAlign w:val="center"/>
          </w:tcPr>
          <w:p w14:paraId="715D3B7D">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医疗卫生机构注册护士数/常住人口数*1000</w:t>
            </w:r>
          </w:p>
        </w:tc>
        <w:tc>
          <w:tcPr>
            <w:tcW w:w="375" w:type="pct"/>
            <w:shd w:val="clear" w:color="auto" w:fill="auto"/>
            <w:vAlign w:val="center"/>
          </w:tcPr>
          <w:p w14:paraId="16C46703">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1FD0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vAlign w:val="center"/>
          </w:tcPr>
          <w:p w14:paraId="70E2A964">
            <w:pPr>
              <w:spacing w:line="240" w:lineRule="auto"/>
              <w:ind w:left="0" w:leftChars="0" w:right="0" w:rightChars="0" w:firstLine="0" w:firstLineChars="0"/>
              <w:jc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sz w:val="24"/>
                <w:highlight w:val="none"/>
                <w:lang w:val="en-US" w:eastAsia="zh-CN"/>
              </w:rPr>
              <w:t>9</w:t>
            </w:r>
          </w:p>
        </w:tc>
        <w:tc>
          <w:tcPr>
            <w:tcW w:w="661" w:type="pct"/>
            <w:shd w:val="clear" w:color="auto" w:fill="auto"/>
            <w:vAlign w:val="center"/>
          </w:tcPr>
          <w:p w14:paraId="6F6BB939">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每万常住人口全科医生（含中医类别全科医师）数（人）</w:t>
            </w:r>
          </w:p>
        </w:tc>
        <w:tc>
          <w:tcPr>
            <w:tcW w:w="728" w:type="pct"/>
            <w:shd w:val="clear" w:color="auto" w:fill="auto"/>
            <w:vAlign w:val="center"/>
          </w:tcPr>
          <w:p w14:paraId="671A8335">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4.04</w:t>
            </w:r>
          </w:p>
        </w:tc>
        <w:tc>
          <w:tcPr>
            <w:tcW w:w="893" w:type="pct"/>
            <w:shd w:val="clear" w:color="auto" w:fill="auto"/>
            <w:vAlign w:val="center"/>
          </w:tcPr>
          <w:p w14:paraId="220AAF5D">
            <w:pPr>
              <w:spacing w:line="240" w:lineRule="auto"/>
              <w:ind w:left="0" w:leftChars="0" w:right="0" w:rightChars="0" w:firstLine="0" w:firstLineChars="0"/>
              <w:jc w:val="center"/>
              <w:rPr>
                <w:rFonts w:hint="default" w:ascii="仿宋_GB2312" w:hAnsi="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4.24</w:t>
            </w:r>
          </w:p>
        </w:tc>
        <w:tc>
          <w:tcPr>
            <w:tcW w:w="691" w:type="pct"/>
            <w:shd w:val="clear" w:color="auto" w:fill="auto"/>
            <w:vAlign w:val="center"/>
          </w:tcPr>
          <w:p w14:paraId="2837ABDF">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lang w:val="en-US" w:eastAsia="zh-CN"/>
              </w:rPr>
              <w:t>5</w:t>
            </w:r>
            <w:r>
              <w:rPr>
                <w:rFonts w:hint="eastAsia" w:ascii="仿宋_GB2312" w:hAnsi="仿宋_GB2312" w:cs="仿宋_GB2312"/>
                <w:color w:val="auto"/>
                <w:sz w:val="24"/>
                <w:highlight w:val="none"/>
              </w:rPr>
              <w:t>.0</w:t>
            </w:r>
          </w:p>
        </w:tc>
        <w:tc>
          <w:tcPr>
            <w:tcW w:w="1351" w:type="pct"/>
            <w:shd w:val="clear" w:color="auto" w:fill="auto"/>
            <w:vAlign w:val="center"/>
          </w:tcPr>
          <w:p w14:paraId="5FBAE1DE">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全科医生数（全科医生指注册为全科医学专业的人数和注册为乡村全科执业助理医师的人数之和）/常住人口数*10000</w:t>
            </w:r>
          </w:p>
        </w:tc>
        <w:tc>
          <w:tcPr>
            <w:tcW w:w="375" w:type="pct"/>
            <w:shd w:val="clear" w:color="auto" w:fill="auto"/>
            <w:vAlign w:val="center"/>
          </w:tcPr>
          <w:p w14:paraId="4CD2243A">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7EE7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vAlign w:val="center"/>
          </w:tcPr>
          <w:p w14:paraId="3E76788D">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10</w:t>
            </w:r>
          </w:p>
        </w:tc>
        <w:tc>
          <w:tcPr>
            <w:tcW w:w="661" w:type="pct"/>
            <w:shd w:val="clear" w:color="auto" w:fill="auto"/>
            <w:vAlign w:val="center"/>
          </w:tcPr>
          <w:p w14:paraId="5E5D4BF8">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0"/>
                <w:sz w:val="24"/>
                <w:highlight w:val="none"/>
                <w:lang w:eastAsia="zh-CN"/>
              </w:rPr>
            </w:pPr>
            <w:r>
              <w:rPr>
                <w:rFonts w:hint="eastAsia" w:ascii="仿宋_GB2312" w:hAnsi="仿宋_GB2312" w:cs="仿宋_GB2312"/>
                <w:color w:val="auto"/>
                <w:kern w:val="0"/>
                <w:sz w:val="24"/>
                <w:highlight w:val="none"/>
                <w:lang w:eastAsia="zh-CN"/>
              </w:rPr>
              <w:t>区级疾控机构规范化建设达标率（</w:t>
            </w:r>
            <w:r>
              <w:rPr>
                <w:rFonts w:hint="eastAsia" w:ascii="仿宋_GB2312" w:hAnsi="仿宋_GB2312" w:cs="仿宋_GB2312"/>
                <w:color w:val="auto"/>
                <w:kern w:val="0"/>
                <w:sz w:val="24"/>
                <w:highlight w:val="none"/>
                <w:lang w:val="en-US" w:eastAsia="zh-CN"/>
              </w:rPr>
              <w:t>%</w:t>
            </w:r>
            <w:r>
              <w:rPr>
                <w:rFonts w:hint="eastAsia" w:ascii="仿宋_GB2312" w:hAnsi="仿宋_GB2312" w:cs="仿宋_GB2312"/>
                <w:color w:val="auto"/>
                <w:kern w:val="0"/>
                <w:sz w:val="24"/>
                <w:highlight w:val="none"/>
                <w:lang w:eastAsia="zh-CN"/>
              </w:rPr>
              <w:t>）</w:t>
            </w:r>
          </w:p>
        </w:tc>
        <w:tc>
          <w:tcPr>
            <w:tcW w:w="728" w:type="pct"/>
            <w:shd w:val="clear" w:color="auto" w:fill="auto"/>
            <w:vAlign w:val="center"/>
          </w:tcPr>
          <w:p w14:paraId="20B5BF49">
            <w:pPr>
              <w:widowControl/>
              <w:spacing w:line="240" w:lineRule="auto"/>
              <w:ind w:left="0" w:leftChars="0" w:right="0" w:rightChars="0" w:firstLine="0" w:firstLineChars="0"/>
              <w:jc w:val="center"/>
              <w:textAlignment w:val="center"/>
              <w:rPr>
                <w:rFonts w:hint="default" w:ascii="仿宋_GB2312" w:hAnsi="仿宋_GB2312" w:cs="仿宋_GB2312"/>
                <w:color w:val="auto"/>
                <w:kern w:val="0"/>
                <w:sz w:val="24"/>
                <w:highlight w:val="none"/>
                <w:lang w:val="en-US" w:eastAsia="zh-CN"/>
              </w:rPr>
            </w:pPr>
            <w:r>
              <w:rPr>
                <w:rFonts w:hint="eastAsia" w:ascii="仿宋_GB2312" w:hAnsi="仿宋_GB2312" w:cs="仿宋_GB2312"/>
                <w:color w:val="auto"/>
                <w:kern w:val="0"/>
                <w:sz w:val="24"/>
                <w:highlight w:val="none"/>
                <w:lang w:val="en-US" w:eastAsia="zh-CN"/>
              </w:rPr>
              <w:t>93.6</w:t>
            </w:r>
          </w:p>
        </w:tc>
        <w:tc>
          <w:tcPr>
            <w:tcW w:w="893" w:type="pct"/>
            <w:shd w:val="clear" w:color="auto" w:fill="auto"/>
            <w:vAlign w:val="center"/>
          </w:tcPr>
          <w:p w14:paraId="69829A03">
            <w:pPr>
              <w:spacing w:line="240" w:lineRule="auto"/>
              <w:ind w:left="0" w:leftChars="0" w:right="0" w:rightChars="0" w:firstLine="0" w:firstLineChars="0"/>
              <w:jc w:val="center"/>
              <w:rPr>
                <w:rFonts w:hint="default" w:ascii="仿宋_GB2312" w:hAnsi="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70</w:t>
            </w:r>
          </w:p>
        </w:tc>
        <w:tc>
          <w:tcPr>
            <w:tcW w:w="691" w:type="pct"/>
            <w:shd w:val="clear" w:color="auto" w:fill="auto"/>
            <w:vAlign w:val="center"/>
          </w:tcPr>
          <w:p w14:paraId="5B9BCD38">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70</w:t>
            </w:r>
          </w:p>
        </w:tc>
        <w:tc>
          <w:tcPr>
            <w:tcW w:w="1351" w:type="pct"/>
            <w:shd w:val="clear" w:color="auto" w:fill="auto"/>
            <w:vAlign w:val="center"/>
          </w:tcPr>
          <w:p w14:paraId="37ECD7C8">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eastAsia="zh-CN"/>
              </w:rPr>
              <w:t>本级基本用房达标率</w:t>
            </w:r>
            <w:r>
              <w:rPr>
                <w:rFonts w:hint="eastAsia" w:ascii="仿宋_GB2312" w:hAnsi="仿宋_GB2312" w:cs="仿宋_GB2312"/>
                <w:color w:val="auto"/>
                <w:sz w:val="24"/>
                <w:highlight w:val="none"/>
                <w:lang w:val="en-US" w:eastAsia="zh-CN"/>
              </w:rPr>
              <w:t>*50%+实验室A类设备配备率*50%（任意单项率</w:t>
            </w:r>
            <w:r>
              <w:rPr>
                <w:rFonts w:hint="eastAsia" w:ascii="仿宋_GB2312" w:hAnsi="仿宋_GB2312" w:cs="仿宋_GB2312"/>
                <w:color w:val="auto"/>
                <w:sz w:val="24"/>
                <w:highlight w:val="none"/>
              </w:rPr>
              <w:t>≥</w:t>
            </w:r>
            <w:r>
              <w:rPr>
                <w:rFonts w:hint="eastAsia" w:ascii="仿宋_GB2312" w:hAnsi="仿宋_GB2312" w:cs="仿宋_GB2312"/>
                <w:color w:val="auto"/>
                <w:sz w:val="24"/>
                <w:highlight w:val="none"/>
                <w:lang w:val="en-US" w:eastAsia="zh-CN"/>
              </w:rPr>
              <w:t>100%取100%）</w:t>
            </w:r>
          </w:p>
        </w:tc>
        <w:tc>
          <w:tcPr>
            <w:tcW w:w="375" w:type="pct"/>
            <w:shd w:val="clear" w:color="auto" w:fill="auto"/>
            <w:vAlign w:val="center"/>
          </w:tcPr>
          <w:p w14:paraId="26621F6F">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0"/>
                <w:sz w:val="24"/>
                <w:highlight w:val="none"/>
                <w:lang w:eastAsia="zh-CN"/>
              </w:rPr>
            </w:pPr>
            <w:r>
              <w:rPr>
                <w:rFonts w:hint="eastAsia" w:ascii="仿宋_GB2312" w:hAnsi="仿宋_GB2312" w:cs="仿宋_GB2312"/>
                <w:color w:val="auto"/>
                <w:kern w:val="0"/>
                <w:sz w:val="24"/>
                <w:highlight w:val="none"/>
                <w:lang w:eastAsia="zh-CN"/>
              </w:rPr>
              <w:t>预期性</w:t>
            </w:r>
          </w:p>
        </w:tc>
      </w:tr>
      <w:tr w14:paraId="6A77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vAlign w:val="center"/>
          </w:tcPr>
          <w:p w14:paraId="7F8CB0DF">
            <w:pPr>
              <w:spacing w:line="240" w:lineRule="auto"/>
              <w:ind w:left="0" w:leftChars="0" w:right="0" w:rightChars="0" w:firstLine="0" w:firstLineChars="0"/>
              <w:jc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sz w:val="24"/>
                <w:highlight w:val="none"/>
              </w:rPr>
              <w:t>1</w:t>
            </w:r>
            <w:r>
              <w:rPr>
                <w:rFonts w:hint="eastAsia" w:ascii="仿宋_GB2312" w:hAnsi="仿宋_GB2312" w:cs="仿宋_GB2312"/>
                <w:color w:val="auto"/>
                <w:sz w:val="24"/>
                <w:highlight w:val="none"/>
                <w:lang w:val="en-US" w:eastAsia="zh-CN"/>
              </w:rPr>
              <w:t>1</w:t>
            </w:r>
          </w:p>
        </w:tc>
        <w:tc>
          <w:tcPr>
            <w:tcW w:w="661" w:type="pct"/>
            <w:shd w:val="clear" w:color="auto" w:fill="auto"/>
            <w:vAlign w:val="center"/>
          </w:tcPr>
          <w:p w14:paraId="0F9F2F26">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二级及以上综合医院设置老年医学科比例（%）</w:t>
            </w:r>
          </w:p>
        </w:tc>
        <w:tc>
          <w:tcPr>
            <w:tcW w:w="728" w:type="pct"/>
            <w:shd w:val="clear" w:color="auto" w:fill="auto"/>
            <w:vAlign w:val="center"/>
          </w:tcPr>
          <w:p w14:paraId="5D52C349">
            <w:pPr>
              <w:widowControl/>
              <w:spacing w:line="240" w:lineRule="auto"/>
              <w:ind w:left="0" w:leftChars="0" w:right="0" w:rightChars="0" w:firstLine="0" w:firstLineChars="0"/>
              <w:jc w:val="center"/>
              <w:textAlignment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kern w:val="0"/>
                <w:sz w:val="24"/>
                <w:highlight w:val="none"/>
                <w:lang w:val="en-US" w:eastAsia="zh-CN"/>
              </w:rPr>
              <w:t>100</w:t>
            </w:r>
          </w:p>
        </w:tc>
        <w:tc>
          <w:tcPr>
            <w:tcW w:w="893" w:type="pct"/>
            <w:shd w:val="clear" w:color="auto" w:fill="auto"/>
            <w:vAlign w:val="center"/>
          </w:tcPr>
          <w:p w14:paraId="3A912F9A">
            <w:pPr>
              <w:spacing w:line="240" w:lineRule="auto"/>
              <w:ind w:left="0" w:leftChars="0" w:right="0" w:rightChars="0" w:firstLine="0" w:firstLineChars="0"/>
              <w:jc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sz w:val="24"/>
                <w:highlight w:val="none"/>
              </w:rPr>
              <w:t>≥95</w:t>
            </w:r>
          </w:p>
        </w:tc>
        <w:tc>
          <w:tcPr>
            <w:tcW w:w="691" w:type="pct"/>
            <w:shd w:val="clear" w:color="auto" w:fill="auto"/>
            <w:vAlign w:val="center"/>
          </w:tcPr>
          <w:p w14:paraId="74635676">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≥95</w:t>
            </w:r>
          </w:p>
        </w:tc>
        <w:tc>
          <w:tcPr>
            <w:tcW w:w="1351" w:type="pct"/>
            <w:shd w:val="clear" w:color="auto" w:fill="auto"/>
            <w:vAlign w:val="center"/>
          </w:tcPr>
          <w:p w14:paraId="056FF4EB">
            <w:pPr>
              <w:spacing w:line="240" w:lineRule="auto"/>
              <w:ind w:left="0" w:leftChars="0" w:right="0" w:rightChars="0" w:firstLine="0" w:firstLineChars="0"/>
              <w:jc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二级及以上综合医院设置老年医学科机构数/二级及以上综合医院*100%</w:t>
            </w:r>
          </w:p>
        </w:tc>
        <w:tc>
          <w:tcPr>
            <w:tcW w:w="375" w:type="pct"/>
            <w:shd w:val="clear" w:color="auto" w:fill="auto"/>
            <w:vAlign w:val="center"/>
          </w:tcPr>
          <w:p w14:paraId="1C28B15B">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6910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299" w:type="pct"/>
            <w:shd w:val="clear" w:color="auto" w:fill="auto"/>
            <w:vAlign w:val="center"/>
          </w:tcPr>
          <w:p w14:paraId="35448007">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12</w:t>
            </w:r>
          </w:p>
        </w:tc>
        <w:tc>
          <w:tcPr>
            <w:tcW w:w="661" w:type="pct"/>
            <w:shd w:val="clear" w:color="auto" w:fill="auto"/>
            <w:vAlign w:val="center"/>
          </w:tcPr>
          <w:p w14:paraId="7D532F7A">
            <w:pPr>
              <w:widowControl/>
              <w:spacing w:line="240" w:lineRule="auto"/>
              <w:ind w:left="0" w:leftChars="0" w:right="0" w:rightChars="0" w:firstLine="0" w:firstLineChars="0"/>
              <w:jc w:val="center"/>
              <w:textAlignment w:val="center"/>
              <w:rPr>
                <w:rFonts w:hint="eastAsia" w:ascii="仿宋_GB2312" w:hAnsi="仿宋_GB2312" w:eastAsia="仿宋_GB2312" w:cs="仿宋_GB2312"/>
                <w:b w:val="0"/>
                <w:bCs w:val="0"/>
                <w:color w:val="auto"/>
                <w:kern w:val="0"/>
                <w:sz w:val="24"/>
                <w:szCs w:val="24"/>
                <w:highlight w:val="none"/>
                <w:u w:val="none"/>
                <w:lang w:eastAsia="en-US" w:bidi="ar"/>
              </w:rPr>
            </w:pPr>
            <w:r>
              <w:rPr>
                <w:rFonts w:hint="eastAsia" w:ascii="仿宋_GB2312" w:hAnsi="仿宋_GB2312" w:eastAsia="仿宋_GB2312" w:cs="仿宋_GB2312"/>
                <w:b w:val="0"/>
                <w:bCs w:val="0"/>
                <w:color w:val="auto"/>
                <w:kern w:val="0"/>
                <w:sz w:val="24"/>
                <w:szCs w:val="24"/>
                <w:highlight w:val="none"/>
                <w:u w:val="none"/>
                <w:lang w:eastAsia="en-US" w:bidi="ar"/>
              </w:rPr>
              <w:t>以乡（镇、街道）为单位适龄儿童国家免疫规划疫苗接种率（%）</w:t>
            </w:r>
          </w:p>
        </w:tc>
        <w:tc>
          <w:tcPr>
            <w:tcW w:w="728" w:type="pct"/>
            <w:shd w:val="clear" w:color="auto" w:fill="auto"/>
            <w:vAlign w:val="center"/>
          </w:tcPr>
          <w:p w14:paraId="36A18370">
            <w:pPr>
              <w:widowControl/>
              <w:spacing w:line="240" w:lineRule="auto"/>
              <w:ind w:left="0" w:leftChars="0" w:right="0" w:rightChars="0" w:firstLine="0" w:firstLineChars="0"/>
              <w:jc w:val="center"/>
              <w:textAlignment w:val="center"/>
              <w:rPr>
                <w:rFonts w:hint="default" w:ascii="仿宋_GB2312" w:hAnsi="仿宋_GB2312" w:eastAsia="仿宋_GB2312" w:cs="仿宋_GB2312"/>
                <w:b w:val="0"/>
                <w:bCs w:val="0"/>
                <w:color w:val="auto"/>
                <w:kern w:val="0"/>
                <w:sz w:val="24"/>
                <w:szCs w:val="24"/>
                <w:highlight w:val="none"/>
                <w:u w:val="none"/>
                <w:lang w:val="en-US" w:eastAsia="zh-CN" w:bidi="ar"/>
              </w:rPr>
            </w:pPr>
            <w:r>
              <w:rPr>
                <w:rFonts w:hint="eastAsia" w:ascii="仿宋_GB2312" w:hAnsi="仿宋_GB2312" w:cs="仿宋_GB2312"/>
                <w:b w:val="0"/>
                <w:bCs w:val="0"/>
                <w:color w:val="auto"/>
                <w:kern w:val="0"/>
                <w:sz w:val="24"/>
                <w:szCs w:val="24"/>
                <w:highlight w:val="none"/>
                <w:u w:val="none"/>
                <w:lang w:val="en-US" w:eastAsia="zh-CN" w:bidi="ar"/>
              </w:rPr>
              <w:t>100</w:t>
            </w:r>
          </w:p>
        </w:tc>
        <w:tc>
          <w:tcPr>
            <w:tcW w:w="893" w:type="pct"/>
            <w:shd w:val="clear" w:color="auto" w:fill="auto"/>
            <w:vAlign w:val="center"/>
          </w:tcPr>
          <w:p w14:paraId="462941E8">
            <w:pPr>
              <w:widowControl/>
              <w:spacing w:line="240" w:lineRule="auto"/>
              <w:ind w:left="0" w:leftChars="0" w:right="0" w:rightChars="0" w:firstLine="0" w:firstLineChars="0"/>
              <w:jc w:val="center"/>
              <w:textAlignment w:val="center"/>
              <w:rPr>
                <w:rFonts w:hint="eastAsia" w:ascii="仿宋_GB2312" w:hAnsi="仿宋_GB2312" w:eastAsia="仿宋_GB2312" w:cs="仿宋_GB2312"/>
                <w:b w:val="0"/>
                <w:bCs w:val="0"/>
                <w:color w:val="auto"/>
                <w:kern w:val="0"/>
                <w:sz w:val="24"/>
                <w:szCs w:val="24"/>
                <w:highlight w:val="none"/>
                <w:u w:val="none"/>
                <w:lang w:eastAsia="en-US" w:bidi="ar"/>
              </w:rPr>
            </w:pPr>
            <w:r>
              <w:rPr>
                <w:rFonts w:hint="eastAsia" w:ascii="仿宋_GB2312" w:hAnsi="仿宋_GB2312" w:cs="仿宋_GB2312"/>
                <w:b w:val="0"/>
                <w:bCs w:val="0"/>
                <w:color w:val="auto"/>
                <w:kern w:val="0"/>
                <w:sz w:val="24"/>
                <w:szCs w:val="24"/>
                <w:highlight w:val="none"/>
                <w:u w:val="none"/>
                <w:lang w:val="en-US" w:eastAsia="zh-CN" w:bidi="ar"/>
              </w:rPr>
              <w:t>稳步提升</w:t>
            </w:r>
          </w:p>
        </w:tc>
        <w:tc>
          <w:tcPr>
            <w:tcW w:w="691" w:type="pct"/>
            <w:shd w:val="clear" w:color="auto" w:fill="auto"/>
            <w:vAlign w:val="center"/>
          </w:tcPr>
          <w:p w14:paraId="41E42D3E">
            <w:pPr>
              <w:keepNext w:val="0"/>
              <w:keepLines w:val="0"/>
              <w:pageBreakBefore w:val="0"/>
              <w:widowControl w:val="0"/>
              <w:shd w:val="clear" w:color="auto" w:fill="auto"/>
              <w:kinsoku/>
              <w:wordWrap/>
              <w:overflowPunct/>
              <w:topLinePunct w:val="0"/>
              <w:autoSpaceDE/>
              <w:autoSpaceDN/>
              <w:bidi w:val="0"/>
              <w:adjustRightInd w:val="0"/>
              <w:snapToGrid w:val="0"/>
              <w:spacing w:beforeAutospacing="0" w:after="0" w:line="240" w:lineRule="auto"/>
              <w:ind w:firstLine="0" w:firstLineChars="0"/>
              <w:jc w:val="center"/>
              <w:textAlignment w:val="auto"/>
              <w:outlineLvl w:val="9"/>
              <w:rPr>
                <w:rFonts w:hint="eastAsia" w:ascii="仿宋_GB2312" w:hAnsi="仿宋_GB2312" w:eastAsia="仿宋_GB2312" w:cs="仿宋_GB2312"/>
                <w:b w:val="0"/>
                <w:bCs w:val="0"/>
                <w:color w:val="auto"/>
                <w:kern w:val="0"/>
                <w:sz w:val="24"/>
                <w:szCs w:val="24"/>
                <w:highlight w:val="none"/>
                <w:u w:val="none"/>
                <w:lang w:val="en-US" w:eastAsia="en-US" w:bidi="ar"/>
              </w:rPr>
            </w:pPr>
            <w:r>
              <w:rPr>
                <w:rFonts w:hint="eastAsia" w:ascii="仿宋_GB2312" w:hAnsi="仿宋_GB2312" w:eastAsia="仿宋_GB2312" w:cs="仿宋_GB2312"/>
                <w:b w:val="0"/>
                <w:bCs w:val="0"/>
                <w:color w:val="auto"/>
                <w:kern w:val="0"/>
                <w:sz w:val="24"/>
                <w:szCs w:val="24"/>
                <w:highlight w:val="none"/>
                <w:u w:val="none"/>
                <w:lang w:val="en-US" w:eastAsia="en-US" w:bidi="ar"/>
              </w:rPr>
              <w:t>稳步</w:t>
            </w:r>
          </w:p>
          <w:p w14:paraId="70FFA5F2">
            <w:pPr>
              <w:widowControl/>
              <w:spacing w:line="240" w:lineRule="auto"/>
              <w:ind w:left="0" w:leftChars="0" w:right="0" w:rightChars="0" w:firstLine="0" w:firstLineChars="0"/>
              <w:jc w:val="center"/>
              <w:textAlignment w:val="center"/>
              <w:rPr>
                <w:rFonts w:hint="eastAsia" w:ascii="仿宋_GB2312" w:hAnsi="仿宋_GB2312" w:eastAsia="仿宋_GB2312" w:cs="仿宋_GB2312"/>
                <w:b w:val="0"/>
                <w:bCs w:val="0"/>
                <w:color w:val="auto"/>
                <w:kern w:val="0"/>
                <w:sz w:val="24"/>
                <w:szCs w:val="24"/>
                <w:highlight w:val="none"/>
                <w:u w:val="none"/>
                <w:lang w:eastAsia="zh-CN" w:bidi="ar"/>
              </w:rPr>
            </w:pPr>
            <w:r>
              <w:rPr>
                <w:rFonts w:hint="eastAsia" w:ascii="仿宋_GB2312" w:hAnsi="仿宋_GB2312" w:eastAsia="仿宋_GB2312" w:cs="仿宋_GB2312"/>
                <w:b w:val="0"/>
                <w:bCs w:val="0"/>
                <w:color w:val="auto"/>
                <w:kern w:val="0"/>
                <w:sz w:val="24"/>
                <w:szCs w:val="24"/>
                <w:highlight w:val="none"/>
                <w:u w:val="none"/>
                <w:lang w:val="en-US" w:eastAsia="en-US" w:bidi="ar"/>
              </w:rPr>
              <w:t>提升</w:t>
            </w:r>
          </w:p>
        </w:tc>
        <w:tc>
          <w:tcPr>
            <w:tcW w:w="1351" w:type="pct"/>
            <w:shd w:val="clear" w:color="auto" w:fill="auto"/>
            <w:vAlign w:val="center"/>
          </w:tcPr>
          <w:p w14:paraId="6B33981D">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cs="仿宋_GB2312"/>
                <w:color w:val="auto"/>
                <w:kern w:val="0"/>
                <w:sz w:val="24"/>
                <w:highlight w:val="none"/>
              </w:rPr>
              <w:t>辖区内适龄儿童免疫规划疫苗接种&gt;90%的乡（镇、街道）/辖区内乡（镇、街道）总数×100%</w:t>
            </w:r>
          </w:p>
        </w:tc>
        <w:tc>
          <w:tcPr>
            <w:tcW w:w="375" w:type="pct"/>
            <w:shd w:val="clear" w:color="auto" w:fill="auto"/>
            <w:vAlign w:val="center"/>
          </w:tcPr>
          <w:p w14:paraId="6AA4E0B3">
            <w:pPr>
              <w:widowControl/>
              <w:spacing w:line="240" w:lineRule="auto"/>
              <w:ind w:left="0" w:leftChars="0" w:right="0" w:rightChars="0" w:firstLine="0" w:firstLineChars="0"/>
              <w:jc w:val="center"/>
              <w:textAlignment w:val="center"/>
              <w:rPr>
                <w:rFonts w:hint="eastAsia" w:ascii="仿宋_GB2312" w:hAnsi="仿宋_GB2312" w:eastAsia="仿宋_GB2312" w:cs="仿宋_GB2312"/>
                <w:b w:val="0"/>
                <w:bCs w:val="0"/>
                <w:color w:val="auto"/>
                <w:sz w:val="24"/>
                <w:szCs w:val="24"/>
                <w:highlight w:val="none"/>
                <w:u w:val="none"/>
              </w:rPr>
            </w:pPr>
            <w:r>
              <w:rPr>
                <w:rFonts w:hint="eastAsia" w:ascii="仿宋_GB2312" w:hAnsi="仿宋_GB2312" w:eastAsia="仿宋_GB2312" w:cs="仿宋_GB2312"/>
                <w:b w:val="0"/>
                <w:bCs w:val="0"/>
                <w:color w:val="auto"/>
                <w:sz w:val="24"/>
                <w:szCs w:val="24"/>
                <w:highlight w:val="none"/>
                <w:u w:val="none"/>
              </w:rPr>
              <w:t>约束性</w:t>
            </w:r>
          </w:p>
        </w:tc>
      </w:tr>
      <w:tr w14:paraId="7CD2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299" w:type="pct"/>
            <w:shd w:val="clear" w:color="auto" w:fill="auto"/>
            <w:vAlign w:val="center"/>
          </w:tcPr>
          <w:p w14:paraId="4EEEE8AF">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13</w:t>
            </w:r>
          </w:p>
        </w:tc>
        <w:tc>
          <w:tcPr>
            <w:tcW w:w="661" w:type="pct"/>
            <w:shd w:val="clear" w:color="auto" w:fill="auto"/>
            <w:vAlign w:val="center"/>
          </w:tcPr>
          <w:p w14:paraId="55F2FB71">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u w:val="none"/>
                <w:lang w:eastAsia="en-US" w:bidi="ar"/>
              </w:rPr>
              <w:t>家庭医生重点人群签约覆盖率（%）</w:t>
            </w:r>
          </w:p>
        </w:tc>
        <w:tc>
          <w:tcPr>
            <w:tcW w:w="728" w:type="pct"/>
            <w:shd w:val="clear" w:color="auto" w:fill="auto"/>
            <w:vAlign w:val="center"/>
          </w:tcPr>
          <w:p w14:paraId="58B8F0E5">
            <w:pPr>
              <w:widowControl/>
              <w:spacing w:line="240" w:lineRule="auto"/>
              <w:ind w:left="0" w:leftChars="0" w:right="0" w:rightChars="0" w:firstLine="0" w:firstLineChars="0"/>
              <w:jc w:val="center"/>
              <w:textAlignment w:val="center"/>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b w:val="0"/>
                <w:bCs w:val="0"/>
                <w:sz w:val="24"/>
                <w:szCs w:val="24"/>
                <w:vertAlign w:val="baseline"/>
                <w:lang w:val="en-US" w:eastAsia="zh-CN"/>
              </w:rPr>
              <w:t>93.69</w:t>
            </w:r>
          </w:p>
        </w:tc>
        <w:tc>
          <w:tcPr>
            <w:tcW w:w="893" w:type="pct"/>
            <w:shd w:val="clear" w:color="auto" w:fill="auto"/>
            <w:vAlign w:val="center"/>
          </w:tcPr>
          <w:p w14:paraId="673CFDEE">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u w:val="none"/>
                <w:lang w:eastAsia="en-US" w:bidi="ar"/>
              </w:rPr>
              <w:t>＞90</w:t>
            </w:r>
          </w:p>
        </w:tc>
        <w:tc>
          <w:tcPr>
            <w:tcW w:w="691" w:type="pct"/>
            <w:shd w:val="clear" w:color="auto" w:fill="auto"/>
            <w:vAlign w:val="center"/>
          </w:tcPr>
          <w:p w14:paraId="695E74C1">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u w:val="none"/>
                <w:lang w:eastAsia="en-US" w:bidi="ar"/>
              </w:rPr>
              <w:t>＞90</w:t>
            </w:r>
          </w:p>
        </w:tc>
        <w:tc>
          <w:tcPr>
            <w:tcW w:w="1351" w:type="pct"/>
            <w:shd w:val="clear" w:color="auto" w:fill="auto"/>
            <w:vAlign w:val="center"/>
          </w:tcPr>
          <w:p w14:paraId="6BF6ADCC">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已签约家庭医生服务的重点人群数 ÷ 辖区常住重点人群总数 ×100%</w:t>
            </w:r>
          </w:p>
          <w:p w14:paraId="317211B1">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SA"/>
              </w:rPr>
            </w:pPr>
          </w:p>
        </w:tc>
        <w:tc>
          <w:tcPr>
            <w:tcW w:w="375" w:type="pct"/>
            <w:shd w:val="clear" w:color="auto" w:fill="auto"/>
            <w:vAlign w:val="center"/>
          </w:tcPr>
          <w:p w14:paraId="4B66F765">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u w:val="none"/>
              </w:rPr>
              <w:t>预期性</w:t>
            </w:r>
          </w:p>
        </w:tc>
      </w:tr>
      <w:tr w14:paraId="6B9A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vAlign w:val="center"/>
          </w:tcPr>
          <w:p w14:paraId="352E3814">
            <w:pPr>
              <w:spacing w:line="240" w:lineRule="auto"/>
              <w:ind w:left="0" w:leftChars="0" w:right="0" w:rightChars="0" w:firstLine="0" w:firstLineChars="0"/>
              <w:jc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sz w:val="24"/>
                <w:highlight w:val="none"/>
              </w:rPr>
              <w:t>1</w:t>
            </w:r>
            <w:r>
              <w:rPr>
                <w:rFonts w:hint="eastAsia" w:ascii="仿宋_GB2312" w:hAnsi="仿宋_GB2312" w:cs="仿宋_GB2312"/>
                <w:color w:val="auto"/>
                <w:sz w:val="24"/>
                <w:highlight w:val="none"/>
                <w:lang w:val="en-US" w:eastAsia="zh-CN"/>
              </w:rPr>
              <w:t>4</w:t>
            </w:r>
          </w:p>
        </w:tc>
        <w:tc>
          <w:tcPr>
            <w:tcW w:w="661" w:type="pct"/>
            <w:shd w:val="clear" w:color="auto" w:fill="auto"/>
            <w:vAlign w:val="center"/>
          </w:tcPr>
          <w:p w14:paraId="313A4D1F">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院前医疗急救服务平均反应时间（分钟）</w:t>
            </w:r>
          </w:p>
        </w:tc>
        <w:tc>
          <w:tcPr>
            <w:tcW w:w="728" w:type="pct"/>
            <w:shd w:val="clear" w:color="auto" w:fill="auto"/>
            <w:vAlign w:val="center"/>
          </w:tcPr>
          <w:p w14:paraId="34743CFF">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&lt;12</w:t>
            </w:r>
          </w:p>
        </w:tc>
        <w:tc>
          <w:tcPr>
            <w:tcW w:w="893" w:type="pct"/>
            <w:shd w:val="clear" w:color="auto" w:fill="auto"/>
            <w:vAlign w:val="center"/>
          </w:tcPr>
          <w:p w14:paraId="40B33C4A">
            <w:pPr>
              <w:widowControl/>
              <w:spacing w:line="240" w:lineRule="auto"/>
              <w:ind w:left="0" w:leftChars="0" w:right="0" w:rightChars="0" w:firstLine="0" w:firstLineChars="0"/>
              <w:jc w:val="center"/>
              <w:textAlignment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kern w:val="0"/>
                <w:sz w:val="24"/>
                <w:highlight w:val="none"/>
              </w:rPr>
              <w:t>&lt;</w:t>
            </w:r>
            <w:r>
              <w:rPr>
                <w:rFonts w:hint="eastAsia" w:ascii="仿宋_GB2312" w:hAnsi="仿宋_GB2312" w:cs="仿宋_GB2312"/>
                <w:color w:val="auto"/>
                <w:kern w:val="0"/>
                <w:sz w:val="24"/>
                <w:highlight w:val="none"/>
                <w:lang w:val="en-US" w:eastAsia="zh-CN"/>
              </w:rPr>
              <w:t>11</w:t>
            </w:r>
          </w:p>
        </w:tc>
        <w:tc>
          <w:tcPr>
            <w:tcW w:w="691" w:type="pct"/>
            <w:shd w:val="clear" w:color="auto" w:fill="auto"/>
            <w:vAlign w:val="center"/>
          </w:tcPr>
          <w:p w14:paraId="563FA43B">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sz w:val="24"/>
                <w:highlight w:val="none"/>
              </w:rPr>
              <w:t>≤</w:t>
            </w:r>
            <w:r>
              <w:rPr>
                <w:rFonts w:hint="eastAsia" w:ascii="仿宋_GB2312" w:hAnsi="仿宋_GB2312" w:cs="仿宋_GB2312"/>
                <w:color w:val="auto"/>
                <w:sz w:val="24"/>
                <w:highlight w:val="none"/>
                <w:lang w:val="en-US" w:eastAsia="zh-CN"/>
              </w:rPr>
              <w:t>10</w:t>
            </w:r>
          </w:p>
        </w:tc>
        <w:tc>
          <w:tcPr>
            <w:tcW w:w="1351" w:type="pct"/>
            <w:shd w:val="clear" w:color="auto" w:fill="auto"/>
            <w:vAlign w:val="center"/>
          </w:tcPr>
          <w:p w14:paraId="5E9C644C">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辖区内现场急危重任务呼叫反应时间之和/辖区内现场急危重任务数</w:t>
            </w:r>
          </w:p>
        </w:tc>
        <w:tc>
          <w:tcPr>
            <w:tcW w:w="375" w:type="pct"/>
            <w:shd w:val="clear" w:color="auto" w:fill="auto"/>
            <w:vAlign w:val="center"/>
          </w:tcPr>
          <w:p w14:paraId="63F431C4">
            <w:pPr>
              <w:widowControl/>
              <w:spacing w:line="240" w:lineRule="auto"/>
              <w:ind w:left="0" w:leftChars="0" w:right="0" w:rightChars="0" w:firstLine="0" w:firstLineChars="0"/>
              <w:jc w:val="center"/>
              <w:textAlignment w:val="center"/>
              <w:rPr>
                <w:rFonts w:ascii="仿宋_GB2312" w:hAnsi="仿宋_GB2312" w:cs="仿宋_GB2312"/>
                <w:color w:val="auto"/>
                <w:sz w:val="24"/>
                <w:highlight w:val="none"/>
              </w:rPr>
            </w:pPr>
            <w:r>
              <w:rPr>
                <w:rFonts w:hint="eastAsia" w:ascii="仿宋_GB2312" w:hAnsi="仿宋_GB2312" w:cs="仿宋_GB2312"/>
                <w:color w:val="auto"/>
                <w:kern w:val="0"/>
                <w:sz w:val="24"/>
                <w:highlight w:val="none"/>
              </w:rPr>
              <w:t>预期性</w:t>
            </w:r>
          </w:p>
        </w:tc>
      </w:tr>
      <w:tr w14:paraId="7B5F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 w:type="pct"/>
            <w:shd w:val="clear" w:color="auto" w:fill="auto"/>
            <w:vAlign w:val="center"/>
          </w:tcPr>
          <w:p w14:paraId="77D95E09">
            <w:pPr>
              <w:spacing w:line="240" w:lineRule="auto"/>
              <w:ind w:left="0" w:leftChars="0" w:right="0" w:rightChars="0" w:firstLine="0" w:firstLineChars="0"/>
              <w:jc w:val="center"/>
              <w:rPr>
                <w:rFonts w:hint="eastAsia" w:ascii="仿宋_GB2312" w:hAnsi="仿宋_GB2312" w:eastAsia="仿宋_GB2312" w:cs="仿宋_GB2312"/>
                <w:color w:val="auto"/>
                <w:sz w:val="24"/>
                <w:highlight w:val="none"/>
                <w:lang w:eastAsia="zh-CN"/>
              </w:rPr>
            </w:pPr>
            <w:r>
              <w:rPr>
                <w:rFonts w:hint="eastAsia" w:ascii="仿宋_GB2312" w:hAnsi="仿宋_GB2312" w:cs="仿宋_GB2312"/>
                <w:color w:val="auto"/>
                <w:sz w:val="24"/>
                <w:highlight w:val="none"/>
              </w:rPr>
              <w:t>1</w:t>
            </w:r>
            <w:r>
              <w:rPr>
                <w:rFonts w:hint="eastAsia" w:ascii="仿宋_GB2312" w:hAnsi="仿宋_GB2312" w:cs="仿宋_GB2312"/>
                <w:color w:val="auto"/>
                <w:sz w:val="24"/>
                <w:highlight w:val="none"/>
                <w:lang w:val="en-US" w:eastAsia="zh-CN"/>
              </w:rPr>
              <w:t>5</w:t>
            </w:r>
          </w:p>
        </w:tc>
        <w:tc>
          <w:tcPr>
            <w:tcW w:w="661" w:type="pct"/>
            <w:shd w:val="clear" w:color="auto" w:fill="auto"/>
            <w:vAlign w:val="center"/>
          </w:tcPr>
          <w:p w14:paraId="79DF9DC9">
            <w:pPr>
              <w:widowControl/>
              <w:spacing w:line="240" w:lineRule="auto"/>
              <w:ind w:left="0" w:leftChars="0" w:right="0" w:rightChars="0" w:firstLine="0" w:firstLineChars="0"/>
              <w:jc w:val="center"/>
              <w:textAlignment w:val="center"/>
              <w:rPr>
                <w:rFonts w:ascii="仿宋_GB2312" w:hAnsi="仿宋_GB2312" w:cs="仿宋_GB2312"/>
                <w:color w:val="auto"/>
                <w:kern w:val="0"/>
                <w:sz w:val="24"/>
                <w:highlight w:val="none"/>
              </w:rPr>
            </w:pPr>
            <w:r>
              <w:rPr>
                <w:rFonts w:hint="eastAsia" w:ascii="仿宋_GB2312" w:hAnsi="仿宋_GB2312" w:cs="仿宋_GB2312"/>
                <w:color w:val="auto"/>
                <w:kern w:val="0"/>
                <w:sz w:val="24"/>
                <w:highlight w:val="none"/>
              </w:rPr>
              <w:t>千人口献血率（‰）</w:t>
            </w:r>
          </w:p>
        </w:tc>
        <w:tc>
          <w:tcPr>
            <w:tcW w:w="728" w:type="pct"/>
            <w:shd w:val="clear" w:color="auto" w:fill="auto"/>
            <w:vAlign w:val="center"/>
          </w:tcPr>
          <w:p w14:paraId="7F650062">
            <w:pPr>
              <w:widowControl/>
              <w:spacing w:line="240" w:lineRule="auto"/>
              <w:ind w:left="0" w:leftChars="0" w:right="0" w:rightChars="0" w:firstLine="0" w:firstLineChars="0"/>
              <w:jc w:val="center"/>
              <w:textAlignment w:val="center"/>
              <w:rPr>
                <w:rFonts w:ascii="仿宋_GB2312" w:hAnsi="仿宋_GB2312" w:cs="仿宋_GB2312"/>
                <w:color w:val="auto"/>
                <w:kern w:val="0"/>
                <w:sz w:val="24"/>
                <w:highlight w:val="none"/>
              </w:rPr>
            </w:pPr>
            <w:r>
              <w:rPr>
                <w:rFonts w:hint="eastAsia" w:ascii="仿宋_GB2312" w:hAnsi="仿宋_GB2312" w:cs="仿宋_GB2312"/>
                <w:color w:val="auto"/>
                <w:kern w:val="0"/>
                <w:sz w:val="24"/>
                <w:highlight w:val="none"/>
              </w:rPr>
              <w:t>5.64</w:t>
            </w:r>
          </w:p>
        </w:tc>
        <w:tc>
          <w:tcPr>
            <w:tcW w:w="893" w:type="pct"/>
            <w:shd w:val="clear" w:color="auto" w:fill="auto"/>
            <w:vAlign w:val="center"/>
          </w:tcPr>
          <w:p w14:paraId="2D6F4199">
            <w:pPr>
              <w:spacing w:line="240" w:lineRule="auto"/>
              <w:ind w:left="0" w:leftChars="0" w:right="0" w:rightChars="0" w:firstLine="0" w:firstLineChars="0"/>
              <w:jc w:val="center"/>
              <w:rPr>
                <w:rFonts w:hint="default" w:ascii="仿宋_GB2312" w:hAnsi="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6.0</w:t>
            </w:r>
          </w:p>
        </w:tc>
        <w:tc>
          <w:tcPr>
            <w:tcW w:w="691" w:type="pct"/>
            <w:shd w:val="clear" w:color="auto" w:fill="auto"/>
            <w:vAlign w:val="center"/>
          </w:tcPr>
          <w:p w14:paraId="60B6FFDE">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val="en-US" w:eastAsia="zh-CN"/>
              </w:rPr>
              <w:t>22.2</w:t>
            </w:r>
          </w:p>
        </w:tc>
        <w:tc>
          <w:tcPr>
            <w:tcW w:w="1351" w:type="pct"/>
            <w:shd w:val="clear" w:color="auto" w:fill="auto"/>
            <w:vAlign w:val="center"/>
          </w:tcPr>
          <w:p w14:paraId="08D5E0C4">
            <w:pPr>
              <w:spacing w:line="240" w:lineRule="auto"/>
              <w:ind w:left="0" w:leftChars="0" w:right="0" w:rightChars="0" w:firstLine="0" w:firstLineChars="0"/>
              <w:jc w:val="center"/>
              <w:rPr>
                <w:rFonts w:hint="default" w:ascii="仿宋_GB2312" w:hAnsi="仿宋_GB2312" w:eastAsia="仿宋_GB2312" w:cs="仿宋_GB2312"/>
                <w:color w:val="auto"/>
                <w:sz w:val="24"/>
                <w:highlight w:val="none"/>
                <w:lang w:val="en-US" w:eastAsia="zh-CN"/>
              </w:rPr>
            </w:pPr>
            <w:r>
              <w:rPr>
                <w:rFonts w:hint="eastAsia" w:ascii="仿宋_GB2312" w:hAnsi="仿宋_GB2312" w:cs="仿宋_GB2312"/>
                <w:color w:val="auto"/>
                <w:sz w:val="24"/>
                <w:highlight w:val="none"/>
                <w:lang w:eastAsia="zh-CN"/>
              </w:rPr>
              <w:t>无偿献血总人次数</w:t>
            </w:r>
            <w:r>
              <w:rPr>
                <w:rFonts w:hint="eastAsia" w:ascii="仿宋_GB2312" w:hAnsi="仿宋_GB2312" w:cs="仿宋_GB2312"/>
                <w:color w:val="auto"/>
                <w:sz w:val="24"/>
                <w:highlight w:val="none"/>
                <w:lang w:val="en-US" w:eastAsia="zh-CN"/>
              </w:rPr>
              <w:t>/常住人口数*1000</w:t>
            </w:r>
          </w:p>
        </w:tc>
        <w:tc>
          <w:tcPr>
            <w:tcW w:w="375" w:type="pct"/>
            <w:shd w:val="clear" w:color="auto" w:fill="auto"/>
            <w:vAlign w:val="center"/>
          </w:tcPr>
          <w:p w14:paraId="64ED7AFA">
            <w:pPr>
              <w:widowControl/>
              <w:spacing w:line="240" w:lineRule="auto"/>
              <w:ind w:left="0" w:leftChars="0" w:right="0" w:rightChars="0" w:firstLine="0" w:firstLineChars="0"/>
              <w:jc w:val="center"/>
              <w:textAlignment w:val="center"/>
              <w:rPr>
                <w:rFonts w:hint="eastAsia" w:ascii="仿宋_GB2312" w:hAnsi="仿宋_GB2312" w:eastAsia="仿宋_GB2312" w:cs="仿宋_GB2312"/>
                <w:color w:val="auto"/>
                <w:kern w:val="0"/>
                <w:sz w:val="24"/>
                <w:highlight w:val="none"/>
                <w:lang w:eastAsia="zh-CN"/>
              </w:rPr>
            </w:pPr>
            <w:r>
              <w:rPr>
                <w:rFonts w:hint="eastAsia" w:ascii="仿宋_GB2312" w:hAnsi="仿宋_GB2312" w:cs="仿宋_GB2312"/>
                <w:color w:val="auto"/>
                <w:kern w:val="0"/>
                <w:sz w:val="24"/>
                <w:highlight w:val="none"/>
              </w:rPr>
              <w:t>预期性</w:t>
            </w:r>
          </w:p>
        </w:tc>
      </w:tr>
    </w:tbl>
    <w:p w14:paraId="535F40B9">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0"/>
        <w:rPr>
          <w:rFonts w:hint="eastAsia" w:ascii="黑体" w:hAnsi="黑体" w:eastAsia="黑体" w:cs="黑体"/>
          <w:b w:val="0"/>
          <w:bCs w:val="0"/>
          <w:color w:val="auto"/>
          <w:kern w:val="2"/>
          <w:sz w:val="32"/>
          <w:szCs w:val="32"/>
          <w:highlight w:val="none"/>
          <w:u w:val="none"/>
          <w:lang w:val="en-US" w:eastAsia="zh-CN" w:bidi="ar-SA"/>
        </w:rPr>
      </w:pPr>
      <w:bookmarkStart w:id="3" w:name="_Toc8401"/>
      <w:bookmarkStart w:id="4" w:name="_Toc29845"/>
      <w:bookmarkStart w:id="5" w:name="_Toc4125"/>
      <w:bookmarkStart w:id="6" w:name="_Toc16109"/>
      <w:bookmarkStart w:id="7" w:name="_Toc161806942"/>
      <w:bookmarkStart w:id="8" w:name="_Toc30343"/>
      <w:r>
        <w:rPr>
          <w:rFonts w:hint="eastAsia" w:ascii="黑体" w:hAnsi="黑体" w:eastAsia="黑体" w:cs="黑体"/>
          <w:b w:val="0"/>
          <w:bCs w:val="0"/>
          <w:color w:val="auto"/>
          <w:kern w:val="2"/>
          <w:sz w:val="32"/>
          <w:szCs w:val="32"/>
          <w:highlight w:val="none"/>
          <w:u w:val="none"/>
          <w:lang w:val="en-US" w:eastAsia="zh-CN" w:bidi="ar-SA"/>
        </w:rPr>
        <w:t>二、实施健康促进提质行动，构筑全民健康新格局</w:t>
      </w:r>
      <w:bookmarkEnd w:id="3"/>
      <w:bookmarkEnd w:id="4"/>
      <w:bookmarkEnd w:id="5"/>
      <w:bookmarkEnd w:id="6"/>
    </w:p>
    <w:p w14:paraId="111DAF2E">
      <w:pPr>
        <w:pStyle w:val="4"/>
        <w:ind w:firstLine="640" w:firstLineChars="200"/>
        <w:outlineLvl w:val="1"/>
        <w:rPr>
          <w:rFonts w:hint="default" w:ascii="宋体" w:hAnsi="宋体" w:eastAsia="楷体_GB2312" w:cs="Times New Roman"/>
          <w:bCs/>
          <w:kern w:val="0"/>
          <w:sz w:val="32"/>
          <w:szCs w:val="27"/>
          <w:highlight w:val="none"/>
          <w:lang w:val="en-US" w:eastAsia="zh-CN" w:bidi="ar-SA"/>
        </w:rPr>
      </w:pPr>
      <w:bookmarkStart w:id="9" w:name="_Toc6095"/>
      <w:bookmarkStart w:id="10" w:name="_Toc3191"/>
      <w:bookmarkStart w:id="11" w:name="_Toc27124"/>
      <w:bookmarkStart w:id="12" w:name="_Toc28895"/>
      <w:r>
        <w:rPr>
          <w:rFonts w:hint="eastAsia" w:ascii="宋体" w:hAnsi="宋体" w:eastAsia="楷体_GB2312" w:cs="Times New Roman"/>
          <w:bCs/>
          <w:kern w:val="0"/>
          <w:sz w:val="32"/>
          <w:szCs w:val="27"/>
          <w:highlight w:val="none"/>
          <w:lang w:val="en-US" w:eastAsia="zh-CN" w:bidi="ar-SA"/>
        </w:rPr>
        <w:t>（一）提升爱国卫生运动成效，提高全民健康素养水平</w:t>
      </w:r>
      <w:bookmarkEnd w:id="9"/>
      <w:bookmarkEnd w:id="10"/>
      <w:bookmarkEnd w:id="11"/>
      <w:bookmarkEnd w:id="12"/>
    </w:p>
    <w:p w14:paraId="7985DF3A">
      <w:pPr>
        <w:bidi w:val="0"/>
      </w:pPr>
      <w:r>
        <w:rPr>
          <w:rFonts w:hint="eastAsia"/>
        </w:rPr>
        <w:t>全面树立健康优先发展理念，把健康融入所有政策，</w:t>
      </w:r>
      <w:r>
        <w:rPr>
          <w:rFonts w:hint="eastAsia"/>
          <w:lang w:eastAsia="zh-CN"/>
        </w:rPr>
        <w:t>推进落实</w:t>
      </w:r>
      <w:r>
        <w:t>健康影响评估制度。</w:t>
      </w:r>
      <w:r>
        <w:rPr>
          <w:rFonts w:hint="eastAsia"/>
        </w:rPr>
        <w:t>全面推进健康城镇创建工作，推动无蚊害城区建设，科学推进过敏原和病媒生物防控等协同治理</w:t>
      </w:r>
      <w:r>
        <w:rPr>
          <w:rFonts w:hint="eastAsia"/>
          <w:lang w:eastAsia="zh-CN"/>
        </w:rPr>
        <w:t>，</w:t>
      </w:r>
      <w:r>
        <w:rPr>
          <w:rFonts w:hint="eastAsia"/>
        </w:rPr>
        <w:t>巩固无烟环境。深化健康单位（企业）、健康学校、</w:t>
      </w:r>
      <w:r>
        <w:rPr>
          <w:rFonts w:hint="eastAsia"/>
          <w:lang w:val="en-US" w:eastAsia="zh-CN"/>
        </w:rPr>
        <w:t>健康社区、</w:t>
      </w:r>
      <w:r>
        <w:rPr>
          <w:rFonts w:hint="eastAsia"/>
        </w:rPr>
        <w:t>健康家庭等健康单元建设。发挥村（居）民委员会公共卫生委员会作用，推进爱国卫生运动融入基层治理和群众日常生活。</w:t>
      </w:r>
      <w:r>
        <w:t>广泛开展健康教育和健康科普活动，持续打造</w:t>
      </w:r>
      <w:r>
        <w:rPr>
          <w:rFonts w:hint="eastAsia"/>
          <w:lang w:eastAsia="zh-CN"/>
        </w:rPr>
        <w:t>“</w:t>
      </w:r>
      <w:r>
        <w:t>门头沟区健康生活进万家”健康教育品牌</w:t>
      </w:r>
      <w:r>
        <w:rPr>
          <w:rFonts w:hint="eastAsia"/>
          <w:lang w:eastAsia="zh-CN"/>
        </w:rPr>
        <w:t>，</w:t>
      </w:r>
      <w:r>
        <w:rPr>
          <w:rFonts w:hint="eastAsia"/>
        </w:rPr>
        <w:t>深化“体医融合”，</w:t>
      </w:r>
      <w:r>
        <w:t>引导居民主动参与健康自我管理</w:t>
      </w:r>
      <w:r>
        <w:rPr>
          <w:rFonts w:hint="eastAsia"/>
          <w:lang w:eastAsia="zh-CN"/>
        </w:rPr>
        <w:t>，</w:t>
      </w:r>
      <w:r>
        <w:rPr>
          <w:rFonts w:hint="eastAsia"/>
          <w:lang w:val="en-US" w:eastAsia="zh-CN"/>
        </w:rPr>
        <w:t>倡导“每个人是自己健康第一责任人”</w:t>
      </w:r>
      <w:r>
        <w:rPr>
          <w:rFonts w:hint="eastAsia"/>
        </w:rPr>
        <w:t>。</w:t>
      </w:r>
      <w:r>
        <w:t>传承深化爱国卫生运动</w:t>
      </w:r>
      <w:r>
        <w:rPr>
          <w:rFonts w:hint="eastAsia"/>
        </w:rPr>
        <w:t>，广泛开展各类爱国卫生专项活动，强化环境卫生综合整治。实施合理膳食健康提升工程，持续开展健康体重管理行动，重点关注儿童青少年体重变化，减缓成人肥胖增长趋势</w:t>
      </w:r>
      <w:r>
        <w:rPr>
          <w:rFonts w:hint="eastAsia"/>
          <w:lang w:eastAsia="zh-CN"/>
        </w:rPr>
        <w:t>，在</w:t>
      </w:r>
      <w:r>
        <w:rPr>
          <w:rFonts w:hint="eastAsia"/>
        </w:rPr>
        <w:t>三级公立综合医院</w:t>
      </w:r>
      <w:r>
        <w:rPr>
          <w:rFonts w:hint="eastAsia"/>
          <w:lang w:eastAsia="zh-CN"/>
        </w:rPr>
        <w:t>设置</w:t>
      </w:r>
      <w:r>
        <w:rPr>
          <w:rFonts w:hint="eastAsia"/>
        </w:rPr>
        <w:t>健康体重管理门诊。</w:t>
      </w:r>
    </w:p>
    <w:bookmarkEnd w:id="7"/>
    <w:bookmarkEnd w:id="8"/>
    <w:p w14:paraId="599942F7">
      <w:pPr>
        <w:pStyle w:val="4"/>
        <w:ind w:firstLine="640" w:firstLineChars="200"/>
        <w:outlineLvl w:val="1"/>
        <w:rPr>
          <w:rFonts w:hint="default" w:ascii="宋体" w:hAnsi="宋体" w:eastAsia="楷体_GB2312" w:cs="Times New Roman"/>
          <w:bCs/>
          <w:kern w:val="0"/>
          <w:sz w:val="32"/>
          <w:szCs w:val="27"/>
          <w:highlight w:val="none"/>
          <w:lang w:val="en-US" w:eastAsia="zh-CN" w:bidi="ar-SA"/>
        </w:rPr>
      </w:pPr>
      <w:bookmarkStart w:id="13" w:name="_Toc31434"/>
      <w:bookmarkStart w:id="14" w:name="_Toc11605"/>
      <w:bookmarkStart w:id="15" w:name="_Toc1166734424"/>
      <w:bookmarkStart w:id="16" w:name="_Toc604"/>
      <w:bookmarkStart w:id="17" w:name="_Toc14091"/>
      <w:bookmarkStart w:id="18" w:name="_Toc32309"/>
      <w:bookmarkStart w:id="19" w:name="_Toc1131799223"/>
      <w:bookmarkStart w:id="20" w:name="_Toc1619884853"/>
      <w:bookmarkStart w:id="21" w:name="_Toc1266071803"/>
      <w:r>
        <w:rPr>
          <w:rFonts w:hint="eastAsia" w:ascii="宋体" w:hAnsi="宋体" w:eastAsia="楷体_GB2312" w:cs="Times New Roman"/>
          <w:bCs/>
          <w:kern w:val="0"/>
          <w:sz w:val="32"/>
          <w:szCs w:val="27"/>
          <w:highlight w:val="none"/>
          <w:lang w:val="en-US" w:eastAsia="zh-CN" w:bidi="ar-SA"/>
        </w:rPr>
        <w:t>（二）全方位统筹慢性病综合防控，提升全民健康管理水平</w:t>
      </w:r>
      <w:bookmarkEnd w:id="13"/>
      <w:bookmarkEnd w:id="14"/>
      <w:bookmarkEnd w:id="15"/>
      <w:bookmarkEnd w:id="16"/>
      <w:bookmarkEnd w:id="17"/>
      <w:bookmarkEnd w:id="18"/>
    </w:p>
    <w:p w14:paraId="6AC8F89A">
      <w:pPr>
        <w:widowControl/>
        <w:ind w:firstLine="643" w:firstLineChars="200"/>
        <w:rPr>
          <w:rFonts w:hint="eastAsia" w:ascii="仿宋_GB2312" w:hAnsi="仿宋" w:cs="仿宋"/>
          <w:color w:val="auto"/>
          <w:szCs w:val="32"/>
          <w:highlight w:val="none"/>
        </w:rPr>
      </w:pPr>
      <w:r>
        <w:rPr>
          <w:rFonts w:hint="eastAsia" w:ascii="仿宋_GB2312" w:hAnsi="仿宋" w:cs="仿宋"/>
          <w:b/>
          <w:color w:val="auto"/>
          <w:szCs w:val="32"/>
          <w:highlight w:val="none"/>
        </w:rPr>
        <w:t>构建慢性病综合防控体系。</w:t>
      </w:r>
      <w:r>
        <w:rPr>
          <w:rFonts w:hint="eastAsia" w:ascii="仿宋_GB2312" w:hAnsi="仿宋" w:cs="仿宋"/>
          <w:bCs/>
          <w:color w:val="auto"/>
          <w:szCs w:val="32"/>
          <w:highlight w:val="none"/>
          <w:lang w:val="en-US" w:eastAsia="zh-CN"/>
        </w:rPr>
        <w:t>倡导“全民主动健康理念”，</w:t>
      </w:r>
      <w:r>
        <w:rPr>
          <w:rFonts w:hint="eastAsia" w:ascii="仿宋_GB2312" w:hAnsi="仿宋" w:cs="仿宋"/>
          <w:bCs/>
          <w:color w:val="auto"/>
          <w:szCs w:val="32"/>
          <w:highlight w:val="none"/>
        </w:rPr>
        <w:t>贯通优化慢性病“防、筛、</w:t>
      </w:r>
      <w:r>
        <w:rPr>
          <w:rFonts w:hint="eastAsia" w:ascii="仿宋_GB2312" w:hAnsi="仿宋" w:cs="仿宋"/>
          <w:bCs/>
          <w:color w:val="auto"/>
          <w:szCs w:val="32"/>
          <w:highlight w:val="none"/>
          <w:lang w:val="en-US" w:eastAsia="zh-CN"/>
        </w:rPr>
        <w:t>诊、治、康、管</w:t>
      </w:r>
      <w:r>
        <w:rPr>
          <w:rFonts w:hint="eastAsia" w:ascii="仿宋_GB2312" w:hAnsi="仿宋" w:cs="仿宋"/>
          <w:bCs/>
          <w:color w:val="auto"/>
          <w:szCs w:val="32"/>
          <w:highlight w:val="none"/>
        </w:rPr>
        <w:t>”全链条一体化防控体系，</w:t>
      </w:r>
      <w:r>
        <w:rPr>
          <w:rFonts w:hint="eastAsia" w:ascii="仿宋_GB2312" w:hAnsi="仿宋" w:cs="仿宋"/>
          <w:color w:val="auto"/>
          <w:szCs w:val="32"/>
          <w:highlight w:val="none"/>
        </w:rPr>
        <w:t>依托阜外医院、同仁医院等优质医疗资源技术支持，在区级医院成立“主动健康与慢病管理中心”。充分发挥村（居）公共卫生委员会服务百姓的“最近一公里”作用，</w:t>
      </w:r>
      <w:r>
        <w:rPr>
          <w:rFonts w:hint="eastAsia" w:ascii="仿宋_GB2312" w:hAnsi="仿宋_GB2312" w:cs="仿宋_GB2312"/>
          <w:color w:val="auto"/>
          <w:szCs w:val="32"/>
          <w:highlight w:val="none"/>
        </w:rPr>
        <w:t>深入开展全民健康促进行动。</w:t>
      </w:r>
      <w:r>
        <w:rPr>
          <w:rFonts w:hint="eastAsia" w:ascii="仿宋_GB2312" w:hAnsi="仿宋" w:cs="仿宋"/>
          <w:color w:val="auto"/>
          <w:szCs w:val="32"/>
          <w:highlight w:val="none"/>
        </w:rPr>
        <w:t>依托村卫生室和社区卫生服务站的“健康驿站”，建立“慢性病综合防控筛查哨点”。</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14:paraId="0B80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80" w:type="dxa"/>
            <w:noWrap w:val="0"/>
            <w:vAlign w:val="center"/>
          </w:tcPr>
          <w:p w14:paraId="67E67944">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400" w:lineRule="exact"/>
              <w:ind w:firstLine="0" w:firstLineChars="0"/>
              <w:jc w:val="center"/>
              <w:textAlignment w:val="auto"/>
              <w:outlineLvl w:val="9"/>
              <w:rPr>
                <w:rFonts w:hint="eastAsia" w:ascii="黑体" w:hAnsi="黑体" w:eastAsia="黑体" w:cs="黑体"/>
                <w:b w:val="0"/>
                <w:bCs w:val="0"/>
                <w:color w:val="auto"/>
                <w:sz w:val="24"/>
                <w:szCs w:val="24"/>
                <w:highlight w:val="none"/>
                <w:u w:val="none"/>
              </w:rPr>
            </w:pPr>
            <w:bookmarkStart w:id="22" w:name="_Toc662772864"/>
            <w:bookmarkStart w:id="23" w:name="_Toc922935752"/>
            <w:bookmarkStart w:id="24" w:name="_Toc383461767"/>
            <w:bookmarkStart w:id="25" w:name="_Toc14406"/>
            <w:r>
              <w:rPr>
                <w:rFonts w:hint="eastAsia" w:ascii="黑体" w:hAnsi="黑体" w:eastAsia="黑体" w:cs="黑体"/>
                <w:b w:val="0"/>
                <w:bCs w:val="0"/>
                <w:color w:val="auto"/>
                <w:sz w:val="24"/>
                <w:szCs w:val="24"/>
                <w:highlight w:val="none"/>
                <w:u w:val="none"/>
              </w:rPr>
              <w:t>专栏</w:t>
            </w:r>
            <w:r>
              <w:rPr>
                <w:rFonts w:hint="eastAsia" w:ascii="黑体" w:hAnsi="黑体" w:eastAsia="黑体" w:cs="黑体"/>
                <w:b w:val="0"/>
                <w:bCs w:val="0"/>
                <w:color w:val="auto"/>
                <w:sz w:val="24"/>
                <w:szCs w:val="24"/>
                <w:highlight w:val="none"/>
                <w:u w:val="none"/>
                <w:lang w:val="en-US" w:eastAsia="zh-CN"/>
              </w:rPr>
              <w:t>1</w:t>
            </w:r>
            <w:r>
              <w:rPr>
                <w:rFonts w:hint="eastAsia" w:ascii="黑体" w:hAnsi="黑体" w:eastAsia="黑体" w:cs="黑体"/>
                <w:b w:val="0"/>
                <w:bCs w:val="0"/>
                <w:color w:val="auto"/>
                <w:sz w:val="24"/>
                <w:szCs w:val="24"/>
                <w:highlight w:val="none"/>
                <w:u w:val="none"/>
              </w:rPr>
              <w:t xml:space="preserve"> </w:t>
            </w:r>
            <w:bookmarkEnd w:id="22"/>
            <w:bookmarkEnd w:id="23"/>
            <w:bookmarkEnd w:id="24"/>
            <w:bookmarkEnd w:id="25"/>
            <w:r>
              <w:rPr>
                <w:rFonts w:hint="eastAsia" w:ascii="黑体" w:hAnsi="黑体" w:eastAsia="黑体" w:cs="黑体"/>
                <w:b w:val="0"/>
                <w:bCs w:val="0"/>
                <w:color w:val="auto"/>
                <w:sz w:val="24"/>
                <w:szCs w:val="24"/>
                <w:highlight w:val="none"/>
                <w:u w:val="none"/>
              </w:rPr>
              <w:t>慢性病综合防控能力提升工程</w:t>
            </w:r>
          </w:p>
        </w:tc>
      </w:tr>
      <w:tr w14:paraId="6FA5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880" w:type="dxa"/>
            <w:noWrap w:val="0"/>
            <w:vAlign w:val="center"/>
          </w:tcPr>
          <w:p w14:paraId="61389C9B">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480" w:firstLineChars="200"/>
              <w:jc w:val="both"/>
              <w:textAlignment w:val="auto"/>
              <w:outlineLvl w:val="9"/>
              <w:rPr>
                <w:rFonts w:hint="eastAsia" w:ascii="宋体" w:hAnsi="宋体" w:eastAsia="宋体" w:cs="宋体"/>
                <w:b w:val="0"/>
                <w:bCs w:val="0"/>
                <w:color w:val="auto"/>
                <w:sz w:val="24"/>
                <w:szCs w:val="24"/>
                <w:highlight w:val="none"/>
                <w:u w:val="none"/>
              </w:rPr>
            </w:pPr>
            <w:r>
              <w:rPr>
                <w:rFonts w:hint="eastAsia" w:ascii="楷体_GB2312" w:hAnsi="楷体_GB2312" w:eastAsia="楷体_GB2312" w:cs="楷体_GB2312"/>
                <w:b w:val="0"/>
                <w:bCs w:val="0"/>
                <w:color w:val="auto"/>
                <w:sz w:val="24"/>
                <w:szCs w:val="24"/>
                <w:highlight w:val="none"/>
                <w:u w:val="none"/>
              </w:rPr>
              <w:t>压实慢性病防控部门职责。</w:t>
            </w:r>
            <w:r>
              <w:rPr>
                <w:rFonts w:hint="eastAsia" w:ascii="宋体" w:hAnsi="宋体" w:eastAsia="宋体" w:cs="宋体"/>
                <w:b w:val="0"/>
                <w:bCs w:val="0"/>
                <w:color w:val="auto"/>
                <w:sz w:val="24"/>
                <w:szCs w:val="24"/>
                <w:highlight w:val="none"/>
                <w:u w:val="none"/>
              </w:rPr>
              <w:t>明确职责清单，形成防控合力，医疗、医药、医保</w:t>
            </w:r>
            <w:r>
              <w:rPr>
                <w:rFonts w:hint="eastAsia" w:ascii="宋体" w:hAnsi="宋体" w:eastAsia="宋体" w:cs="宋体"/>
                <w:b w:val="0"/>
                <w:bCs w:val="0"/>
                <w:color w:val="auto"/>
                <w:sz w:val="24"/>
                <w:szCs w:val="24"/>
                <w:highlight w:val="none"/>
                <w:u w:val="none"/>
                <w:lang w:eastAsia="zh-CN"/>
              </w:rPr>
              <w:t>“三医”协同</w:t>
            </w:r>
            <w:r>
              <w:rPr>
                <w:rFonts w:hint="eastAsia" w:ascii="宋体" w:hAnsi="宋体" w:eastAsia="宋体" w:cs="宋体"/>
                <w:b w:val="0"/>
                <w:bCs w:val="0"/>
                <w:color w:val="auto"/>
                <w:sz w:val="24"/>
                <w:szCs w:val="24"/>
                <w:highlight w:val="none"/>
                <w:u w:val="none"/>
              </w:rPr>
              <w:t>，与发改、教育、民政、体育、住建、城管、交通、环保、宣传等部门协调联动，为慢性病综合防控提供政策支撑。充分发挥各类社会组织、企事业单位、社区（村）慢性病防控的重要阵地和载体作用，倡导群众参与自我健康管理，主动签约家庭医生，定期自我监测、定期健康体检、定期规范诊疗。</w:t>
            </w:r>
          </w:p>
          <w:p w14:paraId="3A1CA234">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480" w:firstLineChars="200"/>
              <w:jc w:val="both"/>
              <w:textAlignment w:val="auto"/>
              <w:outlineLvl w:val="9"/>
              <w:rPr>
                <w:rFonts w:hint="eastAsia" w:ascii="宋体" w:hAnsi="宋体" w:eastAsia="宋体" w:cs="宋体"/>
                <w:b w:val="0"/>
                <w:bCs w:val="0"/>
                <w:color w:val="auto"/>
                <w:sz w:val="24"/>
                <w:szCs w:val="24"/>
                <w:highlight w:val="none"/>
                <w:u w:val="none"/>
                <w:lang w:eastAsia="zh-CN"/>
              </w:rPr>
            </w:pPr>
            <w:r>
              <w:rPr>
                <w:rFonts w:hint="eastAsia" w:ascii="楷体_GB2312" w:hAnsi="楷体_GB2312" w:eastAsia="楷体_GB2312" w:cs="楷体_GB2312"/>
                <w:b w:val="0"/>
                <w:bCs w:val="0"/>
                <w:color w:val="auto"/>
                <w:sz w:val="24"/>
                <w:szCs w:val="24"/>
                <w:highlight w:val="none"/>
                <w:u w:val="none"/>
              </w:rPr>
              <w:t>深化慢性病综合防控措施。</w:t>
            </w:r>
            <w:r>
              <w:rPr>
                <w:rFonts w:hint="eastAsia" w:ascii="宋体" w:hAnsi="宋体" w:eastAsia="宋体" w:cs="宋体"/>
                <w:b w:val="0"/>
                <w:bCs w:val="0"/>
                <w:color w:val="auto"/>
                <w:sz w:val="24"/>
                <w:szCs w:val="24"/>
                <w:highlight w:val="none"/>
                <w:u w:val="none"/>
              </w:rPr>
              <w:t>全面实施35岁以上人群首诊测血压。建立区级专家指导组，推广MDT多学科诊疗。</w:t>
            </w:r>
            <w:r>
              <w:rPr>
                <w:rFonts w:hint="eastAsia" w:ascii="宋体" w:hAnsi="宋体" w:eastAsia="宋体" w:cs="宋体"/>
                <w:b w:val="0"/>
                <w:bCs w:val="0"/>
                <w:color w:val="auto"/>
                <w:sz w:val="24"/>
                <w:szCs w:val="24"/>
                <w:highlight w:val="none"/>
                <w:u w:val="none"/>
                <w:lang w:eastAsia="zh-CN"/>
              </w:rPr>
              <w:t>建立分级康复网络，加</w:t>
            </w:r>
            <w:r>
              <w:rPr>
                <w:rFonts w:hint="eastAsia" w:ascii="宋体" w:hAnsi="宋体" w:eastAsia="宋体" w:cs="宋体"/>
                <w:b w:val="0"/>
                <w:bCs w:val="0"/>
                <w:color w:val="auto"/>
                <w:sz w:val="24"/>
                <w:szCs w:val="24"/>
                <w:highlight w:val="none"/>
                <w:u w:val="none"/>
              </w:rPr>
              <w:t>强医务社工建设，强化社区志愿者和康复协调员培训。</w:t>
            </w:r>
          </w:p>
        </w:tc>
      </w:tr>
      <w:bookmarkEnd w:id="19"/>
      <w:bookmarkEnd w:id="20"/>
      <w:bookmarkEnd w:id="21"/>
    </w:tbl>
    <w:p w14:paraId="178587C0">
      <w:pPr>
        <w:pStyle w:val="2"/>
        <w:ind w:firstLine="640" w:firstLineChars="200"/>
        <w:outlineLvl w:val="0"/>
        <w:rPr>
          <w:rFonts w:hint="eastAsia" w:ascii="黑体" w:hAnsi="黑体" w:eastAsia="黑体" w:cs="黑体"/>
          <w:b w:val="0"/>
          <w:bCs w:val="0"/>
          <w:color w:val="auto"/>
          <w:kern w:val="2"/>
          <w:sz w:val="32"/>
          <w:szCs w:val="32"/>
          <w:highlight w:val="none"/>
          <w:u w:val="none"/>
          <w:lang w:val="en-US" w:eastAsia="zh-CN" w:bidi="ar-SA"/>
        </w:rPr>
      </w:pPr>
      <w:bookmarkStart w:id="26" w:name="_Toc20892"/>
      <w:r>
        <w:rPr>
          <w:rFonts w:hint="eastAsia" w:ascii="黑体" w:hAnsi="黑体" w:eastAsia="黑体" w:cs="黑体"/>
          <w:b w:val="0"/>
          <w:bCs w:val="0"/>
          <w:color w:val="auto"/>
          <w:kern w:val="2"/>
          <w:sz w:val="32"/>
          <w:szCs w:val="32"/>
          <w:highlight w:val="none"/>
          <w:u w:val="none"/>
          <w:lang w:val="en-US" w:eastAsia="zh-CN" w:bidi="ar-SA"/>
        </w:rPr>
        <w:t>三、实施公立医院高质量发展行动，构建公立医院动能发展新体系</w:t>
      </w:r>
      <w:bookmarkEnd w:id="2"/>
      <w:bookmarkEnd w:id="26"/>
    </w:p>
    <w:p w14:paraId="491FE602">
      <w:pPr>
        <w:pStyle w:val="4"/>
        <w:ind w:firstLine="640" w:firstLineChars="200"/>
        <w:outlineLvl w:val="1"/>
        <w:rPr>
          <w:rFonts w:hint="default"/>
          <w:color w:val="auto"/>
          <w:highlight w:val="none"/>
        </w:rPr>
      </w:pPr>
      <w:bookmarkStart w:id="27" w:name="_Toc17402"/>
      <w:bookmarkStart w:id="28" w:name="_Toc2033463640"/>
      <w:bookmarkStart w:id="29" w:name="_Toc20707"/>
      <w:bookmarkStart w:id="30" w:name="_Toc12114"/>
      <w:bookmarkStart w:id="31" w:name="_Toc213826289"/>
      <w:bookmarkStart w:id="32" w:name="_Toc696201094"/>
      <w:bookmarkStart w:id="33" w:name="_Toc27171"/>
      <w:bookmarkStart w:id="34" w:name="_Toc32068"/>
      <w:bookmarkStart w:id="35" w:name="_Toc2055558902"/>
      <w:r>
        <w:rPr>
          <w:rFonts w:hint="eastAsia" w:ascii="宋体" w:hAnsi="宋体" w:eastAsia="楷体_GB2312" w:cs="Times New Roman"/>
          <w:bCs/>
          <w:kern w:val="0"/>
          <w:sz w:val="32"/>
          <w:szCs w:val="27"/>
          <w:highlight w:val="none"/>
          <w:lang w:val="en-US" w:eastAsia="zh-CN" w:bidi="ar-SA"/>
        </w:rPr>
        <w:t>（三）改善条件，打造区域医疗核心高地</w:t>
      </w:r>
      <w:bookmarkEnd w:id="27"/>
      <w:bookmarkEnd w:id="28"/>
      <w:bookmarkEnd w:id="29"/>
      <w:bookmarkEnd w:id="30"/>
      <w:bookmarkEnd w:id="31"/>
      <w:bookmarkEnd w:id="32"/>
      <w:bookmarkEnd w:id="33"/>
      <w:bookmarkEnd w:id="34"/>
      <w:bookmarkEnd w:id="35"/>
    </w:p>
    <w:p w14:paraId="5CB583E8">
      <w:pPr>
        <w:pStyle w:val="7"/>
        <w:spacing w:after="0" w:line="560" w:lineRule="exact"/>
        <w:ind w:firstLine="640" w:firstLineChars="200"/>
        <w:rPr>
          <w:rFonts w:ascii="仿宋_GB2312" w:hAnsi="仿宋_GB2312" w:cs="仿宋_GB2312"/>
          <w:color w:val="auto"/>
          <w:szCs w:val="32"/>
          <w:highlight w:val="none"/>
        </w:rPr>
      </w:pPr>
      <w:r>
        <w:rPr>
          <w:rFonts w:hint="eastAsia" w:ascii="仿宋_GB2312" w:hAnsi="仿宋_GB2312" w:cs="仿宋_GB2312"/>
          <w:color w:val="auto"/>
          <w:szCs w:val="32"/>
          <w:highlight w:val="none"/>
          <w:lang w:eastAsia="zh-CN"/>
        </w:rPr>
        <w:t>提升区级核心医院能级，对标三甲医院建设标准，推动区医院新址建设。</w:t>
      </w:r>
      <w:r>
        <w:rPr>
          <w:rFonts w:ascii="仿宋_GB2312" w:hAnsi="仿宋_GB2312" w:cs="仿宋_GB2312"/>
          <w:color w:val="auto"/>
          <w:szCs w:val="32"/>
          <w:highlight w:val="none"/>
        </w:rPr>
        <w:t>实施中医院</w:t>
      </w:r>
      <w:r>
        <w:rPr>
          <w:rFonts w:hint="eastAsia" w:ascii="仿宋_GB2312" w:hAnsi="仿宋_GB2312" w:cs="仿宋_GB2312"/>
          <w:color w:val="auto"/>
          <w:szCs w:val="32"/>
          <w:highlight w:val="none"/>
          <w:lang w:val="en-US" w:eastAsia="zh-CN"/>
        </w:rPr>
        <w:t>扩容改造项目</w:t>
      </w:r>
      <w:r>
        <w:rPr>
          <w:rFonts w:hint="eastAsia" w:ascii="仿宋_GB2312" w:hAnsi="仿宋_GB2312" w:cs="仿宋_GB2312"/>
          <w:color w:val="auto"/>
          <w:szCs w:val="32"/>
          <w:highlight w:val="none"/>
        </w:rPr>
        <w:t>，为</w:t>
      </w:r>
      <w:r>
        <w:rPr>
          <w:rFonts w:hint="eastAsia" w:ascii="仿宋_GB2312" w:hAnsi="仿宋_GB2312" w:cs="仿宋_GB2312"/>
          <w:color w:val="auto"/>
          <w:szCs w:val="32"/>
          <w:highlight w:val="none"/>
          <w:lang w:eastAsia="zh-CN"/>
        </w:rPr>
        <w:t>升三级</w:t>
      </w:r>
      <w:r>
        <w:rPr>
          <w:rFonts w:hint="eastAsia" w:ascii="仿宋_GB2312" w:hAnsi="仿宋_GB2312" w:cs="仿宋_GB2312"/>
          <w:color w:val="auto"/>
          <w:szCs w:val="32"/>
          <w:highlight w:val="none"/>
        </w:rPr>
        <w:t>提供硬件保障。</w:t>
      </w:r>
      <w:r>
        <w:rPr>
          <w:rFonts w:hint="eastAsia" w:ascii="仿宋_GB2312" w:hAnsi="仿宋_GB2312" w:cs="仿宋_GB2312"/>
          <w:color w:val="auto"/>
          <w:szCs w:val="32"/>
          <w:highlight w:val="none"/>
          <w:lang w:eastAsia="zh-CN"/>
        </w:rPr>
        <w:t>加大</w:t>
      </w:r>
      <w:r>
        <w:rPr>
          <w:rFonts w:hint="eastAsia" w:ascii="仿宋_GB2312"/>
          <w:color w:val="auto"/>
          <w:szCs w:val="32"/>
          <w:highlight w:val="none"/>
        </w:rPr>
        <w:t>对区妇幼保健院支持力度，</w:t>
      </w:r>
      <w:r>
        <w:rPr>
          <w:rFonts w:hint="eastAsia" w:ascii="仿宋_GB2312"/>
          <w:color w:val="auto"/>
          <w:szCs w:val="32"/>
          <w:highlight w:val="none"/>
          <w:lang w:val="en-US" w:eastAsia="zh-CN"/>
        </w:rPr>
        <w:t>实施综合楼、附属楼改造工程，</w:t>
      </w:r>
      <w:r>
        <w:rPr>
          <w:rFonts w:hint="eastAsia" w:ascii="仿宋_GB2312"/>
          <w:color w:val="auto"/>
          <w:szCs w:val="32"/>
          <w:highlight w:val="none"/>
        </w:rPr>
        <w:t>促进医院标准化、规范化、品牌化发展</w:t>
      </w:r>
      <w:r>
        <w:rPr>
          <w:rFonts w:hint="eastAsia" w:ascii="仿宋_GB2312" w:hAnsi="仿宋_GB2312" w:cs="仿宋_GB2312"/>
          <w:color w:val="auto"/>
          <w:kern w:val="0"/>
          <w:szCs w:val="32"/>
          <w:highlight w:val="none"/>
          <w:shd w:val="clear" w:color="auto" w:fill="FFFFFF"/>
        </w:rPr>
        <w:t>，完成三级等级评审。</w:t>
      </w:r>
      <w:r>
        <w:rPr>
          <w:rFonts w:ascii="仿宋_GB2312" w:hAnsi="仿宋_GB2312" w:cs="仿宋_GB2312"/>
          <w:color w:val="auto"/>
          <w:szCs w:val="32"/>
          <w:highlight w:val="none"/>
        </w:rPr>
        <w:t>加快</w:t>
      </w:r>
      <w:r>
        <w:rPr>
          <w:rFonts w:hint="eastAsia" w:ascii="仿宋_GB2312" w:hAnsi="仿宋_GB2312" w:cs="仿宋_GB2312"/>
          <w:color w:val="auto"/>
          <w:szCs w:val="32"/>
          <w:highlight w:val="none"/>
        </w:rPr>
        <w:t>推动</w:t>
      </w:r>
      <w:r>
        <w:rPr>
          <w:rFonts w:ascii="仿宋_GB2312" w:hAnsi="仿宋_GB2312" w:cs="仿宋_GB2312"/>
          <w:color w:val="auto"/>
          <w:szCs w:val="32"/>
          <w:highlight w:val="none"/>
        </w:rPr>
        <w:t>龙泉医院新院区</w:t>
      </w:r>
      <w:r>
        <w:rPr>
          <w:rFonts w:hint="eastAsia" w:ascii="仿宋_GB2312" w:hAnsi="仿宋_GB2312" w:cs="仿宋_GB2312"/>
          <w:color w:val="auto"/>
          <w:szCs w:val="32"/>
          <w:highlight w:val="none"/>
          <w:lang w:eastAsia="zh-CN"/>
        </w:rPr>
        <w:t>建成</w:t>
      </w:r>
      <w:r>
        <w:rPr>
          <w:rFonts w:ascii="仿宋_GB2312" w:hAnsi="仿宋_GB2312" w:cs="仿宋_GB2312"/>
          <w:color w:val="auto"/>
          <w:szCs w:val="32"/>
          <w:highlight w:val="none"/>
        </w:rPr>
        <w:t>落地，</w:t>
      </w:r>
      <w:r>
        <w:rPr>
          <w:rFonts w:hint="eastAsia" w:ascii="仿宋_GB2312" w:hAnsi="仿宋_GB2312" w:cs="仿宋_GB2312"/>
          <w:color w:val="auto"/>
          <w:szCs w:val="32"/>
          <w:highlight w:val="none"/>
        </w:rPr>
        <w:t>统筹现有医疗资源保障</w:t>
      </w:r>
      <w:r>
        <w:rPr>
          <w:rFonts w:ascii="仿宋_GB2312" w:hAnsi="仿宋_GB2312" w:cs="仿宋_GB2312"/>
          <w:color w:val="auto"/>
          <w:szCs w:val="32"/>
          <w:highlight w:val="none"/>
        </w:rPr>
        <w:t>龙泉医院</w:t>
      </w:r>
      <w:r>
        <w:rPr>
          <w:rFonts w:hint="eastAsia" w:ascii="仿宋_GB2312" w:hAnsi="仿宋_GB2312" w:cs="仿宋_GB2312"/>
          <w:color w:val="auto"/>
          <w:szCs w:val="32"/>
          <w:highlight w:val="none"/>
        </w:rPr>
        <w:t>平稳过渡。支持石龙医院创建三级职业病专科医院，纳入区域医联体建设范畴，鼓励发展医养结合</w:t>
      </w:r>
      <w:r>
        <w:rPr>
          <w:rFonts w:hint="eastAsia" w:ascii="仿宋_GB2312" w:hAnsi="仿宋_GB2312" w:cs="仿宋_GB2312"/>
          <w:color w:val="auto"/>
          <w:szCs w:val="32"/>
          <w:highlight w:val="none"/>
          <w:lang w:val="en-US" w:eastAsia="zh-CN"/>
        </w:rPr>
        <w:t>及康复医疗</w:t>
      </w:r>
      <w:r>
        <w:rPr>
          <w:rFonts w:hint="eastAsia" w:ascii="仿宋_GB2312" w:hAnsi="仿宋_GB2312" w:cs="仿宋_GB2312"/>
          <w:color w:val="auto"/>
          <w:szCs w:val="32"/>
          <w:highlight w:val="none"/>
        </w:rPr>
        <w:t>服务。借助医院职业病防治资源优势，完善门头沟区职业健康检查、职业病诊断、职业病康复救治体系。支持京煤集团总医院</w:t>
      </w:r>
      <w:r>
        <w:rPr>
          <w:rFonts w:hint="eastAsia" w:ascii="仿宋_GB2312" w:hAnsi="仿宋_GB2312" w:cs="仿宋_GB2312"/>
          <w:color w:val="auto"/>
          <w:szCs w:val="32"/>
          <w:highlight w:val="none"/>
          <w:lang w:eastAsia="zh-CN"/>
        </w:rPr>
        <w:t>改善</w:t>
      </w:r>
      <w:r>
        <w:rPr>
          <w:rFonts w:hint="eastAsia" w:ascii="仿宋_GB2312" w:hAnsi="仿宋_GB2312" w:cs="仿宋_GB2312"/>
          <w:color w:val="auto"/>
          <w:szCs w:val="32"/>
          <w:highlight w:val="none"/>
        </w:rPr>
        <w:t>医疗空间，破解“停车难、病房狭小、手术空间不足”的困境</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lang w:val="en-US" w:eastAsia="zh-CN"/>
        </w:rPr>
        <w:t>用好规划医疗用地，推进潭柘寺医疗卫生用地新建医院、斋堂地区</w:t>
      </w:r>
      <w:r>
        <w:rPr>
          <w:rFonts w:hint="eastAsia" w:ascii="仿宋_GB2312" w:hAnsi="仿宋_GB2312" w:cs="仿宋_GB2312"/>
          <w:color w:val="auto"/>
          <w:szCs w:val="32"/>
          <w:highlight w:val="none"/>
        </w:rPr>
        <w:t>“康复+急救”综合医院</w:t>
      </w:r>
      <w:r>
        <w:rPr>
          <w:rFonts w:hint="eastAsia" w:ascii="仿宋_GB2312" w:hAnsi="仿宋_GB2312" w:cs="仿宋_GB2312"/>
          <w:color w:val="auto"/>
          <w:szCs w:val="32"/>
          <w:highlight w:val="none"/>
          <w:lang w:val="en-US" w:eastAsia="zh-CN"/>
        </w:rPr>
        <w:t>的前期工作，</w:t>
      </w:r>
      <w:r>
        <w:rPr>
          <w:rFonts w:hint="eastAsia" w:ascii="仿宋_GB2312" w:hAnsi="仿宋_GB2312" w:cs="仿宋_GB2312"/>
          <w:color w:val="auto"/>
          <w:szCs w:val="32"/>
          <w:highlight w:val="none"/>
        </w:rPr>
        <w:t>为中部山区</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lang w:val="en-US" w:eastAsia="zh-CN"/>
        </w:rPr>
        <w:t>深山区</w:t>
      </w:r>
      <w:r>
        <w:rPr>
          <w:rFonts w:hint="eastAsia" w:ascii="仿宋_GB2312" w:hAnsi="仿宋_GB2312" w:cs="仿宋_GB2312"/>
          <w:color w:val="auto"/>
          <w:szCs w:val="32"/>
          <w:highlight w:val="none"/>
        </w:rPr>
        <w:t>产业发展提供医疗支撑</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提升山区服务可及性。</w:t>
      </w:r>
    </w:p>
    <w:p w14:paraId="5306E229">
      <w:pPr>
        <w:pStyle w:val="4"/>
        <w:ind w:firstLine="640" w:firstLineChars="200"/>
        <w:outlineLvl w:val="1"/>
        <w:rPr>
          <w:rFonts w:hint="default" w:ascii="宋体" w:hAnsi="宋体" w:eastAsia="楷体_GB2312" w:cs="Times New Roman"/>
          <w:bCs/>
          <w:kern w:val="0"/>
          <w:sz w:val="32"/>
          <w:szCs w:val="27"/>
          <w:highlight w:val="none"/>
          <w:lang w:val="en-US" w:eastAsia="zh-CN" w:bidi="ar-SA"/>
        </w:rPr>
      </w:pPr>
      <w:bookmarkStart w:id="36" w:name="_Toc28117"/>
      <w:bookmarkStart w:id="37" w:name="_Toc218874622"/>
      <w:bookmarkStart w:id="38" w:name="_Toc12099"/>
      <w:bookmarkStart w:id="39" w:name="_Toc13268"/>
      <w:bookmarkStart w:id="40" w:name="_Toc27281"/>
      <w:bookmarkStart w:id="41" w:name="_Toc1020380437"/>
      <w:bookmarkStart w:id="42" w:name="_Toc16347862"/>
      <w:bookmarkStart w:id="43" w:name="_Toc32763"/>
      <w:bookmarkStart w:id="44" w:name="_Toc788288461"/>
      <w:r>
        <w:rPr>
          <w:rFonts w:hint="eastAsia" w:ascii="宋体" w:hAnsi="宋体" w:eastAsia="楷体_GB2312" w:cs="Times New Roman"/>
          <w:bCs/>
          <w:kern w:val="0"/>
          <w:sz w:val="32"/>
          <w:szCs w:val="27"/>
          <w:highlight w:val="none"/>
          <w:lang w:val="en-US" w:eastAsia="zh-CN" w:bidi="ar-SA"/>
        </w:rPr>
        <w:t>（四）发展学科，提升医院服务能力</w:t>
      </w:r>
      <w:bookmarkEnd w:id="36"/>
      <w:bookmarkEnd w:id="37"/>
      <w:bookmarkEnd w:id="38"/>
      <w:bookmarkEnd w:id="39"/>
      <w:bookmarkEnd w:id="40"/>
      <w:bookmarkEnd w:id="41"/>
      <w:bookmarkEnd w:id="42"/>
      <w:bookmarkEnd w:id="43"/>
      <w:bookmarkEnd w:id="44"/>
    </w:p>
    <w:p w14:paraId="5D0FAF75">
      <w:pPr>
        <w:pStyle w:val="7"/>
        <w:spacing w:after="0" w:line="240" w:lineRule="auto"/>
        <w:ind w:firstLine="640" w:firstLineChars="200"/>
        <w:rPr>
          <w:rFonts w:ascii="仿宋_GB2312" w:hAnsi="仿宋_GB2312" w:cs="仿宋_GB2312"/>
          <w:bCs/>
          <w:color w:val="auto"/>
          <w:szCs w:val="32"/>
          <w:highlight w:val="none"/>
        </w:rPr>
      </w:pPr>
      <w:r>
        <w:rPr>
          <w:rFonts w:hint="eastAsia" w:ascii="仿宋_GB2312" w:hAnsi="仿宋_GB2312" w:cs="仿宋_GB2312"/>
          <w:color w:val="auto"/>
          <w:kern w:val="0"/>
          <w:szCs w:val="32"/>
          <w:highlight w:val="none"/>
          <w:shd w:val="clear" w:color="auto" w:fill="FFFFFF"/>
          <w:lang w:val="en-US" w:eastAsia="zh-CN"/>
        </w:rPr>
        <w:t>引导二三级医院“十五五”期间重点发展外科、康复、护理、精神（心理）、儿科、老年医学、安宁疗护等服务。强化北京同仁医院-区医院托管模式示范效应，依托北京同仁医院优势学科资源，推动AI赋能眼科、耳鼻咽喉科三级诊疗体系建设。提升区医院神经内科、骨科、心内科、呼吸科、核医学科等专科服务水平，适当增加开放床位。</w:t>
      </w:r>
      <w:r>
        <w:rPr>
          <w:rFonts w:hint="eastAsia" w:ascii="仿宋_GB2312" w:hAnsi="仿宋_GB2312" w:eastAsia="仿宋_GB2312" w:cs="仿宋_GB2312"/>
          <w:color w:val="auto"/>
          <w:kern w:val="0"/>
          <w:sz w:val="32"/>
          <w:szCs w:val="32"/>
          <w:highlight w:val="none"/>
          <w:u w:val="none"/>
          <w:shd w:val="clear" w:color="auto" w:fill="FFFFFF"/>
          <w:lang w:eastAsia="zh-CN"/>
        </w:rPr>
        <w:t>以首都医科大学附属北京中医医院全面托管门头沟区中医医院为契机，全面提升中医药体系能力。</w:t>
      </w:r>
      <w:r>
        <w:rPr>
          <w:rFonts w:hint="eastAsia" w:ascii="仿宋_GB2312" w:hAnsi="仿宋_GB2312" w:cs="仿宋_GB2312"/>
          <w:color w:val="auto"/>
          <w:kern w:val="0"/>
          <w:szCs w:val="32"/>
          <w:highlight w:val="none"/>
          <w:shd w:val="clear" w:color="auto" w:fill="FFFFFF"/>
          <w:lang w:eastAsia="zh-CN"/>
        </w:rPr>
        <w:t>支持妇幼保健院</w:t>
      </w:r>
      <w:r>
        <w:rPr>
          <w:rFonts w:hint="eastAsia" w:ascii="仿宋_GB2312" w:hAnsi="仿宋_GB2312" w:cs="仿宋_GB2312"/>
          <w:color w:val="auto"/>
          <w:kern w:val="0"/>
          <w:szCs w:val="32"/>
          <w:highlight w:val="none"/>
          <w:shd w:val="clear" w:color="auto" w:fill="FFFFFF"/>
        </w:rPr>
        <w:t>增设病理科、急诊科，提高妇科、产科服务水平,发挥出生缺陷防治中心作用</w:t>
      </w:r>
      <w:r>
        <w:rPr>
          <w:rFonts w:hint="eastAsia" w:ascii="仿宋_GB2312" w:hAnsi="仿宋_GB2312" w:cs="仿宋_GB2312"/>
          <w:color w:val="auto"/>
          <w:kern w:val="0"/>
          <w:szCs w:val="32"/>
          <w:highlight w:val="none"/>
          <w:shd w:val="clear" w:color="auto" w:fill="FFFFFF"/>
          <w:lang w:eastAsia="zh-CN"/>
        </w:rPr>
        <w:t>，用好</w:t>
      </w:r>
      <w:r>
        <w:rPr>
          <w:rFonts w:hint="eastAsia" w:ascii="仿宋_GB2312" w:hAnsi="仿宋_GB2312" w:eastAsia="仿宋_GB2312" w:cs="仿宋_GB2312"/>
          <w:color w:val="auto"/>
          <w:kern w:val="0"/>
          <w:sz w:val="32"/>
          <w:szCs w:val="32"/>
          <w:highlight w:val="none"/>
          <w:u w:val="none"/>
          <w:shd w:val="clear" w:color="auto" w:fill="FFFFFF"/>
        </w:rPr>
        <w:t>首都儿科研究所首都医科大学附属首都儿童医学中心</w:t>
      </w:r>
      <w:r>
        <w:rPr>
          <w:rFonts w:hint="eastAsia" w:ascii="仿宋_GB2312" w:hAnsi="仿宋_GB2312" w:eastAsia="仿宋_GB2312" w:cs="仿宋_GB2312"/>
          <w:color w:val="auto"/>
          <w:kern w:val="0"/>
          <w:sz w:val="32"/>
          <w:szCs w:val="32"/>
          <w:highlight w:val="none"/>
          <w:u w:val="none"/>
          <w:shd w:val="clear" w:color="auto" w:fill="FFFFFF"/>
          <w:lang w:eastAsia="zh-CN"/>
        </w:rPr>
        <w:t>优质资源，打造“京西儿童诊疗中心”</w:t>
      </w:r>
      <w:r>
        <w:rPr>
          <w:rFonts w:hint="eastAsia" w:ascii="仿宋_GB2312" w:hAnsi="仿宋_GB2312" w:cs="仿宋_GB2312"/>
          <w:color w:val="auto"/>
          <w:kern w:val="0"/>
          <w:szCs w:val="32"/>
          <w:highlight w:val="none"/>
          <w:shd w:val="clear" w:color="auto" w:fill="FFFFFF"/>
        </w:rPr>
        <w:t>。</w:t>
      </w:r>
      <w:r>
        <w:rPr>
          <w:rFonts w:hint="eastAsia" w:ascii="仿宋_GB2312" w:hAnsi="仿宋_GB2312" w:cs="仿宋_GB2312"/>
          <w:bCs/>
          <w:color w:val="auto"/>
          <w:szCs w:val="32"/>
          <w:highlight w:val="none"/>
        </w:rPr>
        <w:t>加强龙泉医院精神专科能力建设，提高精神科多学科诊疗服务能力</w:t>
      </w:r>
      <w:r>
        <w:rPr>
          <w:rFonts w:hint="eastAsia" w:ascii="仿宋_GB2312" w:hAnsi="仿宋_GB2312" w:cs="仿宋_GB2312"/>
          <w:bCs/>
          <w:color w:val="auto"/>
          <w:szCs w:val="32"/>
          <w:highlight w:val="none"/>
          <w:lang w:eastAsia="zh-CN"/>
        </w:rPr>
        <w:t>。</w:t>
      </w:r>
      <w:r>
        <w:rPr>
          <w:rFonts w:hint="eastAsia" w:ascii="仿宋_GB2312" w:hAnsi="仿宋_GB2312" w:cs="仿宋_GB2312"/>
          <w:color w:val="auto"/>
          <w:szCs w:val="32"/>
          <w:highlight w:val="none"/>
        </w:rPr>
        <w:t>推动至少一家综合医院开设睡眠门诊，妇幼保健院、二级及以上公立综合医院心理科或精神科设置比例达到90%</w:t>
      </w:r>
      <w:r>
        <w:rPr>
          <w:rFonts w:hint="eastAsia" w:ascii="仿宋_GB2312" w:hAnsi="仿宋_GB2312" w:cs="仿宋_GB2312"/>
          <w:color w:val="auto"/>
          <w:szCs w:val="32"/>
          <w:highlight w:val="none"/>
          <w:lang w:eastAsia="zh-CN"/>
        </w:rPr>
        <w:t>，全区</w:t>
      </w:r>
      <w:r>
        <w:rPr>
          <w:rFonts w:hint="eastAsia" w:ascii="仿宋_GB2312" w:hAnsi="仿宋_GB2312" w:cs="仿宋_GB2312"/>
          <w:color w:val="auto"/>
          <w:szCs w:val="32"/>
          <w:highlight w:val="none"/>
        </w:rPr>
        <w:t>精神科执业（助理）医师达到4.5/10万人</w:t>
      </w:r>
      <w:r>
        <w:rPr>
          <w:rFonts w:hint="eastAsia" w:ascii="仿宋_GB2312" w:hAnsi="仿宋_GB2312" w:cs="仿宋_GB2312"/>
          <w:color w:val="auto"/>
          <w:szCs w:val="32"/>
          <w:highlight w:val="none"/>
          <w:lang w:eastAsia="zh-CN"/>
        </w:rPr>
        <w:t>（市级标准）</w:t>
      </w:r>
      <w:r>
        <w:rPr>
          <w:rFonts w:hint="eastAsia" w:ascii="仿宋_GB2312" w:hAnsi="仿宋_GB2312" w:cs="仿宋_GB2312"/>
          <w:bCs/>
          <w:color w:val="auto"/>
          <w:szCs w:val="32"/>
          <w:highlight w:val="none"/>
        </w:rPr>
        <w:t>。</w:t>
      </w:r>
      <w:r>
        <w:rPr>
          <w:rFonts w:hint="eastAsia" w:ascii="仿宋_GB2312" w:hAnsi="仿宋_GB2312" w:cs="仿宋_GB2312"/>
          <w:color w:val="auto"/>
          <w:kern w:val="0"/>
          <w:szCs w:val="32"/>
          <w:highlight w:val="none"/>
          <w:shd w:val="clear" w:color="auto" w:fill="FFFFFF"/>
        </w:rPr>
        <w:t>全面支持阜外医院西院区发展，与区内医院建立心血管疾病专科</w:t>
      </w:r>
      <w:r>
        <w:rPr>
          <w:rFonts w:hint="eastAsia" w:ascii="仿宋_GB2312" w:hAnsi="仿宋_GB2312" w:cs="仿宋_GB2312"/>
          <w:color w:val="auto"/>
          <w:kern w:val="0"/>
          <w:szCs w:val="32"/>
          <w:highlight w:val="none"/>
          <w:shd w:val="clear" w:color="auto" w:fill="FFFFFF"/>
          <w:lang w:eastAsia="zh-CN"/>
        </w:rPr>
        <w:t>联盟</w:t>
      </w:r>
      <w:r>
        <w:rPr>
          <w:rFonts w:hint="eastAsia" w:ascii="仿宋_GB2312" w:hAnsi="仿宋_GB2312" w:cs="仿宋_GB2312"/>
          <w:color w:val="auto"/>
          <w:kern w:val="0"/>
          <w:szCs w:val="32"/>
          <w:highlight w:val="none"/>
          <w:shd w:val="clear" w:color="auto" w:fill="FFFFFF"/>
        </w:rPr>
        <w:t>，支持阜外医院与区内医院合作共建心血管疾病康复病房。</w:t>
      </w:r>
      <w:r>
        <w:rPr>
          <w:rFonts w:hint="eastAsia" w:ascii="仿宋_GB2312" w:hAnsi="仿宋_GB2312" w:cs="仿宋_GB2312"/>
          <w:bCs/>
          <w:color w:val="auto"/>
          <w:szCs w:val="32"/>
          <w:highlight w:val="none"/>
        </w:rPr>
        <w:t>强化急诊急救能力，进一步加强胸痛中心、卒中中心、</w:t>
      </w:r>
      <w:r>
        <w:rPr>
          <w:rFonts w:hint="eastAsia" w:ascii="仿宋_GB2312" w:hAnsi="仿宋_GB2312" w:cs="仿宋_GB2312"/>
          <w:bCs/>
          <w:color w:val="auto"/>
          <w:szCs w:val="32"/>
          <w:highlight w:val="none"/>
          <w:lang w:val="en-US" w:eastAsia="zh-CN"/>
        </w:rPr>
        <w:t>危重孕产妇救治中心、危重新生儿救治中心</w:t>
      </w:r>
      <w:r>
        <w:rPr>
          <w:rFonts w:hint="eastAsia" w:ascii="仿宋_GB2312" w:hAnsi="仿宋_GB2312" w:cs="仿宋_GB2312"/>
          <w:bCs/>
          <w:color w:val="auto"/>
          <w:szCs w:val="32"/>
          <w:highlight w:val="none"/>
        </w:rPr>
        <w:t>、创伤中心的内涵建设</w:t>
      </w:r>
      <w:r>
        <w:rPr>
          <w:rFonts w:hint="eastAsia" w:ascii="仿宋_GB2312" w:hAnsi="仿宋_GB2312" w:cs="仿宋_GB2312"/>
          <w:bCs/>
          <w:color w:val="auto"/>
          <w:szCs w:val="32"/>
          <w:highlight w:val="none"/>
          <w:lang w:eastAsia="zh-CN"/>
        </w:rPr>
        <w:t>。</w:t>
      </w:r>
    </w:p>
    <w:p w14:paraId="3B20B67D">
      <w:pPr>
        <w:pStyle w:val="4"/>
        <w:ind w:firstLine="640" w:firstLineChars="200"/>
        <w:outlineLvl w:val="1"/>
        <w:rPr>
          <w:rFonts w:hint="default"/>
          <w:color w:val="auto"/>
          <w:highlight w:val="none"/>
        </w:rPr>
      </w:pPr>
      <w:bookmarkStart w:id="45" w:name="_Toc13292"/>
      <w:bookmarkStart w:id="46" w:name="_Toc19739"/>
      <w:bookmarkStart w:id="47" w:name="_Toc10618"/>
      <w:bookmarkStart w:id="48" w:name="_Toc2097"/>
      <w:bookmarkStart w:id="49" w:name="_Toc2028093465"/>
      <w:bookmarkStart w:id="50" w:name="_Toc1877083364"/>
      <w:bookmarkStart w:id="51" w:name="_Toc937545684"/>
      <w:bookmarkStart w:id="52" w:name="_Toc30962"/>
      <w:bookmarkStart w:id="53" w:name="_Toc2133768290"/>
      <w:r>
        <w:rPr>
          <w:rFonts w:hint="eastAsia" w:ascii="宋体" w:hAnsi="宋体" w:eastAsia="楷体_GB2312" w:cs="Times New Roman"/>
          <w:bCs/>
          <w:kern w:val="0"/>
          <w:sz w:val="32"/>
          <w:szCs w:val="27"/>
          <w:highlight w:val="none"/>
          <w:lang w:val="en-US" w:eastAsia="zh-CN" w:bidi="ar-SA"/>
        </w:rPr>
        <w:t>（五）提升质量，优化医疗服务体系</w:t>
      </w:r>
      <w:bookmarkEnd w:id="45"/>
      <w:bookmarkEnd w:id="46"/>
      <w:bookmarkEnd w:id="47"/>
      <w:bookmarkEnd w:id="48"/>
      <w:bookmarkEnd w:id="49"/>
      <w:bookmarkEnd w:id="50"/>
      <w:bookmarkEnd w:id="51"/>
      <w:bookmarkEnd w:id="52"/>
      <w:bookmarkEnd w:id="53"/>
    </w:p>
    <w:p w14:paraId="06AA2B5C">
      <w:pPr>
        <w:pStyle w:val="7"/>
        <w:shd w:val="clear"/>
        <w:spacing w:after="0" w:line="560" w:lineRule="exact"/>
        <w:ind w:firstLine="640" w:firstLineChars="200"/>
        <w:rPr>
          <w:rFonts w:ascii="仿宋_GB2312" w:hAnsi="仿宋_GB2312" w:cs="仿宋_GB2312"/>
          <w:color w:val="auto"/>
          <w:szCs w:val="32"/>
          <w:highlight w:val="none"/>
        </w:rPr>
      </w:pPr>
      <w:r>
        <w:rPr>
          <w:rFonts w:hint="eastAsia" w:ascii="仿宋_GB2312" w:hAnsi="仿宋_GB2312" w:cs="仿宋_GB2312"/>
          <w:b w:val="0"/>
          <w:bCs w:val="0"/>
          <w:color w:val="auto"/>
          <w:kern w:val="0"/>
          <w:szCs w:val="32"/>
          <w:highlight w:val="none"/>
          <w:shd w:val="clear" w:color="auto" w:fill="FFFFFF"/>
          <w:lang w:eastAsia="zh-CN"/>
        </w:rPr>
        <w:t>促进</w:t>
      </w:r>
      <w:r>
        <w:rPr>
          <w:rFonts w:hint="eastAsia" w:ascii="仿宋_GB2312" w:hAnsi="仿宋_GB2312" w:cs="仿宋_GB2312"/>
          <w:b w:val="0"/>
          <w:bCs w:val="0"/>
          <w:color w:val="auto"/>
          <w:kern w:val="0"/>
          <w:szCs w:val="32"/>
          <w:highlight w:val="none"/>
          <w:shd w:val="clear" w:color="auto" w:fill="FFFFFF"/>
        </w:rPr>
        <w:t>医疗服务提质规范</w:t>
      </w:r>
      <w:r>
        <w:rPr>
          <w:rFonts w:hint="eastAsia" w:ascii="仿宋_GB2312" w:hAnsi="仿宋_GB2312" w:cs="仿宋_GB2312"/>
          <w:b w:val="0"/>
          <w:bCs w:val="0"/>
          <w:color w:val="auto"/>
          <w:kern w:val="0"/>
          <w:szCs w:val="32"/>
          <w:highlight w:val="none"/>
          <w:shd w:val="clear" w:color="auto" w:fill="FFFFFF"/>
          <w:lang w:eastAsia="zh-CN"/>
        </w:rPr>
        <w:t>，开展医疗质量相关专项整治，加强医疗要素管理，充分发挥质控中心作用。提升中医药、儿科、医养结合、康复等专科领域诊疗服务能力。鼓励社会力量在医学检验实验室、病理、影像、血透、康复、护理、安宁疗护等短缺专科领域设置医疗机构，优先支持非盈利性医疗机构，鼓励社会办医院参与公共卫生工作，有序形成多元办医格局。健全协同机制，保障医疗运行，强化安全底线。</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14:paraId="1098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880" w:type="dxa"/>
            <w:noWrap w:val="0"/>
            <w:vAlign w:val="center"/>
          </w:tcPr>
          <w:p w14:paraId="5BBBEE27">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eastAsia" w:ascii="仿宋_GB2312" w:hAnsi="仿宋_GB2312" w:eastAsia="黑体" w:cs="仿宋_GB2312"/>
                <w:b w:val="0"/>
                <w:bCs w:val="0"/>
                <w:color w:val="auto"/>
                <w:sz w:val="24"/>
                <w:szCs w:val="24"/>
                <w:highlight w:val="none"/>
                <w:u w:val="none"/>
              </w:rPr>
            </w:pPr>
            <w:bookmarkStart w:id="54" w:name="_Toc1080869942"/>
            <w:bookmarkStart w:id="55" w:name="_Toc7847"/>
            <w:bookmarkStart w:id="56" w:name="_Toc335600443"/>
            <w:bookmarkStart w:id="57" w:name="_Toc1423438246"/>
            <w:bookmarkStart w:id="58" w:name="_Toc25409472"/>
            <w:r>
              <w:rPr>
                <w:rFonts w:hint="eastAsia" w:ascii="黑体" w:hAnsi="黑体" w:eastAsia="黑体" w:cs="黑体"/>
                <w:b w:val="0"/>
                <w:bCs w:val="0"/>
                <w:color w:val="auto"/>
                <w:sz w:val="24"/>
                <w:szCs w:val="24"/>
                <w:highlight w:val="none"/>
                <w:u w:val="none"/>
              </w:rPr>
              <w:t>专栏</w:t>
            </w:r>
            <w:r>
              <w:rPr>
                <w:rFonts w:hint="eastAsia" w:ascii="黑体" w:hAnsi="黑体" w:eastAsia="黑体" w:cs="黑体"/>
                <w:b w:val="0"/>
                <w:bCs w:val="0"/>
                <w:color w:val="auto"/>
                <w:sz w:val="24"/>
                <w:szCs w:val="24"/>
                <w:highlight w:val="none"/>
                <w:u w:val="none"/>
                <w:lang w:val="en-US" w:eastAsia="zh-CN"/>
              </w:rPr>
              <w:t>2</w:t>
            </w:r>
            <w:r>
              <w:rPr>
                <w:rFonts w:hint="eastAsia" w:ascii="黑体" w:hAnsi="黑体" w:eastAsia="黑体" w:cs="黑体"/>
                <w:b w:val="0"/>
                <w:bCs w:val="0"/>
                <w:color w:val="auto"/>
                <w:sz w:val="24"/>
                <w:szCs w:val="24"/>
                <w:highlight w:val="none"/>
                <w:u w:val="none"/>
              </w:rPr>
              <w:t xml:space="preserve"> </w:t>
            </w:r>
            <w:r>
              <w:rPr>
                <w:rFonts w:hint="eastAsia" w:ascii="黑体" w:hAnsi="黑体" w:eastAsia="黑体" w:cs="黑体"/>
                <w:b w:val="0"/>
                <w:bCs w:val="0"/>
                <w:color w:val="auto"/>
                <w:sz w:val="24"/>
                <w:szCs w:val="24"/>
                <w:highlight w:val="none"/>
                <w:u w:val="none"/>
                <w:lang w:val="en-US" w:eastAsia="zh-CN"/>
              </w:rPr>
              <w:t>医疗服务体系质量</w:t>
            </w:r>
            <w:r>
              <w:rPr>
                <w:rFonts w:hint="eastAsia" w:ascii="黑体" w:hAnsi="黑体" w:eastAsia="黑体" w:cs="黑体"/>
                <w:b w:val="0"/>
                <w:bCs w:val="0"/>
                <w:color w:val="auto"/>
                <w:sz w:val="24"/>
                <w:szCs w:val="24"/>
                <w:highlight w:val="none"/>
                <w:u w:val="none"/>
              </w:rPr>
              <w:t>提升</w:t>
            </w:r>
            <w:bookmarkEnd w:id="54"/>
            <w:r>
              <w:rPr>
                <w:rFonts w:hint="eastAsia" w:ascii="黑体" w:hAnsi="黑体" w:eastAsia="黑体" w:cs="黑体"/>
                <w:b w:val="0"/>
                <w:bCs w:val="0"/>
                <w:color w:val="auto"/>
                <w:sz w:val="24"/>
                <w:szCs w:val="24"/>
                <w:highlight w:val="none"/>
                <w:u w:val="none"/>
              </w:rPr>
              <w:t>工程</w:t>
            </w:r>
            <w:bookmarkEnd w:id="55"/>
            <w:bookmarkEnd w:id="56"/>
            <w:bookmarkEnd w:id="57"/>
            <w:bookmarkEnd w:id="58"/>
          </w:p>
        </w:tc>
      </w:tr>
      <w:tr w14:paraId="0F2F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880" w:type="dxa"/>
            <w:noWrap w:val="0"/>
            <w:vAlign w:val="center"/>
          </w:tcPr>
          <w:p w14:paraId="1044E411">
            <w:pPr>
              <w:pStyle w:val="7"/>
              <w:spacing w:after="0" w:line="240" w:lineRule="auto"/>
              <w:ind w:firstLine="480" w:firstLineChars="200"/>
              <w:rPr>
                <w:rFonts w:hint="eastAsia" w:ascii="楷体_GB2312" w:hAnsi="楷体_GB2312" w:eastAsia="楷体_GB2312" w:cs="楷体_GB2312"/>
                <w:b w:val="0"/>
                <w:bCs w:val="0"/>
                <w:color w:val="auto"/>
                <w:sz w:val="24"/>
                <w:highlight w:val="none"/>
              </w:rPr>
            </w:pPr>
            <w:r>
              <w:rPr>
                <w:rFonts w:hint="eastAsia" w:ascii="楷体_GB2312" w:hAnsi="楷体_GB2312" w:eastAsia="楷体_GB2312" w:cs="楷体_GB2312"/>
                <w:b w:val="0"/>
                <w:bCs w:val="0"/>
                <w:color w:val="auto"/>
                <w:sz w:val="24"/>
                <w:highlight w:val="none"/>
              </w:rPr>
              <w:t>促进医疗服务提质规范。</w:t>
            </w:r>
            <w:r>
              <w:rPr>
                <w:rFonts w:hint="eastAsia" w:asciiTheme="minorEastAsia" w:hAnsiTheme="minorEastAsia" w:eastAsiaTheme="minorEastAsia" w:cstheme="minorEastAsia"/>
                <w:b w:val="0"/>
                <w:bCs w:val="0"/>
                <w:color w:val="auto"/>
                <w:sz w:val="24"/>
                <w:highlight w:val="none"/>
              </w:rPr>
              <w:t>继续开展“医疗质量安全和患者信息规范管理专项整治”。聚焦门急诊和住院流程问题，强化就医秩序精细化管理。发展互联网医疗、移动诊疗和远程会诊服务，支持“互联网+”护理服务。优化在线诊疗、长期处方、医保移动支付、电子票据、送药到家、出入院一站式办理等服务。深化源头治理未诉先办，规范“一院一线一站”建设。</w:t>
            </w:r>
          </w:p>
          <w:p w14:paraId="606E3400">
            <w:pPr>
              <w:pStyle w:val="7"/>
              <w:spacing w:after="0" w:line="240" w:lineRule="auto"/>
              <w:ind w:firstLine="480" w:firstLineChars="200"/>
              <w:rPr>
                <w:rFonts w:hint="eastAsia" w:ascii="楷体_GB2312" w:hAnsi="楷体_GB2312" w:eastAsia="楷体_GB2312" w:cs="楷体_GB2312"/>
                <w:color w:val="auto"/>
                <w:sz w:val="24"/>
                <w:highlight w:val="none"/>
                <w:lang w:val="en-US" w:eastAsia="zh-CN"/>
              </w:rPr>
            </w:pPr>
            <w:r>
              <w:rPr>
                <w:rFonts w:hint="eastAsia" w:ascii="楷体_GB2312" w:hAnsi="楷体_GB2312" w:eastAsia="楷体_GB2312" w:cs="楷体_GB2312"/>
                <w:b w:val="0"/>
                <w:bCs w:val="0"/>
                <w:color w:val="auto"/>
                <w:sz w:val="24"/>
                <w:highlight w:val="none"/>
              </w:rPr>
              <w:t>优化中医药服务体系。</w:t>
            </w:r>
            <w:r>
              <w:rPr>
                <w:rFonts w:hint="eastAsia" w:asciiTheme="minorEastAsia" w:hAnsiTheme="minorEastAsia" w:eastAsiaTheme="minorEastAsia" w:cstheme="minorEastAsia"/>
                <w:color w:val="auto"/>
                <w:sz w:val="24"/>
                <w:highlight w:val="none"/>
                <w:u w:val="none"/>
                <w:lang w:eastAsia="zh-CN"/>
              </w:rPr>
              <w:t>推动首都医科大学附属北京中医医院全面托管门头沟区中医医院</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u w:val="none"/>
                <w:lang w:eastAsia="zh-CN"/>
              </w:rPr>
              <w:t>打造“京西中医诊疗中心”。支持中医医院推进院内制剂研发，</w:t>
            </w:r>
            <w:r>
              <w:rPr>
                <w:rFonts w:hint="eastAsia" w:asciiTheme="minorEastAsia" w:hAnsiTheme="minorEastAsia" w:eastAsiaTheme="minorEastAsia" w:cstheme="minorEastAsia"/>
                <w:color w:val="auto"/>
                <w:sz w:val="24"/>
                <w:highlight w:val="none"/>
                <w:u w:val="none"/>
                <w:lang w:val="en-US" w:eastAsia="zh-CN"/>
              </w:rPr>
              <w:t>加</w:t>
            </w:r>
            <w:r>
              <w:rPr>
                <w:rFonts w:hint="eastAsia" w:asciiTheme="minorEastAsia" w:hAnsiTheme="minorEastAsia" w:eastAsiaTheme="minorEastAsia" w:cstheme="minorEastAsia"/>
                <w:color w:val="auto"/>
                <w:sz w:val="24"/>
                <w:highlight w:val="none"/>
                <w:u w:val="none"/>
                <w:lang w:eastAsia="zh-CN"/>
              </w:rPr>
              <w:t>大中医适宜技术推广，提升“骨伤、脑病、肛肠、内分泌”四大市级重点专科服务能力，推动“一主体多中心”建设。推动中医药服务有效融入基本公共卫生服务。</w:t>
            </w:r>
            <w:r>
              <w:rPr>
                <w:rFonts w:hint="eastAsia" w:asciiTheme="minorEastAsia" w:hAnsiTheme="minorEastAsia" w:eastAsiaTheme="minorEastAsia" w:cstheme="minorEastAsia"/>
                <w:color w:val="auto"/>
                <w:sz w:val="24"/>
                <w:highlight w:val="none"/>
                <w:u w:val="none"/>
                <w:lang w:val="en-US" w:eastAsia="zh-CN"/>
              </w:rPr>
              <w:t>探索中医药治未病服务体系。</w:t>
            </w:r>
          </w:p>
          <w:p w14:paraId="7BE64BD8">
            <w:pPr>
              <w:pStyle w:val="7"/>
              <w:spacing w:after="0" w:line="240" w:lineRule="auto"/>
              <w:ind w:firstLine="480" w:firstLineChars="200"/>
              <w:rPr>
                <w:rFonts w:hint="eastAsia" w:ascii="宋体" w:hAnsi="宋体" w:eastAsia="宋体" w:cs="宋体"/>
                <w:color w:val="auto"/>
                <w:sz w:val="24"/>
                <w:szCs w:val="24"/>
                <w:highlight w:val="none"/>
                <w:u w:val="none"/>
                <w:lang w:eastAsia="zh-CN"/>
              </w:rPr>
            </w:pPr>
            <w:r>
              <w:rPr>
                <w:rFonts w:hint="eastAsia" w:ascii="楷体_GB2312" w:hAnsi="楷体_GB2312" w:eastAsia="楷体_GB2312" w:cs="楷体_GB2312"/>
                <w:b w:val="0"/>
                <w:bCs w:val="0"/>
                <w:color w:val="auto"/>
                <w:sz w:val="24"/>
                <w:highlight w:val="none"/>
              </w:rPr>
              <w:t>提升儿科服务能力</w:t>
            </w:r>
            <w:r>
              <w:rPr>
                <w:rFonts w:hint="eastAsia" w:ascii="楷体_GB2312" w:hAnsi="楷体_GB2312" w:eastAsia="楷体_GB2312" w:cs="楷体_GB2312"/>
                <w:b w:val="0"/>
                <w:bCs w:val="0"/>
                <w:color w:val="auto"/>
                <w:sz w:val="24"/>
                <w:highlight w:val="none"/>
                <w:lang w:eastAsia="zh-CN"/>
              </w:rPr>
              <w:t>。</w:t>
            </w:r>
            <w:r>
              <w:rPr>
                <w:rFonts w:hint="eastAsia" w:ascii="宋体" w:hAnsi="宋体" w:eastAsia="宋体" w:cs="宋体"/>
                <w:color w:val="auto"/>
                <w:sz w:val="24"/>
                <w:highlight w:val="none"/>
                <w:u w:val="none"/>
                <w:lang w:eastAsia="zh-CN"/>
              </w:rPr>
              <w:t>推动</w:t>
            </w:r>
            <w:r>
              <w:rPr>
                <w:rFonts w:hint="eastAsia" w:ascii="宋体" w:hAnsi="宋体" w:eastAsia="宋体" w:cs="宋体"/>
                <w:color w:val="auto"/>
                <w:sz w:val="24"/>
                <w:highlight w:val="none"/>
                <w:u w:val="none"/>
              </w:rPr>
              <w:t>首都儿科研究所首都医科大学附属首都儿童医学中心</w:t>
            </w:r>
            <w:r>
              <w:rPr>
                <w:rFonts w:hint="eastAsia" w:ascii="宋体" w:hAnsi="宋体" w:eastAsia="宋体" w:cs="宋体"/>
                <w:color w:val="auto"/>
                <w:sz w:val="24"/>
                <w:highlight w:val="none"/>
                <w:u w:val="none"/>
                <w:lang w:eastAsia="zh-CN"/>
              </w:rPr>
              <w:t>与妇幼保健院开展深度合作共建，</w:t>
            </w:r>
            <w:r>
              <w:rPr>
                <w:rFonts w:hint="eastAsia" w:ascii="宋体" w:hAnsi="宋体" w:eastAsia="宋体" w:cs="宋体"/>
                <w:color w:val="auto"/>
                <w:sz w:val="24"/>
                <w:highlight w:val="none"/>
                <w:u w:val="none"/>
              </w:rPr>
              <w:t>全力打造辐射京西地区的高品质“京西儿童</w:t>
            </w:r>
            <w:r>
              <w:rPr>
                <w:rFonts w:hint="eastAsia" w:ascii="宋体" w:hAnsi="宋体" w:eastAsia="宋体" w:cs="宋体"/>
                <w:color w:val="auto"/>
                <w:sz w:val="24"/>
                <w:highlight w:val="none"/>
                <w:u w:val="none"/>
                <w:lang w:val="en-US" w:eastAsia="zh-CN"/>
              </w:rPr>
              <w:t>诊疗</w:t>
            </w:r>
            <w:r>
              <w:rPr>
                <w:rFonts w:hint="eastAsia" w:ascii="宋体" w:hAnsi="宋体" w:eastAsia="宋体" w:cs="宋体"/>
                <w:color w:val="auto"/>
                <w:sz w:val="24"/>
                <w:highlight w:val="none"/>
                <w:u w:val="none"/>
              </w:rPr>
              <w:t>中心”。持续做实做强区域儿科医疗联合体，畅通双向转诊、技术帮扶、人才交流通道，推动儿科资源下沉，支持社会力量在资源薄弱的镇街布局建设儿童专科</w:t>
            </w:r>
            <w:r>
              <w:rPr>
                <w:rFonts w:hint="eastAsia" w:ascii="宋体" w:hAnsi="宋体" w:eastAsia="宋体" w:cs="宋体"/>
                <w:color w:val="auto"/>
                <w:sz w:val="24"/>
                <w:highlight w:val="none"/>
                <w:u w:val="none"/>
                <w:lang w:val="en-US" w:eastAsia="zh-CN"/>
              </w:rPr>
              <w:t>医疗机构</w:t>
            </w:r>
            <w:r>
              <w:rPr>
                <w:rFonts w:hint="eastAsia" w:ascii="宋体" w:hAnsi="宋体" w:eastAsia="宋体" w:cs="宋体"/>
                <w:color w:val="auto"/>
                <w:sz w:val="24"/>
                <w:highlight w:val="none"/>
                <w:u w:val="none"/>
              </w:rPr>
              <w:t>。</w:t>
            </w:r>
            <w:r>
              <w:rPr>
                <w:rFonts w:hint="eastAsia" w:ascii="宋体" w:hAnsi="宋体" w:eastAsia="宋体" w:cs="宋体"/>
                <w:color w:val="auto"/>
                <w:sz w:val="24"/>
                <w:highlight w:val="none"/>
                <w:u w:val="none"/>
                <w:lang w:val="en-US" w:eastAsia="zh-CN"/>
              </w:rPr>
              <w:t>力争</w:t>
            </w:r>
            <w:r>
              <w:rPr>
                <w:rFonts w:hint="eastAsia" w:ascii="宋体" w:hAnsi="宋体" w:eastAsia="宋体" w:cs="宋体"/>
                <w:color w:val="auto"/>
                <w:sz w:val="24"/>
                <w:highlight w:val="none"/>
                <w:u w:val="none"/>
              </w:rPr>
              <w:t>到2030年，实现每千名儿童</w:t>
            </w:r>
            <w:r>
              <w:rPr>
                <w:rFonts w:hint="eastAsia" w:ascii="宋体" w:hAnsi="宋体" w:eastAsia="宋体" w:cs="宋体"/>
                <w:color w:val="auto"/>
                <w:sz w:val="24"/>
                <w:highlight w:val="none"/>
                <w:u w:val="none"/>
                <w:lang w:val="en-US" w:eastAsia="zh-CN"/>
              </w:rPr>
              <w:t>医疗机构</w:t>
            </w:r>
            <w:r>
              <w:rPr>
                <w:rFonts w:hint="eastAsia" w:ascii="宋体" w:hAnsi="宋体" w:eastAsia="宋体" w:cs="宋体"/>
                <w:color w:val="auto"/>
                <w:sz w:val="24"/>
                <w:highlight w:val="none"/>
                <w:u w:val="none"/>
              </w:rPr>
              <w:t>床位数3.17张。</w:t>
            </w:r>
          </w:p>
          <w:p w14:paraId="2FB1AA05">
            <w:pPr>
              <w:spacing w:line="240" w:lineRule="auto"/>
              <w:ind w:firstLine="480" w:firstLineChars="200"/>
              <w:rPr>
                <w:rFonts w:hint="eastAsia"/>
                <w:color w:val="auto"/>
                <w:szCs w:val="32"/>
                <w:highlight w:val="none"/>
                <w:lang w:eastAsia="zh-CN"/>
              </w:rPr>
            </w:pPr>
            <w:r>
              <w:rPr>
                <w:rFonts w:hint="eastAsia" w:ascii="楷体_GB2312" w:hAnsi="楷体_GB2312" w:eastAsia="楷体_GB2312" w:cs="楷体_GB2312"/>
                <w:b w:val="0"/>
                <w:bCs w:val="0"/>
                <w:color w:val="auto"/>
                <w:sz w:val="24"/>
                <w:szCs w:val="24"/>
                <w:highlight w:val="none"/>
                <w:shd w:val="clear"/>
                <w:lang w:eastAsia="zh-CN"/>
              </w:rPr>
              <w:t>持续</w:t>
            </w:r>
            <w:r>
              <w:rPr>
                <w:rFonts w:hint="eastAsia" w:ascii="楷体_GB2312" w:hAnsi="楷体_GB2312" w:eastAsia="楷体_GB2312" w:cs="楷体_GB2312"/>
                <w:b w:val="0"/>
                <w:bCs w:val="0"/>
                <w:color w:val="auto"/>
                <w:sz w:val="24"/>
                <w:szCs w:val="24"/>
                <w:highlight w:val="none"/>
                <w:shd w:val="clear"/>
              </w:rPr>
              <w:t>深化医养结合</w:t>
            </w:r>
            <w:r>
              <w:rPr>
                <w:rFonts w:hint="eastAsia" w:ascii="楷体_GB2312" w:hAnsi="楷体_GB2312" w:eastAsia="楷体_GB2312" w:cs="楷体_GB2312"/>
                <w:b w:val="0"/>
                <w:bCs w:val="0"/>
                <w:color w:val="auto"/>
                <w:sz w:val="24"/>
                <w:szCs w:val="24"/>
                <w:highlight w:val="none"/>
                <w:shd w:val="clear"/>
                <w:lang w:eastAsia="zh-CN"/>
              </w:rPr>
              <w:t>服务。</w:t>
            </w:r>
            <w:r>
              <w:rPr>
                <w:rFonts w:hint="eastAsia" w:ascii="宋体" w:hAnsi="宋体" w:eastAsia="宋体" w:cs="宋体"/>
                <w:color w:val="auto"/>
                <w:sz w:val="24"/>
                <w:szCs w:val="24"/>
                <w:highlight w:val="none"/>
                <w:u w:val="none"/>
                <w:shd w:val="clear"/>
              </w:rPr>
              <w:t>统筹全区医疗机构与养老机构资源，合理增设综合医院老年医学科、专业护理院、康复疗养机构、安宁疗护服务机构，构建全周期健康服务体系。</w:t>
            </w:r>
            <w:r>
              <w:rPr>
                <w:rFonts w:hint="eastAsia" w:ascii="宋体" w:hAnsi="宋体" w:eastAsia="宋体" w:cs="宋体"/>
                <w:color w:val="auto"/>
                <w:sz w:val="24"/>
                <w:szCs w:val="24"/>
                <w:highlight w:val="none"/>
                <w:u w:val="none"/>
              </w:rPr>
              <w:t>持续深化医院免陪照护服务试点建设，</w:t>
            </w:r>
            <w:r>
              <w:rPr>
                <w:rFonts w:hint="eastAsia" w:ascii="宋体" w:hAnsi="宋体" w:eastAsia="宋体" w:cs="宋体"/>
                <w:color w:val="auto"/>
                <w:sz w:val="24"/>
                <w:szCs w:val="24"/>
                <w:highlight w:val="none"/>
                <w:u w:val="none"/>
                <w:lang w:eastAsia="zh-CN"/>
              </w:rPr>
              <w:t>推动家庭病床与家庭养老照护床位有效衔接，</w:t>
            </w:r>
            <w:r>
              <w:rPr>
                <w:rFonts w:hint="eastAsia" w:ascii="宋体" w:hAnsi="宋体" w:eastAsia="宋体" w:cs="宋体"/>
                <w:color w:val="auto"/>
                <w:sz w:val="24"/>
                <w:szCs w:val="24"/>
                <w:highlight w:val="none"/>
                <w:u w:val="none"/>
              </w:rPr>
              <w:t>大力发展</w:t>
            </w:r>
            <w:r>
              <w:rPr>
                <w:rFonts w:hint="eastAsia" w:ascii="宋体" w:hAnsi="宋体" w:eastAsia="宋体" w:cs="宋体"/>
                <w:color w:val="auto"/>
                <w:sz w:val="24"/>
                <w:szCs w:val="24"/>
                <w:highlight w:val="none"/>
                <w:u w:val="none"/>
                <w:lang w:val="en-US" w:eastAsia="zh-CN"/>
              </w:rPr>
              <w:t>居家医疗健康服务</w:t>
            </w:r>
            <w:r>
              <w:rPr>
                <w:rFonts w:hint="eastAsia" w:ascii="宋体" w:hAnsi="宋体" w:eastAsia="宋体" w:cs="宋体"/>
                <w:color w:val="auto"/>
                <w:sz w:val="24"/>
                <w:szCs w:val="24"/>
                <w:highlight w:val="none"/>
                <w:u w:val="none"/>
              </w:rPr>
              <w:t>。</w:t>
            </w:r>
          </w:p>
          <w:p w14:paraId="25B1DFA5">
            <w:pPr>
              <w:spacing w:line="240" w:lineRule="auto"/>
              <w:ind w:firstLine="480" w:firstLineChars="200"/>
              <w:rPr>
                <w:rFonts w:hint="eastAsia" w:ascii="宋体" w:hAnsi="宋体" w:eastAsia="宋体" w:cs="宋体"/>
                <w:b w:val="0"/>
                <w:bCs w:val="0"/>
                <w:color w:val="auto"/>
                <w:sz w:val="24"/>
                <w:szCs w:val="24"/>
                <w:highlight w:val="none"/>
                <w:u w:val="none"/>
              </w:rPr>
            </w:pPr>
            <w:r>
              <w:rPr>
                <w:rFonts w:hint="eastAsia" w:ascii="楷体_GB2312" w:hAnsi="楷体_GB2312" w:eastAsia="楷体_GB2312" w:cs="楷体_GB2312"/>
                <w:b w:val="0"/>
                <w:bCs w:val="0"/>
                <w:color w:val="auto"/>
                <w:sz w:val="24"/>
                <w:szCs w:val="24"/>
                <w:highlight w:val="none"/>
              </w:rPr>
              <w:t>完善康复护理服务网络。</w:t>
            </w:r>
            <w:r>
              <w:rPr>
                <w:rFonts w:hint="eastAsia" w:ascii="宋体" w:hAnsi="宋体" w:eastAsia="宋体" w:cs="宋体"/>
                <w:color w:val="auto"/>
                <w:sz w:val="24"/>
                <w:szCs w:val="24"/>
                <w:highlight w:val="none"/>
                <w:u w:val="none"/>
              </w:rPr>
              <w:t>构建全域康复护理服务体系。持续推进公立医疗机构康复医学</w:t>
            </w:r>
            <w:r>
              <w:rPr>
                <w:rFonts w:hint="eastAsia" w:ascii="宋体" w:hAnsi="宋体" w:eastAsia="宋体" w:cs="宋体"/>
                <w:color w:val="auto"/>
                <w:sz w:val="24"/>
                <w:szCs w:val="24"/>
                <w:highlight w:val="none"/>
                <w:u w:val="none"/>
                <w:lang w:val="en-US" w:eastAsia="zh-CN"/>
              </w:rPr>
              <w:t>科</w:t>
            </w:r>
            <w:r>
              <w:rPr>
                <w:rFonts w:hint="eastAsia" w:ascii="宋体" w:hAnsi="宋体" w:eastAsia="宋体" w:cs="宋体"/>
                <w:color w:val="auto"/>
                <w:sz w:val="24"/>
                <w:szCs w:val="24"/>
                <w:highlight w:val="none"/>
                <w:u w:val="none"/>
              </w:rPr>
              <w:t>标准化建设，提升专科康复诊疗能力。</w:t>
            </w:r>
            <w:r>
              <w:rPr>
                <w:rFonts w:hint="eastAsia" w:ascii="宋体" w:hAnsi="宋体" w:eastAsia="宋体" w:cs="宋体"/>
                <w:color w:val="auto"/>
                <w:sz w:val="24"/>
                <w:szCs w:val="24"/>
                <w:highlight w:val="none"/>
                <w:u w:val="none"/>
                <w:lang w:val="en-US" w:eastAsia="zh-CN"/>
              </w:rPr>
              <w:t>逐步</w:t>
            </w:r>
            <w:r>
              <w:rPr>
                <w:rFonts w:hint="eastAsia" w:ascii="宋体" w:hAnsi="宋体" w:eastAsia="宋体" w:cs="宋体"/>
                <w:color w:val="auto"/>
                <w:sz w:val="24"/>
                <w:szCs w:val="24"/>
                <w:highlight w:val="none"/>
                <w:u w:val="none"/>
              </w:rPr>
              <w:t>实现辖区所有社区卫生服务中心全面提供基础康复、护理服务，打通服务“最后一公里”。聚焦骨科康复、老年</w:t>
            </w:r>
            <w:r>
              <w:rPr>
                <w:rFonts w:hint="eastAsia" w:ascii="宋体" w:hAnsi="宋体" w:eastAsia="宋体" w:cs="宋体"/>
                <w:color w:val="auto"/>
                <w:sz w:val="24"/>
                <w:szCs w:val="24"/>
                <w:highlight w:val="none"/>
                <w:u w:val="none"/>
                <w:lang w:eastAsia="zh-CN"/>
              </w:rPr>
              <w:t>慢性病</w:t>
            </w:r>
            <w:r>
              <w:rPr>
                <w:rFonts w:hint="eastAsia" w:ascii="宋体" w:hAnsi="宋体" w:eastAsia="宋体" w:cs="宋体"/>
                <w:color w:val="auto"/>
                <w:sz w:val="24"/>
                <w:szCs w:val="24"/>
                <w:highlight w:val="none"/>
                <w:u w:val="none"/>
              </w:rPr>
              <w:t>康复、神经康复、术后康复等关键技术，对接市级优质医疗资源开展下沉指导、技术帮扶。</w:t>
            </w:r>
          </w:p>
          <w:p w14:paraId="2FD72B68">
            <w:pPr>
              <w:pStyle w:val="7"/>
              <w:spacing w:after="0" w:line="240" w:lineRule="auto"/>
              <w:ind w:firstLine="480" w:firstLineChars="200"/>
              <w:rPr>
                <w:rFonts w:hint="eastAsia" w:ascii="宋体" w:hAnsi="宋体" w:eastAsia="宋体" w:cs="宋体"/>
                <w:color w:val="auto"/>
                <w:sz w:val="24"/>
                <w:szCs w:val="24"/>
                <w:highlight w:val="none"/>
                <w:u w:val="none"/>
              </w:rPr>
            </w:pPr>
            <w:r>
              <w:rPr>
                <w:rFonts w:hint="eastAsia" w:ascii="楷体_GB2312" w:hAnsi="楷体_GB2312" w:eastAsia="楷体_GB2312" w:cs="楷体_GB2312"/>
                <w:b w:val="0"/>
                <w:bCs w:val="0"/>
                <w:color w:val="auto"/>
                <w:sz w:val="24"/>
                <w:highlight w:val="none"/>
              </w:rPr>
              <w:t>协同机制保障运行。</w:t>
            </w:r>
            <w:r>
              <w:rPr>
                <w:rFonts w:hint="eastAsia" w:ascii="宋体" w:hAnsi="宋体" w:eastAsia="宋体" w:cs="宋体"/>
                <w:color w:val="auto"/>
                <w:sz w:val="24"/>
                <w:szCs w:val="24"/>
                <w:highlight w:val="none"/>
                <w:u w:val="none"/>
              </w:rPr>
              <w:t>健全</w:t>
            </w:r>
            <w:r>
              <w:rPr>
                <w:rFonts w:hint="eastAsia" w:ascii="宋体" w:hAnsi="宋体" w:eastAsia="宋体" w:cs="宋体"/>
                <w:color w:val="auto"/>
                <w:sz w:val="24"/>
                <w:szCs w:val="24"/>
                <w:highlight w:val="none"/>
                <w:u w:val="none"/>
                <w:lang w:val="en-US"/>
              </w:rPr>
              <w:t>医保、医疗、医药</w:t>
            </w:r>
            <w:r>
              <w:rPr>
                <w:rFonts w:hint="eastAsia" w:ascii="宋体" w:hAnsi="宋体" w:eastAsia="宋体" w:cs="宋体"/>
                <w:color w:val="auto"/>
                <w:sz w:val="24"/>
                <w:szCs w:val="24"/>
                <w:highlight w:val="none"/>
                <w:u w:val="none"/>
              </w:rPr>
              <w:t>协同治理机制，强化对医疗行为的全程监管与医保基金的使用监控。建立“事前提醒、事中审核、事后评价”全链条审核管理模式。落实行政执法“三项制度”，推进医疗机构依法执业自查。运用人工智能、大数据等技术手段，力争到2027年底实现非现场检查量占比超过80%。</w:t>
            </w:r>
          </w:p>
          <w:p w14:paraId="1A721111">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480" w:firstLineChars="200"/>
              <w:jc w:val="both"/>
              <w:textAlignment w:val="auto"/>
              <w:outlineLvl w:val="9"/>
              <w:rPr>
                <w:rFonts w:hint="eastAsia" w:ascii="宋体" w:hAnsi="宋体" w:eastAsia="宋体" w:cs="宋体"/>
                <w:b w:val="0"/>
                <w:bCs w:val="0"/>
                <w:color w:val="auto"/>
                <w:sz w:val="24"/>
                <w:szCs w:val="24"/>
                <w:highlight w:val="none"/>
                <w:u w:val="none"/>
              </w:rPr>
            </w:pPr>
            <w:r>
              <w:rPr>
                <w:rFonts w:hint="eastAsia" w:ascii="楷体_GB2312" w:hAnsi="楷体_GB2312" w:eastAsia="楷体_GB2312" w:cs="楷体_GB2312"/>
                <w:b w:val="0"/>
                <w:bCs w:val="0"/>
                <w:color w:val="auto"/>
                <w:kern w:val="2"/>
                <w:sz w:val="24"/>
                <w:szCs w:val="24"/>
                <w:highlight w:val="none"/>
                <w:lang w:val="en-US" w:eastAsia="zh-CN" w:bidi="ar-SA"/>
              </w:rPr>
              <w:t>强化安全守住底线。</w:t>
            </w:r>
            <w:r>
              <w:rPr>
                <w:rFonts w:hint="eastAsia" w:ascii="宋体" w:hAnsi="宋体" w:eastAsia="宋体" w:cs="宋体"/>
                <w:color w:val="auto"/>
                <w:kern w:val="2"/>
                <w:sz w:val="24"/>
                <w:szCs w:val="24"/>
                <w:highlight w:val="none"/>
                <w:u w:val="none"/>
                <w:lang w:val="en-US" w:eastAsia="zh-CN" w:bidi="ar-SA"/>
              </w:rPr>
              <w:t>深入推进安全生产治本攻坚三年行动，持续坚持“五级督导检查”机制，完善风险分级管控制度。加强医院安全秩序管理，完善医院安防制度措施，强化警医联动。严格按照信访“三到位、一处理”精准分类处理群众信访诉求。</w:t>
            </w:r>
          </w:p>
        </w:tc>
      </w:tr>
    </w:tbl>
    <w:p w14:paraId="3B46E516">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0"/>
        <w:rPr>
          <w:rFonts w:hint="eastAsia" w:ascii="黑体" w:hAnsi="黑体" w:eastAsia="黑体" w:cs="黑体"/>
          <w:b w:val="0"/>
          <w:bCs w:val="0"/>
          <w:color w:val="auto"/>
          <w:kern w:val="2"/>
          <w:sz w:val="32"/>
          <w:szCs w:val="32"/>
          <w:highlight w:val="none"/>
          <w:u w:val="none"/>
          <w:lang w:val="en-US" w:eastAsia="zh-CN" w:bidi="ar-SA"/>
        </w:rPr>
      </w:pPr>
      <w:bookmarkStart w:id="59" w:name="_Toc25967"/>
      <w:bookmarkStart w:id="60" w:name="_Toc26797"/>
      <w:bookmarkStart w:id="61" w:name="_Toc19894"/>
      <w:bookmarkStart w:id="62" w:name="_Toc9545"/>
      <w:bookmarkStart w:id="63" w:name="_Toc5958"/>
      <w:r>
        <w:rPr>
          <w:rFonts w:hint="eastAsia" w:ascii="黑体" w:hAnsi="黑体" w:eastAsia="黑体" w:cs="黑体"/>
          <w:b w:val="0"/>
          <w:bCs w:val="0"/>
          <w:color w:val="auto"/>
          <w:kern w:val="2"/>
          <w:sz w:val="32"/>
          <w:szCs w:val="32"/>
          <w:highlight w:val="none"/>
          <w:u w:val="none"/>
          <w:lang w:val="en-US" w:eastAsia="zh-CN" w:bidi="ar-SA"/>
        </w:rPr>
        <w:t>四、实施城乡健康一体化改革行动</w:t>
      </w:r>
      <w:bookmarkEnd w:id="59"/>
      <w:r>
        <w:rPr>
          <w:rFonts w:hint="eastAsia" w:ascii="黑体" w:hAnsi="黑体" w:eastAsia="黑体" w:cs="黑体"/>
          <w:b w:val="0"/>
          <w:bCs w:val="0"/>
          <w:color w:val="auto"/>
          <w:kern w:val="2"/>
          <w:sz w:val="32"/>
          <w:szCs w:val="32"/>
          <w:highlight w:val="none"/>
          <w:u w:val="none"/>
          <w:lang w:val="en-US" w:eastAsia="zh-CN" w:bidi="ar-SA"/>
        </w:rPr>
        <w:t>，构建基层卫生健康服务新网底</w:t>
      </w:r>
      <w:bookmarkEnd w:id="60"/>
      <w:bookmarkEnd w:id="61"/>
      <w:bookmarkEnd w:id="62"/>
      <w:bookmarkEnd w:id="63"/>
    </w:p>
    <w:p w14:paraId="31BF6DBA">
      <w:pPr>
        <w:pStyle w:val="4"/>
        <w:ind w:firstLine="640" w:firstLineChars="200"/>
        <w:outlineLvl w:val="1"/>
        <w:rPr>
          <w:rFonts w:hint="default" w:ascii="宋体" w:hAnsi="宋体" w:eastAsia="楷体_GB2312" w:cs="Times New Roman"/>
          <w:bCs/>
          <w:kern w:val="0"/>
          <w:sz w:val="32"/>
          <w:szCs w:val="27"/>
          <w:highlight w:val="none"/>
          <w:lang w:val="en-US" w:eastAsia="zh-CN" w:bidi="ar-SA"/>
        </w:rPr>
      </w:pPr>
      <w:bookmarkStart w:id="64" w:name="_Toc31324"/>
      <w:bookmarkStart w:id="65" w:name="_Toc8410"/>
      <w:bookmarkStart w:id="66" w:name="_Toc24594"/>
      <w:bookmarkStart w:id="67" w:name="_Toc4546"/>
      <w:bookmarkStart w:id="68" w:name="_Toc30541"/>
      <w:r>
        <w:rPr>
          <w:rFonts w:hint="eastAsia" w:ascii="宋体" w:hAnsi="宋体" w:eastAsia="楷体_GB2312" w:cs="Times New Roman"/>
          <w:bCs/>
          <w:kern w:val="0"/>
          <w:sz w:val="32"/>
          <w:szCs w:val="27"/>
          <w:highlight w:val="none"/>
          <w:lang w:val="en-US" w:eastAsia="zh-CN" w:bidi="ar-SA"/>
        </w:rPr>
        <w:t>（六）优化基层医疗卫生资源布局</w:t>
      </w:r>
      <w:bookmarkEnd w:id="64"/>
      <w:bookmarkEnd w:id="65"/>
      <w:bookmarkEnd w:id="66"/>
      <w:bookmarkEnd w:id="67"/>
      <w:bookmarkEnd w:id="68"/>
    </w:p>
    <w:p w14:paraId="3BD64617">
      <w:pPr>
        <w:pStyle w:val="7"/>
        <w:spacing w:after="0" w:line="560" w:lineRule="exact"/>
        <w:ind w:firstLine="640" w:firstLineChars="200"/>
        <w:rPr>
          <w:rFonts w:ascii="仿宋_GB2312" w:hAnsi="仿宋_GB2312" w:cs="仿宋_GB2312"/>
          <w:color w:val="auto"/>
          <w:szCs w:val="32"/>
          <w:highlight w:val="none"/>
        </w:rPr>
      </w:pPr>
      <w:bookmarkStart w:id="69" w:name="_Toc1137977308"/>
      <w:bookmarkStart w:id="70" w:name="_Toc591278225"/>
      <w:bookmarkStart w:id="71" w:name="_Toc1397712275"/>
      <w:bookmarkStart w:id="72" w:name="_Toc1508763591"/>
      <w:bookmarkStart w:id="73" w:name="_Toc1928925681"/>
      <w:r>
        <w:rPr>
          <w:rFonts w:hint="eastAsia" w:ascii="仿宋_GB2312" w:hAnsi="仿宋_GB2312" w:cs="仿宋_GB2312"/>
          <w:color w:val="auto"/>
          <w:szCs w:val="32"/>
          <w:highlight w:val="none"/>
        </w:rPr>
        <w:t>推动落实</w:t>
      </w:r>
      <w:r>
        <w:rPr>
          <w:rFonts w:ascii="仿宋_GB2312" w:hAnsi="仿宋_GB2312" w:cs="仿宋_GB2312"/>
          <w:color w:val="auto"/>
          <w:szCs w:val="32"/>
          <w:highlight w:val="none"/>
        </w:rPr>
        <w:t>《门头沟区社区卫生服务机构、村卫生室设置优化方案》</w:t>
      </w:r>
      <w:r>
        <w:rPr>
          <w:rFonts w:hint="eastAsia" w:ascii="仿宋_GB2312" w:hAnsi="仿宋_GB2312" w:cs="仿宋_GB2312"/>
          <w:color w:val="auto"/>
          <w:szCs w:val="32"/>
          <w:highlight w:val="none"/>
        </w:rPr>
        <w:t>，设置石门营社区卫生服务中心，鼓励社会办医院转型成为社区卫生服务中心</w:t>
      </w:r>
      <w:r>
        <w:rPr>
          <w:rFonts w:hint="eastAsia" w:ascii="仿宋_GB2312" w:hAnsi="仿宋_GB2312" w:cs="仿宋_GB2312"/>
          <w:color w:val="auto"/>
          <w:szCs w:val="32"/>
          <w:highlight w:val="none"/>
          <w:lang w:eastAsia="zh-CN"/>
        </w:rPr>
        <w:t>，支持京煤集团总医院</w:t>
      </w:r>
      <w:r>
        <w:rPr>
          <w:rFonts w:hint="eastAsia" w:ascii="仿宋_GB2312" w:hAnsi="仿宋_GB2312" w:cs="仿宋_GB2312"/>
          <w:color w:val="auto"/>
          <w:szCs w:val="32"/>
          <w:highlight w:val="none"/>
        </w:rPr>
        <w:t>拓展社区卫生服务中心（站）业务，力争到2028年实现实体化社区卫生服务中心镇街全覆盖</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用好现有医疗卫生配套用房，增设</w:t>
      </w:r>
      <w:r>
        <w:rPr>
          <w:rFonts w:hint="eastAsia" w:ascii="仿宋_GB2312" w:hAnsi="仿宋_GB2312" w:cs="仿宋_GB2312"/>
          <w:color w:val="auto"/>
          <w:szCs w:val="32"/>
          <w:highlight w:val="none"/>
          <w:lang w:val="en-US" w:eastAsia="zh-CN"/>
        </w:rPr>
        <w:t>至少10个</w:t>
      </w:r>
      <w:r>
        <w:rPr>
          <w:rFonts w:hint="eastAsia" w:ascii="仿宋_GB2312" w:hAnsi="仿宋_GB2312" w:cs="仿宋_GB2312"/>
          <w:color w:val="auto"/>
          <w:szCs w:val="32"/>
          <w:highlight w:val="none"/>
        </w:rPr>
        <w:t>社区卫生服务站，进一步织密基层医疗卫生服务网络。</w:t>
      </w:r>
      <w:r>
        <w:rPr>
          <w:rFonts w:ascii="仿宋_GB2312" w:hAnsi="仿宋_GB2312" w:cs="仿宋_GB2312"/>
          <w:color w:val="auto"/>
          <w:szCs w:val="32"/>
          <w:highlight w:val="none"/>
        </w:rPr>
        <w:t>作为政府办医的补充，</w:t>
      </w:r>
      <w:r>
        <w:rPr>
          <w:rFonts w:hint="eastAsia" w:ascii="仿宋_GB2312" w:hAnsi="仿宋_GB2312" w:cs="仿宋_GB2312"/>
          <w:color w:val="auto"/>
          <w:szCs w:val="32"/>
          <w:highlight w:val="none"/>
        </w:rPr>
        <w:t>落实</w:t>
      </w:r>
      <w:r>
        <w:rPr>
          <w:rFonts w:ascii="仿宋_GB2312" w:hAnsi="仿宋_GB2312" w:cs="仿宋_GB2312"/>
          <w:color w:val="auto"/>
          <w:szCs w:val="32"/>
          <w:highlight w:val="none"/>
        </w:rPr>
        <w:t>《门头沟区社会力量举办社区卫生服务机构试点管理办法》</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与属地联动提升村卫生室标准化水平，深入</w:t>
      </w:r>
      <w:r>
        <w:rPr>
          <w:rFonts w:ascii="仿宋_GB2312" w:hAnsi="仿宋_GB2312" w:cs="仿宋_GB2312"/>
          <w:color w:val="auto"/>
          <w:szCs w:val="32"/>
          <w:highlight w:val="none"/>
        </w:rPr>
        <w:t>推进村卫生室与</w:t>
      </w:r>
      <w:r>
        <w:rPr>
          <w:rFonts w:hint="eastAsia" w:ascii="仿宋_GB2312" w:hAnsi="仿宋_GB2312" w:cs="仿宋_GB2312"/>
          <w:color w:val="auto"/>
          <w:szCs w:val="32"/>
          <w:highlight w:val="none"/>
        </w:rPr>
        <w:t>社区</w:t>
      </w:r>
      <w:r>
        <w:rPr>
          <w:rFonts w:ascii="仿宋_GB2312" w:hAnsi="仿宋_GB2312" w:cs="仿宋_GB2312"/>
          <w:color w:val="auto"/>
          <w:szCs w:val="32"/>
          <w:highlight w:val="none"/>
        </w:rPr>
        <w:t>卫生服务中心的一体化管理，通过“六个统一”</w:t>
      </w:r>
      <w:r>
        <w:rPr>
          <w:rFonts w:hint="eastAsia" w:ascii="仿宋_GB2312" w:hAnsi="仿宋_GB2312" w:cs="仿宋_GB2312"/>
          <w:color w:val="auto"/>
          <w:szCs w:val="32"/>
          <w:highlight w:val="none"/>
        </w:rPr>
        <w:t>提</w:t>
      </w:r>
      <w:r>
        <w:rPr>
          <w:rFonts w:ascii="仿宋_GB2312" w:hAnsi="仿宋_GB2312" w:cs="仿宋_GB2312"/>
          <w:color w:val="auto"/>
          <w:szCs w:val="32"/>
          <w:highlight w:val="none"/>
        </w:rPr>
        <w:t>升村级医疗卫生服务规范化水平</w:t>
      </w:r>
      <w:r>
        <w:rPr>
          <w:rFonts w:hint="eastAsia" w:ascii="仿宋_GB2312" w:hAnsi="仿宋_GB2312" w:cs="仿宋_GB2312"/>
          <w:color w:val="auto"/>
          <w:szCs w:val="32"/>
          <w:highlight w:val="none"/>
        </w:rPr>
        <w:t>，</w:t>
      </w:r>
      <w:r>
        <w:rPr>
          <w:rFonts w:ascii="仿宋_GB2312" w:hAnsi="仿宋_GB2312" w:cs="仿宋_GB2312"/>
          <w:color w:val="auto"/>
          <w:szCs w:val="32"/>
          <w:highlight w:val="none"/>
        </w:rPr>
        <w:t>通过“六个一批”以“院管村用”模式保障村级医疗卫生人员配置到位</w:t>
      </w:r>
      <w:r>
        <w:rPr>
          <w:rFonts w:hint="eastAsia" w:ascii="仿宋_GB2312" w:hAnsi="仿宋_GB2312" w:cs="仿宋_GB2312"/>
          <w:color w:val="auto"/>
          <w:szCs w:val="32"/>
          <w:highlight w:val="none"/>
        </w:rPr>
        <w:t>，充分发挥</w:t>
      </w:r>
      <w:r>
        <w:rPr>
          <w:rFonts w:ascii="仿宋_GB2312" w:hAnsi="仿宋_GB2312" w:cs="仿宋_GB2312"/>
          <w:color w:val="auto"/>
          <w:szCs w:val="32"/>
          <w:highlight w:val="none"/>
        </w:rPr>
        <w:t>“诗画乡村</w:t>
      </w:r>
      <w:r>
        <w:rPr>
          <w:rFonts w:hint="eastAsia" w:ascii="仿宋_GB2312" w:hAnsi="仿宋_GB2312" w:cs="仿宋_GB2312"/>
          <w:color w:val="auto"/>
          <w:szCs w:val="32"/>
          <w:highlight w:val="none"/>
        </w:rPr>
        <w:t xml:space="preserve"> </w:t>
      </w:r>
      <w:r>
        <w:rPr>
          <w:rFonts w:ascii="仿宋_GB2312" w:hAnsi="仿宋_GB2312" w:cs="仿宋_GB2312"/>
          <w:color w:val="auto"/>
          <w:szCs w:val="32"/>
          <w:highlight w:val="none"/>
        </w:rPr>
        <w:t>健康</w:t>
      </w:r>
      <w:r>
        <w:rPr>
          <w:rFonts w:hint="eastAsia" w:ascii="仿宋_GB2312" w:hAnsi="仿宋_GB2312" w:cs="仿宋_GB2312"/>
          <w:color w:val="auto"/>
          <w:szCs w:val="32"/>
          <w:highlight w:val="none"/>
        </w:rPr>
        <w:t>e</w:t>
      </w:r>
      <w:r>
        <w:rPr>
          <w:rFonts w:ascii="仿宋_GB2312" w:hAnsi="仿宋_GB2312" w:cs="仿宋_GB2312"/>
          <w:color w:val="auto"/>
          <w:szCs w:val="32"/>
          <w:highlight w:val="none"/>
        </w:rPr>
        <w:t>站”项目</w:t>
      </w:r>
      <w:r>
        <w:rPr>
          <w:rFonts w:hint="eastAsia" w:ascii="仿宋_GB2312" w:hAnsi="仿宋_GB2312" w:cs="仿宋_GB2312"/>
          <w:color w:val="auto"/>
          <w:szCs w:val="32"/>
          <w:highlight w:val="none"/>
        </w:rPr>
        <w:t>作用</w:t>
      </w:r>
      <w:r>
        <w:rPr>
          <w:rFonts w:ascii="仿宋_GB2312" w:hAnsi="仿宋_GB2312" w:cs="仿宋_GB2312"/>
          <w:color w:val="auto"/>
          <w:szCs w:val="32"/>
          <w:highlight w:val="none"/>
        </w:rPr>
        <w:t>，</w:t>
      </w:r>
      <w:r>
        <w:rPr>
          <w:rFonts w:hint="eastAsia" w:ascii="仿宋_GB2312" w:hAnsi="仿宋_GB2312" w:cs="仿宋_GB2312"/>
          <w:color w:val="auto"/>
          <w:szCs w:val="32"/>
          <w:highlight w:val="none"/>
        </w:rPr>
        <w:t>提升村级医疗卫生服务能力。</w:t>
      </w:r>
    </w:p>
    <w:p w14:paraId="63AC9F32">
      <w:pPr>
        <w:pStyle w:val="4"/>
        <w:ind w:firstLine="640" w:firstLineChars="200"/>
        <w:outlineLvl w:val="1"/>
        <w:rPr>
          <w:rFonts w:hint="default"/>
          <w:color w:val="auto"/>
          <w:highlight w:val="none"/>
        </w:rPr>
      </w:pPr>
      <w:bookmarkStart w:id="74" w:name="_Toc10473"/>
      <w:bookmarkStart w:id="75" w:name="_Toc13078"/>
      <w:bookmarkStart w:id="76" w:name="_Toc12918"/>
      <w:bookmarkStart w:id="77" w:name="_Toc1936"/>
      <w:bookmarkStart w:id="78" w:name="_Toc5661"/>
      <w:r>
        <w:rPr>
          <w:rFonts w:hint="eastAsia" w:ascii="宋体" w:hAnsi="宋体" w:eastAsia="楷体_GB2312" w:cs="Times New Roman"/>
          <w:bCs/>
          <w:kern w:val="0"/>
          <w:sz w:val="32"/>
          <w:szCs w:val="27"/>
          <w:highlight w:val="none"/>
          <w:lang w:val="en-US" w:eastAsia="zh-CN" w:bidi="ar-SA"/>
        </w:rPr>
        <w:t>（七）</w:t>
      </w:r>
      <w:bookmarkEnd w:id="74"/>
      <w:bookmarkEnd w:id="75"/>
      <w:r>
        <w:rPr>
          <w:rFonts w:hint="eastAsia" w:ascii="宋体" w:hAnsi="宋体" w:eastAsia="楷体_GB2312" w:cs="Times New Roman"/>
          <w:bCs/>
          <w:kern w:val="0"/>
          <w:sz w:val="32"/>
          <w:szCs w:val="27"/>
          <w:highlight w:val="none"/>
          <w:lang w:val="en-US" w:eastAsia="zh-CN" w:bidi="ar-SA"/>
        </w:rPr>
        <w:t>实施强基工程</w:t>
      </w:r>
      <w:bookmarkEnd w:id="76"/>
      <w:bookmarkEnd w:id="77"/>
      <w:bookmarkEnd w:id="78"/>
    </w:p>
    <w:p w14:paraId="020F9AE1">
      <w:pPr>
        <w:ind w:firstLine="640" w:firstLineChars="200"/>
        <w:rPr>
          <w:color w:val="auto"/>
          <w:highlight w:val="none"/>
        </w:rPr>
      </w:pPr>
      <w:r>
        <w:rPr>
          <w:rFonts w:hint="eastAsia" w:ascii="仿宋_GB2312" w:hAnsi="仿宋_GB2312" w:cs="仿宋_GB2312"/>
          <w:color w:val="auto"/>
          <w:szCs w:val="32"/>
          <w:highlight w:val="none"/>
        </w:rPr>
        <w:t>以区域医共体建设为抓手，推动实施强基工程。构建有序分级诊疗格局，围绕“结对子、派人员、补短板、提能力、建机制、明导向”关键环节，推动“五专两综合”医联体和紧密型城市医疗集团建设做实做细。依托紧密型城市医疗集团，推广“分布式检查、集中式诊断”模式，建立区域</w:t>
      </w:r>
      <w:r>
        <w:rPr>
          <w:rFonts w:hint="default" w:ascii="仿宋_GB2312" w:hAnsi="仿宋_GB2312" w:cs="仿宋_GB2312"/>
          <w:color w:val="auto"/>
          <w:szCs w:val="32"/>
          <w:highlight w:val="none"/>
          <w:lang w:val="en-US"/>
        </w:rPr>
        <w:t>共享药房、消毒供应中心、心电中心、影像中心、检验中心</w:t>
      </w:r>
      <w:r>
        <w:rPr>
          <w:rFonts w:hint="eastAsia" w:ascii="仿宋_GB2312" w:hAnsi="仿宋_GB2312" w:cs="仿宋_GB2312"/>
          <w:color w:val="auto"/>
          <w:szCs w:val="32"/>
          <w:highlight w:val="none"/>
        </w:rPr>
        <w:t>，促进资源集约供应。推动区级医院中高级职称医师派驻社区卫生服务中心，推动二、三级公立医院预留部分号源优先向基层医疗卫生机构开放。健全区镇村用药衔接机制，动态调整医联体用药目录。完善区级、镇街级巡回医疗制度。</w:t>
      </w:r>
    </w:p>
    <w:bookmarkEnd w:id="69"/>
    <w:bookmarkEnd w:id="70"/>
    <w:bookmarkEnd w:id="71"/>
    <w:bookmarkEnd w:id="72"/>
    <w:bookmarkEnd w:id="73"/>
    <w:p w14:paraId="18B0E291">
      <w:pPr>
        <w:pStyle w:val="4"/>
        <w:ind w:firstLine="640" w:firstLineChars="200"/>
        <w:outlineLvl w:val="1"/>
        <w:rPr>
          <w:rFonts w:hint="default" w:ascii="仿宋_GB2312" w:hAnsi="仿宋_GB2312" w:eastAsia="仿宋_GB2312" w:cs="仿宋_GB2312"/>
          <w:color w:val="auto"/>
          <w:szCs w:val="32"/>
          <w:highlight w:val="none"/>
        </w:rPr>
      </w:pPr>
      <w:bookmarkStart w:id="79" w:name="_Toc14755"/>
      <w:bookmarkStart w:id="80" w:name="_Toc17982"/>
      <w:bookmarkStart w:id="81" w:name="_Toc3711"/>
      <w:bookmarkStart w:id="82" w:name="_Toc302770161"/>
      <w:bookmarkStart w:id="83" w:name="_Toc1206292906"/>
      <w:bookmarkStart w:id="84" w:name="_Toc458978752"/>
      <w:bookmarkStart w:id="85" w:name="_Toc26591392"/>
      <w:bookmarkStart w:id="86" w:name="_Toc17906"/>
      <w:bookmarkStart w:id="87" w:name="_Toc22221"/>
      <w:bookmarkStart w:id="88" w:name="_Toc495255374"/>
      <w:r>
        <w:rPr>
          <w:rFonts w:hint="eastAsia" w:ascii="宋体" w:hAnsi="宋体" w:eastAsia="楷体_GB2312" w:cs="Times New Roman"/>
          <w:bCs/>
          <w:kern w:val="0"/>
          <w:sz w:val="32"/>
          <w:szCs w:val="27"/>
          <w:highlight w:val="none"/>
          <w:lang w:val="en-US" w:eastAsia="zh-CN" w:bidi="ar-SA"/>
        </w:rPr>
        <w:t>（八）提升基层服务水平</w:t>
      </w:r>
      <w:bookmarkEnd w:id="79"/>
      <w:bookmarkEnd w:id="80"/>
      <w:bookmarkEnd w:id="81"/>
    </w:p>
    <w:p w14:paraId="00324787">
      <w:pPr>
        <w:ind w:firstLine="640" w:firstLineChars="200"/>
        <w:rPr>
          <w:rFonts w:hint="eastAsia" w:ascii="仿宋_GB2312" w:hAnsi="仿宋_GB2312" w:cs="仿宋_GB2312"/>
          <w:color w:val="auto"/>
          <w:szCs w:val="32"/>
          <w:highlight w:val="none"/>
          <w:lang w:eastAsia="zh-CN"/>
        </w:rPr>
      </w:pPr>
      <w:r>
        <w:rPr>
          <w:rFonts w:hint="eastAsia" w:ascii="仿宋_GB2312" w:hAnsi="仿宋_GB2312" w:cs="仿宋_GB2312"/>
          <w:color w:val="auto"/>
          <w:szCs w:val="32"/>
          <w:highlight w:val="none"/>
        </w:rPr>
        <w:t>健全以区级医院为龙头、社区卫生服务中心为</w:t>
      </w:r>
      <w:r>
        <w:rPr>
          <w:rFonts w:hint="eastAsia" w:ascii="仿宋_GB2312" w:hAnsi="仿宋_GB2312" w:cs="仿宋_GB2312"/>
          <w:color w:val="auto"/>
          <w:szCs w:val="32"/>
          <w:highlight w:val="none"/>
          <w:lang w:eastAsia="zh-CN"/>
        </w:rPr>
        <w:t>引领</w:t>
      </w:r>
      <w:r>
        <w:rPr>
          <w:rFonts w:hint="eastAsia" w:ascii="仿宋_GB2312" w:hAnsi="仿宋_GB2312" w:cs="仿宋_GB2312"/>
          <w:color w:val="auto"/>
          <w:szCs w:val="32"/>
          <w:highlight w:val="none"/>
        </w:rPr>
        <w:t>、沟域片区社区卫生服务站为</w:t>
      </w:r>
      <w:r>
        <w:rPr>
          <w:rFonts w:hint="eastAsia" w:ascii="仿宋_GB2312" w:hAnsi="仿宋_GB2312" w:cs="仿宋_GB2312"/>
          <w:color w:val="auto"/>
          <w:szCs w:val="32"/>
          <w:highlight w:val="none"/>
          <w:lang w:eastAsia="zh-CN"/>
        </w:rPr>
        <w:t>枢纽</w:t>
      </w:r>
      <w:r>
        <w:rPr>
          <w:rFonts w:hint="eastAsia" w:ascii="仿宋_GB2312" w:hAnsi="仿宋_GB2312" w:cs="仿宋_GB2312"/>
          <w:color w:val="auto"/>
          <w:szCs w:val="32"/>
          <w:highlight w:val="none"/>
        </w:rPr>
        <w:t>、村卫生室为基础的四级医疗卫生服务体系。</w:t>
      </w:r>
      <w:r>
        <w:rPr>
          <w:rFonts w:hint="eastAsia" w:ascii="仿宋_GB2312" w:hAnsi="仿宋" w:cs="仿宋"/>
          <w:color w:val="auto"/>
          <w:szCs w:val="32"/>
          <w:highlight w:val="none"/>
        </w:rPr>
        <w:t>强化社区卫生服务中心的</w:t>
      </w:r>
      <w:r>
        <w:rPr>
          <w:rFonts w:hint="eastAsia" w:ascii="仿宋_GB2312" w:hAnsi="仿宋" w:cs="仿宋"/>
          <w:color w:val="auto"/>
          <w:szCs w:val="32"/>
          <w:highlight w:val="none"/>
          <w:lang w:eastAsia="zh-CN"/>
        </w:rPr>
        <w:t>引领</w:t>
      </w:r>
      <w:r>
        <w:rPr>
          <w:rFonts w:hint="eastAsia" w:ascii="仿宋_GB2312" w:hAnsi="仿宋" w:cs="仿宋"/>
          <w:color w:val="auto"/>
          <w:szCs w:val="32"/>
          <w:highlight w:val="none"/>
        </w:rPr>
        <w:t>作用，</w:t>
      </w:r>
      <w:r>
        <w:rPr>
          <w:rFonts w:hint="eastAsia" w:ascii="仿宋_GB2312"/>
          <w:color w:val="auto"/>
          <w:szCs w:val="32"/>
          <w:highlight w:val="none"/>
        </w:rPr>
        <w:t>实施“四部一站两中心”建设，优化设置“全科诊疗、中医药、特色专科和公共卫生”四大服务部，成立“慢性病综合防控工作站”，规范“家庭医生健康管理中心”和“主动健康促进中心”运行</w:t>
      </w:r>
      <w:r>
        <w:rPr>
          <w:rFonts w:hint="eastAsia" w:ascii="仿宋_GB2312" w:hAnsi="仿宋_GB2312" w:cs="仿宋_GB2312"/>
          <w:color w:val="auto"/>
          <w:szCs w:val="32"/>
          <w:highlight w:val="none"/>
        </w:rPr>
        <w:t>。落实“提升家庭医生签约服务感受若干措施”，深化签约服务“六个拓展”，建立完善下沉医生参与签约服务长效机制，加强居民健康管理和宣传，不断提高签约群众满意率。</w:t>
      </w:r>
      <w:r>
        <w:rPr>
          <w:rFonts w:ascii="仿宋_GB2312" w:hAnsi="仿宋_GB2312" w:cs="仿宋_GB2312"/>
          <w:color w:val="auto"/>
          <w:szCs w:val="32"/>
          <w:highlight w:val="none"/>
        </w:rPr>
        <w:t>进一步巩固“优质服务基层行”活动成果，</w:t>
      </w:r>
      <w:r>
        <w:rPr>
          <w:rFonts w:hint="eastAsia" w:ascii="仿宋_GB2312" w:hAnsi="仿宋_GB2312" w:cs="仿宋_GB2312"/>
          <w:color w:val="auto"/>
          <w:szCs w:val="32"/>
          <w:highlight w:val="none"/>
        </w:rPr>
        <w:t>全部社区卫生服务中心和60%的村卫生室达到“优质服务基层行”标准。</w:t>
      </w:r>
      <w:r>
        <w:rPr>
          <w:rFonts w:hint="eastAsia" w:ascii="仿宋_GB2312" w:hAnsi="仿宋_GB2312" w:cs="仿宋_GB2312"/>
          <w:color w:val="auto"/>
          <w:szCs w:val="32"/>
          <w:highlight w:val="none"/>
          <w:lang w:eastAsia="zh-CN"/>
        </w:rPr>
        <w:t>科学核定各社区卫生服务机构人员总额，逐步</w:t>
      </w:r>
      <w:r>
        <w:rPr>
          <w:rFonts w:hint="eastAsia" w:ascii="仿宋_GB2312" w:hAnsi="仿宋_GB2312" w:cs="仿宋_GB2312"/>
          <w:color w:val="auto"/>
          <w:szCs w:val="32"/>
          <w:highlight w:val="none"/>
          <w:lang w:val="en-US" w:eastAsia="zh-CN"/>
        </w:rPr>
        <w:t>配</w:t>
      </w:r>
      <w:r>
        <w:rPr>
          <w:rFonts w:hint="eastAsia" w:ascii="仿宋_GB2312" w:hAnsi="仿宋_GB2312" w:cs="仿宋_GB2312"/>
          <w:color w:val="auto"/>
          <w:szCs w:val="32"/>
          <w:highlight w:val="none"/>
          <w:lang w:eastAsia="zh-CN"/>
        </w:rPr>
        <w:t>齐超声、影像、巡诊车、健康一体机等设备配备。</w:t>
      </w:r>
    </w:p>
    <w:bookmarkEnd w:id="82"/>
    <w:bookmarkEnd w:id="83"/>
    <w:bookmarkEnd w:id="84"/>
    <w:bookmarkEnd w:id="85"/>
    <w:bookmarkEnd w:id="86"/>
    <w:bookmarkEnd w:id="87"/>
    <w:bookmarkEnd w:id="88"/>
    <w:p w14:paraId="6D47180D">
      <w:pPr>
        <w:ind w:firstLine="640" w:firstLineChars="200"/>
        <w:outlineLvl w:val="0"/>
        <w:rPr>
          <w:rFonts w:hint="eastAsia" w:ascii="黑体" w:hAnsi="黑体" w:eastAsia="黑体" w:cs="黑体"/>
          <w:b w:val="0"/>
          <w:bCs w:val="0"/>
          <w:color w:val="auto"/>
          <w:kern w:val="2"/>
          <w:sz w:val="32"/>
          <w:szCs w:val="32"/>
          <w:highlight w:val="none"/>
          <w:u w:val="none"/>
          <w:lang w:val="en-US" w:eastAsia="zh-CN" w:bidi="ar-SA"/>
        </w:rPr>
      </w:pPr>
      <w:bookmarkStart w:id="89" w:name="_Toc1919243462"/>
      <w:bookmarkStart w:id="90" w:name="_Toc110455046"/>
      <w:bookmarkStart w:id="91" w:name="_Toc1269336184"/>
      <w:bookmarkStart w:id="92" w:name="_Toc244926768"/>
      <w:bookmarkStart w:id="93" w:name="_Toc11159"/>
      <w:bookmarkStart w:id="94" w:name="_Toc29159"/>
      <w:bookmarkStart w:id="95" w:name="_Toc21390"/>
      <w:bookmarkStart w:id="96" w:name="_Toc31297"/>
      <w:bookmarkStart w:id="97" w:name="_Toc13158"/>
      <w:r>
        <w:rPr>
          <w:rFonts w:hint="eastAsia" w:ascii="黑体" w:hAnsi="黑体" w:eastAsia="黑体" w:cs="黑体"/>
          <w:b w:val="0"/>
          <w:bCs w:val="0"/>
          <w:color w:val="auto"/>
          <w:kern w:val="2"/>
          <w:sz w:val="32"/>
          <w:szCs w:val="32"/>
          <w:highlight w:val="none"/>
          <w:u w:val="none"/>
          <w:lang w:val="en-US" w:eastAsia="zh-CN" w:bidi="ar-SA"/>
        </w:rPr>
        <w:t>五、实施</w:t>
      </w:r>
      <w:bookmarkEnd w:id="89"/>
      <w:r>
        <w:rPr>
          <w:rFonts w:hint="eastAsia" w:ascii="黑体" w:hAnsi="黑体" w:eastAsia="黑体" w:cs="黑体"/>
          <w:b w:val="0"/>
          <w:bCs w:val="0"/>
          <w:color w:val="auto"/>
          <w:kern w:val="2"/>
          <w:sz w:val="32"/>
          <w:szCs w:val="32"/>
          <w:highlight w:val="none"/>
          <w:u w:val="none"/>
          <w:lang w:val="en-US" w:eastAsia="zh-CN" w:bidi="ar-SA"/>
        </w:rPr>
        <w:t>数字健康共同体建设行动</w:t>
      </w:r>
      <w:bookmarkEnd w:id="90"/>
      <w:bookmarkEnd w:id="91"/>
      <w:bookmarkEnd w:id="92"/>
      <w:bookmarkEnd w:id="93"/>
      <w:r>
        <w:rPr>
          <w:rFonts w:hint="eastAsia" w:ascii="黑体" w:hAnsi="黑体" w:eastAsia="黑体" w:cs="黑体"/>
          <w:b w:val="0"/>
          <w:bCs w:val="0"/>
          <w:color w:val="auto"/>
          <w:kern w:val="2"/>
          <w:sz w:val="32"/>
          <w:szCs w:val="32"/>
          <w:highlight w:val="none"/>
          <w:u w:val="none"/>
          <w:lang w:val="en-US" w:eastAsia="zh-CN" w:bidi="ar-SA"/>
        </w:rPr>
        <w:t>，注入卫生健康事业发展新活力</w:t>
      </w:r>
      <w:bookmarkEnd w:id="94"/>
      <w:bookmarkEnd w:id="95"/>
      <w:bookmarkEnd w:id="96"/>
      <w:bookmarkEnd w:id="97"/>
    </w:p>
    <w:p w14:paraId="54A9251A">
      <w:pPr>
        <w:pStyle w:val="4"/>
        <w:ind w:firstLine="640" w:firstLineChars="200"/>
        <w:outlineLvl w:val="1"/>
        <w:rPr>
          <w:rFonts w:hint="eastAsia" w:ascii="宋体" w:hAnsi="宋体" w:eastAsia="楷体_GB2312" w:cs="Times New Roman"/>
          <w:color w:val="auto"/>
          <w:kern w:val="0"/>
          <w:szCs w:val="27"/>
          <w:highlight w:val="none"/>
        </w:rPr>
      </w:pPr>
      <w:bookmarkStart w:id="98" w:name="_Toc2897"/>
      <w:bookmarkStart w:id="99" w:name="_Toc25923"/>
      <w:bookmarkStart w:id="100" w:name="_Toc8059"/>
      <w:bookmarkStart w:id="101" w:name="_Toc3334"/>
      <w:r>
        <w:rPr>
          <w:rFonts w:hint="eastAsia" w:ascii="宋体" w:hAnsi="宋体" w:eastAsia="楷体_GB2312" w:cs="Times New Roman"/>
          <w:bCs/>
          <w:kern w:val="0"/>
          <w:sz w:val="32"/>
          <w:szCs w:val="27"/>
          <w:highlight w:val="none"/>
          <w:lang w:val="en-US" w:eastAsia="zh-CN" w:bidi="ar-SA"/>
        </w:rPr>
        <w:t>（九）打造智慧诊疗集群体系</w:t>
      </w:r>
      <w:bookmarkEnd w:id="98"/>
      <w:bookmarkEnd w:id="99"/>
      <w:bookmarkEnd w:id="100"/>
      <w:bookmarkEnd w:id="101"/>
    </w:p>
    <w:p w14:paraId="5E105CEC">
      <w:pPr>
        <w:ind w:firstLine="640" w:firstLineChars="200"/>
        <w:rPr>
          <w:color w:val="auto"/>
          <w:highlight w:val="none"/>
        </w:rPr>
      </w:pPr>
      <w:r>
        <w:rPr>
          <w:rFonts w:hint="eastAsia" w:ascii="仿宋_GB2312" w:hAnsi="仿宋_GB2312" w:cs="仿宋_GB2312"/>
          <w:color w:val="auto"/>
          <w:highlight w:val="none"/>
        </w:rPr>
        <w:t>进一步优化医院信息系统，由院内信息互联互通向信息跨院共享、区域共享、互联网诊疗转变。力争实现全区</w:t>
      </w:r>
      <w:r>
        <w:rPr>
          <w:rFonts w:ascii="仿宋_GB2312" w:hAnsi="仿宋_GB2312" w:cs="仿宋_GB2312"/>
          <w:color w:val="auto"/>
          <w:highlight w:val="none"/>
        </w:rPr>
        <w:t>80%</w:t>
      </w:r>
      <w:r>
        <w:rPr>
          <w:rFonts w:hint="eastAsia" w:ascii="仿宋_GB2312" w:hAnsi="仿宋_GB2312" w:cs="仿宋_GB2312"/>
          <w:color w:val="auto"/>
          <w:highlight w:val="none"/>
        </w:rPr>
        <w:t>二级以上医疗机构达到电子病历四级，</w:t>
      </w:r>
      <w:r>
        <w:rPr>
          <w:rFonts w:hint="eastAsia" w:ascii="仿宋_GB2312" w:hAnsi="仿宋_GB2312" w:cs="仿宋_GB2312"/>
          <w:color w:val="auto"/>
          <w:highlight w:val="none"/>
          <w:lang w:val="en-US" w:eastAsia="zh-CN"/>
        </w:rPr>
        <w:t>至少</w:t>
      </w:r>
      <w:r>
        <w:rPr>
          <w:rFonts w:hint="eastAsia" w:ascii="仿宋_GB2312" w:hAnsi="仿宋_GB2312" w:cs="仿宋_GB2312"/>
          <w:color w:val="auto"/>
          <w:highlight w:val="none"/>
        </w:rPr>
        <w:t>一家医院达到智慧医院</w:t>
      </w:r>
      <w:r>
        <w:rPr>
          <w:rFonts w:hint="eastAsia" w:ascii="仿宋_GB2312" w:hAnsi="仿宋_GB2312" w:cs="仿宋_GB2312"/>
          <w:color w:val="auto"/>
          <w:highlight w:val="none"/>
          <w:lang w:eastAsia="zh-CN"/>
        </w:rPr>
        <w:t>三</w:t>
      </w:r>
      <w:r>
        <w:rPr>
          <w:rFonts w:ascii="仿宋_GB2312" w:hAnsi="仿宋_GB2312" w:cs="仿宋_GB2312"/>
          <w:color w:val="auto"/>
          <w:highlight w:val="none"/>
        </w:rPr>
        <w:t>级标准。</w:t>
      </w:r>
      <w:r>
        <w:rPr>
          <w:rFonts w:hint="eastAsia" w:ascii="仿宋_GB2312" w:hAnsi="仿宋_GB2312" w:cs="仿宋_GB2312"/>
          <w:color w:val="auto"/>
          <w:szCs w:val="32"/>
          <w:highlight w:val="none"/>
        </w:rPr>
        <w:t>推进互联网医院建设</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鼓励卫生健康领域科技创新与成果转化。</w:t>
      </w:r>
      <w:r>
        <w:rPr>
          <w:rFonts w:hint="eastAsia" w:ascii="仿宋_GB2312" w:hAnsi="仿宋_GB2312" w:cs="仿宋_GB2312"/>
          <w:bCs/>
          <w:color w:val="auto"/>
          <w:szCs w:val="32"/>
          <w:highlight w:val="none"/>
        </w:rPr>
        <w:t>建立统一信息标准、统一流程管理、统一任务协同的区域协同诊疗服务网络，应用信息技术加强对诊疗流程的规范管理。以区域医疗中心为核心，探索构建</w:t>
      </w:r>
      <w:r>
        <w:rPr>
          <w:rFonts w:hint="eastAsia" w:ascii="仿宋_GB2312" w:hAnsi="仿宋_GB2312" w:cs="仿宋_GB2312"/>
          <w:color w:val="auto"/>
          <w:highlight w:val="none"/>
        </w:rPr>
        <w:t>医疗健康大数据平台及智能医生诊断系统，通过人工智能技术对慢病管理、心电、影像等大数据进行分析处理，为医疗机构</w:t>
      </w:r>
      <w:r>
        <w:rPr>
          <w:rFonts w:hint="eastAsia" w:ascii="仿宋_GB2312" w:hAnsi="仿宋_GB2312" w:cs="仿宋_GB2312"/>
          <w:color w:val="auto"/>
          <w:szCs w:val="32"/>
          <w:highlight w:val="none"/>
        </w:rPr>
        <w:t>提供诊疗决策支持。</w:t>
      </w:r>
    </w:p>
    <w:p w14:paraId="4269BDC7">
      <w:pPr>
        <w:pStyle w:val="4"/>
        <w:ind w:firstLine="640" w:firstLineChars="200"/>
        <w:outlineLvl w:val="1"/>
        <w:rPr>
          <w:rFonts w:hint="eastAsia" w:ascii="宋体" w:hAnsi="宋体" w:eastAsia="楷体_GB2312" w:cs="Times New Roman"/>
          <w:color w:val="auto"/>
          <w:szCs w:val="27"/>
          <w:highlight w:val="none"/>
        </w:rPr>
      </w:pPr>
      <w:bookmarkStart w:id="102" w:name="_Toc19687"/>
      <w:bookmarkStart w:id="103" w:name="_Toc13727"/>
      <w:bookmarkStart w:id="104" w:name="_Toc30606"/>
      <w:bookmarkStart w:id="105" w:name="_Toc18825"/>
      <w:r>
        <w:rPr>
          <w:rFonts w:hint="eastAsia" w:ascii="宋体" w:hAnsi="宋体" w:eastAsia="楷体_GB2312" w:cs="Times New Roman"/>
          <w:bCs/>
          <w:kern w:val="0"/>
          <w:sz w:val="32"/>
          <w:szCs w:val="27"/>
          <w:highlight w:val="none"/>
          <w:lang w:val="en-US" w:eastAsia="zh-CN" w:bidi="ar-SA"/>
        </w:rPr>
        <w:t>（十）构建智慧服务体系</w:t>
      </w:r>
      <w:bookmarkEnd w:id="102"/>
      <w:bookmarkEnd w:id="103"/>
      <w:bookmarkEnd w:id="104"/>
      <w:bookmarkEnd w:id="105"/>
    </w:p>
    <w:p w14:paraId="25D78D5A">
      <w:pPr>
        <w:ind w:firstLine="640" w:firstLineChars="200"/>
        <w:rPr>
          <w:rFonts w:hint="eastAsia" w:ascii="仿宋_GB2312" w:hAnsi="仿宋_GB2312" w:cs="仿宋_GB2312"/>
          <w:color w:val="auto"/>
          <w:szCs w:val="32"/>
          <w:highlight w:val="none"/>
        </w:rPr>
      </w:pPr>
      <w:r>
        <w:rPr>
          <w:rFonts w:hint="eastAsia" w:ascii="仿宋_GB2312" w:hAnsi="仿宋_GB2312" w:cs="仿宋_GB2312"/>
          <w:bCs/>
          <w:color w:val="auto"/>
          <w:szCs w:val="32"/>
          <w:highlight w:val="none"/>
        </w:rPr>
        <w:t>实施便民自助服务二期工程，打造区域诊疗服务门户，实现区域统一预约挂号、缴费、检查检验结果信息查询、健康咨询等功能。依托城乡健康一体化智能服务与监管平台</w:t>
      </w:r>
      <w:r>
        <w:rPr>
          <w:rFonts w:hint="eastAsia" w:ascii="仿宋_GB2312" w:hAnsi="仿宋_GB2312" w:cs="仿宋_GB2312"/>
          <w:color w:val="auto"/>
          <w:szCs w:val="32"/>
          <w:highlight w:val="none"/>
        </w:rPr>
        <w:t>，</w:t>
      </w:r>
      <w:r>
        <w:rPr>
          <w:rFonts w:hint="eastAsia" w:ascii="仿宋_GB2312" w:hAnsi="仿宋_GB2312" w:cs="仿宋_GB2312"/>
          <w:color w:val="auto"/>
          <w:highlight w:val="none"/>
        </w:rPr>
        <w:t>建立区域统一的远程会诊、远程门诊、双向转诊信息系统</w:t>
      </w:r>
      <w:r>
        <w:rPr>
          <w:rFonts w:hint="eastAsia" w:ascii="仿宋_GB2312" w:hAnsi="仿宋_GB2312" w:cs="仿宋_GB2312"/>
          <w:color w:val="auto"/>
          <w:highlight w:val="none"/>
          <w:lang w:eastAsia="zh-CN"/>
        </w:rPr>
        <w:t>。</w:t>
      </w:r>
      <w:r>
        <w:rPr>
          <w:rFonts w:hint="eastAsia" w:ascii="仿宋_GB2312" w:hAnsi="仿宋_GB2312" w:cs="仿宋_GB2312"/>
          <w:color w:val="auto"/>
          <w:highlight w:val="none"/>
        </w:rPr>
        <w:t>以区医院为枢纽，向上连接市级医院，向下联通基层医疗卫生机构，实现患者诊疗信息、检查检验信息、健康档案信息共享调阅，基层医疗机构远程开具上级医院的检查、检验及处方，开展预约挂号、双向转诊等服务</w:t>
      </w:r>
      <w:r>
        <w:rPr>
          <w:rFonts w:hint="eastAsia" w:ascii="仿宋_GB2312" w:hAnsi="仿宋_GB2312" w:cs="仿宋_GB2312"/>
          <w:color w:val="auto"/>
          <w:highlight w:val="none"/>
          <w:lang w:eastAsia="zh-CN"/>
        </w:rPr>
        <w:t>。</w:t>
      </w:r>
      <w:r>
        <w:rPr>
          <w:rFonts w:hint="eastAsia" w:ascii="仿宋_GB2312" w:hAnsi="仿宋_GB2312" w:cs="仿宋_GB2312"/>
          <w:color w:val="auto"/>
          <w:highlight w:val="none"/>
        </w:rPr>
        <w:t>推</w:t>
      </w:r>
      <w:r>
        <w:rPr>
          <w:rFonts w:hint="eastAsia" w:ascii="仿宋_GB2312" w:hAnsi="仿宋_GB2312" w:cs="仿宋_GB2312"/>
          <w:color w:val="auto"/>
          <w:szCs w:val="32"/>
          <w:highlight w:val="none"/>
        </w:rPr>
        <w:t>进电子健康档案应用安全有序向居民个人开放。</w:t>
      </w:r>
      <w:r>
        <w:rPr>
          <w:rFonts w:hint="default" w:ascii="仿宋_GB2312" w:hAnsi="仿宋_GB2312" w:cs="仿宋_GB2312"/>
          <w:color w:val="auto"/>
          <w:szCs w:val="32"/>
          <w:highlight w:val="none"/>
          <w:lang w:val="en-US"/>
        </w:rPr>
        <w:t>搭建智慧导诊系统，推出AI医生助手</w:t>
      </w:r>
      <w:r>
        <w:rPr>
          <w:rFonts w:hint="default" w:ascii="仿宋_GB2312" w:hAnsi="仿宋_GB2312" w:cs="仿宋_GB2312"/>
          <w:color w:val="auto"/>
          <w:szCs w:val="32"/>
          <w:highlight w:val="none"/>
          <w:lang w:val="en-US" w:eastAsia="zh-CN"/>
        </w:rPr>
        <w:t>，将</w:t>
      </w:r>
      <w:r>
        <w:rPr>
          <w:rFonts w:hint="default" w:ascii="仿宋_GB2312" w:hAnsi="仿宋_GB2312" w:cs="仿宋_GB2312"/>
          <w:color w:val="auto"/>
          <w:szCs w:val="32"/>
          <w:highlight w:val="none"/>
          <w:lang w:val="en-US"/>
        </w:rPr>
        <w:t>AI技术融入患者健康管理，</w:t>
      </w:r>
      <w:r>
        <w:rPr>
          <w:rFonts w:hint="eastAsia" w:ascii="仿宋_GB2312" w:hAnsi="仿宋_GB2312" w:cs="仿宋_GB2312"/>
          <w:color w:val="auto"/>
          <w:szCs w:val="32"/>
          <w:highlight w:val="none"/>
        </w:rPr>
        <w:t>实现从健康管理到疾病治疗的全周期智能化健康守护。</w:t>
      </w:r>
    </w:p>
    <w:p w14:paraId="713E3E67">
      <w:pPr>
        <w:ind w:firstLine="640" w:firstLineChars="200"/>
        <w:outlineLvl w:val="1"/>
        <w:rPr>
          <w:rFonts w:hint="eastAsia" w:ascii="宋体" w:hAnsi="宋体" w:eastAsia="楷体_GB2312" w:cs="Times New Roman"/>
          <w:color w:val="auto"/>
          <w:szCs w:val="27"/>
          <w:highlight w:val="none"/>
        </w:rPr>
      </w:pPr>
      <w:bookmarkStart w:id="106" w:name="_Toc29841"/>
      <w:bookmarkStart w:id="107" w:name="_Toc666"/>
      <w:bookmarkStart w:id="108" w:name="_Toc20165"/>
      <w:bookmarkStart w:id="109" w:name="_Toc15746"/>
      <w:r>
        <w:rPr>
          <w:rFonts w:hint="eastAsia" w:ascii="宋体" w:hAnsi="宋体" w:eastAsia="楷体_GB2312" w:cs="Times New Roman"/>
          <w:bCs/>
          <w:kern w:val="0"/>
          <w:sz w:val="32"/>
          <w:szCs w:val="27"/>
          <w:highlight w:val="none"/>
          <w:lang w:val="en-US" w:eastAsia="zh-CN" w:bidi="ar-SA"/>
        </w:rPr>
        <w:t>（十一）构建基层一体化服务模式</w:t>
      </w:r>
      <w:bookmarkEnd w:id="106"/>
      <w:bookmarkEnd w:id="107"/>
      <w:bookmarkEnd w:id="108"/>
      <w:bookmarkEnd w:id="109"/>
    </w:p>
    <w:p w14:paraId="749A562D">
      <w:pPr>
        <w:pStyle w:val="7"/>
        <w:widowControl/>
        <w:spacing w:after="0" w:line="560" w:lineRule="exact"/>
        <w:ind w:firstLine="640" w:firstLineChars="200"/>
        <w:rPr>
          <w:color w:val="auto"/>
          <w:highlight w:val="none"/>
        </w:rPr>
      </w:pPr>
      <w:r>
        <w:rPr>
          <w:rFonts w:hint="eastAsia" w:ascii="仿宋_GB2312" w:hAnsi="仿宋_GB2312" w:cs="仿宋_GB2312"/>
          <w:color w:val="auto"/>
          <w:szCs w:val="32"/>
          <w:highlight w:val="none"/>
        </w:rPr>
        <w:t>做实家医签约服务和慢病管理，</w:t>
      </w:r>
      <w:r>
        <w:rPr>
          <w:rFonts w:hint="eastAsia" w:ascii="仿宋_GB2312" w:hAnsi="仿宋_GB2312" w:cs="仿宋_GB2312"/>
          <w:bCs/>
          <w:color w:val="auto"/>
          <w:szCs w:val="32"/>
          <w:highlight w:val="none"/>
        </w:rPr>
        <w:t>开展慢性病特色科室建设，</w:t>
      </w:r>
      <w:r>
        <w:rPr>
          <w:rFonts w:hint="eastAsia" w:ascii="仿宋_GB2312" w:hAnsi="仿宋_GB2312" w:cs="仿宋_GB2312"/>
          <w:color w:val="auto"/>
          <w:szCs w:val="32"/>
          <w:highlight w:val="none"/>
        </w:rPr>
        <w:t>提升患者就医体验和获得感。搭建医康养健康服务系统，完善家庭医生签约系统，实现家医签约“定向分诊”“预约复诊”“绿色转诊”等智能功能，推进体检及检验系统建设。延伸“五网一平台”远程医疗服务（远程诊疗、超声、影像、心电、急救指导）至村级，</w:t>
      </w:r>
      <w:r>
        <w:rPr>
          <w:rFonts w:hint="eastAsia" w:ascii="仿宋_GB2312" w:hAnsi="仿宋_GB2312" w:cs="仿宋_GB2312"/>
          <w:color w:val="auto"/>
          <w:szCs w:val="32"/>
          <w:highlight w:val="none"/>
          <w:lang w:eastAsia="zh-CN"/>
        </w:rPr>
        <w:t>强化</w:t>
      </w:r>
      <w:r>
        <w:rPr>
          <w:rFonts w:hint="eastAsia" w:ascii="仿宋_GB2312" w:hAnsi="仿宋_GB2312" w:cs="仿宋_GB2312"/>
          <w:color w:val="auto"/>
          <w:szCs w:val="32"/>
          <w:highlight w:val="none"/>
        </w:rPr>
        <w:t>“健康e站”</w:t>
      </w:r>
      <w:r>
        <w:rPr>
          <w:rFonts w:hint="eastAsia" w:ascii="仿宋_GB2312" w:hAnsi="仿宋_GB2312" w:cs="仿宋_GB2312"/>
          <w:color w:val="auto"/>
          <w:szCs w:val="32"/>
          <w:highlight w:val="none"/>
          <w:lang w:eastAsia="zh-CN"/>
        </w:rPr>
        <w:t>功能</w:t>
      </w:r>
      <w:r>
        <w:rPr>
          <w:rFonts w:hint="eastAsia" w:ascii="仿宋_GB2312" w:hAnsi="仿宋_GB2312" w:cs="仿宋_GB2312"/>
          <w:color w:val="auto"/>
          <w:szCs w:val="32"/>
          <w:highlight w:val="none"/>
        </w:rPr>
        <w:t>，构建四级远程智能医疗服务网络，推进基层医疗</w:t>
      </w:r>
      <w:r>
        <w:rPr>
          <w:rFonts w:hint="eastAsia" w:ascii="仿宋_GB2312" w:hAnsi="仿宋_GB2312" w:cs="仿宋_GB2312"/>
          <w:color w:val="auto"/>
          <w:szCs w:val="32"/>
          <w:highlight w:val="none"/>
          <w:lang w:val="en-US" w:eastAsia="zh-CN"/>
        </w:rPr>
        <w:t>卫</w:t>
      </w:r>
      <w:r>
        <w:rPr>
          <w:rFonts w:hint="eastAsia" w:ascii="仿宋_GB2312" w:hAnsi="仿宋_GB2312" w:cs="仿宋_GB2312"/>
          <w:color w:val="auto"/>
          <w:szCs w:val="32"/>
          <w:highlight w:val="none"/>
        </w:rPr>
        <w:t>生机构与二三级医院的同质化服务。</w:t>
      </w:r>
    </w:p>
    <w:p w14:paraId="6FADB07A">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0"/>
        <w:rPr>
          <w:rFonts w:hint="eastAsia" w:ascii="黑体" w:hAnsi="黑体" w:eastAsia="黑体" w:cs="黑体"/>
          <w:b w:val="0"/>
          <w:bCs w:val="0"/>
          <w:color w:val="auto"/>
          <w:kern w:val="2"/>
          <w:sz w:val="32"/>
          <w:szCs w:val="32"/>
          <w:highlight w:val="none"/>
          <w:u w:val="none"/>
          <w:lang w:val="en-US" w:eastAsia="zh-CN" w:bidi="ar-SA"/>
        </w:rPr>
      </w:pPr>
      <w:bookmarkStart w:id="110" w:name="_Toc530015496"/>
      <w:bookmarkStart w:id="111" w:name="_Toc900892281"/>
      <w:bookmarkStart w:id="112" w:name="_Toc18850"/>
      <w:bookmarkStart w:id="113" w:name="_Toc84863247"/>
      <w:bookmarkStart w:id="114" w:name="_Toc976641326"/>
      <w:bookmarkStart w:id="115" w:name="_Toc2070"/>
      <w:bookmarkStart w:id="116" w:name="_Toc8000"/>
      <w:bookmarkStart w:id="117" w:name="_Toc4847"/>
      <w:bookmarkStart w:id="118" w:name="_Toc3367"/>
      <w:r>
        <w:rPr>
          <w:rFonts w:hint="eastAsia" w:ascii="黑体" w:hAnsi="黑体" w:eastAsia="黑体" w:cs="黑体"/>
          <w:b w:val="0"/>
          <w:bCs w:val="0"/>
          <w:color w:val="auto"/>
          <w:kern w:val="2"/>
          <w:sz w:val="32"/>
          <w:szCs w:val="32"/>
          <w:highlight w:val="none"/>
          <w:u w:val="none"/>
          <w:lang w:val="en-US" w:eastAsia="zh-CN" w:bidi="ar-SA"/>
        </w:rPr>
        <w:t>六、</w:t>
      </w:r>
      <w:bookmarkEnd w:id="110"/>
      <w:bookmarkEnd w:id="111"/>
      <w:bookmarkEnd w:id="112"/>
      <w:bookmarkEnd w:id="113"/>
      <w:bookmarkEnd w:id="114"/>
      <w:r>
        <w:rPr>
          <w:rFonts w:hint="eastAsia" w:ascii="黑体" w:hAnsi="黑体" w:eastAsia="黑体" w:cs="黑体"/>
          <w:b w:val="0"/>
          <w:bCs w:val="0"/>
          <w:color w:val="auto"/>
          <w:kern w:val="2"/>
          <w:sz w:val="32"/>
          <w:szCs w:val="32"/>
          <w:highlight w:val="none"/>
          <w:u w:val="none"/>
          <w:lang w:val="en-US" w:eastAsia="zh-CN" w:bidi="ar-SA"/>
        </w:rPr>
        <w:t>实施公卫应急体系强化行动，筑牢群众健康守护新防线</w:t>
      </w:r>
      <w:bookmarkEnd w:id="115"/>
      <w:bookmarkEnd w:id="116"/>
      <w:bookmarkEnd w:id="117"/>
      <w:bookmarkEnd w:id="118"/>
    </w:p>
    <w:p w14:paraId="4C21AA13">
      <w:pPr>
        <w:pStyle w:val="4"/>
        <w:ind w:firstLine="640" w:firstLineChars="200"/>
        <w:outlineLvl w:val="1"/>
        <w:rPr>
          <w:rFonts w:hint="default"/>
          <w:color w:val="auto"/>
          <w:highlight w:val="none"/>
        </w:rPr>
      </w:pPr>
      <w:bookmarkStart w:id="119" w:name="_Toc54638802"/>
      <w:bookmarkStart w:id="120" w:name="_Toc2143171050"/>
      <w:bookmarkStart w:id="121" w:name="_Toc1728782722"/>
      <w:bookmarkStart w:id="122" w:name="_Toc1785093541"/>
      <w:bookmarkStart w:id="123" w:name="_Toc22866"/>
      <w:bookmarkStart w:id="124" w:name="_Toc14280"/>
      <w:bookmarkStart w:id="125" w:name="_Toc12730"/>
      <w:bookmarkStart w:id="126" w:name="_Toc26046"/>
      <w:bookmarkStart w:id="127" w:name="_Toc9989"/>
      <w:r>
        <w:rPr>
          <w:rFonts w:hint="eastAsia" w:ascii="宋体" w:hAnsi="宋体" w:eastAsia="楷体_GB2312" w:cs="Times New Roman"/>
          <w:bCs/>
          <w:kern w:val="0"/>
          <w:sz w:val="32"/>
          <w:szCs w:val="27"/>
          <w:highlight w:val="none"/>
          <w:lang w:val="en-US" w:eastAsia="zh-CN" w:bidi="ar-SA"/>
        </w:rPr>
        <w:t>（十二）提升现代化疾控</w:t>
      </w:r>
      <w:bookmarkEnd w:id="119"/>
      <w:bookmarkEnd w:id="120"/>
      <w:bookmarkEnd w:id="121"/>
      <w:bookmarkEnd w:id="122"/>
      <w:r>
        <w:rPr>
          <w:rFonts w:hint="eastAsia" w:ascii="宋体" w:hAnsi="宋体" w:eastAsia="楷体_GB2312" w:cs="Times New Roman"/>
          <w:bCs/>
          <w:kern w:val="0"/>
          <w:sz w:val="32"/>
          <w:szCs w:val="27"/>
          <w:highlight w:val="none"/>
          <w:lang w:val="en-US" w:eastAsia="zh-CN" w:bidi="ar-SA"/>
        </w:rPr>
        <w:t>核心能力</w:t>
      </w:r>
      <w:bookmarkEnd w:id="123"/>
      <w:bookmarkEnd w:id="124"/>
      <w:bookmarkEnd w:id="125"/>
      <w:bookmarkEnd w:id="126"/>
      <w:bookmarkEnd w:id="127"/>
    </w:p>
    <w:p w14:paraId="4F8142A2">
      <w:pPr>
        <w:pStyle w:val="15"/>
        <w:widowControl/>
        <w:spacing w:beforeAutospacing="0" w:afterAutospacing="0"/>
        <w:ind w:firstLine="640" w:firstLineChars="200"/>
        <w:rPr>
          <w:rFonts w:hint="default"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cs="仿宋_GB2312"/>
          <w:color w:val="auto"/>
          <w:sz w:val="32"/>
          <w:szCs w:val="32"/>
          <w:highlight w:val="none"/>
          <w:shd w:val="clear" w:color="auto" w:fill="FFFFFF"/>
          <w:lang w:val="en-US" w:eastAsia="zh-CN"/>
        </w:rPr>
        <w:t>巩固联防联控机制，</w:t>
      </w:r>
      <w:r>
        <w:rPr>
          <w:rFonts w:hint="eastAsia" w:ascii="仿宋_GB2312" w:hAnsi="仿宋_GB2312" w:cs="仿宋_GB2312"/>
          <w:color w:val="auto"/>
          <w:sz w:val="32"/>
          <w:szCs w:val="32"/>
          <w:highlight w:val="none"/>
          <w:shd w:val="clear" w:color="auto" w:fill="FFFFFF"/>
        </w:rPr>
        <w:t>加强</w:t>
      </w:r>
      <w:r>
        <w:rPr>
          <w:rFonts w:hint="eastAsia" w:ascii="仿宋_GB2312" w:hAnsi="仿宋_GB2312" w:cs="仿宋_GB2312"/>
          <w:color w:val="auto"/>
          <w:sz w:val="32"/>
          <w:szCs w:val="32"/>
          <w:highlight w:val="none"/>
          <w:shd w:val="clear" w:color="auto" w:fill="FFFFFF"/>
          <w:lang w:val="en-US" w:eastAsia="zh-CN"/>
        </w:rPr>
        <w:t>疾控队伍建设</w:t>
      </w:r>
      <w:r>
        <w:rPr>
          <w:rFonts w:hint="eastAsia" w:ascii="仿宋_GB2312" w:hAnsi="仿宋_GB2312" w:cs="仿宋_GB2312"/>
          <w:color w:val="auto"/>
          <w:sz w:val="32"/>
          <w:szCs w:val="32"/>
          <w:highlight w:val="none"/>
          <w:shd w:val="clear" w:color="auto" w:fill="FFFFFF"/>
        </w:rPr>
        <w:t>。持续强化疾控中心核心能力建设，具备重点传染病病原基因测序能力，建立区级病媒生物检测中心，持续完善传染病智慧化多点触发监测预警平台功能</w:t>
      </w:r>
      <w:r>
        <w:rPr>
          <w:rFonts w:hint="eastAsia" w:ascii="仿宋_GB2312" w:hAnsi="仿宋_GB2312" w:cs="仿宋_GB2312"/>
          <w:color w:val="auto"/>
          <w:sz w:val="32"/>
          <w:szCs w:val="32"/>
          <w:highlight w:val="none"/>
          <w:shd w:val="clear" w:color="auto" w:fill="FFFFFF"/>
          <w:lang w:eastAsia="zh-CN"/>
        </w:rPr>
        <w:t>，</w:t>
      </w:r>
      <w:r>
        <w:rPr>
          <w:rFonts w:hint="eastAsia" w:ascii="仿宋_GB2312" w:hAnsi="仿宋_GB2312" w:cs="仿宋_GB2312"/>
          <w:color w:val="auto"/>
          <w:sz w:val="32"/>
          <w:szCs w:val="32"/>
          <w:highlight w:val="none"/>
          <w:shd w:val="clear" w:color="auto" w:fill="FFFFFF"/>
        </w:rPr>
        <w:t>加快构建快速高效监测预警体系。强化应急处置队伍建设，建立实名制区级流调和</w:t>
      </w:r>
      <w:r>
        <w:rPr>
          <w:rFonts w:ascii="仿宋_GB2312" w:hAnsi="仿宋_GB2312" w:cs="仿宋_GB2312"/>
          <w:color w:val="auto"/>
          <w:sz w:val="32"/>
          <w:szCs w:val="32"/>
          <w:highlight w:val="none"/>
          <w:shd w:val="clear" w:color="auto" w:fill="FFFFFF"/>
        </w:rPr>
        <w:t>PCR技术人员储备库，完善培训演练与应急调派机制。</w:t>
      </w:r>
      <w:r>
        <w:rPr>
          <w:rFonts w:hint="eastAsia" w:ascii="仿宋_GB2312" w:hAnsi="仿宋_GB2312" w:cs="仿宋_GB2312"/>
          <w:color w:val="auto"/>
          <w:sz w:val="32"/>
          <w:szCs w:val="32"/>
          <w:highlight w:val="none"/>
          <w:shd w:val="clear" w:color="auto" w:fill="FFFFFF"/>
        </w:rPr>
        <w:t>科学规范实施疫苗预防接种，动态优化免疫规划疫苗范围。发挥中医药在传染病防治中的作用。深化医防融合，完善联防处置机制，压实各级医疗机构疾控职责，健全疾控监督员制度，推进公卫医师处方权试点。</w:t>
      </w:r>
      <w:r>
        <w:rPr>
          <w:rFonts w:hint="eastAsia" w:ascii="仿宋_GB2312" w:hAnsi="仿宋_GB2312" w:cs="仿宋_GB2312"/>
          <w:color w:val="auto"/>
          <w:sz w:val="32"/>
          <w:szCs w:val="32"/>
          <w:highlight w:val="none"/>
          <w:shd w:val="clear" w:color="auto" w:fill="FFFFFF"/>
          <w:lang w:val="en-US" w:eastAsia="zh-CN"/>
        </w:rPr>
        <w:t>推动数智化疾控信息平台建设。</w:t>
      </w:r>
    </w:p>
    <w:p w14:paraId="48A9E4B4">
      <w:pPr>
        <w:pStyle w:val="4"/>
        <w:ind w:firstLine="640" w:firstLineChars="200"/>
        <w:outlineLvl w:val="1"/>
        <w:rPr>
          <w:rFonts w:hint="default"/>
          <w:color w:val="auto"/>
          <w:highlight w:val="none"/>
        </w:rPr>
      </w:pPr>
      <w:bookmarkStart w:id="128" w:name="_Toc31636"/>
      <w:bookmarkStart w:id="129" w:name="_Toc1773"/>
      <w:bookmarkStart w:id="130" w:name="_Toc15601"/>
      <w:bookmarkStart w:id="131" w:name="_Toc7682"/>
      <w:r>
        <w:rPr>
          <w:rFonts w:hint="eastAsia" w:ascii="宋体" w:hAnsi="宋体" w:eastAsia="楷体_GB2312" w:cs="Times New Roman"/>
          <w:bCs/>
          <w:kern w:val="0"/>
          <w:sz w:val="32"/>
          <w:szCs w:val="27"/>
          <w:highlight w:val="none"/>
          <w:lang w:val="en-US" w:eastAsia="zh-CN" w:bidi="ar-SA"/>
        </w:rPr>
        <w:t>（十三）</w:t>
      </w:r>
      <w:bookmarkEnd w:id="128"/>
      <w:r>
        <w:rPr>
          <w:rFonts w:hint="eastAsia" w:ascii="宋体" w:hAnsi="宋体" w:eastAsia="楷体_GB2312" w:cs="Times New Roman"/>
          <w:bCs/>
          <w:kern w:val="0"/>
          <w:sz w:val="32"/>
          <w:szCs w:val="27"/>
          <w:highlight w:val="none"/>
          <w:lang w:val="en-US" w:eastAsia="zh-CN" w:bidi="ar-SA"/>
        </w:rPr>
        <w:t>健全公卫应急体系建设</w:t>
      </w:r>
      <w:bookmarkEnd w:id="129"/>
      <w:bookmarkEnd w:id="130"/>
      <w:bookmarkEnd w:id="131"/>
    </w:p>
    <w:p w14:paraId="0AB7F0A1">
      <w:pPr>
        <w:shd w:val="clear"/>
        <w:ind w:firstLine="640" w:firstLineChars="200"/>
        <w:jc w:val="left"/>
        <w:rPr>
          <w:rFonts w:hint="eastAsia" w:ascii="仿宋_GB2312" w:hAnsi="仿宋_GB2312" w:cs="仿宋_GB2312"/>
          <w:color w:val="auto"/>
          <w:kern w:val="0"/>
          <w:szCs w:val="32"/>
          <w:highlight w:val="none"/>
          <w:shd w:val="clear" w:color="auto" w:fill="FFFFFF"/>
          <w:lang w:val="en-US" w:eastAsia="zh-CN"/>
        </w:rPr>
      </w:pPr>
      <w:r>
        <w:rPr>
          <w:rFonts w:hint="eastAsia" w:ascii="仿宋_GB2312" w:hAnsi="仿宋_GB2312" w:cs="仿宋_GB2312"/>
          <w:color w:val="auto"/>
          <w:kern w:val="0"/>
          <w:szCs w:val="32"/>
          <w:highlight w:val="none"/>
          <w:shd w:val="clear" w:color="auto" w:fill="FFFFFF"/>
          <w:lang w:val="en-US" w:eastAsia="zh-CN"/>
        </w:rPr>
        <w:t>进一步完善院前医疗急救网络布局，健全质控管理体系；持续开展院前医疗急救从业人员常态化培训；探索推进5G急救绿通项目落地；常态化开展社会急救能力建设。持续完善血液供需联动保障机制。推进中心血库标准化规范化建设，强化采供血人才队伍建设，科学优化采血点位布局，拓宽献血者招募渠道。健全应急响应与快速采血机制。严格落实质量控制标准</w:t>
      </w:r>
      <w:bookmarkStart w:id="250" w:name="_GoBack"/>
      <w:bookmarkEnd w:id="250"/>
      <w:r>
        <w:rPr>
          <w:rFonts w:hint="eastAsia" w:ascii="仿宋_GB2312" w:hAnsi="仿宋_GB2312" w:cs="仿宋_GB2312"/>
          <w:color w:val="auto"/>
          <w:kern w:val="0"/>
          <w:szCs w:val="32"/>
          <w:highlight w:val="none"/>
          <w:shd w:val="clear" w:color="auto" w:fill="FFFFFF"/>
          <w:lang w:val="en-US" w:eastAsia="zh-CN"/>
        </w:rPr>
        <w:t>。</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296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22" w:type="dxa"/>
            <w:noWrap w:val="0"/>
            <w:vAlign w:val="center"/>
          </w:tcPr>
          <w:p w14:paraId="3EA1F6BB">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outlineLvl w:val="9"/>
              <w:rPr>
                <w:rFonts w:hint="default" w:ascii="黑体" w:hAnsi="黑体" w:eastAsia="黑体" w:cs="黑体"/>
                <w:b w:val="0"/>
                <w:bCs w:val="0"/>
                <w:color w:val="auto"/>
                <w:sz w:val="24"/>
                <w:szCs w:val="24"/>
                <w:highlight w:val="none"/>
                <w:u w:val="none"/>
                <w:lang w:val="en-US" w:eastAsia="zh-CN"/>
              </w:rPr>
            </w:pPr>
            <w:bookmarkStart w:id="132" w:name="_Toc1594"/>
            <w:r>
              <w:rPr>
                <w:rFonts w:hint="eastAsia" w:ascii="黑体" w:hAnsi="黑体" w:eastAsia="黑体" w:cs="黑体"/>
                <w:b w:val="0"/>
                <w:bCs w:val="0"/>
                <w:color w:val="auto"/>
                <w:sz w:val="24"/>
                <w:szCs w:val="24"/>
                <w:highlight w:val="none"/>
                <w:u w:val="none"/>
              </w:rPr>
              <w:t>专栏</w:t>
            </w:r>
            <w:r>
              <w:rPr>
                <w:rFonts w:hint="eastAsia" w:ascii="黑体" w:hAnsi="黑体" w:eastAsia="黑体" w:cs="黑体"/>
                <w:b w:val="0"/>
                <w:bCs w:val="0"/>
                <w:color w:val="auto"/>
                <w:sz w:val="24"/>
                <w:szCs w:val="24"/>
                <w:highlight w:val="none"/>
                <w:u w:val="none"/>
                <w:lang w:val="en-US" w:eastAsia="zh-CN"/>
              </w:rPr>
              <w:t>3</w:t>
            </w:r>
            <w:r>
              <w:rPr>
                <w:rFonts w:hint="eastAsia" w:ascii="黑体" w:hAnsi="黑体" w:eastAsia="黑体" w:cs="黑体"/>
                <w:b w:val="0"/>
                <w:bCs w:val="0"/>
                <w:color w:val="auto"/>
                <w:sz w:val="24"/>
                <w:szCs w:val="24"/>
                <w:highlight w:val="none"/>
                <w:u w:val="none"/>
              </w:rPr>
              <w:t xml:space="preserve"> </w:t>
            </w:r>
            <w:r>
              <w:rPr>
                <w:rFonts w:hint="eastAsia" w:ascii="黑体" w:hAnsi="黑体" w:eastAsia="黑体" w:cs="黑体"/>
                <w:b w:val="0"/>
                <w:bCs w:val="0"/>
                <w:color w:val="auto"/>
                <w:sz w:val="24"/>
                <w:szCs w:val="24"/>
                <w:highlight w:val="none"/>
                <w:u w:val="none"/>
                <w:lang w:val="en-US" w:eastAsia="zh-CN"/>
              </w:rPr>
              <w:t>传染病监测能力提升工程</w:t>
            </w:r>
          </w:p>
        </w:tc>
      </w:tr>
      <w:tr w14:paraId="3521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522" w:type="dxa"/>
            <w:noWrap w:val="0"/>
            <w:vAlign w:val="center"/>
          </w:tcPr>
          <w:p w14:paraId="7A4339AA">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以数智赋能为驱动、以联防联控为支撑、以实战应对为根本，构建统一指挥、反应灵敏、运转高效、保障有力的传染病监测预警与应急处置指挥体系，健全监测预警、实验室支撑、风险评估、指挥调度、应急处置和资源保障六大环节。推动医疗机构监测预警前置软件落地应用，依托数据监测与智能分析，实现从被动报告向主动智能预警转变。推进疾控实验室提质扩容，更新增补专业检测设备，拓展病原检测品类，提升复杂、新发病原甄别能力。强化专项检测与部门信息协同，</w:t>
            </w:r>
            <w:r>
              <w:rPr>
                <w:rFonts w:hint="eastAsia" w:ascii="宋体" w:hAnsi="宋体" w:eastAsia="宋体" w:cs="宋体"/>
                <w:b w:val="0"/>
                <w:bCs w:val="0"/>
                <w:color w:val="auto"/>
                <w:sz w:val="24"/>
                <w:szCs w:val="24"/>
                <w:highlight w:val="none"/>
                <w:u w:val="none"/>
                <w:lang w:val="en-US" w:eastAsia="zh-CN"/>
              </w:rPr>
              <w:t>优化核酸检测实验室能力体系</w:t>
            </w:r>
            <w:r>
              <w:rPr>
                <w:rFonts w:hint="eastAsia" w:ascii="宋体" w:hAnsi="宋体" w:eastAsia="宋体" w:cs="宋体"/>
                <w:b w:val="0"/>
                <w:bCs w:val="0"/>
                <w:color w:val="auto"/>
                <w:sz w:val="24"/>
                <w:szCs w:val="24"/>
                <w:highlight w:val="none"/>
                <w:u w:val="none"/>
                <w:lang w:eastAsia="zh-CN"/>
              </w:rPr>
              <w:t>，搭建三大症候群快速筛查机制，提高基层筛查哨点水平，打通跨领域监测信息壁垒，整合共享全域数据，健全全域联动体系，全面释放区域传染病防控网络整体效能。</w:t>
            </w:r>
          </w:p>
        </w:tc>
      </w:tr>
    </w:tbl>
    <w:p w14:paraId="6252DE46">
      <w:pPr>
        <w:pStyle w:val="4"/>
        <w:ind w:firstLine="640" w:firstLineChars="200"/>
        <w:outlineLvl w:val="1"/>
        <w:rPr>
          <w:rFonts w:hint="default" w:ascii="宋体" w:hAnsi="宋体" w:eastAsia="楷体_GB2312" w:cs="Times New Roman"/>
          <w:bCs/>
          <w:kern w:val="0"/>
          <w:sz w:val="32"/>
          <w:szCs w:val="27"/>
          <w:highlight w:val="none"/>
          <w:lang w:val="en-US" w:eastAsia="zh-CN" w:bidi="ar-SA"/>
        </w:rPr>
      </w:pPr>
      <w:bookmarkStart w:id="133" w:name="_Toc22250"/>
      <w:bookmarkStart w:id="134" w:name="_Toc24672"/>
      <w:r>
        <w:rPr>
          <w:rFonts w:hint="eastAsia" w:ascii="宋体" w:hAnsi="宋体" w:eastAsia="楷体_GB2312" w:cs="Times New Roman"/>
          <w:bCs/>
          <w:kern w:val="0"/>
          <w:sz w:val="32"/>
          <w:szCs w:val="27"/>
          <w:highlight w:val="none"/>
          <w:lang w:val="en-US" w:eastAsia="zh-CN" w:bidi="ar-SA"/>
        </w:rPr>
        <w:t>（十四）完善精神卫生服务体系</w:t>
      </w:r>
      <w:bookmarkEnd w:id="132"/>
      <w:bookmarkEnd w:id="133"/>
      <w:bookmarkEnd w:id="134"/>
    </w:p>
    <w:p w14:paraId="32F7D192">
      <w:pPr>
        <w:pStyle w:val="7"/>
        <w:spacing w:after="0" w:line="560" w:lineRule="exact"/>
        <w:ind w:firstLine="640" w:firstLineChars="200"/>
        <w:rPr>
          <w:rFonts w:ascii="仿宋_GB2312" w:hAnsi="仿宋_GB2312" w:cs="仿宋_GB2312"/>
          <w:color w:val="auto"/>
          <w:szCs w:val="32"/>
          <w:highlight w:val="none"/>
        </w:rPr>
      </w:pPr>
      <w:r>
        <w:rPr>
          <w:rFonts w:hint="eastAsia" w:ascii="仿宋_GB2312" w:hAnsi="仿宋_GB2312" w:cs="仿宋_GB2312"/>
          <w:color w:val="auto"/>
          <w:szCs w:val="32"/>
          <w:highlight w:val="none"/>
          <w:shd w:val="clear"/>
        </w:rPr>
        <w:t>优化精神障碍患者服务管理</w:t>
      </w:r>
      <w:r>
        <w:rPr>
          <w:rFonts w:hint="eastAsia" w:ascii="仿宋_GB2312" w:hAnsi="仿宋_GB2312" w:cs="仿宋_GB2312"/>
          <w:color w:val="auto"/>
          <w:szCs w:val="32"/>
          <w:highlight w:val="none"/>
          <w:shd w:val="clear"/>
          <w:lang w:eastAsia="zh-CN"/>
        </w:rPr>
        <w:t>，</w:t>
      </w:r>
      <w:r>
        <w:rPr>
          <w:rFonts w:ascii="仿宋_GB2312" w:hAnsi="仿宋_GB2312" w:cs="仿宋_GB2312"/>
          <w:color w:val="auto"/>
          <w:szCs w:val="32"/>
          <w:highlight w:val="none"/>
          <w:shd w:val="clear"/>
        </w:rPr>
        <w:t>巩固严重精神障碍患者综合管理服务机制，持续强化与属地、公安等部门的协调配合，</w:t>
      </w:r>
      <w:r>
        <w:rPr>
          <w:rFonts w:hint="eastAsia" w:ascii="仿宋_GB2312" w:hAnsi="仿宋_GB2312" w:cs="仿宋_GB2312"/>
          <w:color w:val="auto"/>
          <w:szCs w:val="32"/>
          <w:highlight w:val="none"/>
          <w:shd w:val="clear"/>
        </w:rPr>
        <w:t>提升</w:t>
      </w:r>
      <w:r>
        <w:rPr>
          <w:rFonts w:ascii="仿宋_GB2312" w:hAnsi="仿宋_GB2312" w:cs="仿宋_GB2312"/>
          <w:color w:val="auto"/>
          <w:szCs w:val="32"/>
          <w:highlight w:val="none"/>
          <w:shd w:val="clear"/>
        </w:rPr>
        <w:t>规范管理率</w:t>
      </w:r>
      <w:r>
        <w:rPr>
          <w:rFonts w:hint="eastAsia" w:ascii="仿宋_GB2312" w:hAnsi="仿宋_GB2312" w:cs="仿宋_GB2312"/>
          <w:color w:val="auto"/>
          <w:szCs w:val="32"/>
          <w:highlight w:val="none"/>
          <w:shd w:val="clear"/>
        </w:rPr>
        <w:t>和</w:t>
      </w:r>
      <w:r>
        <w:rPr>
          <w:rFonts w:ascii="仿宋_GB2312" w:hAnsi="仿宋_GB2312" w:cs="仿宋_GB2312"/>
          <w:color w:val="auto"/>
          <w:szCs w:val="32"/>
          <w:highlight w:val="none"/>
          <w:shd w:val="clear"/>
        </w:rPr>
        <w:t>规范服药率。加大精</w:t>
      </w:r>
      <w:r>
        <w:rPr>
          <w:rFonts w:ascii="仿宋_GB2312" w:hAnsi="仿宋_GB2312" w:cs="仿宋_GB2312"/>
          <w:color w:val="auto"/>
          <w:szCs w:val="32"/>
          <w:highlight w:val="none"/>
        </w:rPr>
        <w:t>神康复</w:t>
      </w:r>
      <w:r>
        <w:rPr>
          <w:rFonts w:hint="eastAsia" w:ascii="仿宋_GB2312" w:hAnsi="仿宋_GB2312" w:cs="仿宋_GB2312"/>
          <w:color w:val="auto"/>
          <w:szCs w:val="32"/>
          <w:highlight w:val="none"/>
        </w:rPr>
        <w:t>和</w:t>
      </w:r>
      <w:r>
        <w:rPr>
          <w:rFonts w:ascii="仿宋_GB2312" w:hAnsi="仿宋_GB2312" w:cs="仿宋_GB2312"/>
          <w:color w:val="auto"/>
          <w:szCs w:val="32"/>
          <w:highlight w:val="none"/>
        </w:rPr>
        <w:t>心理问题干预治疗的支持力度，</w:t>
      </w:r>
      <w:r>
        <w:rPr>
          <w:rFonts w:hint="eastAsia" w:ascii="仿宋_GB2312" w:hAnsi="仿宋_GB2312" w:cs="仿宋_GB2312"/>
          <w:color w:val="auto"/>
          <w:szCs w:val="32"/>
          <w:highlight w:val="none"/>
        </w:rPr>
        <w:t>建立</w:t>
      </w:r>
      <w:r>
        <w:rPr>
          <w:rFonts w:ascii="仿宋_GB2312" w:hAnsi="仿宋_GB2312" w:cs="仿宋_GB2312"/>
          <w:color w:val="auto"/>
          <w:szCs w:val="32"/>
          <w:highlight w:val="none"/>
        </w:rPr>
        <w:t>社会心理服务中心和心理应急干预中心。</w:t>
      </w:r>
      <w:r>
        <w:rPr>
          <w:rFonts w:hint="eastAsia" w:ascii="仿宋_GB2312" w:hAnsi="仿宋_GB2312" w:cs="仿宋_GB2312"/>
          <w:color w:val="auto"/>
          <w:szCs w:val="32"/>
          <w:highlight w:val="none"/>
        </w:rPr>
        <w:t>完善区域儿童心理保健服务网络，提供全面、系统的儿童心理保健服务。聚焦心理健康服务体系建设，强化12356心理援助热线规范化运营，加快推动区级心理健康服务中心标准化建设。到2030年，实现乡镇（街道）心理健康服务全覆盖。</w:t>
      </w:r>
    </w:p>
    <w:p w14:paraId="6D22A2A0">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0"/>
        <w:rPr>
          <w:rFonts w:hint="eastAsia" w:ascii="黑体" w:hAnsi="黑体" w:eastAsia="黑体" w:cs="黑体"/>
          <w:b w:val="0"/>
          <w:bCs w:val="0"/>
          <w:color w:val="auto"/>
          <w:kern w:val="2"/>
          <w:sz w:val="32"/>
          <w:szCs w:val="32"/>
          <w:highlight w:val="none"/>
          <w:u w:val="none"/>
          <w:lang w:val="en-US" w:eastAsia="zh-CN" w:bidi="ar-SA"/>
        </w:rPr>
      </w:pPr>
      <w:bookmarkStart w:id="135" w:name="_Toc1348322595"/>
      <w:bookmarkStart w:id="136" w:name="_Toc927717793"/>
      <w:bookmarkStart w:id="137" w:name="_Toc579646717"/>
      <w:bookmarkStart w:id="138" w:name="_Toc632283411"/>
      <w:bookmarkStart w:id="139" w:name="_Toc31099"/>
      <w:bookmarkStart w:id="140" w:name="_Toc31542"/>
      <w:bookmarkStart w:id="141" w:name="_Toc11079"/>
      <w:bookmarkStart w:id="142" w:name="_Toc12137"/>
      <w:bookmarkStart w:id="143" w:name="_Toc8200"/>
      <w:r>
        <w:rPr>
          <w:rFonts w:hint="eastAsia" w:ascii="黑体" w:hAnsi="黑体" w:eastAsia="黑体" w:cs="黑体"/>
          <w:b w:val="0"/>
          <w:bCs w:val="0"/>
          <w:color w:val="auto"/>
          <w:kern w:val="2"/>
          <w:sz w:val="32"/>
          <w:szCs w:val="32"/>
          <w:highlight w:val="none"/>
          <w:u w:val="none"/>
          <w:lang w:val="en-US" w:eastAsia="zh-CN" w:bidi="ar-SA"/>
        </w:rPr>
        <w:t>七、实施</w:t>
      </w:r>
      <w:bookmarkEnd w:id="135"/>
      <w:bookmarkEnd w:id="136"/>
      <w:bookmarkEnd w:id="137"/>
      <w:r>
        <w:rPr>
          <w:rFonts w:hint="eastAsia" w:ascii="黑体" w:hAnsi="黑体" w:eastAsia="黑体" w:cs="黑体"/>
          <w:b w:val="0"/>
          <w:bCs w:val="0"/>
          <w:color w:val="auto"/>
          <w:kern w:val="2"/>
          <w:sz w:val="32"/>
          <w:szCs w:val="32"/>
          <w:highlight w:val="none"/>
          <w:u w:val="none"/>
          <w:lang w:val="en-US" w:eastAsia="zh-CN" w:bidi="ar-SA"/>
        </w:rPr>
        <w:t>“构建全生命周期健康服务网”行动</w:t>
      </w:r>
      <w:bookmarkEnd w:id="138"/>
      <w:bookmarkEnd w:id="139"/>
      <w:r>
        <w:rPr>
          <w:rFonts w:hint="eastAsia" w:ascii="黑体" w:hAnsi="黑体" w:eastAsia="黑体" w:cs="黑体"/>
          <w:b w:val="0"/>
          <w:bCs w:val="0"/>
          <w:color w:val="auto"/>
          <w:kern w:val="2"/>
          <w:sz w:val="32"/>
          <w:szCs w:val="32"/>
          <w:highlight w:val="none"/>
          <w:u w:val="none"/>
          <w:lang w:val="en-US" w:eastAsia="zh-CN" w:bidi="ar-SA"/>
        </w:rPr>
        <w:t>，打造全民健康保障新体系</w:t>
      </w:r>
      <w:bookmarkEnd w:id="140"/>
      <w:bookmarkEnd w:id="141"/>
      <w:bookmarkEnd w:id="142"/>
      <w:bookmarkEnd w:id="143"/>
    </w:p>
    <w:p w14:paraId="6D905949">
      <w:pPr>
        <w:pStyle w:val="4"/>
        <w:ind w:firstLine="640" w:firstLineChars="200"/>
        <w:outlineLvl w:val="1"/>
        <w:rPr>
          <w:rFonts w:hint="default" w:ascii="宋体" w:hAnsi="宋体" w:eastAsia="楷体_GB2312" w:cs="Times New Roman"/>
          <w:bCs/>
          <w:kern w:val="0"/>
          <w:sz w:val="32"/>
          <w:szCs w:val="27"/>
          <w:highlight w:val="none"/>
          <w:lang w:val="en-US" w:eastAsia="zh-CN" w:bidi="ar-SA"/>
        </w:rPr>
      </w:pPr>
      <w:bookmarkStart w:id="144" w:name="_Toc24125"/>
      <w:bookmarkStart w:id="145" w:name="_Toc19585"/>
      <w:bookmarkStart w:id="146" w:name="_Toc1038203321"/>
      <w:bookmarkStart w:id="147" w:name="_Toc15636"/>
      <w:bookmarkStart w:id="148" w:name="_Toc1421669731"/>
      <w:bookmarkStart w:id="149" w:name="_Toc1010411021"/>
      <w:bookmarkStart w:id="150" w:name="_Toc15501"/>
      <w:bookmarkStart w:id="151" w:name="_Toc1136549827"/>
      <w:bookmarkStart w:id="152" w:name="_Toc32039"/>
      <w:r>
        <w:rPr>
          <w:rFonts w:hint="eastAsia" w:ascii="宋体" w:hAnsi="宋体" w:eastAsia="楷体_GB2312" w:cs="Times New Roman"/>
          <w:bCs/>
          <w:kern w:val="0"/>
          <w:sz w:val="32"/>
          <w:szCs w:val="27"/>
          <w:highlight w:val="none"/>
          <w:lang w:val="en-US" w:eastAsia="zh-CN" w:bidi="ar-SA"/>
        </w:rPr>
        <w:t>（十五）完善“育有所助”的生育支持体系</w:t>
      </w:r>
      <w:bookmarkEnd w:id="144"/>
      <w:bookmarkEnd w:id="145"/>
      <w:bookmarkEnd w:id="146"/>
      <w:bookmarkEnd w:id="147"/>
      <w:bookmarkEnd w:id="148"/>
      <w:bookmarkEnd w:id="149"/>
      <w:bookmarkEnd w:id="150"/>
      <w:bookmarkEnd w:id="151"/>
      <w:bookmarkEnd w:id="152"/>
    </w:p>
    <w:p w14:paraId="388BEB01">
      <w:pPr>
        <w:pStyle w:val="7"/>
        <w:spacing w:after="0" w:line="560" w:lineRule="exact"/>
        <w:ind w:firstLine="640" w:firstLineChars="200"/>
        <w:rPr>
          <w:rFonts w:ascii="仿宋_GB2312" w:hAnsi="仿宋_GB2312" w:cs="仿宋_GB2312"/>
          <w:color w:val="auto"/>
          <w:szCs w:val="32"/>
          <w:highlight w:val="none"/>
        </w:rPr>
      </w:pPr>
      <w:r>
        <w:rPr>
          <w:rFonts w:ascii="仿宋_GB2312" w:hAnsi="仿宋_GB2312" w:cs="仿宋_GB2312"/>
          <w:color w:val="auto"/>
          <w:szCs w:val="32"/>
          <w:highlight w:val="none"/>
        </w:rPr>
        <w:t>推进婚俗改革，加强社会宣传，营造生育友好、家庭支持型社会氛围</w:t>
      </w:r>
      <w:r>
        <w:rPr>
          <w:rFonts w:hint="eastAsia" w:ascii="仿宋_GB2312" w:hAnsi="仿宋_GB2312" w:cs="仿宋_GB2312"/>
          <w:color w:val="auto"/>
          <w:szCs w:val="32"/>
          <w:highlight w:val="none"/>
        </w:rPr>
        <w:t>。发挥育儿补贴、个税抵扣等政策的综合作用，</w:t>
      </w:r>
      <w:r>
        <w:rPr>
          <w:rFonts w:hint="eastAsia" w:ascii="仿宋_GB2312"/>
          <w:color w:val="auto"/>
          <w:szCs w:val="32"/>
          <w:highlight w:val="none"/>
        </w:rPr>
        <w:t>持续推动生育保险和生育休假制度落实，深入推进计划生育家庭奖励扶助和特别扶助政策，加强计划生育特殊</w:t>
      </w:r>
      <w:r>
        <w:rPr>
          <w:rFonts w:hint="eastAsia" w:ascii="仿宋_GB2312"/>
          <w:color w:val="auto"/>
          <w:szCs w:val="32"/>
          <w:highlight w:val="none"/>
          <w:lang w:val="en-US" w:eastAsia="zh-CN"/>
        </w:rPr>
        <w:t>困难</w:t>
      </w:r>
      <w:r>
        <w:rPr>
          <w:rFonts w:hint="eastAsia" w:ascii="仿宋_GB2312"/>
          <w:color w:val="auto"/>
          <w:szCs w:val="32"/>
          <w:highlight w:val="none"/>
        </w:rPr>
        <w:t>家庭关爱帮扶</w:t>
      </w:r>
      <w:r>
        <w:rPr>
          <w:rFonts w:hint="eastAsia" w:ascii="仿宋_GB2312" w:hAnsi="仿宋_GB2312" w:cs="仿宋_GB2312"/>
          <w:color w:val="auto"/>
          <w:szCs w:val="32"/>
          <w:highlight w:val="none"/>
        </w:rPr>
        <w:t>。深入实施早孕关爱行动、出生缺陷防治能力提升计划，提高优生优育服务水平。健全完善救治转诊机制与流程</w:t>
      </w:r>
      <w:r>
        <w:rPr>
          <w:rFonts w:hint="eastAsia" w:ascii="仿宋_GB2312" w:hAnsi="仿宋_GB2312" w:cs="仿宋_GB2312"/>
          <w:color w:val="auto"/>
          <w:szCs w:val="32"/>
          <w:highlight w:val="none"/>
          <w:lang w:eastAsia="zh-CN"/>
        </w:rPr>
        <w:t>。</w:t>
      </w:r>
      <w:r>
        <w:rPr>
          <w:rFonts w:ascii="仿宋_GB2312" w:hAnsi="仿宋_GB2312" w:cs="仿宋_GB2312"/>
          <w:color w:val="auto"/>
          <w:szCs w:val="32"/>
          <w:highlight w:val="none"/>
        </w:rPr>
        <w:t>推动现代产房、妇女儿童</w:t>
      </w:r>
      <w:r>
        <w:rPr>
          <w:rFonts w:hint="eastAsia" w:ascii="仿宋_GB2312" w:hAnsi="仿宋_GB2312" w:cs="仿宋_GB2312"/>
          <w:color w:val="auto"/>
          <w:szCs w:val="32"/>
          <w:highlight w:val="none"/>
          <w:lang w:val="en-US" w:eastAsia="zh-CN"/>
        </w:rPr>
        <w:t>保健</w:t>
      </w:r>
      <w:r>
        <w:rPr>
          <w:rFonts w:ascii="仿宋_GB2312" w:hAnsi="仿宋_GB2312" w:cs="仿宋_GB2312"/>
          <w:color w:val="auto"/>
          <w:szCs w:val="32"/>
          <w:highlight w:val="none"/>
        </w:rPr>
        <w:t>规范化门诊建设</w:t>
      </w:r>
      <w:r>
        <w:rPr>
          <w:rFonts w:hint="eastAsia" w:ascii="仿宋_GB2312" w:hAnsi="仿宋_GB2312" w:cs="仿宋_GB2312"/>
          <w:color w:val="auto"/>
          <w:szCs w:val="32"/>
          <w:highlight w:val="none"/>
        </w:rPr>
        <w:t>。到2030年，生育友好医院在助产医疗机构的比例不低于90%。完善妇女全生命周期健康服务，加强乳腺、盆底等保健专科服务</w:t>
      </w:r>
      <w:r>
        <w:rPr>
          <w:rFonts w:hint="eastAsia" w:ascii="仿宋_GB2312" w:hAnsi="仿宋_GB2312" w:cs="仿宋_GB2312"/>
          <w:color w:val="auto"/>
          <w:szCs w:val="32"/>
          <w:highlight w:val="none"/>
          <w:lang w:eastAsia="zh-CN"/>
        </w:rPr>
        <w:t>，提升</w:t>
      </w:r>
      <w:r>
        <w:rPr>
          <w:rFonts w:ascii="仿宋_GB2312" w:hAnsi="仿宋_GB2312" w:cs="仿宋_GB2312"/>
          <w:color w:val="auto"/>
          <w:kern w:val="0"/>
          <w:szCs w:val="32"/>
          <w:highlight w:val="none"/>
          <w:shd w:val="clear" w:color="auto" w:fill="FFFFFF"/>
        </w:rPr>
        <w:t>妇女常见病综合防治能力</w:t>
      </w:r>
      <w:r>
        <w:rPr>
          <w:rFonts w:hint="eastAsia" w:ascii="仿宋_GB2312" w:hAnsi="仿宋_GB2312" w:cs="仿宋_GB2312"/>
          <w:color w:val="auto"/>
          <w:kern w:val="0"/>
          <w:szCs w:val="32"/>
          <w:highlight w:val="none"/>
          <w:shd w:val="clear" w:color="auto" w:fill="FFFFFF"/>
        </w:rPr>
        <w:t>，</w:t>
      </w:r>
      <w:r>
        <w:rPr>
          <w:rFonts w:hint="eastAsia" w:ascii="仿宋_GB2312" w:hAnsi="仿宋_GB2312" w:cs="仿宋_GB2312"/>
          <w:color w:val="auto"/>
          <w:szCs w:val="32"/>
          <w:highlight w:val="none"/>
        </w:rPr>
        <w:t>完成</w:t>
      </w:r>
      <w:r>
        <w:rPr>
          <w:rFonts w:ascii="仿宋_GB2312" w:hAnsi="仿宋_GB2312" w:cs="仿宋_GB2312"/>
          <w:color w:val="auto"/>
          <w:szCs w:val="32"/>
          <w:highlight w:val="none"/>
        </w:rPr>
        <w:t>两癌筛查等民生项目</w:t>
      </w:r>
      <w:r>
        <w:rPr>
          <w:rFonts w:hint="eastAsia" w:ascii="仿宋_GB2312" w:hAnsi="仿宋_GB2312" w:cs="仿宋_GB2312"/>
          <w:color w:val="auto"/>
          <w:szCs w:val="32"/>
          <w:highlight w:val="none"/>
        </w:rPr>
        <w:t>，</w:t>
      </w:r>
      <w:r>
        <w:rPr>
          <w:rFonts w:ascii="仿宋_GB2312" w:hAnsi="仿宋_GB2312" w:cs="仿宋_GB2312"/>
          <w:color w:val="auto"/>
          <w:szCs w:val="32"/>
          <w:highlight w:val="none"/>
        </w:rPr>
        <w:t>落实消除“艾、梅、乙”母婴传播</w:t>
      </w:r>
      <w:r>
        <w:rPr>
          <w:rFonts w:hint="eastAsia" w:ascii="仿宋_GB2312" w:hAnsi="仿宋_GB2312" w:cs="仿宋_GB2312"/>
          <w:color w:val="auto"/>
          <w:szCs w:val="32"/>
          <w:highlight w:val="none"/>
          <w:lang w:val="en-US" w:eastAsia="zh-CN"/>
        </w:rPr>
        <w:t>工作</w:t>
      </w:r>
      <w:r>
        <w:rPr>
          <w:rFonts w:hint="eastAsia" w:ascii="仿宋_GB2312" w:hAnsi="仿宋_GB2312" w:cs="仿宋_GB2312"/>
          <w:color w:val="auto"/>
          <w:szCs w:val="32"/>
          <w:highlight w:val="none"/>
          <w:lang w:eastAsia="zh-CN"/>
        </w:rPr>
        <w:t>。到</w:t>
      </w:r>
      <w:r>
        <w:rPr>
          <w:rFonts w:hint="eastAsia" w:ascii="仿宋_GB2312" w:hAnsi="仿宋_GB2312" w:cs="仿宋_GB2312"/>
          <w:color w:val="auto"/>
          <w:szCs w:val="32"/>
          <w:highlight w:val="none"/>
          <w:lang w:val="en-US" w:eastAsia="zh-CN"/>
        </w:rPr>
        <w:t>2030年底</w:t>
      </w:r>
      <w:r>
        <w:rPr>
          <w:rFonts w:hint="eastAsia" w:ascii="仿宋_GB2312" w:hAnsi="仿宋_GB2312" w:cs="仿宋_GB2312"/>
          <w:color w:val="auto"/>
          <w:szCs w:val="32"/>
          <w:highlight w:val="none"/>
        </w:rPr>
        <w:t>适龄妇女宫颈癌筛查率达到70%以上，乳腺癌人群筛查率逐步提高，子宫内膜癌筛查策略逐步完善。</w:t>
      </w:r>
    </w:p>
    <w:p w14:paraId="59682CC3">
      <w:pPr>
        <w:pStyle w:val="4"/>
        <w:ind w:firstLine="640" w:firstLineChars="200"/>
        <w:outlineLvl w:val="1"/>
        <w:rPr>
          <w:rFonts w:hint="default"/>
          <w:color w:val="auto"/>
          <w:highlight w:val="none"/>
        </w:rPr>
      </w:pPr>
      <w:bookmarkStart w:id="153" w:name="_Toc25052"/>
      <w:bookmarkStart w:id="154" w:name="_Toc778584172"/>
      <w:bookmarkStart w:id="155" w:name="_Toc22475"/>
      <w:bookmarkStart w:id="156" w:name="_Toc9743"/>
      <w:bookmarkStart w:id="157" w:name="_Toc23699"/>
      <w:bookmarkStart w:id="158" w:name="_Toc17894"/>
      <w:r>
        <w:rPr>
          <w:rFonts w:hint="eastAsia" w:ascii="宋体" w:hAnsi="宋体" w:eastAsia="楷体_GB2312" w:cs="Times New Roman"/>
          <w:bCs/>
          <w:kern w:val="0"/>
          <w:sz w:val="32"/>
          <w:szCs w:val="27"/>
          <w:highlight w:val="none"/>
          <w:lang w:val="en-US" w:eastAsia="zh-CN" w:bidi="ar-SA"/>
        </w:rPr>
        <w:t>（十六）筑牢“幼有善育”的起点关怀体系</w:t>
      </w:r>
      <w:bookmarkEnd w:id="153"/>
      <w:bookmarkEnd w:id="154"/>
      <w:bookmarkEnd w:id="155"/>
      <w:bookmarkEnd w:id="156"/>
      <w:bookmarkEnd w:id="157"/>
      <w:bookmarkEnd w:id="158"/>
    </w:p>
    <w:p w14:paraId="0607C8BE">
      <w:pPr>
        <w:pStyle w:val="7"/>
        <w:spacing w:after="0" w:line="560" w:lineRule="exact"/>
        <w:ind w:firstLine="640" w:firstLineChars="200"/>
        <w:rPr>
          <w:rFonts w:ascii="仿宋_GB2312" w:hAnsi="仿宋_GB2312" w:cs="仿宋_GB2312"/>
          <w:color w:val="auto"/>
          <w:kern w:val="0"/>
          <w:szCs w:val="32"/>
          <w:highlight w:val="none"/>
          <w:shd w:val="clear" w:color="auto" w:fill="FFFFFF"/>
        </w:rPr>
      </w:pPr>
      <w:r>
        <w:rPr>
          <w:rFonts w:hint="eastAsia"/>
          <w:color w:val="auto"/>
          <w:szCs w:val="32"/>
          <w:highlight w:val="none"/>
        </w:rPr>
        <w:t>聚焦“五健”能力提升</w:t>
      </w:r>
      <w:r>
        <w:rPr>
          <w:rFonts w:hint="eastAsia"/>
          <w:color w:val="auto"/>
          <w:szCs w:val="32"/>
          <w:highlight w:val="none"/>
          <w:lang w:eastAsia="zh-CN"/>
        </w:rPr>
        <w:t>，</w:t>
      </w:r>
      <w:r>
        <w:rPr>
          <w:rFonts w:hint="eastAsia"/>
          <w:color w:val="auto"/>
          <w:szCs w:val="32"/>
          <w:highlight w:val="none"/>
        </w:rPr>
        <w:t>完善儿童健康服务体系，促进儿童青少年体重、视力、心理、骨骼、口腔健康，</w:t>
      </w:r>
      <w:r>
        <w:rPr>
          <w:rFonts w:hint="eastAsia" w:ascii="仿宋_GB2312" w:hAnsi="仿宋_GB2312" w:eastAsia="仿宋_GB2312" w:cs="仿宋_GB2312"/>
          <w:color w:val="auto"/>
          <w:szCs w:val="32"/>
          <w:highlight w:val="none"/>
          <w:lang w:eastAsia="zh-CN"/>
        </w:rPr>
        <w:t>到</w:t>
      </w:r>
      <w:r>
        <w:rPr>
          <w:rFonts w:hint="eastAsia" w:ascii="仿宋_GB2312" w:hAnsi="仿宋_GB2312" w:eastAsia="仿宋_GB2312" w:cs="仿宋_GB2312"/>
          <w:color w:val="auto"/>
          <w:szCs w:val="32"/>
          <w:highlight w:val="none"/>
          <w:lang w:val="en-US" w:eastAsia="zh-CN"/>
        </w:rPr>
        <w:t>2030年底</w:t>
      </w:r>
      <w:r>
        <w:rPr>
          <w:rFonts w:hint="eastAsia" w:ascii="仿宋_GB2312" w:hAnsi="仿宋_GB2312" w:eastAsia="仿宋_GB2312" w:cs="仿宋_GB2312"/>
          <w:color w:val="auto"/>
          <w:szCs w:val="32"/>
          <w:highlight w:val="none"/>
        </w:rPr>
        <w:t>7岁以下儿童健康服务率保持在99%以上</w:t>
      </w:r>
      <w:r>
        <w:rPr>
          <w:rFonts w:hint="eastAsia" w:ascii="仿宋_GB2312" w:hAnsi="仿宋_GB2312" w:eastAsia="仿宋_GB2312" w:cs="仿宋_GB2312"/>
          <w:color w:val="auto"/>
          <w:kern w:val="0"/>
          <w:szCs w:val="32"/>
          <w:highlight w:val="none"/>
          <w:shd w:val="clear" w:color="auto" w:fill="FFFFFF"/>
        </w:rPr>
        <w:t>。</w:t>
      </w:r>
      <w:r>
        <w:rPr>
          <w:rFonts w:hint="eastAsia" w:ascii="仿宋_GB2312" w:hAnsi="仿宋_GB2312" w:eastAsia="仿宋_GB2312" w:cs="仿宋_GB2312"/>
          <w:color w:val="auto"/>
          <w:szCs w:val="32"/>
          <w:highlight w:val="none"/>
        </w:rPr>
        <w:t>完成新生儿听力筛查、儿童健康体检等民生项目。发展医育结合服务，加强科学育儿指导。加强儿童心理行为发育监测和健康指导，推进0-6岁儿童孤独症筛查干</w:t>
      </w:r>
      <w:r>
        <w:rPr>
          <w:rFonts w:hint="eastAsia"/>
          <w:color w:val="auto"/>
          <w:szCs w:val="32"/>
          <w:highlight w:val="none"/>
        </w:rPr>
        <w:t>预服务。实施促进学生身心健康工程，将学生心理健康教育贯穿德育思政工作全过程，深化医教协同，加强各阶段的儿童青少年心理健康教育、心理辅导和心理支持。</w:t>
      </w:r>
    </w:p>
    <w:p w14:paraId="2F3E8708">
      <w:pPr>
        <w:pStyle w:val="4"/>
        <w:ind w:firstLine="640" w:firstLineChars="200"/>
        <w:outlineLvl w:val="1"/>
        <w:rPr>
          <w:rFonts w:hint="default"/>
          <w:color w:val="auto"/>
          <w:highlight w:val="none"/>
        </w:rPr>
      </w:pPr>
      <w:bookmarkStart w:id="159" w:name="_Toc24944"/>
      <w:bookmarkStart w:id="160" w:name="_Toc12344"/>
      <w:bookmarkStart w:id="161" w:name="_Toc32279"/>
      <w:bookmarkStart w:id="162" w:name="_Toc1046317633"/>
      <w:bookmarkStart w:id="163" w:name="_Toc24671"/>
      <w:bookmarkStart w:id="164" w:name="_Toc12927"/>
      <w:r>
        <w:rPr>
          <w:rFonts w:hint="eastAsia" w:ascii="宋体" w:hAnsi="宋体" w:eastAsia="楷体_GB2312" w:cs="Times New Roman"/>
          <w:bCs/>
          <w:kern w:val="0"/>
          <w:sz w:val="32"/>
          <w:szCs w:val="27"/>
          <w:highlight w:val="none"/>
          <w:lang w:val="en-US" w:eastAsia="zh-CN" w:bidi="ar-SA"/>
        </w:rPr>
        <w:t>（十七）健全“老有颐养”的晚年幸福体系</w:t>
      </w:r>
      <w:bookmarkEnd w:id="159"/>
      <w:bookmarkEnd w:id="160"/>
      <w:bookmarkEnd w:id="161"/>
      <w:bookmarkEnd w:id="162"/>
      <w:bookmarkEnd w:id="163"/>
      <w:bookmarkEnd w:id="164"/>
    </w:p>
    <w:p w14:paraId="33F63CA2">
      <w:pPr>
        <w:pStyle w:val="7"/>
        <w:spacing w:after="0" w:line="560" w:lineRule="exact"/>
        <w:ind w:firstLine="640" w:firstLineChars="200"/>
        <w:rPr>
          <w:rFonts w:ascii="仿宋_GB2312" w:hAnsi="仿宋_GB2312" w:cs="仿宋_GB2312"/>
          <w:color w:val="auto"/>
          <w:kern w:val="0"/>
          <w:szCs w:val="32"/>
          <w:highlight w:val="none"/>
          <w:shd w:val="clear" w:color="auto" w:fill="FFFFFF"/>
        </w:rPr>
      </w:pPr>
      <w:r>
        <w:rPr>
          <w:rFonts w:hint="eastAsia" w:ascii="仿宋_GB2312" w:hAnsi="仿宋_GB2312" w:cs="仿宋_GB2312"/>
          <w:color w:val="auto"/>
          <w:szCs w:val="32"/>
          <w:highlight w:val="none"/>
        </w:rPr>
        <w:t>针对老年人口腔、心理、营养、</w:t>
      </w:r>
      <w:r>
        <w:rPr>
          <w:rFonts w:hint="eastAsia" w:ascii="仿宋_GB2312" w:hAnsi="仿宋_GB2312" w:cs="仿宋_GB2312"/>
          <w:color w:val="auto"/>
          <w:szCs w:val="32"/>
          <w:highlight w:val="none"/>
          <w:lang w:val="en-US" w:eastAsia="zh-CN"/>
        </w:rPr>
        <w:t>脑健康</w:t>
      </w:r>
      <w:r>
        <w:rPr>
          <w:rFonts w:hint="eastAsia" w:ascii="仿宋_GB2312" w:hAnsi="仿宋_GB2312" w:cs="仿宋_GB2312"/>
          <w:color w:val="auto"/>
          <w:szCs w:val="32"/>
          <w:highlight w:val="none"/>
        </w:rPr>
        <w:t>、听力等开展健康促进专项行动，加强老年人合理用药指导。构建覆盖“全生命周期”的全链条服务体系</w:t>
      </w:r>
      <w:r>
        <w:rPr>
          <w:rFonts w:hint="eastAsia" w:ascii="仿宋_GB2312"/>
          <w:bCs/>
          <w:color w:val="auto"/>
          <w:szCs w:val="32"/>
          <w:highlight w:val="none"/>
        </w:rPr>
        <w:t>。</w:t>
      </w:r>
      <w:r>
        <w:rPr>
          <w:rFonts w:hint="eastAsia" w:ascii="仿宋_GB2312"/>
          <w:bCs/>
          <w:color w:val="auto"/>
          <w:szCs w:val="32"/>
          <w:highlight w:val="none"/>
          <w:lang w:val="en-US" w:eastAsia="zh-CN"/>
        </w:rPr>
        <w:t>发挥</w:t>
      </w:r>
      <w:r>
        <w:rPr>
          <w:rFonts w:hint="eastAsia" w:ascii="仿宋_GB2312" w:hAnsi="仿宋_GB2312" w:cs="仿宋_GB2312"/>
          <w:color w:val="auto"/>
          <w:kern w:val="0"/>
          <w:szCs w:val="32"/>
          <w:highlight w:val="none"/>
          <w:shd w:val="clear" w:color="auto" w:fill="FFFFFF"/>
        </w:rPr>
        <w:t>区老年健康和医养结合指导中心</w:t>
      </w:r>
      <w:r>
        <w:rPr>
          <w:rFonts w:hint="eastAsia" w:ascii="仿宋_GB2312" w:hAnsi="仿宋_GB2312" w:cs="仿宋_GB2312"/>
          <w:color w:val="auto"/>
          <w:kern w:val="0"/>
          <w:szCs w:val="32"/>
          <w:highlight w:val="none"/>
          <w:shd w:val="clear" w:color="auto" w:fill="FFFFFF"/>
          <w:lang w:val="en-US" w:eastAsia="zh-CN"/>
        </w:rPr>
        <w:t>指导作用，夯实“老年病医院</w:t>
      </w:r>
      <w:r>
        <w:rPr>
          <w:rFonts w:ascii="仿宋_GB2312" w:hAnsi="仿宋_GB2312" w:cs="仿宋_GB2312"/>
          <w:color w:val="auto"/>
          <w:kern w:val="0"/>
          <w:szCs w:val="32"/>
          <w:highlight w:val="none"/>
          <w:shd w:val="clear" w:color="auto" w:fill="FFFFFF"/>
        </w:rPr>
        <w:t>-医疗机构老年病科-基层</w:t>
      </w:r>
      <w:r>
        <w:rPr>
          <w:rFonts w:hint="eastAsia" w:ascii="仿宋_GB2312" w:hAnsi="仿宋_GB2312" w:cs="仿宋_GB2312"/>
          <w:color w:val="auto"/>
          <w:kern w:val="0"/>
          <w:szCs w:val="32"/>
          <w:highlight w:val="none"/>
          <w:shd w:val="clear" w:color="auto" w:fill="FFFFFF"/>
          <w:lang w:val="en-US" w:eastAsia="zh-CN"/>
        </w:rPr>
        <w:t>规范化门诊”</w:t>
      </w:r>
      <w:r>
        <w:rPr>
          <w:rFonts w:ascii="仿宋_GB2312" w:hAnsi="仿宋_GB2312" w:cs="仿宋_GB2312"/>
          <w:color w:val="auto"/>
          <w:kern w:val="0"/>
          <w:szCs w:val="32"/>
          <w:highlight w:val="none"/>
          <w:shd w:val="clear" w:color="auto" w:fill="FFFFFF"/>
        </w:rPr>
        <w:t>三级网络</w:t>
      </w:r>
      <w:r>
        <w:rPr>
          <w:rFonts w:hint="eastAsia" w:ascii="仿宋_GB2312" w:hAnsi="仿宋_GB2312" w:cs="仿宋_GB2312"/>
          <w:color w:val="auto"/>
          <w:kern w:val="0"/>
          <w:szCs w:val="32"/>
          <w:highlight w:val="none"/>
          <w:shd w:val="clear" w:color="auto" w:fill="FFFFFF"/>
        </w:rPr>
        <w:t>，</w:t>
      </w:r>
      <w:r>
        <w:rPr>
          <w:rFonts w:hint="eastAsia" w:ascii="仿宋_GB2312" w:hAnsi="仿宋_GB2312" w:cs="仿宋_GB2312"/>
          <w:color w:val="auto"/>
          <w:kern w:val="0"/>
          <w:szCs w:val="32"/>
          <w:highlight w:val="none"/>
          <w:shd w:val="clear" w:color="auto" w:fill="FFFFFF"/>
          <w:lang w:val="en-US" w:eastAsia="zh-CN"/>
        </w:rPr>
        <w:t>发挥</w:t>
      </w:r>
      <w:r>
        <w:rPr>
          <w:rFonts w:ascii="仿宋_GB2312" w:hAnsi="仿宋_GB2312" w:cs="仿宋_GB2312"/>
          <w:color w:val="auto"/>
          <w:kern w:val="0"/>
          <w:szCs w:val="32"/>
          <w:highlight w:val="none"/>
          <w:shd w:val="clear" w:color="auto" w:fill="FFFFFF"/>
        </w:rPr>
        <w:t>医疗机构</w:t>
      </w:r>
      <w:r>
        <w:rPr>
          <w:rFonts w:hint="eastAsia" w:ascii="仿宋_GB2312" w:hAnsi="仿宋_GB2312" w:cs="仿宋_GB2312"/>
          <w:color w:val="auto"/>
          <w:kern w:val="0"/>
          <w:szCs w:val="32"/>
          <w:highlight w:val="none"/>
          <w:shd w:val="clear" w:color="auto" w:fill="FFFFFF"/>
          <w:lang w:eastAsia="zh-CN"/>
        </w:rPr>
        <w:t>尤其是二级以上医院</w:t>
      </w:r>
      <w:r>
        <w:rPr>
          <w:rFonts w:ascii="仿宋_GB2312" w:hAnsi="仿宋_GB2312" w:cs="仿宋_GB2312"/>
          <w:color w:val="auto"/>
          <w:kern w:val="0"/>
          <w:szCs w:val="32"/>
          <w:highlight w:val="none"/>
          <w:shd w:val="clear" w:color="auto" w:fill="FFFFFF"/>
        </w:rPr>
        <w:t>老年病科与康复科骨干支撑</w:t>
      </w:r>
      <w:r>
        <w:rPr>
          <w:rFonts w:hint="eastAsia" w:ascii="仿宋_GB2312" w:hAnsi="仿宋_GB2312" w:cs="仿宋_GB2312"/>
          <w:color w:val="auto"/>
          <w:kern w:val="0"/>
          <w:szCs w:val="32"/>
          <w:highlight w:val="none"/>
          <w:shd w:val="clear" w:color="auto" w:fill="FFFFFF"/>
          <w:lang w:eastAsia="zh-CN"/>
        </w:rPr>
        <w:t>职能</w:t>
      </w:r>
      <w:r>
        <w:rPr>
          <w:rFonts w:ascii="仿宋_GB2312" w:hAnsi="仿宋_GB2312" w:cs="仿宋_GB2312"/>
          <w:color w:val="auto"/>
          <w:kern w:val="0"/>
          <w:szCs w:val="32"/>
          <w:highlight w:val="none"/>
          <w:shd w:val="clear" w:color="auto" w:fill="FFFFFF"/>
        </w:rPr>
        <w:t>，</w:t>
      </w:r>
      <w:r>
        <w:rPr>
          <w:rFonts w:hint="eastAsia" w:ascii="仿宋_GB2312" w:hAnsi="仿宋_GB2312" w:cs="仿宋_GB2312"/>
          <w:color w:val="auto"/>
          <w:kern w:val="0"/>
          <w:szCs w:val="32"/>
          <w:highlight w:val="none"/>
          <w:shd w:val="clear" w:color="auto" w:fill="FFFFFF"/>
        </w:rPr>
        <w:t>推动</w:t>
      </w:r>
      <w:r>
        <w:rPr>
          <w:rFonts w:ascii="仿宋_GB2312" w:hAnsi="仿宋_GB2312" w:cs="仿宋_GB2312"/>
          <w:color w:val="auto"/>
          <w:kern w:val="0"/>
          <w:szCs w:val="32"/>
          <w:highlight w:val="none"/>
          <w:shd w:val="clear" w:color="auto" w:fill="FFFFFF"/>
        </w:rPr>
        <w:t>11家社区卫生服务中心逐步开设老年病和康复专科，</w:t>
      </w:r>
      <w:r>
        <w:rPr>
          <w:rFonts w:hint="eastAsia" w:ascii="仿宋_GB2312" w:hAnsi="仿宋_GB2312" w:cs="仿宋_GB2312"/>
          <w:color w:val="auto"/>
          <w:kern w:val="0"/>
          <w:szCs w:val="32"/>
          <w:highlight w:val="none"/>
          <w:shd w:val="clear" w:color="auto" w:fill="FFFFFF"/>
          <w:lang w:eastAsia="zh-CN"/>
        </w:rPr>
        <w:t>“</w:t>
      </w:r>
      <w:r>
        <w:rPr>
          <w:rFonts w:ascii="仿宋_GB2312" w:hAnsi="仿宋_GB2312" w:cs="仿宋_GB2312"/>
          <w:color w:val="auto"/>
          <w:kern w:val="0"/>
          <w:szCs w:val="32"/>
          <w:highlight w:val="none"/>
          <w:shd w:val="clear" w:color="auto" w:fill="FFFFFF"/>
        </w:rPr>
        <w:t>十五五”期间65岁以上老年人</w:t>
      </w:r>
      <w:r>
        <w:rPr>
          <w:rFonts w:hint="eastAsia" w:ascii="仿宋_GB2312" w:hAnsi="仿宋_GB2312" w:cs="仿宋_GB2312"/>
          <w:color w:val="auto"/>
          <w:kern w:val="0"/>
          <w:szCs w:val="32"/>
          <w:highlight w:val="none"/>
          <w:shd w:val="clear" w:color="auto" w:fill="FFFFFF"/>
          <w:lang w:val="en-US" w:eastAsia="zh-CN"/>
        </w:rPr>
        <w:t>城乡社区</w:t>
      </w:r>
      <w:r>
        <w:rPr>
          <w:rFonts w:ascii="仿宋_GB2312" w:hAnsi="仿宋_GB2312" w:cs="仿宋_GB2312"/>
          <w:color w:val="auto"/>
          <w:kern w:val="0"/>
          <w:szCs w:val="32"/>
          <w:highlight w:val="none"/>
          <w:shd w:val="clear" w:color="auto" w:fill="FFFFFF"/>
        </w:rPr>
        <w:t>规范化健康管理率逐年提升。提升东辛房社区卫生服务中心作为区域老年护理中心和北京市老年健康示范基地的服务能力。增加上门</w:t>
      </w:r>
      <w:r>
        <w:rPr>
          <w:rFonts w:hint="eastAsia" w:ascii="仿宋_GB2312" w:hAnsi="仿宋_GB2312" w:cs="仿宋_GB2312"/>
          <w:color w:val="auto"/>
          <w:kern w:val="0"/>
          <w:szCs w:val="32"/>
          <w:highlight w:val="none"/>
          <w:shd w:val="clear" w:color="auto" w:fill="FFFFFF"/>
          <w:lang w:eastAsia="zh-CN"/>
        </w:rPr>
        <w:t>医疗</w:t>
      </w:r>
      <w:r>
        <w:rPr>
          <w:rFonts w:ascii="仿宋_GB2312" w:hAnsi="仿宋_GB2312" w:cs="仿宋_GB2312"/>
          <w:color w:val="auto"/>
          <w:kern w:val="0"/>
          <w:szCs w:val="32"/>
          <w:highlight w:val="none"/>
          <w:shd w:val="clear" w:color="auto" w:fill="FFFFFF"/>
        </w:rPr>
        <w:t>服务供给</w:t>
      </w:r>
      <w:r>
        <w:rPr>
          <w:rFonts w:hint="eastAsia" w:ascii="仿宋_GB2312" w:hAnsi="仿宋_GB2312" w:cs="仿宋_GB2312"/>
          <w:color w:val="auto"/>
          <w:kern w:val="0"/>
          <w:szCs w:val="32"/>
          <w:highlight w:val="none"/>
          <w:shd w:val="clear" w:color="auto" w:fill="FFFFFF"/>
        </w:rPr>
        <w:t>，制定上门服务清单和标准</w:t>
      </w:r>
      <w:r>
        <w:rPr>
          <w:rFonts w:ascii="仿宋_GB2312" w:hAnsi="仿宋_GB2312" w:cs="仿宋_GB2312"/>
          <w:color w:val="auto"/>
          <w:kern w:val="0"/>
          <w:szCs w:val="32"/>
          <w:highlight w:val="none"/>
          <w:shd w:val="clear" w:color="auto" w:fill="FFFFFF"/>
        </w:rPr>
        <w:t>。</w:t>
      </w:r>
      <w:r>
        <w:rPr>
          <w:rFonts w:hint="eastAsia" w:ascii="仿宋_GB2312"/>
          <w:color w:val="auto"/>
          <w:szCs w:val="32"/>
          <w:highlight w:val="none"/>
        </w:rPr>
        <w:t>开展老年营养、防跌倒、</w:t>
      </w:r>
      <w:r>
        <w:rPr>
          <w:rFonts w:hint="eastAsia" w:ascii="仿宋_GB2312"/>
          <w:color w:val="auto"/>
          <w:szCs w:val="32"/>
          <w:highlight w:val="none"/>
          <w:lang w:eastAsia="zh-CN"/>
        </w:rPr>
        <w:t>慢性病</w:t>
      </w:r>
      <w:r>
        <w:rPr>
          <w:rFonts w:hint="eastAsia" w:ascii="仿宋_GB2312"/>
          <w:color w:val="auto"/>
          <w:szCs w:val="32"/>
          <w:highlight w:val="none"/>
        </w:rPr>
        <w:t>自我管理等健康教育活动，打造“健康教育—预防保健—疾病诊治—康复护理—长期照护—安宁疗护”全周期健康服务链。到2027年底，符合条件且具备意愿的医养结合机构原则上均纳入医联体合作范畴</w:t>
      </w:r>
      <w:r>
        <w:rPr>
          <w:rFonts w:hint="eastAsia" w:ascii="仿宋_GB2312" w:hAnsi="仿宋_GB2312" w:cs="仿宋_GB2312"/>
          <w:color w:val="auto"/>
          <w:kern w:val="0"/>
          <w:szCs w:val="32"/>
          <w:highlight w:val="none"/>
          <w:shd w:val="clear" w:color="auto" w:fill="FFFFFF"/>
        </w:rPr>
        <w:t>。</w:t>
      </w:r>
      <w:r>
        <w:rPr>
          <w:rFonts w:hint="eastAsia"/>
          <w:color w:val="auto"/>
          <w:lang w:val="en-US" w:eastAsia="zh-CN"/>
        </w:rPr>
        <w:t>提升中医院作为区域安宁疗护中心的指导和示范作用，引领各社区卫生服务中心开展安宁疗护服务。</w:t>
      </w:r>
    </w:p>
    <w:p w14:paraId="4929B881">
      <w:pPr>
        <w:pStyle w:val="4"/>
        <w:ind w:firstLine="640" w:firstLineChars="200"/>
        <w:outlineLvl w:val="1"/>
        <w:rPr>
          <w:rFonts w:hint="default"/>
          <w:color w:val="auto"/>
          <w:highlight w:val="none"/>
        </w:rPr>
      </w:pPr>
      <w:bookmarkStart w:id="165" w:name="_Toc6790"/>
      <w:bookmarkStart w:id="166" w:name="_Toc1864356195"/>
      <w:bookmarkStart w:id="167" w:name="_Toc8787"/>
      <w:bookmarkStart w:id="168" w:name="_Toc4861"/>
      <w:bookmarkStart w:id="169" w:name="_Toc3946"/>
      <w:bookmarkStart w:id="170" w:name="_Toc25744"/>
      <w:r>
        <w:rPr>
          <w:rFonts w:hint="eastAsia" w:ascii="宋体" w:hAnsi="宋体" w:eastAsia="楷体_GB2312" w:cs="Times New Roman"/>
          <w:bCs/>
          <w:kern w:val="0"/>
          <w:sz w:val="32"/>
          <w:szCs w:val="27"/>
          <w:highlight w:val="none"/>
          <w:lang w:val="en-US" w:eastAsia="zh-CN" w:bidi="ar-SA"/>
        </w:rPr>
        <w:t>（十八</w:t>
      </w:r>
      <w:r>
        <w:rPr>
          <w:rFonts w:hint="default" w:ascii="宋体" w:hAnsi="宋体" w:eastAsia="楷体_GB2312" w:cs="Times New Roman"/>
          <w:bCs/>
          <w:kern w:val="0"/>
          <w:sz w:val="32"/>
          <w:szCs w:val="27"/>
          <w:highlight w:val="none"/>
          <w:lang w:val="en-US" w:eastAsia="zh-CN" w:bidi="ar-SA"/>
        </w:rPr>
        <w:t>）筑牢“弱有所扶”的普惠保障体系</w:t>
      </w:r>
      <w:bookmarkEnd w:id="165"/>
      <w:bookmarkEnd w:id="166"/>
      <w:bookmarkEnd w:id="167"/>
      <w:bookmarkEnd w:id="168"/>
      <w:bookmarkEnd w:id="169"/>
      <w:bookmarkEnd w:id="170"/>
    </w:p>
    <w:p w14:paraId="467550C4">
      <w:pPr>
        <w:pStyle w:val="7"/>
        <w:spacing w:after="0" w:line="560" w:lineRule="exact"/>
        <w:ind w:firstLine="643" w:firstLineChars="200"/>
        <w:rPr>
          <w:rFonts w:hint="eastAsia"/>
          <w:color w:val="auto"/>
          <w:szCs w:val="32"/>
          <w:highlight w:val="yellow"/>
        </w:rPr>
      </w:pPr>
      <w:r>
        <w:rPr>
          <w:rFonts w:ascii="仿宋_GB2312" w:hAnsi="仿宋_GB2312" w:cs="仿宋_GB2312"/>
          <w:b/>
          <w:bCs/>
          <w:color w:val="auto"/>
          <w:szCs w:val="32"/>
          <w:highlight w:val="none"/>
        </w:rPr>
        <w:t>构建</w:t>
      </w:r>
      <w:r>
        <w:rPr>
          <w:rFonts w:hint="eastAsia" w:ascii="仿宋_GB2312" w:hAnsi="仿宋_GB2312" w:cs="仿宋_GB2312"/>
          <w:b/>
          <w:bCs/>
          <w:color w:val="auto"/>
          <w:szCs w:val="32"/>
          <w:highlight w:val="none"/>
        </w:rPr>
        <w:t>职业病防控屏障。</w:t>
      </w:r>
      <w:r>
        <w:rPr>
          <w:rFonts w:hint="eastAsia" w:ascii="仿宋_GB2312" w:hAnsi="仿宋_GB2312" w:cs="仿宋_GB2312"/>
          <w:color w:val="auto"/>
          <w:szCs w:val="32"/>
          <w:highlight w:val="none"/>
        </w:rPr>
        <w:t>持续推进重点行业职业病危害专项治理，开展中小微企业帮扶行动，改善作业环境和条件。巩固职业卫生、放射卫生监测网络，对风险隐患实施闭环管理。加强区级公立支撑机构能力建设，加强技术服务机构、健康检查机构、职业病诊断机构</w:t>
      </w:r>
      <w:r>
        <w:rPr>
          <w:rFonts w:hint="eastAsia" w:ascii="仿宋_GB2312" w:hAnsi="仿宋_GB2312" w:cs="仿宋_GB2312"/>
          <w:color w:val="auto"/>
          <w:szCs w:val="32"/>
          <w:highlight w:val="none"/>
          <w:lang w:eastAsia="zh-CN"/>
        </w:rPr>
        <w:t>及新型产业</w:t>
      </w:r>
      <w:r>
        <w:rPr>
          <w:rFonts w:hint="eastAsia" w:ascii="仿宋_GB2312" w:hAnsi="仿宋_GB2312" w:cs="仿宋_GB2312"/>
          <w:color w:val="auto"/>
          <w:szCs w:val="32"/>
          <w:highlight w:val="none"/>
        </w:rPr>
        <w:t>质量监管。加强新型产业、新业态职业病危害因素识别和风险评估，健全肌肉骨骼疾病、心</w:t>
      </w:r>
      <w:r>
        <w:rPr>
          <w:rFonts w:hint="eastAsia" w:ascii="仿宋_GB2312" w:hAnsi="仿宋_GB2312" w:cs="仿宋_GB2312"/>
          <w:color w:val="auto"/>
          <w:szCs w:val="32"/>
          <w:highlight w:val="none"/>
          <w:lang w:val="en-US" w:eastAsia="zh-CN"/>
        </w:rPr>
        <w:t>理</w:t>
      </w:r>
      <w:r>
        <w:rPr>
          <w:rFonts w:hint="eastAsia" w:ascii="仿宋_GB2312" w:hAnsi="仿宋_GB2312" w:cs="仿宋_GB2312"/>
          <w:color w:val="auto"/>
          <w:szCs w:val="32"/>
          <w:highlight w:val="none"/>
        </w:rPr>
        <w:t>紧张等工作相关疾病综合防控策略和干预措施。</w:t>
      </w:r>
      <w:r>
        <w:rPr>
          <w:rFonts w:ascii="仿宋_GB2312" w:hAnsi="仿宋_GB2312" w:cs="仿宋_GB2312"/>
          <w:b/>
          <w:bCs/>
          <w:color w:val="auto"/>
          <w:szCs w:val="32"/>
          <w:highlight w:val="none"/>
        </w:rPr>
        <w:t>加强残疾人健康保障</w:t>
      </w:r>
      <w:r>
        <w:rPr>
          <w:rFonts w:hint="eastAsia" w:ascii="仿宋_GB2312" w:hAnsi="仿宋_GB2312" w:cs="仿宋_GB2312"/>
          <w:b/>
          <w:bCs/>
          <w:color w:val="auto"/>
          <w:szCs w:val="32"/>
          <w:highlight w:val="none"/>
        </w:rPr>
        <w:t>。</w:t>
      </w:r>
      <w:r>
        <w:rPr>
          <w:rFonts w:hint="eastAsia"/>
          <w:color w:val="auto"/>
          <w:szCs w:val="32"/>
          <w:highlight w:val="none"/>
        </w:rPr>
        <w:t>完善医疗机构无障碍设施，加强残疾人健康管理、康复服务，提升康复医疗、康复训练、辅助器具适配等服务质量。继续开展防盲治盲，全面实施眼健康行动。开展防聋治聋，推进耳与听力健康工作。支持社区医疗卫生机构与毗邻的残疾人服务机构签约合作，支持有条件的残疾人托养机构设置诊所、医务室等内设医疗</w:t>
      </w:r>
      <w:r>
        <w:rPr>
          <w:rFonts w:hint="eastAsia"/>
          <w:color w:val="auto"/>
          <w:szCs w:val="32"/>
          <w:highlight w:val="none"/>
          <w:lang w:val="en-US" w:eastAsia="zh-CN"/>
        </w:rPr>
        <w:t>机构</w:t>
      </w:r>
      <w:r>
        <w:rPr>
          <w:rFonts w:hint="eastAsia"/>
          <w:color w:val="auto"/>
          <w:szCs w:val="32"/>
          <w:highlight w:val="none"/>
        </w:rPr>
        <w:t>或者引入医疗服务站点。</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14:paraId="1AD9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880" w:type="dxa"/>
            <w:noWrap w:val="0"/>
            <w:vAlign w:val="center"/>
          </w:tcPr>
          <w:p w14:paraId="67A74D53">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eastAsia" w:ascii="仿宋_GB2312" w:hAnsi="仿宋_GB2312" w:eastAsia="黑体" w:cs="仿宋_GB2312"/>
                <w:b w:val="0"/>
                <w:bCs w:val="0"/>
                <w:color w:val="auto"/>
                <w:sz w:val="24"/>
                <w:szCs w:val="24"/>
                <w:highlight w:val="none"/>
                <w:u w:val="none"/>
              </w:rPr>
            </w:pPr>
            <w:r>
              <w:rPr>
                <w:rFonts w:hint="eastAsia" w:ascii="黑体" w:hAnsi="黑体" w:eastAsia="黑体" w:cs="黑体"/>
                <w:b w:val="0"/>
                <w:bCs w:val="0"/>
                <w:color w:val="auto"/>
                <w:sz w:val="24"/>
                <w:szCs w:val="24"/>
                <w:highlight w:val="none"/>
                <w:u w:val="none"/>
              </w:rPr>
              <w:t>专栏</w:t>
            </w:r>
            <w:r>
              <w:rPr>
                <w:rFonts w:hint="eastAsia" w:ascii="黑体" w:hAnsi="黑体" w:eastAsia="黑体" w:cs="黑体"/>
                <w:b w:val="0"/>
                <w:bCs w:val="0"/>
                <w:color w:val="auto"/>
                <w:sz w:val="24"/>
                <w:szCs w:val="24"/>
                <w:highlight w:val="none"/>
                <w:u w:val="none"/>
                <w:lang w:val="en-US" w:eastAsia="zh-CN"/>
              </w:rPr>
              <w:t>4</w:t>
            </w:r>
            <w:r>
              <w:rPr>
                <w:rFonts w:hint="eastAsia" w:ascii="黑体" w:hAnsi="黑体" w:eastAsia="黑体" w:cs="黑体"/>
                <w:b w:val="0"/>
                <w:bCs w:val="0"/>
                <w:color w:val="auto"/>
                <w:sz w:val="24"/>
                <w:szCs w:val="24"/>
                <w:highlight w:val="none"/>
                <w:u w:val="none"/>
              </w:rPr>
              <w:t xml:space="preserve"> 职业健康与残疾人健康保障提升工程</w:t>
            </w:r>
          </w:p>
        </w:tc>
      </w:tr>
      <w:tr w14:paraId="76C9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880" w:type="dxa"/>
            <w:noWrap w:val="0"/>
            <w:vAlign w:val="center"/>
          </w:tcPr>
          <w:p w14:paraId="7E14A5AF">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480" w:firstLineChars="200"/>
              <w:jc w:val="both"/>
              <w:textAlignment w:val="auto"/>
              <w:outlineLvl w:val="9"/>
              <w:rPr>
                <w:rFonts w:hint="default" w:ascii="宋体" w:hAnsi="宋体" w:eastAsia="宋体" w:cs="宋体"/>
                <w:b w:val="0"/>
                <w:bCs w:val="0"/>
                <w:color w:val="auto"/>
                <w:sz w:val="24"/>
                <w:szCs w:val="24"/>
                <w:highlight w:val="none"/>
                <w:u w:val="none"/>
                <w:lang w:val="en-US" w:eastAsia="zh-CN"/>
              </w:rPr>
            </w:pPr>
            <w:r>
              <w:rPr>
                <w:rFonts w:hint="default" w:ascii="宋体" w:hAnsi="宋体" w:eastAsia="宋体" w:cs="宋体"/>
                <w:b w:val="0"/>
                <w:bCs w:val="0"/>
                <w:color w:val="auto"/>
                <w:sz w:val="24"/>
                <w:szCs w:val="24"/>
                <w:highlight w:val="none"/>
                <w:u w:val="none"/>
                <w:lang w:val="en-US" w:eastAsia="zh-CN"/>
              </w:rPr>
              <w:t>深化职业健康保护行动，开展职业卫生基本情况摸底调研，进一步完善职业安全卫生标准体系，加强尘肺病康复站规范化管理，建立完善重点职业病监测与职业病危害因素监测、报告和管理网络。</w:t>
            </w:r>
          </w:p>
          <w:p w14:paraId="0A6F0A2E">
            <w:pPr>
              <w:pStyle w:val="2"/>
              <w:spacing w:line="240" w:lineRule="auto"/>
              <w:rPr>
                <w:rFonts w:hint="default"/>
                <w:lang w:val="en-US" w:eastAsia="zh-CN"/>
              </w:rPr>
            </w:pPr>
            <w:r>
              <w:rPr>
                <w:rFonts w:hint="default" w:ascii="宋体" w:hAnsi="宋体" w:eastAsia="宋体" w:cs="宋体"/>
                <w:color w:val="auto"/>
                <w:sz w:val="24"/>
                <w:highlight w:val="none"/>
                <w:u w:val="none"/>
                <w:lang w:val="en-US" w:eastAsia="zh-CN"/>
              </w:rPr>
              <w:t>制定实施新一期残疾预防行动计划，系统开展产前筛查、儿童残疾筛查及致残性疾病早期干预。</w:t>
            </w:r>
            <w:r>
              <w:rPr>
                <w:rFonts w:hint="default" w:ascii="宋体" w:hAnsi="宋体" w:eastAsia="宋体" w:cs="宋体"/>
                <w:color w:val="auto"/>
                <w:sz w:val="24"/>
                <w:szCs w:val="24"/>
                <w:highlight w:val="none"/>
                <w:u w:val="none"/>
              </w:rPr>
              <w:t>将因行动不便、心智障碍、精神障碍等确有困难和需求的重度残疾人纳入居家医疗服务范围，提供家庭病床、上门巡诊等居家医疗服务。</w:t>
            </w:r>
          </w:p>
        </w:tc>
      </w:tr>
    </w:tbl>
    <w:p w14:paraId="5D7550AF">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0"/>
        <w:rPr>
          <w:rFonts w:hint="eastAsia" w:ascii="黑体" w:hAnsi="黑体" w:eastAsia="黑体" w:cs="黑体"/>
          <w:b w:val="0"/>
          <w:bCs w:val="0"/>
          <w:color w:val="auto"/>
          <w:kern w:val="2"/>
          <w:sz w:val="32"/>
          <w:szCs w:val="32"/>
          <w:highlight w:val="none"/>
          <w:u w:val="none"/>
          <w:lang w:val="en-US" w:eastAsia="zh-CN" w:bidi="ar-SA"/>
        </w:rPr>
      </w:pPr>
      <w:bookmarkStart w:id="171" w:name="_Toc2110980005"/>
      <w:bookmarkStart w:id="172" w:name="_Toc4623"/>
      <w:bookmarkStart w:id="173" w:name="_Toc300675988"/>
      <w:bookmarkStart w:id="174" w:name="_Toc1149598157"/>
      <w:bookmarkStart w:id="175" w:name="_Toc28451"/>
      <w:bookmarkStart w:id="176" w:name="_Toc12573"/>
      <w:bookmarkStart w:id="177" w:name="_Toc10260"/>
      <w:bookmarkStart w:id="178" w:name="_Toc24915"/>
      <w:r>
        <w:rPr>
          <w:rFonts w:hint="eastAsia" w:ascii="黑体" w:hAnsi="黑体" w:eastAsia="黑体" w:cs="黑体"/>
          <w:b w:val="0"/>
          <w:bCs w:val="0"/>
          <w:color w:val="auto"/>
          <w:kern w:val="2"/>
          <w:sz w:val="32"/>
          <w:szCs w:val="32"/>
          <w:highlight w:val="none"/>
          <w:u w:val="none"/>
          <w:lang w:val="en-US" w:eastAsia="zh-CN" w:bidi="ar-SA"/>
        </w:rPr>
        <w:t>八、实施大健康产业生态培育行动</w:t>
      </w:r>
      <w:bookmarkEnd w:id="171"/>
      <w:bookmarkEnd w:id="172"/>
      <w:bookmarkEnd w:id="173"/>
      <w:bookmarkEnd w:id="174"/>
      <w:r>
        <w:rPr>
          <w:rFonts w:hint="eastAsia" w:ascii="黑体" w:hAnsi="黑体" w:eastAsia="黑体" w:cs="黑体"/>
          <w:b w:val="0"/>
          <w:bCs w:val="0"/>
          <w:color w:val="auto"/>
          <w:kern w:val="2"/>
          <w:sz w:val="32"/>
          <w:szCs w:val="32"/>
          <w:highlight w:val="none"/>
          <w:u w:val="none"/>
          <w:lang w:val="en-US" w:eastAsia="zh-CN" w:bidi="ar-SA"/>
        </w:rPr>
        <w:t>，激活医疗健康事业发展新引擎</w:t>
      </w:r>
      <w:bookmarkEnd w:id="175"/>
      <w:bookmarkEnd w:id="176"/>
      <w:bookmarkEnd w:id="177"/>
      <w:bookmarkEnd w:id="178"/>
    </w:p>
    <w:p w14:paraId="415E96BA">
      <w:pPr>
        <w:pStyle w:val="4"/>
        <w:ind w:firstLine="640" w:firstLineChars="200"/>
        <w:outlineLvl w:val="1"/>
        <w:rPr>
          <w:rFonts w:hint="default" w:ascii="宋体" w:hAnsi="宋体" w:eastAsia="楷体_GB2312" w:cs="Times New Roman"/>
          <w:bCs/>
          <w:kern w:val="0"/>
          <w:sz w:val="32"/>
          <w:szCs w:val="27"/>
          <w:highlight w:val="none"/>
          <w:lang w:val="en-US" w:eastAsia="zh-CN" w:bidi="ar-SA"/>
        </w:rPr>
      </w:pPr>
      <w:bookmarkStart w:id="179" w:name="_Toc19602"/>
      <w:bookmarkStart w:id="180" w:name="_Toc9432"/>
      <w:bookmarkStart w:id="181" w:name="_Toc29664"/>
      <w:bookmarkStart w:id="182" w:name="_Toc20266"/>
      <w:r>
        <w:rPr>
          <w:rFonts w:hint="default" w:ascii="宋体" w:hAnsi="宋体" w:eastAsia="楷体_GB2312" w:cs="Times New Roman"/>
          <w:bCs/>
          <w:kern w:val="0"/>
          <w:sz w:val="32"/>
          <w:szCs w:val="27"/>
          <w:highlight w:val="none"/>
          <w:lang w:val="en-US" w:eastAsia="zh-CN" w:bidi="ar-SA"/>
        </w:rPr>
        <w:t>（</w:t>
      </w:r>
      <w:r>
        <w:rPr>
          <w:rFonts w:hint="eastAsia" w:ascii="宋体" w:hAnsi="宋体" w:eastAsia="楷体_GB2312" w:cs="Times New Roman"/>
          <w:bCs/>
          <w:kern w:val="0"/>
          <w:sz w:val="32"/>
          <w:szCs w:val="27"/>
          <w:highlight w:val="none"/>
          <w:lang w:val="en-US" w:eastAsia="zh-CN" w:bidi="ar-SA"/>
        </w:rPr>
        <w:t>十九</w:t>
      </w:r>
      <w:r>
        <w:rPr>
          <w:rFonts w:hint="default" w:ascii="宋体" w:hAnsi="宋体" w:eastAsia="楷体_GB2312" w:cs="Times New Roman"/>
          <w:bCs/>
          <w:kern w:val="0"/>
          <w:sz w:val="32"/>
          <w:szCs w:val="27"/>
          <w:highlight w:val="none"/>
          <w:lang w:val="en-US" w:eastAsia="zh-CN" w:bidi="ar-SA"/>
        </w:rPr>
        <w:t>）推动医药健康产业发展</w:t>
      </w:r>
      <w:bookmarkEnd w:id="179"/>
      <w:bookmarkEnd w:id="180"/>
      <w:bookmarkEnd w:id="181"/>
      <w:bookmarkEnd w:id="182"/>
    </w:p>
    <w:p w14:paraId="3A4F4861">
      <w:pPr>
        <w:pStyle w:val="15"/>
        <w:widowControl/>
        <w:spacing w:beforeAutospacing="0" w:afterAutospacing="0"/>
        <w:ind w:firstLine="640" w:firstLineChars="200"/>
        <w:rPr>
          <w:rFonts w:ascii="仿宋_GB2312" w:hAnsi="仿宋_GB2312" w:cs="仿宋_GB2312"/>
          <w:color w:val="auto"/>
          <w:sz w:val="32"/>
          <w:szCs w:val="32"/>
          <w:highlight w:val="none"/>
        </w:rPr>
      </w:pPr>
      <w:r>
        <w:rPr>
          <w:rFonts w:hint="eastAsia" w:ascii="仿宋_GB2312" w:hAnsi="仿宋_GB2312" w:cs="仿宋_GB2312"/>
          <w:color w:val="auto"/>
          <w:sz w:val="32"/>
          <w:szCs w:val="32"/>
          <w:highlight w:val="none"/>
        </w:rPr>
        <w:t>聚焦区域功能定位，围绕“专精特新门头沟”产业品牌，推动医药健康产业发展。支持配合中关村门头沟园区等相关产业部门，培育心血管领域“四平台两基地”药械产业生态。</w:t>
      </w:r>
      <w:r>
        <w:rPr>
          <w:rFonts w:hint="eastAsia" w:ascii="仿宋_GB2312" w:hAnsi="仿宋_GB2312" w:cs="仿宋_GB2312"/>
          <w:color w:val="auto"/>
          <w:sz w:val="32"/>
          <w:szCs w:val="32"/>
          <w:highlight w:val="none"/>
          <w:lang w:val="en-US" w:eastAsia="zh-CN"/>
        </w:rPr>
        <w:t>推进心脏放射治疗中心项目建设，</w:t>
      </w:r>
      <w:r>
        <w:rPr>
          <w:rFonts w:hint="eastAsia" w:ascii="仿宋_GB2312" w:hAnsi="仿宋_GB2312" w:cs="仿宋_GB2312"/>
          <w:color w:val="auto"/>
          <w:sz w:val="32"/>
          <w:szCs w:val="32"/>
          <w:highlight w:val="none"/>
        </w:rPr>
        <w:t>支持阜外医院西院区科研转化，助力“中国心谷”内涵建设</w:t>
      </w: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rPr>
        <w:t>依托百洋医药科研成果转化基地等载体，加快推进核医学SPECT/CT、医用直线加速器等项目产业化</w:t>
      </w: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rPr>
        <w:t>支持军庄生产制造基地建设，构建产学研用一体化发展格局。实施健康产业助力工程，</w:t>
      </w:r>
      <w:r>
        <w:rPr>
          <w:rFonts w:hint="eastAsia" w:ascii="仿宋_GB2312" w:hAnsi="仿宋_GB2312" w:cs="仿宋_GB2312"/>
          <w:bCs/>
          <w:color w:val="auto"/>
          <w:sz w:val="32"/>
          <w:szCs w:val="32"/>
          <w:highlight w:val="none"/>
        </w:rPr>
        <w:t>为促进科技应用搭建医疗卫生场景。</w:t>
      </w:r>
      <w:r>
        <w:rPr>
          <w:rFonts w:hint="eastAsia" w:ascii="仿宋_GB2312" w:hAnsi="仿宋_GB2312" w:cs="仿宋_GB2312"/>
          <w:color w:val="auto"/>
          <w:sz w:val="32"/>
          <w:szCs w:val="32"/>
          <w:highlight w:val="none"/>
        </w:rPr>
        <w:t>（征求经信局意见）</w:t>
      </w:r>
    </w:p>
    <w:p w14:paraId="056A397E">
      <w:pPr>
        <w:pStyle w:val="4"/>
        <w:ind w:firstLine="640" w:firstLineChars="200"/>
        <w:outlineLvl w:val="1"/>
        <w:rPr>
          <w:rFonts w:hint="default" w:cs="宋体"/>
          <w:color w:val="auto"/>
          <w:highlight w:val="none"/>
        </w:rPr>
      </w:pPr>
      <w:bookmarkStart w:id="183" w:name="_Toc15182"/>
      <w:bookmarkStart w:id="184" w:name="_Toc31392"/>
      <w:bookmarkStart w:id="185" w:name="_Toc8169"/>
      <w:bookmarkStart w:id="186" w:name="_Toc27652"/>
      <w:r>
        <w:rPr>
          <w:rFonts w:hint="default" w:ascii="宋体" w:hAnsi="宋体" w:eastAsia="楷体_GB2312" w:cs="Times New Roman"/>
          <w:bCs/>
          <w:kern w:val="0"/>
          <w:sz w:val="32"/>
          <w:szCs w:val="27"/>
          <w:highlight w:val="none"/>
          <w:lang w:val="en-US" w:eastAsia="zh-CN" w:bidi="ar-SA"/>
        </w:rPr>
        <w:t>（二</w:t>
      </w:r>
      <w:r>
        <w:rPr>
          <w:rFonts w:hint="eastAsia" w:ascii="宋体" w:hAnsi="宋体" w:eastAsia="楷体_GB2312" w:cs="Times New Roman"/>
          <w:bCs/>
          <w:kern w:val="0"/>
          <w:sz w:val="32"/>
          <w:szCs w:val="27"/>
          <w:highlight w:val="none"/>
          <w:lang w:val="en-US" w:eastAsia="zh-CN" w:bidi="ar-SA"/>
        </w:rPr>
        <w:t>十</w:t>
      </w:r>
      <w:r>
        <w:rPr>
          <w:rFonts w:hint="default" w:ascii="宋体" w:hAnsi="宋体" w:eastAsia="楷体_GB2312" w:cs="Times New Roman"/>
          <w:bCs/>
          <w:kern w:val="0"/>
          <w:sz w:val="32"/>
          <w:szCs w:val="27"/>
          <w:highlight w:val="none"/>
          <w:lang w:val="en-US" w:eastAsia="zh-CN" w:bidi="ar-SA"/>
        </w:rPr>
        <w:t>）</w:t>
      </w:r>
      <w:bookmarkEnd w:id="183"/>
      <w:r>
        <w:rPr>
          <w:rFonts w:hint="default" w:ascii="宋体" w:hAnsi="宋体" w:eastAsia="楷体_GB2312" w:cs="Times New Roman"/>
          <w:bCs/>
          <w:kern w:val="0"/>
          <w:sz w:val="32"/>
          <w:szCs w:val="27"/>
          <w:highlight w:val="none"/>
          <w:lang w:val="en-US" w:eastAsia="zh-CN" w:bidi="ar-SA"/>
        </w:rPr>
        <w:t>提升中医药文化品牌吸引力</w:t>
      </w:r>
      <w:bookmarkEnd w:id="184"/>
      <w:bookmarkEnd w:id="185"/>
      <w:bookmarkEnd w:id="186"/>
    </w:p>
    <w:p w14:paraId="11A2E9BB">
      <w:pPr>
        <w:widowControl/>
        <w:ind w:firstLine="640" w:firstLineChars="200"/>
        <w:rPr>
          <w:rFonts w:hint="eastAsia"/>
          <w:color w:val="auto"/>
          <w:szCs w:val="32"/>
          <w:highlight w:val="none"/>
        </w:rPr>
      </w:pPr>
      <w:r>
        <w:rPr>
          <w:rFonts w:hint="eastAsia" w:ascii="仿宋_GB2312" w:hAnsi="仿宋_GB2312" w:cs="仿宋_GB2312"/>
          <w:color w:val="auto"/>
          <w:szCs w:val="32"/>
          <w:highlight w:val="none"/>
        </w:rPr>
        <w:t>加快推进活态传承，完善学术传承制度，加强名老中医学术经验传承，推进数字化、影像化记录。围绕道地药材、中医药非遗、学术流派等领域，深入挖掘中医药文化价值。实施中医药文化传播行动，支持中医院推动中医药与传统手工艺相结合产品研发。</w:t>
      </w:r>
      <w:r>
        <w:rPr>
          <w:rFonts w:ascii="仿宋_GB2312" w:hAnsi="仿宋_GB2312" w:cs="仿宋_GB2312"/>
          <w:color w:val="auto"/>
          <w:szCs w:val="32"/>
          <w:highlight w:val="none"/>
        </w:rPr>
        <w:t>强化中小学中医药文化教育示范基地作用，将中医药知识纳入中小学健康教育内容。</w:t>
      </w:r>
      <w:r>
        <w:rPr>
          <w:rFonts w:hint="eastAsia"/>
          <w:color w:val="auto"/>
          <w:szCs w:val="32"/>
          <w:highlight w:val="none"/>
        </w:rPr>
        <w:t>强化社区中医药文化普及，提升中医类医院文化品牌。</w:t>
      </w:r>
      <w:r>
        <w:rPr>
          <w:rFonts w:hint="eastAsia" w:ascii="仿宋_GB2312" w:hAnsi="仿宋_GB2312" w:cs="仿宋_GB2312"/>
          <w:color w:val="auto"/>
          <w:szCs w:val="32"/>
          <w:highlight w:val="none"/>
        </w:rPr>
        <w:t>打造中医药慢养文旅品牌，推动中医药文化、慢病管理、疾病预防与文旅产业融合发展。以永定河为纽带整合全域资源，搭建多层次中医药文化传播体系</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擦亮永定河中医药特色活动品牌</w:t>
      </w:r>
      <w:r>
        <w:rPr>
          <w:rFonts w:hint="eastAsia" w:ascii="仿宋_GB2312" w:hAnsi="仿宋_GB2312" w:cs="仿宋_GB2312"/>
          <w:color w:val="auto"/>
          <w:szCs w:val="32"/>
          <w:highlight w:val="none"/>
          <w:lang w:eastAsia="zh-CN"/>
        </w:rPr>
        <w:t>。</w:t>
      </w:r>
      <w:r>
        <w:rPr>
          <w:rFonts w:hint="eastAsia"/>
          <w:color w:val="auto"/>
          <w:szCs w:val="32"/>
          <w:highlight w:val="none"/>
          <w:lang w:val="en-US" w:eastAsia="zh-CN"/>
        </w:rPr>
        <w:t>推进“新时代神农尝百草”区级实践，支持“AI+中医”智能诊疗推广应用。</w:t>
      </w:r>
    </w:p>
    <w:p w14:paraId="3C566DB2">
      <w:pPr>
        <w:pStyle w:val="4"/>
        <w:ind w:firstLine="640" w:firstLineChars="200"/>
        <w:outlineLvl w:val="1"/>
        <w:rPr>
          <w:rFonts w:hint="default" w:ascii="宋体" w:hAnsi="宋体" w:eastAsia="楷体_GB2312" w:cs="Times New Roman"/>
          <w:bCs/>
          <w:kern w:val="0"/>
          <w:sz w:val="32"/>
          <w:szCs w:val="27"/>
          <w:highlight w:val="none"/>
          <w:lang w:val="en-US" w:eastAsia="zh-CN" w:bidi="ar-SA"/>
        </w:rPr>
      </w:pPr>
      <w:bookmarkStart w:id="187" w:name="_Toc25964"/>
      <w:bookmarkStart w:id="188" w:name="_Toc31139"/>
      <w:bookmarkStart w:id="189" w:name="_Toc29527"/>
      <w:bookmarkStart w:id="190" w:name="_Toc18774"/>
      <w:r>
        <w:rPr>
          <w:rFonts w:hint="default" w:ascii="宋体" w:hAnsi="宋体" w:eastAsia="楷体_GB2312" w:cs="Times New Roman"/>
          <w:bCs/>
          <w:kern w:val="0"/>
          <w:sz w:val="32"/>
          <w:szCs w:val="27"/>
          <w:highlight w:val="none"/>
          <w:lang w:val="en-US" w:eastAsia="zh-CN" w:bidi="ar-SA"/>
        </w:rPr>
        <w:t>（</w:t>
      </w:r>
      <w:r>
        <w:rPr>
          <w:rFonts w:hint="eastAsia" w:ascii="宋体" w:hAnsi="宋体" w:eastAsia="楷体_GB2312" w:cs="Times New Roman"/>
          <w:bCs/>
          <w:kern w:val="0"/>
          <w:sz w:val="32"/>
          <w:szCs w:val="27"/>
          <w:highlight w:val="none"/>
          <w:lang w:val="en-US" w:eastAsia="zh-CN" w:bidi="ar-SA"/>
        </w:rPr>
        <w:t>二十一</w:t>
      </w:r>
      <w:r>
        <w:rPr>
          <w:rFonts w:hint="default" w:ascii="宋体" w:hAnsi="宋体" w:eastAsia="楷体_GB2312" w:cs="Times New Roman"/>
          <w:bCs/>
          <w:kern w:val="0"/>
          <w:sz w:val="32"/>
          <w:szCs w:val="27"/>
          <w:highlight w:val="none"/>
          <w:lang w:val="en-US" w:eastAsia="zh-CN" w:bidi="ar-SA"/>
        </w:rPr>
        <w:t>）优化为企服务体系</w:t>
      </w:r>
      <w:bookmarkEnd w:id="187"/>
      <w:bookmarkEnd w:id="188"/>
      <w:bookmarkEnd w:id="189"/>
      <w:bookmarkEnd w:id="190"/>
    </w:p>
    <w:p w14:paraId="7EF517A1">
      <w:pPr>
        <w:pStyle w:val="15"/>
        <w:widowControl/>
        <w:spacing w:beforeAutospacing="0" w:afterAutospacing="0"/>
        <w:ind w:firstLine="640" w:firstLineChars="200"/>
        <w:rPr>
          <w:rFonts w:ascii="仿宋_GB2312" w:hAnsi="仿宋_GB2312" w:cs="仿宋_GB2312"/>
          <w:color w:val="auto"/>
          <w:sz w:val="32"/>
          <w:szCs w:val="32"/>
          <w:highlight w:val="none"/>
        </w:rPr>
      </w:pPr>
      <w:r>
        <w:rPr>
          <w:rFonts w:hint="eastAsia" w:ascii="仿宋_GB2312" w:hAnsi="仿宋_GB2312" w:cs="仿宋_GB2312"/>
          <w:color w:val="auto"/>
          <w:sz w:val="32"/>
          <w:szCs w:val="32"/>
          <w:highlight w:val="none"/>
        </w:rPr>
        <w:t>支持企业整合科技资源，围绕药品、医疗器械生产的关键技术、核心装备、新型材料开展攻关，开发和转化应用一批先进技术，构筑产业技术新优势。提高</w:t>
      </w:r>
      <w:r>
        <w:rPr>
          <w:rFonts w:hint="eastAsia" w:ascii="仿宋_GB2312" w:hAnsi="仿宋_GB2312" w:cs="仿宋_GB2312"/>
          <w:bCs/>
          <w:color w:val="auto"/>
          <w:sz w:val="32"/>
          <w:szCs w:val="32"/>
          <w:highlight w:val="none"/>
        </w:rPr>
        <w:t>服务企业、服务园区的</w:t>
      </w:r>
      <w:r>
        <w:rPr>
          <w:rFonts w:hint="eastAsia" w:ascii="仿宋_GB2312" w:hAnsi="仿宋_GB2312" w:cs="仿宋_GB2312"/>
          <w:color w:val="auto"/>
          <w:sz w:val="32"/>
          <w:szCs w:val="32"/>
          <w:highlight w:val="none"/>
        </w:rPr>
        <w:t>自觉性，梳理服务医药健康企业名录，建立“进企业、办实事”服务机制，主动对接企业发展诉求</w:t>
      </w:r>
      <w:r>
        <w:rPr>
          <w:rFonts w:hint="eastAsia" w:ascii="仿宋_GB2312" w:hAnsi="仿宋_GB2312" w:cs="仿宋_GB2312"/>
          <w:bCs/>
          <w:color w:val="auto"/>
          <w:sz w:val="32"/>
          <w:szCs w:val="32"/>
          <w:highlight w:val="none"/>
        </w:rPr>
        <w:t>，深化为企服务内涵</w:t>
      </w:r>
      <w:r>
        <w:rPr>
          <w:rFonts w:hint="eastAsia" w:ascii="仿宋_GB2312" w:hAnsi="仿宋_GB2312" w:cs="仿宋_GB2312"/>
          <w:color w:val="auto"/>
          <w:sz w:val="32"/>
          <w:szCs w:val="32"/>
          <w:highlight w:val="none"/>
        </w:rPr>
        <w:t>。针对企业领军人物和专精特新人才开通绿色通道，强化医疗卫生服务保障。</w:t>
      </w:r>
    </w:p>
    <w:p w14:paraId="7443695B">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0"/>
        <w:rPr>
          <w:rFonts w:hint="eastAsia" w:ascii="黑体" w:hAnsi="黑体" w:eastAsia="黑体" w:cs="黑体"/>
          <w:b w:val="0"/>
          <w:bCs w:val="0"/>
          <w:color w:val="auto"/>
          <w:kern w:val="2"/>
          <w:sz w:val="32"/>
          <w:szCs w:val="32"/>
          <w:highlight w:val="none"/>
          <w:u w:val="none"/>
          <w:lang w:val="en-US" w:eastAsia="zh-CN" w:bidi="ar-SA"/>
        </w:rPr>
      </w:pPr>
      <w:bookmarkStart w:id="191" w:name="_Toc6539"/>
      <w:bookmarkStart w:id="192" w:name="_Toc28322"/>
      <w:bookmarkStart w:id="193" w:name="_Toc11796"/>
      <w:bookmarkStart w:id="194" w:name="_Toc2828"/>
      <w:bookmarkStart w:id="195" w:name="_Toc15754"/>
      <w:r>
        <w:rPr>
          <w:rFonts w:hint="eastAsia" w:ascii="黑体" w:hAnsi="黑体" w:eastAsia="黑体" w:cs="黑体"/>
          <w:b w:val="0"/>
          <w:bCs w:val="0"/>
          <w:color w:val="auto"/>
          <w:kern w:val="2"/>
          <w:sz w:val="32"/>
          <w:szCs w:val="32"/>
          <w:highlight w:val="none"/>
          <w:u w:val="none"/>
          <w:lang w:val="en-US" w:eastAsia="zh-CN" w:bidi="ar-SA"/>
        </w:rPr>
        <w:t>九、实施卫生健康人才队伍能力提升行动</w:t>
      </w:r>
      <w:bookmarkEnd w:id="191"/>
      <w:r>
        <w:rPr>
          <w:rFonts w:hint="eastAsia" w:ascii="黑体" w:hAnsi="黑体" w:eastAsia="黑体" w:cs="黑体"/>
          <w:b w:val="0"/>
          <w:bCs w:val="0"/>
          <w:color w:val="auto"/>
          <w:kern w:val="2"/>
          <w:sz w:val="32"/>
          <w:szCs w:val="32"/>
          <w:highlight w:val="none"/>
          <w:u w:val="none"/>
          <w:lang w:val="en-US" w:eastAsia="zh-CN" w:bidi="ar-SA"/>
        </w:rPr>
        <w:t>，构建人才驱动发展新格局</w:t>
      </w:r>
      <w:bookmarkEnd w:id="192"/>
      <w:bookmarkEnd w:id="193"/>
      <w:bookmarkEnd w:id="194"/>
      <w:bookmarkEnd w:id="195"/>
    </w:p>
    <w:p w14:paraId="0DEFD304">
      <w:pPr>
        <w:pStyle w:val="4"/>
        <w:ind w:firstLine="640" w:firstLineChars="200"/>
        <w:outlineLvl w:val="1"/>
        <w:rPr>
          <w:rFonts w:hint="default"/>
          <w:highlight w:val="none"/>
        </w:rPr>
      </w:pPr>
      <w:bookmarkStart w:id="196" w:name="_Toc8791"/>
      <w:bookmarkStart w:id="197" w:name="_Toc26214"/>
      <w:bookmarkStart w:id="198" w:name="_Toc20684"/>
      <w:bookmarkStart w:id="199" w:name="_Toc4345"/>
      <w:r>
        <w:rPr>
          <w:rFonts w:hint="default" w:ascii="宋体" w:hAnsi="宋体" w:eastAsia="楷体_GB2312" w:cs="Times New Roman"/>
          <w:bCs/>
          <w:kern w:val="0"/>
          <w:sz w:val="32"/>
          <w:szCs w:val="27"/>
          <w:highlight w:val="none"/>
          <w:lang w:val="en-US" w:eastAsia="zh-CN" w:bidi="ar-SA"/>
        </w:rPr>
        <w:t>（</w:t>
      </w:r>
      <w:r>
        <w:rPr>
          <w:rFonts w:hint="eastAsia" w:ascii="宋体" w:hAnsi="宋体" w:eastAsia="楷体_GB2312" w:cs="Times New Roman"/>
          <w:bCs/>
          <w:kern w:val="0"/>
          <w:sz w:val="32"/>
          <w:szCs w:val="27"/>
          <w:highlight w:val="none"/>
          <w:lang w:val="en-US" w:eastAsia="zh-CN" w:bidi="ar-SA"/>
        </w:rPr>
        <w:t>二十二</w:t>
      </w:r>
      <w:r>
        <w:rPr>
          <w:rFonts w:hint="default" w:ascii="宋体" w:hAnsi="宋体" w:eastAsia="楷体_GB2312" w:cs="Times New Roman"/>
          <w:bCs/>
          <w:kern w:val="0"/>
          <w:sz w:val="32"/>
          <w:szCs w:val="27"/>
          <w:highlight w:val="none"/>
          <w:lang w:val="en-US" w:eastAsia="zh-CN" w:bidi="ar-SA"/>
        </w:rPr>
        <w:t>）拓宽引才渠道，打造结构优化人才集聚体系</w:t>
      </w:r>
      <w:bookmarkEnd w:id="196"/>
      <w:bookmarkEnd w:id="197"/>
      <w:bookmarkEnd w:id="198"/>
    </w:p>
    <w:p w14:paraId="22842288">
      <w:pPr>
        <w:shd w:val="clear"/>
        <w:ind w:firstLine="640" w:firstLineChars="200"/>
        <w:rPr>
          <w:rFonts w:hint="eastAsia" w:ascii="仿宋_GB2312" w:hAnsi="仿宋_GB2312" w:cs="仿宋_GB2312"/>
          <w:highlight w:val="none"/>
        </w:rPr>
      </w:pPr>
      <w:r>
        <w:rPr>
          <w:rFonts w:hint="eastAsia" w:ascii="仿宋_GB2312" w:hAnsi="仿宋_GB2312" w:cs="仿宋_GB2312"/>
          <w:highlight w:val="none"/>
        </w:rPr>
        <w:t>实施高层次人才引进行动，聚焦重点</w:t>
      </w:r>
      <w:r>
        <w:rPr>
          <w:rFonts w:hint="eastAsia" w:ascii="仿宋_GB2312" w:hAnsi="仿宋_GB2312" w:cs="仿宋_GB2312"/>
          <w:highlight w:val="none"/>
          <w:lang w:eastAsia="zh-CN"/>
        </w:rPr>
        <w:t>学科</w:t>
      </w:r>
      <w:r>
        <w:rPr>
          <w:rFonts w:hint="eastAsia" w:ascii="仿宋_GB2312" w:hAnsi="仿宋_GB2312" w:cs="仿宋_GB2312"/>
          <w:highlight w:val="none"/>
        </w:rPr>
        <w:t>、薄弱学科和新兴前沿领域发展需求，科学编制卫健系统急需紧缺人才目录，建立“学科需求、人才供给”双向精准对接机制。持续优化人才引进政策</w:t>
      </w:r>
      <w:r>
        <w:rPr>
          <w:rFonts w:hint="eastAsia" w:ascii="仿宋_GB2312" w:hAnsi="仿宋_GB2312" w:cs="仿宋_GB2312"/>
          <w:highlight w:val="none"/>
          <w:lang w:eastAsia="zh-CN"/>
        </w:rPr>
        <w:t>体系</w:t>
      </w:r>
      <w:r>
        <w:rPr>
          <w:rFonts w:hint="eastAsia" w:ascii="仿宋_GB2312" w:hAnsi="仿宋_GB2312" w:cs="仿宋_GB2312"/>
          <w:highlight w:val="none"/>
        </w:rPr>
        <w:t>，靶向引进</w:t>
      </w:r>
      <w:r>
        <w:rPr>
          <w:rFonts w:hint="eastAsia" w:ascii="仿宋_GB2312" w:hAnsi="仿宋_GB2312" w:cs="仿宋_GB2312"/>
          <w:highlight w:val="none"/>
          <w:lang w:eastAsia="zh-CN"/>
        </w:rPr>
        <w:t>高</w:t>
      </w:r>
      <w:r>
        <w:rPr>
          <w:rFonts w:hint="eastAsia" w:ascii="仿宋_GB2312" w:hAnsi="仿宋_GB2312" w:cs="仿宋_GB2312"/>
          <w:highlight w:val="none"/>
        </w:rPr>
        <w:t>水平学科带头人和知名专家，引领学科</w:t>
      </w:r>
      <w:r>
        <w:rPr>
          <w:rFonts w:hint="eastAsia" w:ascii="仿宋_GB2312" w:hAnsi="仿宋_GB2312" w:cs="仿宋_GB2312"/>
          <w:highlight w:val="none"/>
          <w:lang w:eastAsia="zh-CN"/>
        </w:rPr>
        <w:t>高质量</w:t>
      </w:r>
      <w:r>
        <w:rPr>
          <w:rFonts w:hint="eastAsia" w:ascii="仿宋_GB2312" w:hAnsi="仿宋_GB2312" w:cs="仿宋_GB2312"/>
          <w:highlight w:val="none"/>
        </w:rPr>
        <w:t>发展</w:t>
      </w:r>
      <w:r>
        <w:rPr>
          <w:rFonts w:hint="eastAsia" w:ascii="仿宋_GB2312" w:hAnsi="仿宋_GB2312" w:cs="仿宋_GB2312"/>
          <w:highlight w:val="none"/>
          <w:lang w:eastAsia="zh-CN"/>
        </w:rPr>
        <w:t>。</w:t>
      </w:r>
      <w:r>
        <w:rPr>
          <w:rFonts w:hint="eastAsia" w:ascii="仿宋_GB2312" w:hAnsi="仿宋_GB2312" w:cs="仿宋_GB2312"/>
          <w:highlight w:val="none"/>
        </w:rPr>
        <w:t>实施青年人才集聚工程，</w:t>
      </w:r>
      <w:r>
        <w:rPr>
          <w:rFonts w:hint="eastAsia" w:ascii="仿宋_GB2312" w:hAnsi="仿宋_GB2312" w:cs="仿宋_GB2312"/>
          <w:highlight w:val="none"/>
          <w:lang w:eastAsia="zh-CN"/>
        </w:rPr>
        <w:t>持续加大硕士、博士等高素质青年医学人才招引力度。</w:t>
      </w:r>
      <w:r>
        <w:rPr>
          <w:rFonts w:hint="eastAsia" w:ascii="仿宋_GB2312" w:hAnsi="仿宋_GB2312" w:cs="仿宋_GB2312"/>
          <w:highlight w:val="none"/>
        </w:rPr>
        <w:t>拓宽基层人才补充渠道</w:t>
      </w:r>
      <w:r>
        <w:rPr>
          <w:rFonts w:hint="eastAsia" w:ascii="仿宋_GB2312" w:hAnsi="仿宋_GB2312" w:cs="仿宋_GB2312"/>
          <w:highlight w:val="none"/>
          <w:lang w:eastAsia="zh-CN"/>
        </w:rPr>
        <w:t>，稳步</w:t>
      </w:r>
      <w:r>
        <w:rPr>
          <w:rFonts w:hint="eastAsia" w:ascii="仿宋_GB2312" w:hAnsi="仿宋_GB2312" w:cs="仿宋_GB2312"/>
          <w:highlight w:val="none"/>
        </w:rPr>
        <w:t>扩大订单定向医学生培养规模，</w:t>
      </w:r>
      <w:r>
        <w:rPr>
          <w:rFonts w:hint="eastAsia" w:ascii="仿宋_GB2312" w:hAnsi="仿宋_GB2312" w:cs="仿宋_GB2312"/>
          <w:highlight w:val="none"/>
          <w:lang w:eastAsia="zh-CN"/>
        </w:rPr>
        <w:t>严格落实</w:t>
      </w:r>
      <w:r>
        <w:rPr>
          <w:rFonts w:hint="eastAsia" w:ascii="仿宋_GB2312" w:hAnsi="仿宋_GB2312" w:cs="仿宋_GB2312"/>
          <w:highlight w:val="none"/>
        </w:rPr>
        <w:t>履约管理，</w:t>
      </w:r>
      <w:r>
        <w:rPr>
          <w:rFonts w:hint="eastAsia" w:ascii="仿宋_GB2312" w:hAnsi="仿宋_GB2312" w:cs="仿宋_GB2312"/>
          <w:highlight w:val="none"/>
          <w:lang w:eastAsia="zh-CN"/>
        </w:rPr>
        <w:t>保障</w:t>
      </w:r>
      <w:r>
        <w:rPr>
          <w:rFonts w:hint="eastAsia" w:ascii="仿宋_GB2312" w:hAnsi="仿宋_GB2312" w:cs="仿宋_GB2312"/>
          <w:highlight w:val="none"/>
        </w:rPr>
        <w:t>人才下沉基层；科学统筹编外人员额度，</w:t>
      </w:r>
      <w:r>
        <w:rPr>
          <w:rFonts w:hint="eastAsia" w:ascii="仿宋_GB2312" w:hAnsi="仿宋_GB2312" w:cs="仿宋_GB2312"/>
          <w:highlight w:val="none"/>
          <w:lang w:eastAsia="zh-CN"/>
        </w:rPr>
        <w:t>健全</w:t>
      </w:r>
      <w:r>
        <w:rPr>
          <w:rFonts w:hint="eastAsia" w:ascii="仿宋_GB2312" w:hAnsi="仿宋_GB2312" w:cs="仿宋_GB2312"/>
          <w:highlight w:val="none"/>
        </w:rPr>
        <w:t>完善聘用管理政策体系，</w:t>
      </w:r>
      <w:r>
        <w:rPr>
          <w:rFonts w:hint="eastAsia" w:ascii="仿宋_GB2312" w:hAnsi="仿宋_GB2312" w:cs="仿宋_GB2312"/>
          <w:highlight w:val="none"/>
          <w:lang w:eastAsia="zh-CN"/>
        </w:rPr>
        <w:t>有效</w:t>
      </w:r>
      <w:r>
        <w:rPr>
          <w:rFonts w:hint="eastAsia" w:ascii="仿宋_GB2312" w:hAnsi="仿宋_GB2312" w:cs="仿宋_GB2312"/>
          <w:highlight w:val="none"/>
        </w:rPr>
        <w:t>破解基层社区卫生服务机构编制短缺、人员补充困难等瓶颈问题。通过兼职</w:t>
      </w:r>
      <w:r>
        <w:rPr>
          <w:rFonts w:hint="eastAsia" w:ascii="仿宋_GB2312" w:hAnsi="仿宋_GB2312" w:cs="仿宋_GB2312"/>
          <w:highlight w:val="none"/>
          <w:lang w:eastAsia="zh-CN"/>
        </w:rPr>
        <w:t>服务</w:t>
      </w:r>
      <w:r>
        <w:rPr>
          <w:rFonts w:hint="eastAsia" w:ascii="仿宋_GB2312" w:hAnsi="仿宋_GB2312" w:cs="仿宋_GB2312"/>
          <w:highlight w:val="none"/>
        </w:rPr>
        <w:t>、</w:t>
      </w:r>
      <w:r>
        <w:rPr>
          <w:rFonts w:hint="eastAsia" w:ascii="仿宋_GB2312" w:hAnsi="仿宋_GB2312" w:cs="仿宋_GB2312"/>
          <w:highlight w:val="none"/>
          <w:lang w:eastAsia="zh-CN"/>
        </w:rPr>
        <w:t>技术</w:t>
      </w:r>
      <w:r>
        <w:rPr>
          <w:rFonts w:hint="eastAsia" w:ascii="仿宋_GB2312" w:hAnsi="仿宋_GB2312" w:cs="仿宋_GB2312"/>
          <w:highlight w:val="none"/>
        </w:rPr>
        <w:t>咨询、</w:t>
      </w:r>
      <w:r>
        <w:rPr>
          <w:rFonts w:hint="eastAsia" w:ascii="仿宋_GB2312" w:hAnsi="仿宋_GB2312" w:cs="仿宋_GB2312"/>
          <w:highlight w:val="none"/>
          <w:lang w:eastAsia="zh-CN"/>
        </w:rPr>
        <w:t>学术</w:t>
      </w:r>
      <w:r>
        <w:rPr>
          <w:rFonts w:hint="eastAsia" w:ascii="仿宋_GB2312" w:hAnsi="仿宋_GB2312" w:cs="仿宋_GB2312"/>
          <w:highlight w:val="none"/>
        </w:rPr>
        <w:t>授课、</w:t>
      </w:r>
      <w:r>
        <w:rPr>
          <w:rFonts w:hint="eastAsia" w:ascii="仿宋_GB2312" w:hAnsi="仿宋_GB2312" w:cs="仿宋_GB2312"/>
          <w:highlight w:val="none"/>
          <w:lang w:eastAsia="zh-CN"/>
        </w:rPr>
        <w:t>师徒</w:t>
      </w:r>
      <w:r>
        <w:rPr>
          <w:rFonts w:hint="eastAsia" w:ascii="仿宋_GB2312" w:hAnsi="仿宋_GB2312" w:cs="仿宋_GB2312"/>
          <w:highlight w:val="none"/>
        </w:rPr>
        <w:t>带教等多元化方式</w:t>
      </w:r>
      <w:r>
        <w:rPr>
          <w:rFonts w:hint="eastAsia" w:ascii="仿宋_GB2312" w:hAnsi="仿宋_GB2312" w:cs="仿宋_GB2312"/>
          <w:highlight w:val="none"/>
          <w:lang w:eastAsia="zh-CN"/>
        </w:rPr>
        <w:t>吸纳区域外优质</w:t>
      </w:r>
      <w:r>
        <w:rPr>
          <w:rFonts w:hint="eastAsia" w:ascii="仿宋_GB2312" w:hAnsi="仿宋_GB2312" w:cs="仿宋_GB2312"/>
          <w:highlight w:val="none"/>
        </w:rPr>
        <w:t>专家</w:t>
      </w:r>
      <w:r>
        <w:rPr>
          <w:rFonts w:hint="eastAsia" w:ascii="仿宋_GB2312" w:hAnsi="仿宋_GB2312" w:cs="仿宋_GB2312"/>
          <w:highlight w:val="none"/>
          <w:lang w:eastAsia="zh-CN"/>
        </w:rPr>
        <w:t>资源</w:t>
      </w:r>
      <w:r>
        <w:rPr>
          <w:rFonts w:hint="eastAsia" w:ascii="仿宋_GB2312" w:hAnsi="仿宋_GB2312" w:cs="仿宋_GB2312"/>
          <w:highlight w:val="none"/>
        </w:rPr>
        <w:t>，</w:t>
      </w:r>
      <w:r>
        <w:rPr>
          <w:rFonts w:hint="eastAsia" w:ascii="仿宋_GB2312" w:hAnsi="仿宋_GB2312" w:cs="仿宋_GB2312"/>
          <w:highlight w:val="none"/>
          <w:lang w:eastAsia="zh-CN"/>
        </w:rPr>
        <w:t>推动</w:t>
      </w:r>
      <w:r>
        <w:rPr>
          <w:rFonts w:hint="eastAsia" w:ascii="仿宋_GB2312" w:hAnsi="仿宋_GB2312" w:cs="仿宋_GB2312"/>
          <w:highlight w:val="none"/>
        </w:rPr>
        <w:t>“不求所有、但求所用”的</w:t>
      </w:r>
      <w:r>
        <w:rPr>
          <w:rFonts w:hint="eastAsia" w:ascii="仿宋_GB2312" w:hAnsi="仿宋_GB2312" w:cs="仿宋_GB2312"/>
          <w:highlight w:val="none"/>
          <w:lang w:eastAsia="zh-CN"/>
        </w:rPr>
        <w:t>柔性</w:t>
      </w:r>
      <w:r>
        <w:rPr>
          <w:rFonts w:hint="eastAsia" w:ascii="仿宋_GB2312" w:hAnsi="仿宋_GB2312" w:cs="仿宋_GB2312"/>
          <w:highlight w:val="none"/>
        </w:rPr>
        <w:t>引才理念落地见效。</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14:paraId="6E32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880" w:type="dxa"/>
            <w:noWrap w:val="0"/>
            <w:vAlign w:val="center"/>
          </w:tcPr>
          <w:p w14:paraId="62FCFF4D">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eastAsia" w:ascii="仿宋_GB2312" w:hAnsi="仿宋_GB2312" w:eastAsia="黑体" w:cs="仿宋_GB2312"/>
                <w:b w:val="0"/>
                <w:bCs w:val="0"/>
                <w:color w:val="auto"/>
                <w:sz w:val="24"/>
                <w:szCs w:val="24"/>
                <w:highlight w:val="none"/>
                <w:u w:val="none"/>
              </w:rPr>
            </w:pPr>
            <w:r>
              <w:rPr>
                <w:rFonts w:hint="eastAsia" w:ascii="黑体" w:hAnsi="黑体" w:eastAsia="黑体" w:cs="黑体"/>
                <w:b w:val="0"/>
                <w:bCs w:val="0"/>
                <w:color w:val="auto"/>
                <w:sz w:val="24"/>
                <w:szCs w:val="24"/>
                <w:highlight w:val="none"/>
                <w:u w:val="none"/>
              </w:rPr>
              <w:t>专栏</w:t>
            </w:r>
            <w:r>
              <w:rPr>
                <w:rFonts w:hint="eastAsia" w:ascii="黑体" w:hAnsi="黑体" w:eastAsia="黑体" w:cs="黑体"/>
                <w:b w:val="0"/>
                <w:bCs w:val="0"/>
                <w:color w:val="auto"/>
                <w:sz w:val="24"/>
                <w:szCs w:val="24"/>
                <w:highlight w:val="none"/>
                <w:u w:val="none"/>
                <w:lang w:val="en-US" w:eastAsia="zh-CN"/>
              </w:rPr>
              <w:t>5</w:t>
            </w:r>
            <w:r>
              <w:rPr>
                <w:rFonts w:hint="eastAsia" w:ascii="黑体" w:hAnsi="黑体" w:eastAsia="黑体" w:cs="黑体"/>
                <w:b w:val="0"/>
                <w:bCs w:val="0"/>
                <w:color w:val="auto"/>
                <w:sz w:val="24"/>
                <w:szCs w:val="24"/>
                <w:highlight w:val="none"/>
                <w:u w:val="none"/>
              </w:rPr>
              <w:t xml:space="preserve"> </w:t>
            </w:r>
            <w:r>
              <w:rPr>
                <w:rFonts w:hint="eastAsia" w:ascii="黑体" w:hAnsi="黑体" w:eastAsia="黑体" w:cs="黑体"/>
                <w:b w:val="0"/>
                <w:bCs w:val="0"/>
                <w:color w:val="auto"/>
                <w:sz w:val="24"/>
                <w:szCs w:val="24"/>
                <w:highlight w:val="none"/>
                <w:u w:val="none"/>
                <w:lang w:val="en-US" w:eastAsia="zh-CN"/>
              </w:rPr>
              <w:t>人才引进</w:t>
            </w:r>
            <w:r>
              <w:rPr>
                <w:rFonts w:hint="eastAsia" w:ascii="黑体" w:hAnsi="黑体" w:eastAsia="黑体" w:cs="黑体"/>
                <w:b w:val="0"/>
                <w:bCs w:val="0"/>
                <w:color w:val="auto"/>
                <w:sz w:val="24"/>
                <w:szCs w:val="24"/>
                <w:highlight w:val="none"/>
                <w:u w:val="none"/>
              </w:rPr>
              <w:t>工程</w:t>
            </w:r>
          </w:p>
        </w:tc>
      </w:tr>
      <w:tr w14:paraId="111C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880" w:type="dxa"/>
            <w:noWrap w:val="0"/>
            <w:vAlign w:val="center"/>
          </w:tcPr>
          <w:p w14:paraId="222FDFB7">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480" w:firstLineChars="200"/>
              <w:jc w:val="both"/>
              <w:textAlignment w:val="auto"/>
              <w:outlineLvl w:val="9"/>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支持设立“名医工作室”，组建科研临床团队，形成“引进一人，激活一片”良好效应。</w:t>
            </w:r>
          </w:p>
          <w:p w14:paraId="7E71B11A">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480" w:firstLineChars="200"/>
              <w:jc w:val="both"/>
              <w:textAlignment w:val="auto"/>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优化公开招聘和优秀毕业生吸纳机制，依托“校园门头沟日”、高校学子“Men To Go</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大学生政务见习”等特色引才品牌，深化“组团式”进校园招聘模式</w:t>
            </w:r>
            <w:r>
              <w:rPr>
                <w:rFonts w:hint="eastAsia" w:ascii="宋体" w:hAnsi="宋体" w:eastAsia="宋体" w:cs="宋体"/>
                <w:b w:val="0"/>
                <w:bCs w:val="0"/>
                <w:color w:val="auto"/>
                <w:sz w:val="24"/>
                <w:szCs w:val="24"/>
                <w:highlight w:val="none"/>
                <w:u w:val="none"/>
                <w:lang w:eastAsia="zh-CN"/>
              </w:rPr>
              <w:t>。</w:t>
            </w:r>
          </w:p>
          <w:p w14:paraId="5E89E259">
            <w:pPr>
              <w:keepNext w:val="0"/>
              <w:keepLines w:val="0"/>
              <w:pageBreakBefore w:val="0"/>
              <w:widowControl w:val="0"/>
              <w:shd w:val="clear" w:color="auto" w:fill="auto"/>
              <w:suppressAutoHyphens/>
              <w:kinsoku/>
              <w:wordWrap/>
              <w:overflowPunct/>
              <w:topLinePunct w:val="0"/>
              <w:autoSpaceDE/>
              <w:autoSpaceDN/>
              <w:bidi w:val="0"/>
              <w:adjustRightInd w:val="0"/>
              <w:snapToGrid w:val="0"/>
              <w:spacing w:after="0" w:line="240" w:lineRule="auto"/>
              <w:ind w:firstLine="480" w:firstLineChars="200"/>
              <w:jc w:val="both"/>
              <w:textAlignment w:val="auto"/>
              <w:outlineLvl w:val="9"/>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eastAsia="zh-CN"/>
              </w:rPr>
              <w:t>持续拓展柔性引智平台，整合“人才京郊行”“京西聚智”、对口支援、医联体、“8+1”行动、“区办市管”等资源，构建灵活开放的智力共享机制。</w:t>
            </w:r>
          </w:p>
        </w:tc>
      </w:tr>
    </w:tbl>
    <w:p w14:paraId="50395797">
      <w:pPr>
        <w:pStyle w:val="4"/>
        <w:ind w:firstLine="640" w:firstLineChars="200"/>
        <w:outlineLvl w:val="1"/>
        <w:rPr>
          <w:rFonts w:hint="default" w:ascii="宋体" w:hAnsi="宋体" w:eastAsia="楷体_GB2312" w:cs="Times New Roman"/>
          <w:bCs/>
          <w:kern w:val="0"/>
          <w:sz w:val="32"/>
          <w:szCs w:val="27"/>
          <w:highlight w:val="none"/>
          <w:lang w:val="en-US" w:eastAsia="zh-CN" w:bidi="ar-SA"/>
        </w:rPr>
      </w:pPr>
      <w:bookmarkStart w:id="200" w:name="_Toc15936"/>
      <w:bookmarkStart w:id="201" w:name="_Toc20431"/>
      <w:bookmarkStart w:id="202" w:name="_Toc19166"/>
      <w:r>
        <w:rPr>
          <w:rFonts w:hint="default" w:ascii="宋体" w:hAnsi="宋体" w:eastAsia="楷体_GB2312" w:cs="Times New Roman"/>
          <w:bCs/>
          <w:kern w:val="0"/>
          <w:sz w:val="32"/>
          <w:szCs w:val="27"/>
          <w:highlight w:val="none"/>
          <w:lang w:val="en-US" w:eastAsia="zh-CN" w:bidi="ar-SA"/>
        </w:rPr>
        <w:t>（</w:t>
      </w:r>
      <w:r>
        <w:rPr>
          <w:rFonts w:hint="eastAsia" w:ascii="宋体" w:hAnsi="宋体" w:eastAsia="楷体_GB2312" w:cs="Times New Roman"/>
          <w:bCs/>
          <w:kern w:val="0"/>
          <w:sz w:val="32"/>
          <w:szCs w:val="27"/>
          <w:highlight w:val="none"/>
          <w:lang w:val="en-US" w:eastAsia="zh-CN" w:bidi="ar-SA"/>
        </w:rPr>
        <w:t>二十三</w:t>
      </w:r>
      <w:r>
        <w:rPr>
          <w:rFonts w:hint="default" w:ascii="宋体" w:hAnsi="宋体" w:eastAsia="楷体_GB2312" w:cs="Times New Roman"/>
          <w:bCs/>
          <w:kern w:val="0"/>
          <w:sz w:val="32"/>
          <w:szCs w:val="27"/>
          <w:highlight w:val="none"/>
          <w:lang w:val="en-US" w:eastAsia="zh-CN" w:bidi="ar-SA"/>
        </w:rPr>
        <w:t>）分层分类培训，构建科学系统人才培育体系</w:t>
      </w:r>
      <w:bookmarkEnd w:id="200"/>
      <w:bookmarkEnd w:id="201"/>
      <w:bookmarkEnd w:id="202"/>
    </w:p>
    <w:p w14:paraId="39220C50">
      <w:pPr>
        <w:ind w:firstLine="640" w:firstLineChars="200"/>
        <w:rPr>
          <w:rFonts w:hint="eastAsia" w:ascii="仿宋_GB2312" w:hAnsi="仿宋_GB2312" w:cs="仿宋_GB2312"/>
          <w:szCs w:val="32"/>
          <w:highlight w:val="none"/>
        </w:rPr>
      </w:pPr>
      <w:r>
        <w:rPr>
          <w:rFonts w:hint="eastAsia" w:ascii="仿宋_GB2312" w:hAnsi="仿宋_GB2312" w:cs="仿宋_GB2312"/>
          <w:highlight w:val="none"/>
          <w:lang w:eastAsia="zh-CN"/>
        </w:rPr>
        <w:t>加大人才自主培养力度，</w:t>
      </w:r>
      <w:r>
        <w:rPr>
          <w:rFonts w:hint="eastAsia" w:ascii="仿宋_GB2312" w:hAnsi="仿宋_GB2312" w:cs="仿宋_GB2312"/>
          <w:highlight w:val="none"/>
        </w:rPr>
        <w:t>持续深化“1+2+N”教育培训体系建设，聚焦“政治铸魂、精准赋能、实践锻炼”三大核心，</w:t>
      </w:r>
      <w:r>
        <w:rPr>
          <w:rFonts w:hint="eastAsia" w:ascii="仿宋_GB2312" w:hAnsi="仿宋_GB2312" w:cs="仿宋_GB2312"/>
          <w:highlight w:val="none"/>
          <w:lang w:eastAsia="zh-CN"/>
        </w:rPr>
        <w:t>坚持</w:t>
      </w:r>
      <w:r>
        <w:rPr>
          <w:rFonts w:hint="eastAsia" w:ascii="仿宋_GB2312" w:hAnsi="仿宋_GB2312" w:cs="仿宋_GB2312"/>
          <w:highlight w:val="none"/>
        </w:rPr>
        <w:t>系统谋划、精准施策、多元推进，全面提升卫生健康系统干部人才政治素养与专业能力。</w:t>
      </w:r>
      <w:r>
        <w:rPr>
          <w:rFonts w:hint="eastAsia" w:ascii="仿宋_GB2312" w:hAnsi="仿宋_GB2312" w:cs="仿宋_GB2312"/>
          <w:highlight w:val="none"/>
          <w:lang w:eastAsia="zh-CN"/>
        </w:rPr>
        <w:t>深入</w:t>
      </w:r>
      <w:r>
        <w:rPr>
          <w:rFonts w:hint="eastAsia" w:ascii="仿宋_GB2312" w:hAnsi="仿宋_GB2312" w:cs="仿宋_GB2312"/>
          <w:highlight w:val="none"/>
        </w:rPr>
        <w:t>实施“杏林菁英—优秀年轻干部培养工程”，</w:t>
      </w:r>
      <w:r>
        <w:rPr>
          <w:rFonts w:hint="eastAsia" w:ascii="仿宋_GB2312" w:hAnsi="仿宋_GB2312" w:cs="仿宋_GB2312"/>
          <w:highlight w:val="none"/>
          <w:lang w:eastAsia="zh-CN"/>
        </w:rPr>
        <w:t>健全完善</w:t>
      </w:r>
      <w:r>
        <w:rPr>
          <w:rFonts w:hint="eastAsia" w:ascii="仿宋_GB2312" w:hAnsi="仿宋_GB2312" w:cs="仿宋_GB2312"/>
          <w:highlight w:val="none"/>
        </w:rPr>
        <w:t>“选育</w:t>
      </w:r>
      <w:r>
        <w:rPr>
          <w:rFonts w:hint="eastAsia" w:ascii="仿宋_GB2312" w:hAnsi="仿宋_GB2312" w:cs="仿宋_GB2312"/>
          <w:highlight w:val="none"/>
          <w:lang w:eastAsia="zh-CN"/>
        </w:rPr>
        <w:t>管</w:t>
      </w:r>
      <w:r>
        <w:rPr>
          <w:rFonts w:hint="eastAsia" w:ascii="仿宋_GB2312" w:hAnsi="仿宋_GB2312" w:cs="仿宋_GB2312"/>
          <w:highlight w:val="none"/>
        </w:rPr>
        <w:t>用”全链条工作机制</w:t>
      </w:r>
      <w:r>
        <w:rPr>
          <w:rFonts w:hint="eastAsia" w:ascii="仿宋_GB2312" w:hAnsi="仿宋_GB2312" w:cs="仿宋_GB2312"/>
          <w:highlight w:val="none"/>
          <w:lang w:eastAsia="zh-CN"/>
        </w:rPr>
        <w:t>。推进“菁英医师”培养计划，定向遴选临床业务骨干牵头参与重大疑难疾病攻关、重难点临床科研项目；健全</w:t>
      </w:r>
      <w:r>
        <w:rPr>
          <w:rFonts w:hint="eastAsia" w:ascii="仿宋_GB2312" w:hAnsi="仿宋_GB2312" w:cs="仿宋_GB2312"/>
          <w:highlight w:val="none"/>
        </w:rPr>
        <w:t>导师</w:t>
      </w:r>
      <w:r>
        <w:rPr>
          <w:rFonts w:hint="eastAsia" w:ascii="仿宋_GB2312" w:hAnsi="仿宋_GB2312" w:cs="仿宋_GB2312"/>
          <w:highlight w:val="none"/>
          <w:lang w:eastAsia="zh-CN"/>
        </w:rPr>
        <w:t>传帮带及</w:t>
      </w:r>
      <w:r>
        <w:rPr>
          <w:rFonts w:hint="eastAsia" w:ascii="仿宋_GB2312" w:hAnsi="仿宋_GB2312" w:cs="仿宋_GB2312"/>
          <w:highlight w:val="none"/>
        </w:rPr>
        <w:t>“中医师承”</w:t>
      </w:r>
      <w:r>
        <w:rPr>
          <w:rFonts w:hint="eastAsia" w:ascii="仿宋_GB2312" w:hAnsi="仿宋_GB2312" w:cs="仿宋_GB2312"/>
          <w:highlight w:val="none"/>
          <w:lang w:eastAsia="zh-CN"/>
        </w:rPr>
        <w:t>培养</w:t>
      </w:r>
      <w:r>
        <w:rPr>
          <w:rFonts w:hint="eastAsia" w:ascii="仿宋_GB2312" w:hAnsi="仿宋_GB2312" w:cs="仿宋_GB2312"/>
          <w:highlight w:val="none"/>
        </w:rPr>
        <w:t>模式，</w:t>
      </w:r>
      <w:r>
        <w:rPr>
          <w:rFonts w:hint="eastAsia" w:ascii="仿宋_GB2312" w:hAnsi="仿宋_GB2312" w:cs="仿宋_GB2312"/>
          <w:highlight w:val="none"/>
          <w:lang w:eastAsia="zh-CN"/>
        </w:rPr>
        <w:t>抓实</w:t>
      </w:r>
      <w:r>
        <w:rPr>
          <w:rFonts w:hint="eastAsia" w:ascii="仿宋_GB2312" w:hAnsi="仿宋_GB2312" w:cs="仿宋_GB2312"/>
          <w:highlight w:val="none"/>
        </w:rPr>
        <w:t>跟师学习、临床研习</w:t>
      </w:r>
      <w:r>
        <w:rPr>
          <w:rFonts w:hint="eastAsia" w:ascii="仿宋_GB2312" w:hAnsi="仿宋_GB2312" w:cs="仿宋_GB2312"/>
          <w:highlight w:val="none"/>
          <w:lang w:eastAsia="zh-CN"/>
        </w:rPr>
        <w:t>、</w:t>
      </w:r>
      <w:r>
        <w:rPr>
          <w:rFonts w:hint="eastAsia" w:ascii="仿宋_GB2312" w:hAnsi="仿宋_GB2312" w:cs="仿宋_GB2312"/>
          <w:highlight w:val="none"/>
        </w:rPr>
        <w:t>理论提升。</w:t>
      </w:r>
      <w:r>
        <w:rPr>
          <w:rFonts w:hint="eastAsia" w:ascii="仿宋_GB2312" w:hAnsi="仿宋_GB2312" w:cs="仿宋_GB2312"/>
          <w:highlight w:val="none"/>
          <w:lang w:eastAsia="zh-CN"/>
        </w:rPr>
        <w:t>健全“揭榜挂帅”</w:t>
      </w:r>
      <w:r>
        <w:rPr>
          <w:rFonts w:hint="eastAsia" w:ascii="仿宋_GB2312" w:hAnsi="仿宋_GB2312" w:cs="仿宋_GB2312"/>
          <w:highlight w:val="none"/>
        </w:rPr>
        <w:t>、挂职交流、支援服务、</w:t>
      </w:r>
      <w:r>
        <w:rPr>
          <w:rFonts w:hint="eastAsia" w:ascii="仿宋_GB2312" w:hAnsi="仿宋_GB2312" w:cs="仿宋_GB2312"/>
          <w:highlight w:val="none"/>
          <w:lang w:eastAsia="zh-CN"/>
        </w:rPr>
        <w:t>重大任务历练</w:t>
      </w:r>
      <w:r>
        <w:rPr>
          <w:rFonts w:hint="eastAsia" w:ascii="仿宋_GB2312" w:hAnsi="仿宋_GB2312" w:cs="仿宋_GB2312"/>
          <w:highlight w:val="none"/>
        </w:rPr>
        <w:t>、多岗位</w:t>
      </w:r>
      <w:r>
        <w:rPr>
          <w:rFonts w:hint="eastAsia" w:ascii="仿宋_GB2312" w:hAnsi="仿宋_GB2312" w:cs="仿宋_GB2312"/>
          <w:highlight w:val="none"/>
          <w:lang w:eastAsia="zh-CN"/>
        </w:rPr>
        <w:t>轮岗实训</w:t>
      </w:r>
      <w:r>
        <w:rPr>
          <w:rFonts w:hint="eastAsia" w:ascii="仿宋_GB2312" w:hAnsi="仿宋_GB2312" w:cs="仿宋_GB2312"/>
          <w:highlight w:val="none"/>
        </w:rPr>
        <w:t>等</w:t>
      </w:r>
      <w:r>
        <w:rPr>
          <w:rFonts w:hint="eastAsia" w:ascii="仿宋_GB2312" w:hAnsi="仿宋_GB2312" w:cs="仿宋_GB2312"/>
          <w:highlight w:val="none"/>
          <w:lang w:eastAsia="zh-CN"/>
        </w:rPr>
        <w:t>常态化实践锻炼机制</w:t>
      </w:r>
      <w:r>
        <w:rPr>
          <w:rFonts w:hint="eastAsia" w:ascii="仿宋_GB2312" w:hAnsi="仿宋_GB2312" w:cs="仿宋_GB2312"/>
          <w:highlight w:val="none"/>
        </w:rPr>
        <w:t>，为优秀年轻</w:t>
      </w:r>
      <w:r>
        <w:rPr>
          <w:rFonts w:hint="eastAsia" w:ascii="仿宋_GB2312" w:hAnsi="仿宋_GB2312" w:cs="仿宋_GB2312"/>
          <w:highlight w:val="none"/>
          <w:lang w:eastAsia="zh-CN"/>
        </w:rPr>
        <w:t>人才</w:t>
      </w:r>
      <w:r>
        <w:rPr>
          <w:rFonts w:hint="eastAsia" w:ascii="仿宋_GB2312" w:hAnsi="仿宋_GB2312" w:cs="仿宋_GB2312"/>
          <w:highlight w:val="none"/>
        </w:rPr>
        <w:t>搭台压担。扎实</w:t>
      </w:r>
      <w:r>
        <w:rPr>
          <w:rFonts w:hint="eastAsia" w:ascii="仿宋_GB2312" w:hAnsi="仿宋_GB2312" w:cs="仿宋_GB2312"/>
          <w:szCs w:val="32"/>
          <w:highlight w:val="none"/>
        </w:rPr>
        <w:t>推进首都医科大学临床本科教学基地的申报与认定，加快标准化临床示教室、模拟训练中心建设，组建以高级职称医师为核心的教学团队，保障教学质量达标，为培养新时代高素质医学人才奠定坚实基础。</w:t>
      </w:r>
    </w:p>
    <w:p w14:paraId="5CE7E1CC">
      <w:pPr>
        <w:ind w:firstLine="640" w:firstLineChars="200"/>
        <w:outlineLvl w:val="1"/>
        <w:rPr>
          <w:rFonts w:hint="default" w:ascii="宋体" w:hAnsi="宋体" w:eastAsia="楷体_GB2312" w:cs="Times New Roman"/>
          <w:bCs/>
          <w:kern w:val="0"/>
          <w:sz w:val="32"/>
          <w:szCs w:val="27"/>
          <w:highlight w:val="none"/>
          <w:lang w:val="en-US" w:eastAsia="zh-CN" w:bidi="ar-SA"/>
        </w:rPr>
      </w:pPr>
      <w:bookmarkStart w:id="203" w:name="_Toc19759"/>
      <w:bookmarkStart w:id="204" w:name="_Toc15104"/>
      <w:bookmarkStart w:id="205" w:name="_Toc26486"/>
      <w:r>
        <w:rPr>
          <w:rFonts w:hint="default" w:ascii="宋体" w:hAnsi="宋体" w:eastAsia="楷体_GB2312" w:cs="Times New Roman"/>
          <w:bCs/>
          <w:kern w:val="0"/>
          <w:sz w:val="32"/>
          <w:szCs w:val="27"/>
          <w:highlight w:val="none"/>
          <w:lang w:val="en-US" w:eastAsia="zh-CN" w:bidi="ar-SA"/>
        </w:rPr>
        <w:t>（</w:t>
      </w:r>
      <w:r>
        <w:rPr>
          <w:rFonts w:hint="eastAsia" w:ascii="宋体" w:hAnsi="宋体" w:eastAsia="楷体_GB2312" w:cs="Times New Roman"/>
          <w:bCs/>
          <w:kern w:val="0"/>
          <w:sz w:val="32"/>
          <w:szCs w:val="27"/>
          <w:highlight w:val="none"/>
          <w:lang w:val="en-US" w:eastAsia="zh-CN" w:bidi="ar-SA"/>
        </w:rPr>
        <w:t>二十四</w:t>
      </w:r>
      <w:r>
        <w:rPr>
          <w:rFonts w:hint="default" w:ascii="宋体" w:hAnsi="宋体" w:eastAsia="楷体_GB2312" w:cs="Times New Roman"/>
          <w:bCs/>
          <w:kern w:val="0"/>
          <w:sz w:val="32"/>
          <w:szCs w:val="27"/>
          <w:highlight w:val="none"/>
          <w:lang w:val="en-US" w:eastAsia="zh-CN" w:bidi="ar-SA"/>
        </w:rPr>
        <w:t>）搭建多元平台，激发人才干事创业内生动能</w:t>
      </w:r>
      <w:bookmarkEnd w:id="203"/>
      <w:bookmarkEnd w:id="204"/>
      <w:bookmarkEnd w:id="205"/>
    </w:p>
    <w:p w14:paraId="3E52EF2A">
      <w:pPr>
        <w:ind w:firstLine="640" w:firstLineChars="200"/>
        <w:rPr>
          <w:highlight w:val="none"/>
        </w:rPr>
      </w:pPr>
      <w:r>
        <w:rPr>
          <w:highlight w:val="none"/>
        </w:rPr>
        <w:t>完善选拔任用工作机制</w:t>
      </w:r>
      <w:r>
        <w:rPr>
          <w:rFonts w:hint="eastAsia"/>
          <w:highlight w:val="none"/>
        </w:rPr>
        <w:t>，</w:t>
      </w:r>
      <w:r>
        <w:rPr>
          <w:highlight w:val="none"/>
        </w:rPr>
        <w:t>研究制定卫生健康系统特点的事业单位</w:t>
      </w:r>
      <w:r>
        <w:rPr>
          <w:rFonts w:hint="eastAsia"/>
          <w:highlight w:val="none"/>
        </w:rPr>
        <w:t>领导</w:t>
      </w:r>
      <w:r>
        <w:rPr>
          <w:highlight w:val="none"/>
        </w:rPr>
        <w:t>干部选拔任用管理办法，优化干部队伍结构，</w:t>
      </w:r>
      <w:r>
        <w:rPr>
          <w:rFonts w:hint="eastAsia"/>
          <w:highlight w:val="none"/>
        </w:rPr>
        <w:t>选优</w:t>
      </w:r>
      <w:r>
        <w:rPr>
          <w:highlight w:val="none"/>
        </w:rPr>
        <w:t>配强领导</w:t>
      </w:r>
      <w:r>
        <w:rPr>
          <w:rFonts w:hint="eastAsia"/>
          <w:highlight w:val="none"/>
        </w:rPr>
        <w:t>班子，提升整体效能</w:t>
      </w:r>
      <w:r>
        <w:rPr>
          <w:highlight w:val="none"/>
        </w:rPr>
        <w:t>。健全人员流动调配机制，促进人才有序流动</w:t>
      </w:r>
      <w:r>
        <w:rPr>
          <w:rFonts w:hint="eastAsia"/>
          <w:highlight w:val="none"/>
        </w:rPr>
        <w:t>、合理配置</w:t>
      </w:r>
      <w:r>
        <w:rPr>
          <w:highlight w:val="none"/>
        </w:rPr>
        <w:t>，</w:t>
      </w:r>
      <w:r>
        <w:rPr>
          <w:rFonts w:hint="eastAsia"/>
          <w:highlight w:val="none"/>
        </w:rPr>
        <w:t>充分</w:t>
      </w:r>
      <w:r>
        <w:rPr>
          <w:highlight w:val="none"/>
        </w:rPr>
        <w:t>激发队伍活力。</w:t>
      </w:r>
      <w:r>
        <w:rPr>
          <w:rFonts w:hint="eastAsia"/>
          <w:highlight w:val="none"/>
        </w:rPr>
        <w:t>深化</w:t>
      </w:r>
      <w:r>
        <w:rPr>
          <w:highlight w:val="none"/>
        </w:rPr>
        <w:t>绩效考核与薪酬分配制度</w:t>
      </w:r>
      <w:r>
        <w:rPr>
          <w:rFonts w:hint="eastAsia"/>
          <w:highlight w:val="none"/>
        </w:rPr>
        <w:t>改革，</w:t>
      </w:r>
      <w:r>
        <w:rPr>
          <w:highlight w:val="none"/>
        </w:rPr>
        <w:t>全面落实</w:t>
      </w:r>
      <w:r>
        <w:rPr>
          <w:rFonts w:hint="eastAsia"/>
          <w:highlight w:val="none"/>
        </w:rPr>
        <w:t>“</w:t>
      </w:r>
      <w:r>
        <w:rPr>
          <w:highlight w:val="none"/>
        </w:rPr>
        <w:t>两个允许</w:t>
      </w:r>
      <w:r>
        <w:rPr>
          <w:rFonts w:hint="eastAsia"/>
          <w:highlight w:val="none"/>
        </w:rPr>
        <w:t>”政策</w:t>
      </w:r>
      <w:r>
        <w:rPr>
          <w:highlight w:val="none"/>
        </w:rPr>
        <w:t>要求，</w:t>
      </w:r>
      <w:r>
        <w:rPr>
          <w:rFonts w:hint="eastAsia"/>
          <w:highlight w:val="none"/>
        </w:rPr>
        <w:t>持续完善</w:t>
      </w:r>
      <w:r>
        <w:rPr>
          <w:highlight w:val="none"/>
        </w:rPr>
        <w:t>公立医院</w:t>
      </w:r>
      <w:r>
        <w:rPr>
          <w:rFonts w:hint="eastAsia"/>
          <w:highlight w:val="none"/>
        </w:rPr>
        <w:t>与</w:t>
      </w:r>
      <w:r>
        <w:rPr>
          <w:highlight w:val="none"/>
        </w:rPr>
        <w:t>基层社区卫生服务机构薪酬制度</w:t>
      </w:r>
      <w:r>
        <w:rPr>
          <w:rFonts w:hint="eastAsia"/>
          <w:highlight w:val="none"/>
        </w:rPr>
        <w:t>体系</w:t>
      </w:r>
      <w:r>
        <w:rPr>
          <w:highlight w:val="none"/>
        </w:rPr>
        <w:t>。建立</w:t>
      </w:r>
      <w:r>
        <w:rPr>
          <w:rFonts w:hint="eastAsia"/>
          <w:highlight w:val="none"/>
        </w:rPr>
        <w:t>健全</w:t>
      </w:r>
      <w:r>
        <w:rPr>
          <w:highlight w:val="none"/>
        </w:rPr>
        <w:t>与岗位职责、工作业绩、实际贡献紧密</w:t>
      </w:r>
      <w:r>
        <w:rPr>
          <w:rFonts w:hint="eastAsia"/>
          <w:highlight w:val="none"/>
        </w:rPr>
        <w:t>衔接</w:t>
      </w:r>
      <w:r>
        <w:rPr>
          <w:highlight w:val="none"/>
        </w:rPr>
        <w:t>的绩效分配机制，重点向关键岗位、业务骨干和作出突出贡献人员倾斜。</w:t>
      </w:r>
      <w:r>
        <w:rPr>
          <w:rFonts w:hint="eastAsia"/>
          <w:highlight w:val="none"/>
        </w:rPr>
        <w:t>科学</w:t>
      </w:r>
      <w:r>
        <w:rPr>
          <w:highlight w:val="none"/>
        </w:rPr>
        <w:t>核定绩效工资总量，优化内部分配</w:t>
      </w:r>
      <w:r>
        <w:rPr>
          <w:rFonts w:hint="eastAsia"/>
          <w:highlight w:val="none"/>
        </w:rPr>
        <w:t>方案</w:t>
      </w:r>
      <w:r>
        <w:rPr>
          <w:highlight w:val="none"/>
        </w:rPr>
        <w:t>，</w:t>
      </w:r>
      <w:r>
        <w:rPr>
          <w:rFonts w:hint="eastAsia"/>
          <w:highlight w:val="none"/>
        </w:rPr>
        <w:t>有效</w:t>
      </w:r>
      <w:r>
        <w:rPr>
          <w:highlight w:val="none"/>
        </w:rPr>
        <w:t>调动医务人员积极性</w:t>
      </w:r>
      <w:r>
        <w:rPr>
          <w:rFonts w:hint="eastAsia"/>
          <w:highlight w:val="none"/>
        </w:rPr>
        <w:t>、主动性和创造性</w:t>
      </w:r>
      <w:r>
        <w:rPr>
          <w:highlight w:val="none"/>
        </w:rPr>
        <w:t>。</w:t>
      </w:r>
    </w:p>
    <w:p w14:paraId="3290BB0E">
      <w:pPr>
        <w:pStyle w:val="4"/>
        <w:ind w:firstLine="640" w:firstLineChars="200"/>
        <w:outlineLvl w:val="1"/>
        <w:rPr>
          <w:rFonts w:hint="default"/>
          <w:highlight w:val="none"/>
        </w:rPr>
      </w:pPr>
      <w:bookmarkStart w:id="206" w:name="_Toc21023"/>
      <w:bookmarkStart w:id="207" w:name="_Toc20136"/>
      <w:bookmarkStart w:id="208" w:name="_Toc4828"/>
      <w:r>
        <w:rPr>
          <w:rFonts w:hint="default" w:ascii="宋体" w:hAnsi="宋体" w:eastAsia="楷体_GB2312" w:cs="Times New Roman"/>
          <w:bCs/>
          <w:kern w:val="0"/>
          <w:sz w:val="32"/>
          <w:szCs w:val="27"/>
          <w:highlight w:val="none"/>
          <w:lang w:val="en-US" w:eastAsia="zh-CN" w:bidi="ar-SA"/>
        </w:rPr>
        <w:t>（</w:t>
      </w:r>
      <w:r>
        <w:rPr>
          <w:rFonts w:hint="eastAsia" w:ascii="宋体" w:hAnsi="宋体" w:eastAsia="楷体_GB2312" w:cs="Times New Roman"/>
          <w:bCs/>
          <w:kern w:val="0"/>
          <w:sz w:val="32"/>
          <w:szCs w:val="27"/>
          <w:highlight w:val="none"/>
          <w:lang w:val="en-US" w:eastAsia="zh-CN" w:bidi="ar-SA"/>
        </w:rPr>
        <w:t>二十五</w:t>
      </w:r>
      <w:r>
        <w:rPr>
          <w:rFonts w:hint="default" w:ascii="宋体" w:hAnsi="宋体" w:eastAsia="楷体_GB2312" w:cs="Times New Roman"/>
          <w:bCs/>
          <w:kern w:val="0"/>
          <w:sz w:val="32"/>
          <w:szCs w:val="27"/>
          <w:highlight w:val="none"/>
          <w:lang w:val="en-US" w:eastAsia="zh-CN" w:bidi="ar-SA"/>
        </w:rPr>
        <w:t>）坚持党建引领，筑牢保障有力人才服务生态</w:t>
      </w:r>
      <w:bookmarkEnd w:id="206"/>
      <w:bookmarkEnd w:id="207"/>
      <w:bookmarkEnd w:id="208"/>
    </w:p>
    <w:p w14:paraId="46B06ECE">
      <w:pPr>
        <w:ind w:firstLine="640" w:firstLineChars="200"/>
        <w:rPr>
          <w:highlight w:val="none"/>
        </w:rPr>
      </w:pPr>
      <w:r>
        <w:rPr>
          <w:rFonts w:hint="eastAsia"/>
          <w:highlight w:val="none"/>
        </w:rPr>
        <w:t>强化</w:t>
      </w:r>
      <w:r>
        <w:rPr>
          <w:highlight w:val="none"/>
        </w:rPr>
        <w:t>政治引领与政治吸纳，</w:t>
      </w:r>
      <w:r>
        <w:rPr>
          <w:rFonts w:hint="eastAsia"/>
          <w:highlight w:val="none"/>
        </w:rPr>
        <w:t>全面</w:t>
      </w:r>
      <w:r>
        <w:rPr>
          <w:highlight w:val="none"/>
        </w:rPr>
        <w:t>落实领导干部联系服务专家制度</w:t>
      </w:r>
      <w:r>
        <w:rPr>
          <w:rFonts w:hint="eastAsia"/>
          <w:highlight w:val="none"/>
        </w:rPr>
        <w:t>，深化与人才的</w:t>
      </w:r>
      <w:r>
        <w:rPr>
          <w:highlight w:val="none"/>
        </w:rPr>
        <w:t>思想</w:t>
      </w:r>
      <w:r>
        <w:rPr>
          <w:rFonts w:hint="eastAsia"/>
          <w:highlight w:val="none"/>
        </w:rPr>
        <w:t>交流</w:t>
      </w:r>
      <w:r>
        <w:rPr>
          <w:highlight w:val="none"/>
        </w:rPr>
        <w:t>和情感</w:t>
      </w:r>
      <w:r>
        <w:rPr>
          <w:rFonts w:hint="eastAsia"/>
          <w:highlight w:val="none"/>
        </w:rPr>
        <w:t>关怀</w:t>
      </w:r>
      <w:r>
        <w:rPr>
          <w:highlight w:val="none"/>
        </w:rPr>
        <w:t>。加大在优秀</w:t>
      </w:r>
      <w:r>
        <w:rPr>
          <w:rFonts w:hint="eastAsia"/>
          <w:highlight w:val="none"/>
        </w:rPr>
        <w:t>专业</w:t>
      </w:r>
      <w:r>
        <w:rPr>
          <w:highlight w:val="none"/>
        </w:rPr>
        <w:t>人才中发展党员力度</w:t>
      </w:r>
      <w:r>
        <w:rPr>
          <w:rFonts w:hint="eastAsia"/>
          <w:highlight w:val="none"/>
        </w:rPr>
        <w:t>，切实增强党组织的凝聚力和向心力</w:t>
      </w:r>
      <w:r>
        <w:rPr>
          <w:highlight w:val="none"/>
        </w:rPr>
        <w:t>。优化人才服务保障机制，</w:t>
      </w:r>
      <w:r>
        <w:rPr>
          <w:rFonts w:hint="eastAsia"/>
          <w:highlight w:val="none"/>
        </w:rPr>
        <w:t>聚焦</w:t>
      </w:r>
      <w:r>
        <w:rPr>
          <w:highlight w:val="none"/>
        </w:rPr>
        <w:t>落户、住房、子女教育、医疗保障等</w:t>
      </w:r>
      <w:r>
        <w:rPr>
          <w:rFonts w:hint="eastAsia"/>
          <w:highlight w:val="none"/>
        </w:rPr>
        <w:t>关键需求，</w:t>
      </w:r>
      <w:r>
        <w:rPr>
          <w:highlight w:val="none"/>
        </w:rPr>
        <w:t>为人才提供精准</w:t>
      </w:r>
      <w:r>
        <w:rPr>
          <w:rFonts w:hint="eastAsia"/>
          <w:highlight w:val="none"/>
        </w:rPr>
        <w:t>、</w:t>
      </w:r>
      <w:r>
        <w:rPr>
          <w:highlight w:val="none"/>
        </w:rPr>
        <w:t>高效、便捷的服务，</w:t>
      </w:r>
      <w:r>
        <w:rPr>
          <w:rFonts w:hint="eastAsia"/>
          <w:highlight w:val="none"/>
        </w:rPr>
        <w:t>切实</w:t>
      </w:r>
      <w:r>
        <w:rPr>
          <w:highlight w:val="none"/>
        </w:rPr>
        <w:t>解决后顾之忧</w:t>
      </w:r>
      <w:r>
        <w:rPr>
          <w:rFonts w:hint="eastAsia"/>
          <w:highlight w:val="none"/>
        </w:rPr>
        <w:t>，让人才安心、安身、安业</w:t>
      </w:r>
      <w:r>
        <w:rPr>
          <w:highlight w:val="none"/>
        </w:rPr>
        <w:t>。</w:t>
      </w:r>
      <w:r>
        <w:rPr>
          <w:rFonts w:hint="eastAsia"/>
          <w:highlight w:val="none"/>
        </w:rPr>
        <w:t>关心关爱医务人员，创造更加安全的执业环境。</w:t>
      </w:r>
      <w:r>
        <w:rPr>
          <w:highlight w:val="none"/>
        </w:rPr>
        <w:t>加大人才宣传力度，</w:t>
      </w:r>
      <w:r>
        <w:rPr>
          <w:rFonts w:hint="eastAsia"/>
          <w:highlight w:val="none"/>
        </w:rPr>
        <w:t>依托“</w:t>
      </w:r>
      <w:r>
        <w:rPr>
          <w:highlight w:val="none"/>
        </w:rPr>
        <w:t>健康门头沟</w:t>
      </w:r>
      <w:r>
        <w:rPr>
          <w:rFonts w:hint="eastAsia"/>
          <w:highlight w:val="none"/>
        </w:rPr>
        <w:t>”</w:t>
      </w:r>
      <w:r>
        <w:rPr>
          <w:highlight w:val="none"/>
        </w:rPr>
        <w:t>及各单位公众号等</w:t>
      </w:r>
      <w:r>
        <w:rPr>
          <w:rFonts w:hint="eastAsia"/>
          <w:highlight w:val="none"/>
        </w:rPr>
        <w:t>新媒体</w:t>
      </w:r>
      <w:r>
        <w:rPr>
          <w:highlight w:val="none"/>
        </w:rPr>
        <w:t>平台，</w:t>
      </w:r>
      <w:r>
        <w:rPr>
          <w:rFonts w:hint="eastAsia"/>
          <w:highlight w:val="none"/>
        </w:rPr>
        <w:t>构建线上线下相结合、多层次全覆盖的</w:t>
      </w:r>
      <w:r>
        <w:rPr>
          <w:highlight w:val="none"/>
        </w:rPr>
        <w:t>宣传矩阵</w:t>
      </w:r>
      <w:r>
        <w:rPr>
          <w:rFonts w:hint="eastAsia"/>
          <w:highlight w:val="none"/>
        </w:rPr>
        <w:t>。广泛</w:t>
      </w:r>
      <w:r>
        <w:rPr>
          <w:highlight w:val="none"/>
        </w:rPr>
        <w:t>宣传卫生健康</w:t>
      </w:r>
      <w:r>
        <w:rPr>
          <w:rFonts w:hint="eastAsia"/>
          <w:highlight w:val="none"/>
        </w:rPr>
        <w:t>领域</w:t>
      </w:r>
      <w:r>
        <w:rPr>
          <w:highlight w:val="none"/>
        </w:rPr>
        <w:t>人才</w:t>
      </w:r>
      <w:r>
        <w:rPr>
          <w:rFonts w:hint="eastAsia"/>
          <w:highlight w:val="none"/>
        </w:rPr>
        <w:t>的</w:t>
      </w:r>
      <w:r>
        <w:rPr>
          <w:highlight w:val="none"/>
        </w:rPr>
        <w:t>先进事迹</w:t>
      </w:r>
      <w:r>
        <w:rPr>
          <w:rFonts w:hint="eastAsia"/>
          <w:highlight w:val="none"/>
        </w:rPr>
        <w:t>与</w:t>
      </w:r>
      <w:r>
        <w:rPr>
          <w:highlight w:val="none"/>
        </w:rPr>
        <w:t>突出贡献，选树行业</w:t>
      </w:r>
      <w:r>
        <w:rPr>
          <w:rFonts w:hint="eastAsia"/>
          <w:highlight w:val="none"/>
        </w:rPr>
        <w:t>典范</w:t>
      </w:r>
      <w:r>
        <w:rPr>
          <w:highlight w:val="none"/>
        </w:rPr>
        <w:t>，</w:t>
      </w:r>
      <w:r>
        <w:rPr>
          <w:rFonts w:hint="eastAsia"/>
          <w:highlight w:val="none"/>
        </w:rPr>
        <w:t>弘扬职业精神，积极</w:t>
      </w:r>
      <w:r>
        <w:rPr>
          <w:highlight w:val="none"/>
        </w:rPr>
        <w:t>营造</w:t>
      </w:r>
      <w:r>
        <w:rPr>
          <w:rFonts w:hint="eastAsia"/>
          <w:highlight w:val="none"/>
        </w:rPr>
        <w:t>“</w:t>
      </w:r>
      <w:r>
        <w:rPr>
          <w:highlight w:val="none"/>
        </w:rPr>
        <w:t>尊才、爱才、惜才</w:t>
      </w:r>
      <w:r>
        <w:rPr>
          <w:rFonts w:hint="eastAsia"/>
          <w:highlight w:val="none"/>
        </w:rPr>
        <w:t>”</w:t>
      </w:r>
      <w:r>
        <w:rPr>
          <w:highlight w:val="none"/>
        </w:rPr>
        <w:t>的</w:t>
      </w:r>
      <w:r>
        <w:rPr>
          <w:rFonts w:hint="eastAsia"/>
          <w:highlight w:val="none"/>
        </w:rPr>
        <w:t>浓厚</w:t>
      </w:r>
      <w:r>
        <w:rPr>
          <w:highlight w:val="none"/>
        </w:rPr>
        <w:t>氛围。</w:t>
      </w:r>
      <w:bookmarkEnd w:id="199"/>
    </w:p>
    <w:p w14:paraId="62913084">
      <w:pPr>
        <w:numPr>
          <w:ilvl w:val="0"/>
          <w:numId w:val="0"/>
        </w:numPr>
        <w:ind w:firstLine="640" w:firstLineChars="200"/>
        <w:outlineLvl w:val="0"/>
        <w:rPr>
          <w:rFonts w:hint="eastAsia" w:ascii="Arial" w:hAnsi="Arial" w:eastAsia="黑体" w:cstheme="minorBidi"/>
          <w:color w:val="auto"/>
          <w:kern w:val="2"/>
          <w:sz w:val="32"/>
          <w:szCs w:val="24"/>
          <w:highlight w:val="none"/>
          <w:lang w:val="en-US" w:eastAsia="zh-CN" w:bidi="ar-SA"/>
        </w:rPr>
      </w:pPr>
      <w:bookmarkStart w:id="209" w:name="_Toc26694"/>
      <w:bookmarkStart w:id="210" w:name="_Toc3720"/>
      <w:r>
        <w:rPr>
          <w:rFonts w:hint="eastAsia" w:ascii="Arial" w:hAnsi="Arial" w:eastAsia="黑体" w:cstheme="minorBidi"/>
          <w:color w:val="auto"/>
          <w:kern w:val="2"/>
          <w:sz w:val="32"/>
          <w:szCs w:val="24"/>
          <w:lang w:val="en-US" w:eastAsia="zh-CN" w:bidi="ar-SA"/>
        </w:rPr>
        <w:t>十、</w:t>
      </w:r>
      <w:r>
        <w:rPr>
          <w:rFonts w:hint="eastAsia" w:ascii="Arial" w:hAnsi="Arial" w:eastAsia="黑体" w:cstheme="minorBidi"/>
          <w:color w:val="auto"/>
          <w:kern w:val="2"/>
          <w:sz w:val="32"/>
          <w:szCs w:val="24"/>
          <w:highlight w:val="none"/>
          <w:lang w:val="en-US" w:eastAsia="zh-CN" w:bidi="ar-SA"/>
        </w:rPr>
        <w:t>保障措施</w:t>
      </w:r>
      <w:bookmarkEnd w:id="209"/>
      <w:bookmarkEnd w:id="210"/>
    </w:p>
    <w:p w14:paraId="41A0A6B6">
      <w:pPr>
        <w:numPr>
          <w:ilvl w:val="0"/>
          <w:numId w:val="0"/>
        </w:numPr>
        <w:ind w:firstLine="640" w:firstLineChars="200"/>
        <w:outlineLvl w:val="1"/>
        <w:rPr>
          <w:rFonts w:ascii="楷体_GB2312" w:hAnsi="楷体_GB2312" w:eastAsia="楷体_GB2312" w:cs="楷体_GB2312"/>
          <w:color w:val="auto"/>
          <w:szCs w:val="32"/>
          <w:highlight w:val="none"/>
        </w:rPr>
      </w:pPr>
      <w:bookmarkStart w:id="211" w:name="_Toc513272612"/>
      <w:bookmarkStart w:id="212" w:name="_Toc30508"/>
      <w:bookmarkStart w:id="213" w:name="_Toc5717"/>
      <w:bookmarkStart w:id="214" w:name="_Toc7952562"/>
      <w:bookmarkStart w:id="215" w:name="_Toc1037094035"/>
      <w:bookmarkStart w:id="216" w:name="_Toc32208"/>
      <w:bookmarkStart w:id="217" w:name="_Toc1065532355"/>
      <w:bookmarkStart w:id="218" w:name="_Toc1891395188"/>
      <w:bookmarkStart w:id="219" w:name="_Toc5414"/>
      <w:r>
        <w:rPr>
          <w:rFonts w:hint="eastAsia" w:ascii="宋体" w:hAnsi="宋体" w:eastAsia="楷体_GB2312" w:cs="Times New Roman"/>
          <w:bCs/>
          <w:kern w:val="0"/>
          <w:sz w:val="32"/>
          <w:szCs w:val="27"/>
          <w:highlight w:val="none"/>
          <w:lang w:val="en-US" w:eastAsia="zh-CN" w:bidi="ar-SA"/>
        </w:rPr>
        <w:t>（二十六）强化组织领导与协同机制</w:t>
      </w:r>
      <w:bookmarkEnd w:id="211"/>
      <w:bookmarkEnd w:id="212"/>
      <w:bookmarkEnd w:id="213"/>
      <w:bookmarkEnd w:id="214"/>
      <w:bookmarkEnd w:id="215"/>
      <w:bookmarkEnd w:id="216"/>
      <w:bookmarkEnd w:id="217"/>
      <w:bookmarkEnd w:id="218"/>
      <w:bookmarkEnd w:id="219"/>
    </w:p>
    <w:p w14:paraId="7D74A349">
      <w:pPr>
        <w:ind w:firstLine="640" w:firstLineChars="200"/>
        <w:jc w:val="left"/>
        <w:rPr>
          <w:rFonts w:ascii="仿宋_GB2312" w:hAnsi="仿宋_GB2312" w:cs="仿宋_GB2312"/>
          <w:color w:val="auto"/>
          <w:szCs w:val="32"/>
          <w:highlight w:val="none"/>
        </w:rPr>
      </w:pPr>
      <w:r>
        <w:rPr>
          <w:rFonts w:hint="eastAsia" w:ascii="仿宋_GB2312" w:hAnsi="仿宋_GB2312" w:cs="仿宋_GB2312"/>
          <w:color w:val="auto"/>
          <w:szCs w:val="32"/>
          <w:highlight w:val="none"/>
        </w:rPr>
        <w:t>坚持党的全面领导。明确责任分工与属地管理，形成全区联动、权责明晰的工作格局。</w:t>
      </w:r>
      <w:r>
        <w:rPr>
          <w:rFonts w:hint="eastAsia"/>
          <w:color w:val="auto"/>
          <w:szCs w:val="32"/>
          <w:highlight w:val="none"/>
        </w:rPr>
        <w:t>推动健全党委领导、政府主导、社会动员、个人参与的健康促进政策制度体系。最大限度凝聚全社会共识和力量，加快门头沟健康建设工作。</w:t>
      </w:r>
    </w:p>
    <w:p w14:paraId="0499621A">
      <w:pPr>
        <w:pStyle w:val="4"/>
        <w:ind w:firstLine="640" w:firstLineChars="200"/>
        <w:rPr>
          <w:color w:val="auto"/>
          <w:highlight w:val="none"/>
        </w:rPr>
      </w:pPr>
      <w:bookmarkStart w:id="220" w:name="_Toc1625981822"/>
      <w:bookmarkStart w:id="221" w:name="_Toc1462167193"/>
      <w:bookmarkStart w:id="222" w:name="_Toc11108"/>
      <w:bookmarkStart w:id="223" w:name="_Toc536158152"/>
      <w:bookmarkStart w:id="224" w:name="_Toc11203"/>
      <w:bookmarkStart w:id="225" w:name="_Toc130979885"/>
      <w:bookmarkStart w:id="226" w:name="_Toc514723420"/>
      <w:bookmarkStart w:id="227" w:name="_Toc17107"/>
      <w:bookmarkStart w:id="228" w:name="_Toc1268"/>
      <w:r>
        <w:rPr>
          <w:rFonts w:hint="eastAsia" w:ascii="宋体" w:hAnsi="宋体" w:eastAsia="楷体_GB2312" w:cs="Times New Roman"/>
          <w:bCs/>
          <w:kern w:val="0"/>
          <w:sz w:val="32"/>
          <w:szCs w:val="27"/>
          <w:highlight w:val="none"/>
          <w:lang w:val="en-US" w:eastAsia="zh-CN" w:bidi="ar-SA"/>
        </w:rPr>
        <w:t>（二十七）优化财政投入与资源配置</w:t>
      </w:r>
      <w:bookmarkEnd w:id="220"/>
      <w:bookmarkEnd w:id="221"/>
      <w:bookmarkEnd w:id="222"/>
      <w:bookmarkEnd w:id="223"/>
      <w:bookmarkEnd w:id="224"/>
      <w:bookmarkEnd w:id="225"/>
      <w:bookmarkEnd w:id="226"/>
      <w:bookmarkEnd w:id="227"/>
      <w:bookmarkEnd w:id="228"/>
    </w:p>
    <w:p w14:paraId="6A0359F7">
      <w:pPr>
        <w:ind w:firstLine="640" w:firstLineChars="200"/>
        <w:jc w:val="left"/>
        <w:rPr>
          <w:rFonts w:ascii="仿宋_GB2312" w:hAnsi="仿宋_GB2312" w:cs="仿宋_GB2312"/>
          <w:color w:val="auto"/>
          <w:szCs w:val="32"/>
          <w:highlight w:val="none"/>
        </w:rPr>
      </w:pPr>
      <w:r>
        <w:rPr>
          <w:rFonts w:hint="eastAsia" w:ascii="仿宋" w:hAnsi="仿宋"/>
          <w:color w:val="auto"/>
          <w:szCs w:val="22"/>
          <w:highlight w:val="none"/>
        </w:rPr>
        <w:t>完善政府主导的多元化卫生健康筹资机制，引导社会资金参与发展卫生健康事业。</w:t>
      </w:r>
      <w:r>
        <w:rPr>
          <w:rFonts w:hint="eastAsia"/>
          <w:color w:val="auto"/>
          <w:szCs w:val="32"/>
          <w:highlight w:val="none"/>
        </w:rPr>
        <w:t>优化投入结构，聚焦重大项目和重点领域做好资金保障。健全多元健康筹资机制，鼓励引导社会资金投入，注重发挥公益慈善组织作用。</w:t>
      </w:r>
    </w:p>
    <w:p w14:paraId="34E59275">
      <w:pPr>
        <w:pStyle w:val="4"/>
        <w:ind w:firstLine="640" w:firstLineChars="200"/>
        <w:rPr>
          <w:color w:val="auto"/>
          <w:highlight w:val="none"/>
        </w:rPr>
      </w:pPr>
      <w:bookmarkStart w:id="229" w:name="_Toc7284"/>
      <w:bookmarkStart w:id="230" w:name="_Toc1669"/>
      <w:bookmarkStart w:id="231" w:name="_Toc988640130"/>
      <w:bookmarkStart w:id="232" w:name="_Toc368677852"/>
      <w:bookmarkStart w:id="233" w:name="_Toc892389824"/>
      <w:bookmarkStart w:id="234" w:name="_Toc1147074279"/>
      <w:bookmarkStart w:id="235" w:name="_Toc208189020"/>
      <w:bookmarkStart w:id="236" w:name="_Toc31012"/>
      <w:bookmarkStart w:id="237" w:name="_Toc25983"/>
      <w:r>
        <w:rPr>
          <w:rFonts w:hint="eastAsia" w:ascii="宋体" w:hAnsi="宋体" w:eastAsia="楷体_GB2312" w:cs="Times New Roman"/>
          <w:bCs/>
          <w:kern w:val="0"/>
          <w:sz w:val="32"/>
          <w:szCs w:val="27"/>
          <w:highlight w:val="none"/>
          <w:lang w:val="en-US" w:eastAsia="zh-CN" w:bidi="ar-SA"/>
        </w:rPr>
        <w:t>（二十八）完善监督评估与动态调整</w:t>
      </w:r>
      <w:bookmarkEnd w:id="229"/>
      <w:bookmarkEnd w:id="230"/>
      <w:bookmarkEnd w:id="231"/>
      <w:bookmarkEnd w:id="232"/>
      <w:bookmarkEnd w:id="233"/>
      <w:bookmarkEnd w:id="234"/>
      <w:bookmarkEnd w:id="235"/>
      <w:bookmarkEnd w:id="236"/>
      <w:bookmarkEnd w:id="237"/>
    </w:p>
    <w:p w14:paraId="0F3959A3">
      <w:pPr>
        <w:ind w:firstLine="640" w:firstLineChars="200"/>
        <w:rPr>
          <w:rFonts w:ascii="仿宋_GB2312" w:hAnsi="仿宋_GB2312" w:cs="仿宋_GB2312"/>
          <w:color w:val="auto"/>
          <w:szCs w:val="32"/>
          <w:highlight w:val="none"/>
        </w:rPr>
      </w:pPr>
      <w:r>
        <w:rPr>
          <w:rFonts w:hint="eastAsia" w:ascii="仿宋" w:hAnsi="仿宋"/>
          <w:color w:val="auto"/>
          <w:szCs w:val="22"/>
          <w:highlight w:val="none"/>
        </w:rPr>
        <w:t>强化规划执行监督评估，将“十五五”重点任务纳入区政府绩效考核，建立督查机制，及时组织开展规划实施进度和效果评价。综合运用大数据分析等技术手段，开展规划实施情况跟踪监测分析，为科学评估提供支撑。</w:t>
      </w:r>
    </w:p>
    <w:p w14:paraId="6C504373">
      <w:pPr>
        <w:pStyle w:val="4"/>
        <w:ind w:firstLine="640" w:firstLineChars="200"/>
        <w:rPr>
          <w:color w:val="auto"/>
          <w:highlight w:val="none"/>
        </w:rPr>
      </w:pPr>
      <w:bookmarkStart w:id="238" w:name="_Toc781998177"/>
      <w:bookmarkStart w:id="239" w:name="_Toc916708034"/>
      <w:bookmarkStart w:id="240" w:name="_Toc369981320"/>
      <w:bookmarkStart w:id="241" w:name="_Toc21764"/>
      <w:bookmarkStart w:id="242" w:name="_Toc27507"/>
      <w:bookmarkStart w:id="243" w:name="_Toc878336969"/>
      <w:bookmarkStart w:id="244" w:name="_Toc1627"/>
      <w:bookmarkStart w:id="245" w:name="_Toc5186"/>
      <w:bookmarkStart w:id="246" w:name="_Toc993688071"/>
      <w:r>
        <w:rPr>
          <w:rFonts w:hint="eastAsia" w:ascii="宋体" w:hAnsi="宋体" w:eastAsia="楷体_GB2312" w:cs="Times New Roman"/>
          <w:bCs/>
          <w:kern w:val="0"/>
          <w:sz w:val="32"/>
          <w:szCs w:val="27"/>
          <w:highlight w:val="none"/>
          <w:lang w:val="en-US" w:eastAsia="zh-CN" w:bidi="ar-SA"/>
        </w:rPr>
        <w:t>（二十九）深化健康宣传与社会参与</w:t>
      </w:r>
      <w:bookmarkEnd w:id="238"/>
      <w:bookmarkEnd w:id="239"/>
      <w:bookmarkEnd w:id="240"/>
      <w:bookmarkEnd w:id="241"/>
      <w:bookmarkEnd w:id="242"/>
      <w:bookmarkEnd w:id="243"/>
      <w:bookmarkEnd w:id="244"/>
      <w:bookmarkEnd w:id="245"/>
      <w:bookmarkEnd w:id="246"/>
    </w:p>
    <w:p w14:paraId="078257D5">
      <w:pPr>
        <w:ind w:firstLine="640" w:firstLineChars="200"/>
        <w:jc w:val="left"/>
        <w:rPr>
          <w:rFonts w:ascii="仿宋_GB2312" w:hAnsi="仿宋_GB2312" w:cs="仿宋_GB2312"/>
          <w:color w:val="auto"/>
          <w:szCs w:val="32"/>
          <w:highlight w:val="none"/>
        </w:rPr>
      </w:pPr>
      <w:r>
        <w:rPr>
          <w:rFonts w:hint="eastAsia" w:ascii="仿宋_GB2312" w:hAnsi="仿宋_GB2312" w:cs="仿宋_GB2312"/>
          <w:color w:val="auto"/>
          <w:szCs w:val="32"/>
          <w:highlight w:val="none"/>
        </w:rPr>
        <w:t>多渠道解读规划目标与健康政策，提升公众认知度与认同感。持续推进健康教育，倡导健康生活方式，提高居民自我管理能力</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rPr>
        <w:t>宣传卫生健康典型事迹与发展成果，讲好“健康门头沟”故事，营造共建共享的社会氛围。</w:t>
      </w:r>
    </w:p>
    <w:p w14:paraId="17C5E3DF">
      <w:pPr>
        <w:pStyle w:val="4"/>
        <w:ind w:firstLine="640" w:firstLineChars="200"/>
        <w:rPr>
          <w:rFonts w:ascii="仿宋_GB2312" w:hAnsi="仿宋_GB2312" w:cs="仿宋_GB2312"/>
          <w:color w:val="auto"/>
          <w:szCs w:val="32"/>
          <w:highlight w:val="none"/>
        </w:rPr>
      </w:pPr>
      <w:bookmarkStart w:id="247" w:name="_Toc9514"/>
      <w:bookmarkStart w:id="248" w:name="_Toc15072"/>
      <w:bookmarkStart w:id="249" w:name="_Toc23719"/>
      <w:r>
        <w:rPr>
          <w:rFonts w:hint="eastAsia" w:ascii="宋体" w:hAnsi="宋体" w:eastAsia="楷体_GB2312" w:cs="Times New Roman"/>
          <w:bCs/>
          <w:kern w:val="0"/>
          <w:sz w:val="32"/>
          <w:szCs w:val="27"/>
          <w:highlight w:val="none"/>
          <w:lang w:val="en-US" w:eastAsia="zh-CN" w:bidi="ar-SA"/>
        </w:rPr>
        <w:t>（三十）全面推进卫生健康法治建设</w:t>
      </w:r>
      <w:bookmarkEnd w:id="247"/>
      <w:bookmarkEnd w:id="248"/>
      <w:bookmarkEnd w:id="249"/>
    </w:p>
    <w:p w14:paraId="1034B4DA">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lang w:val="en-US" w:eastAsia="zh-CN"/>
        </w:rPr>
      </w:pPr>
      <w:r>
        <w:rPr>
          <w:rFonts w:hint="eastAsia" w:ascii="仿宋_GB2312" w:hAnsi="仿宋_GB2312" w:eastAsia="仿宋_GB2312" w:cs="仿宋_GB2312"/>
          <w:color w:val="auto"/>
          <w:kern w:val="2"/>
          <w:sz w:val="32"/>
          <w:szCs w:val="32"/>
          <w:highlight w:val="none"/>
          <w:lang w:val="en-US" w:eastAsia="zh-CN" w:bidi="ar-SA"/>
        </w:rPr>
        <w:t>做好卫生健康领域法律法规宣贯和“谁执法、谁普法”责任制落实工作。鼓励各医疗卫生机构参与地方标准体系建设。强化法治医院建设，分级分类开展法治医院建设情况评估，提升辖区内各医疗机构的法治化水平。</w:t>
      </w: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0265C">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A9084">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3559F">
    <w:pPr>
      <w:pStyle w:val="9"/>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2CC884">
                          <w:pPr>
                            <w:pStyle w:val="9"/>
                            <w:ind w:firstLine="360"/>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B2CC884">
                    <w:pPr>
                      <w:pStyle w:val="9"/>
                      <w:ind w:firstLine="360"/>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265C2">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C65114"/>
    <w:rsid w:val="06AD62E4"/>
    <w:rsid w:val="06B34F7C"/>
    <w:rsid w:val="078E1545"/>
    <w:rsid w:val="08D8516E"/>
    <w:rsid w:val="0FCB551E"/>
    <w:rsid w:val="12E87B63"/>
    <w:rsid w:val="19114106"/>
    <w:rsid w:val="1A4F2DB6"/>
    <w:rsid w:val="1AA742A6"/>
    <w:rsid w:val="1AFC4CEC"/>
    <w:rsid w:val="1B091FFE"/>
    <w:rsid w:val="1E0C3498"/>
    <w:rsid w:val="1FEF4D4C"/>
    <w:rsid w:val="1FFB9CE6"/>
    <w:rsid w:val="20EB1A8B"/>
    <w:rsid w:val="21354AB4"/>
    <w:rsid w:val="217575A6"/>
    <w:rsid w:val="233E0A23"/>
    <w:rsid w:val="296A3769"/>
    <w:rsid w:val="29F221B5"/>
    <w:rsid w:val="2A9036A3"/>
    <w:rsid w:val="2CAC29D6"/>
    <w:rsid w:val="2FF34382"/>
    <w:rsid w:val="33C65114"/>
    <w:rsid w:val="348A2EDE"/>
    <w:rsid w:val="3659703F"/>
    <w:rsid w:val="377834F5"/>
    <w:rsid w:val="37BFAA01"/>
    <w:rsid w:val="39EF1BD6"/>
    <w:rsid w:val="3A5E69D2"/>
    <w:rsid w:val="3AF53861"/>
    <w:rsid w:val="3B8D3CDB"/>
    <w:rsid w:val="3BF75E6D"/>
    <w:rsid w:val="3CB925E5"/>
    <w:rsid w:val="3EFEC3E9"/>
    <w:rsid w:val="3FEC4A80"/>
    <w:rsid w:val="43B00CE4"/>
    <w:rsid w:val="44FDFD72"/>
    <w:rsid w:val="493C6A78"/>
    <w:rsid w:val="4C190265"/>
    <w:rsid w:val="4E047139"/>
    <w:rsid w:val="4E37780E"/>
    <w:rsid w:val="53340DBA"/>
    <w:rsid w:val="567D08A4"/>
    <w:rsid w:val="58CD3249"/>
    <w:rsid w:val="5963595B"/>
    <w:rsid w:val="59DC20FA"/>
    <w:rsid w:val="5A0709DC"/>
    <w:rsid w:val="5B490B80"/>
    <w:rsid w:val="5BD8F3BE"/>
    <w:rsid w:val="5DDC558E"/>
    <w:rsid w:val="5FBD270D"/>
    <w:rsid w:val="5FBFEC1D"/>
    <w:rsid w:val="61F7B1E8"/>
    <w:rsid w:val="62683FE2"/>
    <w:rsid w:val="641066DF"/>
    <w:rsid w:val="6554084E"/>
    <w:rsid w:val="6A3B3D8A"/>
    <w:rsid w:val="6A707ED8"/>
    <w:rsid w:val="6A874CA4"/>
    <w:rsid w:val="6AB51D8E"/>
    <w:rsid w:val="6B3F84E0"/>
    <w:rsid w:val="6BF332A7"/>
    <w:rsid w:val="6DE9D4B7"/>
    <w:rsid w:val="6DFF4CCF"/>
    <w:rsid w:val="6E7BD455"/>
    <w:rsid w:val="6EC711E2"/>
    <w:rsid w:val="6EFFB042"/>
    <w:rsid w:val="6F4BDC0A"/>
    <w:rsid w:val="6F8B31EA"/>
    <w:rsid w:val="6FAB62C7"/>
    <w:rsid w:val="6FD79880"/>
    <w:rsid w:val="6FEB87E5"/>
    <w:rsid w:val="71FF2D72"/>
    <w:rsid w:val="72FBF67D"/>
    <w:rsid w:val="738C56E8"/>
    <w:rsid w:val="74251D33"/>
    <w:rsid w:val="75D2B8F9"/>
    <w:rsid w:val="77E15F71"/>
    <w:rsid w:val="79FB0096"/>
    <w:rsid w:val="7BDB4026"/>
    <w:rsid w:val="7BFE62FC"/>
    <w:rsid w:val="7DA32346"/>
    <w:rsid w:val="7DFFFD44"/>
    <w:rsid w:val="7EF7B288"/>
    <w:rsid w:val="7F12655C"/>
    <w:rsid w:val="7FDFBC52"/>
    <w:rsid w:val="7FFD3AD2"/>
    <w:rsid w:val="7FFF78DC"/>
    <w:rsid w:val="7FFFA3BB"/>
    <w:rsid w:val="7FFFDFD6"/>
    <w:rsid w:val="9BBDFC5F"/>
    <w:rsid w:val="9EFDD86C"/>
    <w:rsid w:val="9FE57023"/>
    <w:rsid w:val="A1EB204E"/>
    <w:rsid w:val="AAFA149E"/>
    <w:rsid w:val="BA7B23C6"/>
    <w:rsid w:val="BC9B0B06"/>
    <w:rsid w:val="BCFF6256"/>
    <w:rsid w:val="BD772E0E"/>
    <w:rsid w:val="BDBEE1D3"/>
    <w:rsid w:val="BEFF4F6E"/>
    <w:rsid w:val="BFBF36A6"/>
    <w:rsid w:val="CF778E33"/>
    <w:rsid w:val="CFDB7A78"/>
    <w:rsid w:val="CFFF9E85"/>
    <w:rsid w:val="D3ADF793"/>
    <w:rsid w:val="DB3D1ECD"/>
    <w:rsid w:val="DB7F4DDF"/>
    <w:rsid w:val="DE0F1DE2"/>
    <w:rsid w:val="DE6A614F"/>
    <w:rsid w:val="E4E4B541"/>
    <w:rsid w:val="E77A4904"/>
    <w:rsid w:val="EE8584C6"/>
    <w:rsid w:val="F3DB025E"/>
    <w:rsid w:val="F4CDB2DE"/>
    <w:rsid w:val="F7340B7B"/>
    <w:rsid w:val="F77BE343"/>
    <w:rsid w:val="F7FB6244"/>
    <w:rsid w:val="F9E90A51"/>
    <w:rsid w:val="FBFF4821"/>
    <w:rsid w:val="FDFB31E5"/>
    <w:rsid w:val="FEBD3D3F"/>
    <w:rsid w:val="FF3F385F"/>
    <w:rsid w:val="FFBF576C"/>
    <w:rsid w:val="FFFBA7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eastAsia="仿宋_GB2312" w:asciiTheme="minorHAnsi" w:hAnsiTheme="minorHAnsi" w:cstheme="minorBidi"/>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outlineLvl w:val="1"/>
    </w:pPr>
    <w:rPr>
      <w:rFonts w:ascii="Arial" w:hAnsi="Arial" w:eastAsia="黑体"/>
    </w:rPr>
  </w:style>
  <w:style w:type="paragraph" w:styleId="5">
    <w:name w:val="heading 3"/>
    <w:basedOn w:val="1"/>
    <w:next w:val="1"/>
    <w:unhideWhenUsed/>
    <w:qFormat/>
    <w:uiPriority w:val="0"/>
    <w:pPr>
      <w:jc w:val="left"/>
      <w:outlineLvl w:val="2"/>
    </w:pPr>
    <w:rPr>
      <w:rFonts w:hint="eastAsia" w:ascii="宋体" w:hAnsi="宋体" w:eastAsia="楷体_GB2312" w:cs="Times New Roman"/>
      <w:bCs/>
      <w:kern w:val="0"/>
      <w:szCs w:val="27"/>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widowControl w:val="0"/>
      <w:ind w:firstLine="420"/>
      <w:jc w:val="both"/>
    </w:pPr>
    <w:rPr>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qFormat/>
    <w:uiPriority w:val="0"/>
    <w:pPr>
      <w:spacing w:after="140" w:line="276" w:lineRule="auto"/>
    </w:pPr>
  </w:style>
  <w:style w:type="paragraph" w:styleId="8">
    <w:name w:val="toc 3"/>
    <w:basedOn w:val="1"/>
    <w:next w:val="1"/>
    <w:qFormat/>
    <w:uiPriority w:val="0"/>
    <w:pPr>
      <w:ind w:left="840" w:leftChars="4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1">
    <w:name w:val="toc 1"/>
    <w:basedOn w:val="1"/>
    <w:next w:val="1"/>
    <w:qFormat/>
    <w:uiPriority w:val="0"/>
  </w:style>
  <w:style w:type="paragraph" w:styleId="12">
    <w:name w:val="footnote text"/>
    <w:basedOn w:val="1"/>
    <w:qFormat/>
    <w:uiPriority w:val="0"/>
    <w:pPr>
      <w:snapToGrid w:val="0"/>
      <w:spacing w:line="240" w:lineRule="auto"/>
      <w:ind w:firstLine="0" w:firstLineChars="0"/>
      <w:jc w:val="left"/>
    </w:pPr>
    <w:rPr>
      <w:sz w:val="18"/>
    </w:rPr>
  </w:style>
  <w:style w:type="paragraph" w:styleId="13">
    <w:name w:val="toc 2"/>
    <w:basedOn w:val="1"/>
    <w:next w:val="1"/>
    <w:qFormat/>
    <w:uiPriority w:val="0"/>
    <w:pPr>
      <w:ind w:left="420" w:left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Title"/>
    <w:basedOn w:val="1"/>
    <w:next w:val="1"/>
    <w:qFormat/>
    <w:uiPriority w:val="0"/>
    <w:pPr>
      <w:spacing w:line="540" w:lineRule="exact"/>
      <w:ind w:right="110" w:rightChars="50" w:firstLine="640"/>
      <w:outlineLvl w:val="0"/>
    </w:pPr>
    <w:rPr>
      <w:rFonts w:ascii="黑体" w:hAnsi="黑体" w:eastAsia="黑体" w:cs="Times New Roman"/>
      <w:szCs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0">
    <w:name w:val="Strong"/>
    <w:basedOn w:val="19"/>
    <w:qFormat/>
    <w:uiPriority w:val="0"/>
    <w:rPr>
      <w:b/>
    </w:rPr>
  </w:style>
  <w:style w:type="character" w:styleId="21">
    <w:name w:val="footnote reference"/>
    <w:basedOn w:val="19"/>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5907</Words>
  <Characters>6151</Characters>
  <Lines>0</Lines>
  <Paragraphs>0</Paragraphs>
  <TotalTime>17</TotalTime>
  <ScaleCrop>false</ScaleCrop>
  <LinksUpToDate>false</LinksUpToDate>
  <CharactersWithSpaces>6280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2026-09-25T02:42:00Z</dcterms:created>
  <dc:creator>ly</dc:creator>
  <cp:lastModifiedBy>sugon</cp:lastModifiedBy>
  <dcterms:modified xsi:type="dcterms:W3CDTF">2026-10-19T13:47:49Z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4191464CD0E4435592E2CC9A9D5F460F_13</vt:lpwstr>
  </property>
  <property fmtid="{D5CDD505-2E9C-101B-9397-08002B2CF9AE}" pid="4" name="KSOTemplateDocerSaveRecord">
    <vt:lpwstr>eyJoZGlkIjoiMzEwNTM5NzYwMDRjMzkwZTVkZjY2ODkwMGIxNGU0OTUiLCJ1c2VySWQiOiIzODk3Mjc3MTQifQ==</vt:lpwstr>
  </property>
</Properties>
</file>