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门头沟人工智能大模型产业创新发展</w:t>
      </w:r>
    </w:p>
    <w:p>
      <w:pPr>
        <w:pStyle w:val="3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三年行动计划</w:t>
      </w:r>
    </w:p>
    <w:p>
      <w:pPr>
        <w:pStyle w:val="3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（202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年-2026年）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人工智能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大模型作为引领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数字经济繁荣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和推动新一轮产业变革的新赛道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，已成为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全球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抢抓产业发展机遇、重塑竞争格局的关键所在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贯彻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党中央、国务院重大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决策部署，进一步落实北京市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科技创新和产业发展指示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门头沟区大力实施“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生态立区、文化兴区、科技强区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发展战略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发挥在人工智能产业已布局的算力、算法、数据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场景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先发优势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，助力北京建设数字经济标杆城市，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制定本行动计划。</w:t>
      </w:r>
    </w:p>
    <w:p>
      <w:pPr>
        <w:pStyle w:val="18"/>
        <w:numPr>
          <w:ilvl w:val="0"/>
          <w:numId w:val="1"/>
        </w:numPr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40404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404040"/>
          <w:sz w:val="32"/>
          <w:szCs w:val="32"/>
          <w:highlight w:val="none"/>
        </w:rPr>
        <w:t>总体要求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（一）指导思想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坚持以习近平新时代中国特色社会主义思想为指导，全面贯彻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党的二十大关于“完善科技创新体系，加快实施创新驱动发展战略，加快实现高水平科技自立自强”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的决策部署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门头沟区以国家战略为导向，立足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首都“四个中心”总体定位，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打造人工智能产业高地和大模型产业聚集地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高水平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建设首都发展重要门户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（二）基本原则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</w:rPr>
        <w:t>坚持市场主导、政策引导。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强化企业创新主体引领作用，提升政府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决策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效能，加强产业规划、完善产业政策、提升产业服务，突破制约产业发展的体制机制障碍，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打造“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先行先试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”样板点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，实现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政产学研用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多主体联动。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</w:rPr>
        <w:t>坚持要素集聚、场景开放。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发挥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产业要素的核心价值，以普惠算力为基础，以产业应用为牵引，在算力、算法、数据和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应用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场景同步发力，打造一批标杆应用场景，形成一批创新应用成果，带动人工智能产业大模型生态的高质量发展。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</w:rPr>
        <w:t>坚持</w:t>
      </w: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  <w:lang w:val="en-US" w:eastAsia="zh-CN"/>
        </w:rPr>
        <w:t>自主</w:t>
      </w: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</w:rPr>
        <w:t>创新、开放合作。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加大人工智能重点前沿技术布局，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聚焦自主创新，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着力突破多模态大模型、AIGC、AI4S等关键核心技术，强化国内国际产业分工合作，推动产业链、创新链、资金链、人才链高效融合，打造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丰富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活跃的大模型创新生态。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（三）主要目标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力争到2026年，将门头沟区打造成为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全国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具有影响力的人工智能大模型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自主创新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产业集聚区。建成30万平方米高品质人工智能特色产业园，引进或培育5家通用人工智能大模型企业、50家人工智能行业大模型企业和300家人工智能应用型企业，建设50个行业标杆解决方案、50个重点应用场景示范项目，聚焦文生视频、数字人、智能制造等关键环节建设5个公共技术平台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40404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404040"/>
          <w:sz w:val="32"/>
          <w:szCs w:val="32"/>
        </w:rPr>
        <w:t>二、重点任务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（一）提供普惠大模型产业要素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beforeAutospacing="0" w:after="0" w:afterAutospacing="0" w:line="560" w:lineRule="exact"/>
        <w:ind w:leftChars="3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持续供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给大规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模普惠算力基础设施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40404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color w:val="404040"/>
          <w:sz w:val="32"/>
          <w:szCs w:val="32"/>
          <w:lang w:eastAsia="zh-CN"/>
        </w:rPr>
        <w:t>《北京市算力基础设施建设实施方案（</w:t>
      </w:r>
      <w:r>
        <w:rPr>
          <w:rFonts w:hint="eastAsia" w:ascii="仿宋_GB2312" w:hAnsi="仿宋_GB2312" w:eastAsia="仿宋_GB2312" w:cs="仿宋_GB2312"/>
          <w:b w:val="0"/>
          <w:bCs w:val="0"/>
          <w:color w:val="404040"/>
          <w:sz w:val="32"/>
          <w:szCs w:val="32"/>
          <w:lang w:val="en-US" w:eastAsia="zh-CN"/>
        </w:rPr>
        <w:t>2023-2027年</w:t>
      </w:r>
      <w:r>
        <w:rPr>
          <w:rFonts w:hint="eastAsia" w:ascii="仿宋_GB2312" w:hAnsi="仿宋_GB2312" w:eastAsia="仿宋_GB2312" w:cs="仿宋_GB2312"/>
          <w:b w:val="0"/>
          <w:bCs w:val="0"/>
          <w:color w:val="404040"/>
          <w:sz w:val="32"/>
          <w:szCs w:val="32"/>
          <w:lang w:eastAsia="zh-CN"/>
        </w:rPr>
        <w:t>）》文件</w:t>
      </w:r>
      <w:r>
        <w:rPr>
          <w:rFonts w:hint="eastAsia" w:ascii="仿宋_GB2312" w:hAnsi="仿宋_GB2312" w:eastAsia="仿宋_GB2312" w:cs="仿宋_GB2312"/>
          <w:b w:val="0"/>
          <w:bCs w:val="0"/>
          <w:color w:val="404040"/>
          <w:sz w:val="32"/>
          <w:szCs w:val="32"/>
          <w:lang w:val="en-US" w:eastAsia="zh-CN"/>
        </w:rPr>
        <w:t>为指导，依照“一廊四极”首都地区算力供给体系的规划，聚力打造“京西一极”，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持续建设大规模人工智能算力基础设施，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特别是国产自主可控算力，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算力补贴向企业提供普惠算力。</w:t>
      </w:r>
      <w:r>
        <w:rPr>
          <w:rFonts w:hint="eastAsia" w:ascii="仿宋_GB2312" w:hAnsi="仿宋_GB2312" w:eastAsia="仿宋_GB2312" w:cs="仿宋_GB2312"/>
          <w:color w:val="404040"/>
          <w:spacing w:val="-11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color w:val="404040"/>
          <w:spacing w:val="-11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404040"/>
          <w:spacing w:val="-11"/>
          <w:sz w:val="32"/>
          <w:szCs w:val="32"/>
        </w:rPr>
        <w:t>建设运营400P，2024年建设运营</w:t>
      </w:r>
      <w:r>
        <w:rPr>
          <w:rFonts w:hint="eastAsia" w:ascii="仿宋_GB2312" w:hAnsi="仿宋_GB2312" w:eastAsia="仿宋_GB2312" w:cs="仿宋_GB2312"/>
          <w:color w:val="404040"/>
          <w:spacing w:val="-11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404040"/>
          <w:spacing w:val="-11"/>
          <w:sz w:val="32"/>
          <w:szCs w:val="32"/>
        </w:rPr>
        <w:t>000P，2026年建设运营</w:t>
      </w:r>
      <w:r>
        <w:rPr>
          <w:rFonts w:hint="eastAsia" w:ascii="仿宋_GB2312" w:hAnsi="仿宋_GB2312" w:eastAsia="仿宋_GB2312" w:cs="仿宋_GB2312"/>
          <w:color w:val="404040"/>
          <w:spacing w:val="-11"/>
          <w:sz w:val="32"/>
          <w:szCs w:val="32"/>
          <w:lang w:eastAsia="zh-CN"/>
        </w:rPr>
        <w:t>300</w:t>
      </w:r>
      <w:r>
        <w:rPr>
          <w:rFonts w:hint="eastAsia" w:ascii="仿宋_GB2312" w:hAnsi="仿宋_GB2312" w:eastAsia="仿宋_GB2312" w:cs="仿宋_GB2312"/>
          <w:color w:val="404040"/>
          <w:spacing w:val="-11"/>
          <w:sz w:val="32"/>
          <w:szCs w:val="32"/>
        </w:rPr>
        <w:t>0P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满足大模型企业的算力需求。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管委会；配合单位：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区发改委、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科信局、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区财政局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建设北京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算法交易服务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中心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联合北京市知识产权局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北京市经信局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共建北京算法交易服务中心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为企业提供便捷的算法模型交易平台，降低开发门槛和成本，推动算法模型的发展和应用，促进技术创新和共享，提供有公信力的算法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模型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知识产权保障。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管委会；配合单位：区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市场监管局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、区科信局、区网信办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打造公共数据集开放平台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与北京国际大数据交易所深度合作，联合数据龙头企业、科研院所和行业协会等共同建设公共数据集开放平台，开放一批人工智能大模型训练数据集和评测集，加快提高大模型研究质量和实际应用水平。梳理包含智慧城市、数字视听、医疗健康等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场景的核心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数据，优先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向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驻区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通用大模型企业开放，支持通用大模型企业丰富和提升模型能力。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区科信局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；配合单位：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区发改委、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政务局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、区网信办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beforeAutospacing="0" w:after="0" w:afterAutospacing="0" w:line="560" w:lineRule="exact"/>
        <w:ind w:leftChars="300"/>
        <w:jc w:val="both"/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推动大模型应用场景开放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智慧城市场景向大模型企业开放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持续梳理智慧城市场景，开放“AI+政务服务”“AI+应急指挥”“AI+智慧文旅”“AI+智慧交通”等场景目录，以AI赋能引领城市治理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转型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。开放智慧城市中枢管理平台场景，通过整合城市物联感知数据，促进全场景数据融合，应用智慧城市行业大模型辅助分析决策，助推北京打造全球数字经济标杆城市。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区科信局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；配合单位：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区委宣传部、区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应急局、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政务局、区文旅局、区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交通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局、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区城管委、区公路局、区水务局、京西山水公司、各镇街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区内优势产业场景向大模型企业开放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结合门头沟区产业发展基础和应用场景，在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超高清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数字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视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听、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心血管领域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医疗器械和智能制造三大优势产业联合区域龙头企业开放场景，支持大模型企业在“AI+数字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视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听”“AI+医疗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”“AI+智能制造”等领域打造场景化人工智能方案，落地一批在北京市具有示范带动作用的标杆案例。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区科信局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；配合单位：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区融媒体中心、区市场监管局、区卫健委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支持共建场景联合创新中心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支持在数字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视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听、医疗器械和智能制造场景下与大模型企业共建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场景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联合创新中心，共同打造共性技术平台，通过共性技术平台的建设和运营，促进产业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蓬勃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管委会；配合单位：区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科信局、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区财政局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beforeAutospacing="0" w:after="0" w:afterAutospacing="0" w:line="560" w:lineRule="exact"/>
        <w:ind w:left="640" w:leftChars="0"/>
        <w:jc w:val="both"/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加强大模型核心技术攻关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支持人工智能大模型基础理论研究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对聚焦人工智能大模型前沿研究的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合作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主体给予资金支持。包括但不限于人工智能大模型的基础理论、前沿技术攻关，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例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如多模态、类脑智能、触觉智能、群体智能、具身智能等重大前沿问题研究。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管委会；配合单位：区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科信局、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区财政局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加强人工智能大模型关键技术研究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对聚焦人工智能大模型关键技术研究的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合作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主体给予资金支持。包括但不限于大规模集群系统设计、大规模分布式训练并行、高效低成本推理等基础平台技术及迁移学习及多任务学习、强化学习、量化压缩等大模型关键算法，支持自主可控人工智能开发框架生态建设，鼓励和推动应用人工智能大模型解决数学、化学、材料、生物医药等基础领域的重大科学问题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管委会；配合单位：区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科信局、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区财政局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加强人工智能大模型安全可信研究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对聚焦人工智能大模型安全可信研究的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合作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主体给予资金支持。包括但不限于展开隐私保护、联邦学习等可信人工智能技术研究，围绕数据、模型、算力基础设施等建立人工智能安全可信标准体系，探索人工智能安全可信管理解决方案，推动建设安全可信度自评估系统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管委会；配合单位：区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科信局、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区市场监管局、区财政局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beforeAutospacing="0" w:after="0" w:afterAutospacing="0" w:line="560" w:lineRule="exact"/>
        <w:ind w:leftChars="300"/>
        <w:jc w:val="both"/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建设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val="en-US" w:eastAsia="zh-CN"/>
        </w:rPr>
        <w:t>人工智能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大模型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val="en-US" w:eastAsia="zh-CN"/>
        </w:rPr>
        <w:t>生态体系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加大重点企业引培力度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北京市通用人工智能产业创新伙伴计划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成员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大模型领军企业出台系列创新和落地奖励政策。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普惠算力、大模型创新支持、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房租补贴、人才落户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、子女入学、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人才公寓、医疗机构就诊绿色通道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等方面给予重点支持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区科信局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；配合单位：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区委组织部、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科信局、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区财政局、区人保局、区住建委、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区教委、区卫健委、石龙公司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京西智谷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生态创新中心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联合联盟、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实验室、大模型重点企业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，共同组建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京西智谷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生态创新中心，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构建从算力到框架到模型的全国产自主可控生态链。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提供“算力/模型/数据的技术服务+空间/金融/营销的产业服务+创新/创业/人才的配套服务”的综合服务能力。为大模型创新创业企业提供技术培训、创业指导、资质认证、政策对接等一站式孵化服务，鼓励企业在平台中开放科研合作需求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配合单位：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区科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信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局、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区财政局、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石龙公司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打造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人工智能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大模型成果展示中心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高品质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大模型成果展示中心，为大模型企业在北京提供公共展示空间和路演空间，助力大模型企业产品发布和品牌宣传。积极对接与重点人工智能企业合作，打造人工智能标杆应用，建设大模型应用展示中心，提供互动演示和体验区域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，直观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展示最新的大模型应用趋势和发展动态。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配合单位：区财政局、石龙公司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设立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人工智能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方向子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基金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以</w:t>
      </w:r>
      <w:r>
        <w:rPr>
          <w:rFonts w:hint="default" w:ascii="仿宋_GB2312" w:hAnsi="仿宋_GB2312" w:eastAsia="仿宋_GB2312" w:cs="仿宋_GB2312"/>
          <w:color w:val="404040"/>
          <w:sz w:val="32"/>
          <w:szCs w:val="32"/>
          <w:lang w:val="en-US"/>
        </w:rPr>
        <w:t>北京市门头沟区京西产业引导基金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主导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设立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人工智能方向子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基金，拟支持通用人工智能大模型企业、行业大模型企业和基于大模型的应用型企业发展。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区财政局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；配合单位：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中关村门头沟园管委会、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区发改委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、石龙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支持人工智能大模型科研成果产业化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建立前沿创新项目库，支持企业、高校、科研院所围绕人工智能大模型开展持续技术攻关，打造原创基础大模型或者行业大模型，并支持进行科研成果转化，每年对重大成果转化的企业给予奖励。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管委会；配合单位：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科信局、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区财政局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深化打造人工智能产业IP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对创新载体、产业园区和人工智能领域相关行业协会、产业联盟或重点企业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高校和研发机构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，承办国家、省级人工智能及相关领域的学术会议、具有重要影响力的交流活动、创新创业大赛等重大赛事活动的，经事前认定备案，以后补助形式给予补贴。举办有重大国际影响或国家级人工智能为主要内容的活动，可根据实际情况“一事一议”进行支持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；配合单位：区财政局、区科信局、区科协、区教委、区委宣传部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成立“京西智谷”人工智能实验室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攻克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人工智能大模型的核心难点技术为目标，联合清华、北大、人大、中科院、鹏城实验室等高校和科研院所共同打造京西智谷人工智能实验室，加速人工智能大模型关键技术突破、推动人工智能大模型产业化落地、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打造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行业典型应用、制定软硬件测试标准，促进人工智能技术与产业深度整合。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；配合单位：区科信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局、区科协、区教委、区财政局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）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404040"/>
          <w:kern w:val="0"/>
          <w:sz w:val="32"/>
          <w:szCs w:val="32"/>
          <w:lang w:val="en-US" w:eastAsia="zh-CN" w:bidi="ar-SA"/>
        </w:rPr>
        <w:t>（五）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京西智谷人才体系建设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打造人工智能“京西智脑”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建立院士服务站，依托院士、领域专家、行业领军人物等，引领大模型产业发展方向，制定大模型产业战略规划，解决大模型在实际应用过程中遇到的难题，加速大模型等科技成果转化。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；配合单位：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区委组织部、区科协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集聚人工智能“腰部”人才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举办人工智能大赛活动。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支持在高校院所、龙头骨干企业、新型研发机构引进人工智能领域“高精尖缺”人才，制定有针对性的引才计划和政策，为高端人才提供良好的科研环境和创新平台，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保障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大模型产业发展过程中的中坚力量。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；配合单位：区委组织部、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区人保局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培养人工智能基础人才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与高校、职业技术院校合作开展人工智能领域人才定向培养，共建产教融合人才公共实训基地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开设人工智能培训课程，提供大模型创新实践平台，培养人工智能应用创新人才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与北京市教委深度合作，联合华为公司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共建人工智能大模型实训基地，落地自主可控人工智能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人才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培养体系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；配合单位：区委组织部、区教委、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区人保局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）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40404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404040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color w:val="40404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深化国内国际化开放合作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探索京津冀大模型产业一体化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积极与京津冀各区域协同打造世界级大模型产业集群，推动多方合作共建京津冀大模型产业重点项目，建立健全区域大模型创新体系，整合创新能力、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协同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区域资源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贯通产业链条。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配合单位：区发改委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推动全国算力网络联通联动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积极推进算力网络建设并积极参与算力建设标准、节点互联标准、数据共享标准和应用接口标准的制定。与深圳鹏城实验室深度合作，共同探讨大模型场景资源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共享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。与上海人工智能实验室展开长期合作，协同核心资源。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；配合单位：区科信局）</w:t>
      </w:r>
    </w:p>
    <w:p>
      <w:pPr>
        <w:pStyle w:val="18"/>
        <w:numPr>
          <w:ilvl w:val="0"/>
          <w:numId w:val="2"/>
        </w:numPr>
        <w:adjustRightInd w:val="0"/>
        <w:snapToGrid w:val="0"/>
        <w:spacing w:before="0" w:beforeAutospacing="0" w:after="0" w:afterAutospacing="0" w:line="56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参与全球大模型生态建设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积极拓展大模型国际交流合作，举办具有国际影响力的产业论坛、展览展示和创新创业大赛。积极布局大模型国际创新合作中心，增进国内企业与国外技术创新领先组织交流互动。积极参与全球生态建设，支持龙头企业、行业协会、产业联盟牵头或参与大模型国际标准及行业规范制定。鼓励企业及科研机构积极参与国际项目合作，贡献大模型领域的中国技术方案，提升大模型产业发展国际话语权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（牵头单位：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中关村门头沟园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管委会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；配合单位：区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外事办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区委宣传部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）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40404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404040"/>
          <w:sz w:val="32"/>
          <w:szCs w:val="32"/>
        </w:rPr>
        <w:t>三、组织实施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加强组织实施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依托中关村科技园区门头沟园领导小组，加强对人工智能大模型产业发展的组织领导和统筹协调，建立健全工作推进机制，强化产业政策、资源对接、人才服务、空间用地、监管政策等支持保障。充分发挥专业机构在产业发展中的支撑作用，建设完善产业发展决策支撑体系。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加大政策扶持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依托“国智牌照”积极争取国家部委和北京市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有关部门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的支持，出台门头沟区人工智能大模型产业发展专项支持政策，加大对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驻区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通用大模型企业、行业大模型企业和使用大模型的应用型企业在算力补贴、模型补贴、空间补贴、人才激励、金融服务上给予全方位的支持。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加快场景开放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区政府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相关单位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、区国资企业和区属大型企业针对人工智能企业开放一批场景，揭榜挂帅，支持新技术成果转化与落地应用。持续组织人工智能大模型创新大赛，鼓励全国人工智能企业在门头沟区同台竞技，加大对优秀企业、创新项目投融资、科技服务等综合支持服务力度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完善产融服务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完善人工智能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投融资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服务体系，加强政府产业基金引导与市场化基金融合，为企业提供天使投资、股权投资、投后增值等多层次专业化服务。完善融资方式，鼓励金融机构发展股债联动、知识产权质押、股权质押等金融产品，加大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信贷支持力度。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）强化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人才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支撑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建设京西智脑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，打造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京西人才谷，奖励尖端人才落户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启动京西人才计划，建设人工智能人才实训基地和自主创新人工智能人才培养体系。支持高校院所与企业共建院士工作站、博士后工作站、联合实验室等，培养人工智能专业人才。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404040"/>
          <w:sz w:val="32"/>
          <w:szCs w:val="32"/>
        </w:rPr>
        <w:t>动态监测评估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人工智能大模型产业发展趋势，开展动态监测和评估评价体系研究，全面掌握行业发展动态并输出行业发展报告，为门头沟区的人工智能产业发展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决策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提供科学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eastAsia="zh-CN"/>
        </w:rPr>
        <w:t>有力</w:t>
      </w:r>
      <w:r>
        <w:rPr>
          <w:rFonts w:hint="eastAsia" w:ascii="仿宋_GB2312" w:hAnsi="仿宋_GB2312" w:eastAsia="仿宋_GB2312" w:cs="仿宋_GB2312"/>
          <w:color w:val="404040"/>
          <w:sz w:val="32"/>
          <w:szCs w:val="32"/>
        </w:rPr>
        <w:t>支撑。加强组织、协调和督导，开展实施情况动态监测和评估工作，科学配置公共服务资源，广泛动员社会各界力量，共同推动方案顺利实施。</w:t>
      </w:r>
    </w:p>
    <w:p>
      <w:pPr>
        <w:pStyle w:val="18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color w:val="40404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DEA64F"/>
    <w:multiLevelType w:val="singleLevel"/>
    <w:tmpl w:val="EFDEA6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BFB1E58"/>
    <w:multiLevelType w:val="singleLevel"/>
    <w:tmpl w:val="FBFB1E5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4NmZiYzg0NTIzYzFhNmI1NDJlNzQzYjdjOTg1NDUifQ=="/>
  </w:docVars>
  <w:rsids>
    <w:rsidRoot w:val="00000000"/>
    <w:rsid w:val="028E13EB"/>
    <w:rsid w:val="1DCD3D9E"/>
    <w:rsid w:val="1FBA3BD0"/>
    <w:rsid w:val="25BB72E1"/>
    <w:rsid w:val="3E173903"/>
    <w:rsid w:val="53D525E8"/>
    <w:rsid w:val="5EAD1DC7"/>
    <w:rsid w:val="5F3B1683"/>
    <w:rsid w:val="5F604618"/>
    <w:rsid w:val="6A0A6591"/>
    <w:rsid w:val="6BA736F1"/>
    <w:rsid w:val="6C576BCE"/>
    <w:rsid w:val="6CB25CFA"/>
    <w:rsid w:val="758A6E8A"/>
    <w:rsid w:val="7EDE68ED"/>
    <w:rsid w:val="D1FF234A"/>
    <w:rsid w:val="DFDBE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Emphasis"/>
    <w:basedOn w:val="12"/>
    <w:qFormat/>
    <w:uiPriority w:val="20"/>
    <w:rPr>
      <w:i/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标题 1 Char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标题 2 Char"/>
    <w:basedOn w:val="12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8">
    <w:name w:val="paragraph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  <w:szCs w:val="24"/>
    </w:rPr>
  </w:style>
  <w:style w:type="character" w:customStyle="1" w:styleId="19">
    <w:name w:val="标题 4 Char"/>
    <w:basedOn w:val="12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标题 3 Char"/>
    <w:basedOn w:val="12"/>
    <w:link w:val="5"/>
    <w:semiHidden/>
    <w:qFormat/>
    <w:uiPriority w:val="9"/>
    <w:rPr>
      <w:b/>
      <w:bCs/>
      <w:sz w:val="32"/>
      <w:szCs w:val="32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BodyText"/>
    <w:next w:val="1"/>
    <w:qFormat/>
    <w:uiPriority w:val="99"/>
    <w:pPr>
      <w:widowControl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5410</Words>
  <Characters>5472</Characters>
  <Lines>39</Lines>
  <Paragraphs>11</Paragraphs>
  <TotalTime>169</TotalTime>
  <ScaleCrop>false</ScaleCrop>
  <LinksUpToDate>false</LinksUpToDate>
  <CharactersWithSpaces>5485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2023-09-18T19:55:00Z</dcterms:created>
  <dc:creator>振飞 张</dc:creator>
  <cp:lastModifiedBy>陶冶</cp:lastModifiedBy>
  <cp:lastPrinted>2023-10-08T02:42:00Z</cp:lastPrinted>
  <dcterms:modified xsi:type="dcterms:W3CDTF">2023-10-18T09:32:19Z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1694859398</vt:lpwstr>
  </property>
  <property fmtid="{D5CDD505-2E9C-101B-9397-08002B2CF9AE}" pid="6" name="_2015_ms_pID_725343">
    <vt:lpwstr>(2)9H04OenIZdpsgRuu+ZU9rml2T0M9P64b5cCKtgMrqe4xIrt3bI9LhueKPFHhcvaNK9N19QTn
C/X1Avjt1Hhmmv1DSIT0th0Tbnzy4Ist+LKjpXaujO1oSMVkZQTK7d0quA2oVtDBkjbASA5l
c69sJhorR4ZE+Qaw7d9NAkkqGUvs1CND0PWoo2ksl5A7eRRKEp1FTYWce3Zk1Kks3Z2JDg2a
BeSR+hM7M7fMdvXs1u</vt:lpwstr>
  </property>
  <property fmtid="{D5CDD505-2E9C-101B-9397-08002B2CF9AE}" pid="7" name="_2015_ms_pID_7253431">
    <vt:lpwstr>VPpI6IqgCs+gf90WL5lgh3WVC1u3YvJH7iwORhZj9/iRqJiYmSh9F6
PmcKmH52vxAXOBnfnDxC+JgEocfRQah2LFJJo1rsOA2LyOoNDAJR2uk9cwYtu0pZYjXXWUJY
qGjX4cZv9ue0nGcd8IFJcCTx+Ex8h2tzrBazK41GhmD429fCWf667FShn3BoDATY0tWrJhfp
kfzKt7eEguonmOOH</vt:lpwstr>
  </property>
  <property fmtid="{D5CDD505-2E9C-101B-9397-08002B2CF9AE}" pid="8" name="KSOProductBuildVer">
    <vt:lpwstr>2052-11.1.0.13703</vt:lpwstr>
  </property>
  <property fmtid="{D5CDD505-2E9C-101B-9397-08002B2CF9AE}" pid="9" name="ICV">
    <vt:lpwstr>83895A65CE7042E1A9DC56D158D8E906</vt:lpwstr>
  </property>
</Properties>
</file>