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eastAsia="黑体" w:cs="Times New Roman"/>
          <w:color w:val="000000" w:themeColor="text1"/>
          <w:sz w:val="40"/>
          <w:szCs w:val="48"/>
          <w:highlight w:val="none"/>
          <w:vertAlign w:val="superscript"/>
          <w14:textFill>
            <w14:solidFill>
              <w14:schemeClr w14:val="tx1"/>
            </w14:solidFill>
          </w14:textFill>
        </w:rPr>
      </w:pPr>
    </w:p>
    <w:p>
      <w:pPr>
        <w:jc w:val="center"/>
        <w:rPr>
          <w:rFonts w:ascii="Times New Roman" w:hAnsi="Times New Roman" w:eastAsia="黑体" w:cs="Times New Roman"/>
          <w:color w:val="000000" w:themeColor="text1"/>
          <w:sz w:val="40"/>
          <w:szCs w:val="48"/>
          <w:highlight w:val="none"/>
          <w14:textFill>
            <w14:solidFill>
              <w14:schemeClr w14:val="tx1"/>
            </w14:solidFill>
          </w14:textFill>
        </w:rPr>
      </w:pPr>
    </w:p>
    <w:p>
      <w:pPr>
        <w:jc w:val="center"/>
        <w:rPr>
          <w:rFonts w:ascii="Times New Roman" w:hAnsi="Times New Roman" w:eastAsia="黑体" w:cs="Times New Roman"/>
          <w:color w:val="000000" w:themeColor="text1"/>
          <w:sz w:val="52"/>
          <w:szCs w:val="60"/>
          <w:highlight w:val="none"/>
          <w14:textFill>
            <w14:solidFill>
              <w14:schemeClr w14:val="tx1"/>
            </w14:solidFill>
          </w14:textFill>
        </w:rPr>
      </w:pPr>
    </w:p>
    <w:p>
      <w:pPr>
        <w:spacing w:line="560" w:lineRule="exact"/>
        <w:jc w:val="center"/>
        <w:rPr>
          <w:rFonts w:hint="eastAsia" w:ascii="方正小标宋简体" w:hAnsi="黑体" w:eastAsia="方正小标宋简体" w:cs="Times New Roman"/>
          <w:color w:val="000000" w:themeColor="text1"/>
          <w:sz w:val="42"/>
          <w:szCs w:val="42"/>
          <w:highlight w:val="none"/>
          <w14:textFill>
            <w14:solidFill>
              <w14:schemeClr w14:val="tx1"/>
            </w14:solidFill>
          </w14:textFill>
        </w:rPr>
      </w:pPr>
    </w:p>
    <w:p>
      <w:pPr>
        <w:spacing w:line="560" w:lineRule="exact"/>
        <w:jc w:val="center"/>
        <w:rPr>
          <w:rFonts w:hint="eastAsia" w:ascii="方正小标宋简体" w:hAnsi="黑体" w:eastAsia="方正小标宋简体" w:cs="Times New Roman"/>
          <w:color w:val="000000" w:themeColor="text1"/>
          <w:sz w:val="42"/>
          <w:szCs w:val="42"/>
          <w:highlight w:val="none"/>
          <w14:textFill>
            <w14:solidFill>
              <w14:schemeClr w14:val="tx1"/>
            </w14:solidFill>
          </w14:textFill>
        </w:rPr>
      </w:pPr>
      <w:r>
        <w:rPr>
          <w:rFonts w:hint="eastAsia" w:ascii="方正小标宋简体" w:hAnsi="黑体" w:eastAsia="方正小标宋简体" w:cs="Times New Roman"/>
          <w:color w:val="000000" w:themeColor="text1"/>
          <w:sz w:val="42"/>
          <w:szCs w:val="42"/>
          <w:highlight w:val="none"/>
          <w14:textFill>
            <w14:solidFill>
              <w14:schemeClr w14:val="tx1"/>
            </w14:solidFill>
          </w14:textFill>
        </w:rPr>
        <w:t>门头沟区“十五五”时期商业发展规划</w:t>
      </w:r>
    </w:p>
    <w:p>
      <w:pPr>
        <w:jc w:val="center"/>
        <w:rPr>
          <w:rFonts w:ascii="Times New Roman" w:hAnsi="Times New Roman" w:eastAsia="楷体_GB2312" w:cs="Times New Roman"/>
          <w:color w:val="000000" w:themeColor="text1"/>
          <w:sz w:val="40"/>
          <w:szCs w:val="48"/>
          <w:highlight w:val="none"/>
          <w14:textFill>
            <w14:solidFill>
              <w14:schemeClr w14:val="tx1"/>
            </w14:solidFill>
          </w14:textFill>
        </w:rPr>
      </w:pPr>
      <w:bookmarkStart w:id="1089" w:name="_GoBack"/>
      <w:bookmarkEnd w:id="1089"/>
    </w:p>
    <w:p>
      <w:pPr>
        <w:jc w:val="center"/>
        <w:rPr>
          <w:rFonts w:ascii="Times New Roman" w:hAnsi="Times New Roman" w:eastAsia="楷体_GB2312" w:cs="Times New Roman"/>
          <w:color w:val="000000" w:themeColor="text1"/>
          <w:sz w:val="40"/>
          <w:szCs w:val="48"/>
          <w:highlight w:val="none"/>
          <w14:textFill>
            <w14:solidFill>
              <w14:schemeClr w14:val="tx1"/>
            </w14:solidFill>
          </w14:textFill>
        </w:rPr>
      </w:pPr>
    </w:p>
    <w:p>
      <w:pPr>
        <w:jc w:val="center"/>
        <w:rPr>
          <w:rFonts w:ascii="Times New Roman" w:hAnsi="Times New Roman" w:eastAsia="楷体_GB2312" w:cs="Times New Roman"/>
          <w:color w:val="000000" w:themeColor="text1"/>
          <w:sz w:val="40"/>
          <w:szCs w:val="48"/>
          <w:highlight w:val="none"/>
          <w14:textFill>
            <w14:solidFill>
              <w14:schemeClr w14:val="tx1"/>
            </w14:solidFill>
          </w14:textFill>
        </w:rPr>
      </w:pPr>
    </w:p>
    <w:p>
      <w:pPr>
        <w:jc w:val="center"/>
        <w:rPr>
          <w:rFonts w:ascii="Times New Roman" w:hAnsi="Times New Roman" w:eastAsia="楷体_GB2312" w:cs="Times New Roman"/>
          <w:color w:val="000000" w:themeColor="text1"/>
          <w:sz w:val="40"/>
          <w:szCs w:val="48"/>
          <w:highlight w:val="none"/>
          <w14:textFill>
            <w14:solidFill>
              <w14:schemeClr w14:val="tx1"/>
            </w14:solidFill>
          </w14:textFill>
        </w:rPr>
      </w:pPr>
    </w:p>
    <w:p>
      <w:pPr>
        <w:jc w:val="center"/>
        <w:rPr>
          <w:rFonts w:ascii="Times New Roman" w:hAnsi="Times New Roman" w:eastAsia="楷体_GB2312" w:cs="Times New Roman"/>
          <w:color w:val="000000" w:themeColor="text1"/>
          <w:sz w:val="40"/>
          <w:szCs w:val="48"/>
          <w:highlight w:val="none"/>
          <w14:textFill>
            <w14:solidFill>
              <w14:schemeClr w14:val="tx1"/>
            </w14:solidFill>
          </w14:textFill>
        </w:rPr>
      </w:pPr>
    </w:p>
    <w:p>
      <w:pPr>
        <w:jc w:val="center"/>
        <w:rPr>
          <w:rFonts w:ascii="Times New Roman" w:hAnsi="Times New Roman" w:eastAsia="楷体_GB2312" w:cs="Times New Roman"/>
          <w:color w:val="000000" w:themeColor="text1"/>
          <w:sz w:val="40"/>
          <w:szCs w:val="48"/>
          <w:highlight w:val="none"/>
          <w14:textFill>
            <w14:solidFill>
              <w14:schemeClr w14:val="tx1"/>
            </w14:solidFill>
          </w14:textFill>
        </w:rPr>
      </w:pPr>
    </w:p>
    <w:p>
      <w:pPr>
        <w:jc w:val="center"/>
        <w:rPr>
          <w:rFonts w:ascii="Times New Roman" w:hAnsi="Times New Roman" w:eastAsia="楷体_GB2312" w:cs="Times New Roman"/>
          <w:color w:val="000000" w:themeColor="text1"/>
          <w:sz w:val="40"/>
          <w:szCs w:val="48"/>
          <w:highlight w:val="none"/>
          <w14:textFill>
            <w14:solidFill>
              <w14:schemeClr w14:val="tx1"/>
            </w14:solidFill>
          </w14:textFill>
        </w:rPr>
      </w:pPr>
    </w:p>
    <w:p>
      <w:pPr>
        <w:jc w:val="center"/>
        <w:rPr>
          <w:rFonts w:ascii="Times New Roman" w:hAnsi="Times New Roman" w:eastAsia="楷体_GB2312" w:cs="Times New Roman"/>
          <w:color w:val="000000" w:themeColor="text1"/>
          <w:sz w:val="40"/>
          <w:szCs w:val="48"/>
          <w:highlight w:val="none"/>
          <w14:textFill>
            <w14:solidFill>
              <w14:schemeClr w14:val="tx1"/>
            </w14:solidFill>
          </w14:textFill>
        </w:rPr>
      </w:pPr>
    </w:p>
    <w:p>
      <w:pPr>
        <w:jc w:val="center"/>
        <w:rPr>
          <w:rFonts w:ascii="Times New Roman" w:hAnsi="Times New Roman" w:eastAsia="楷体_GB2312" w:cs="Times New Roman"/>
          <w:color w:val="000000" w:themeColor="text1"/>
          <w:sz w:val="40"/>
          <w:szCs w:val="48"/>
          <w:highlight w:val="none"/>
          <w14:textFill>
            <w14:solidFill>
              <w14:schemeClr w14:val="tx1"/>
            </w14:solidFill>
          </w14:textFill>
        </w:rPr>
      </w:pPr>
    </w:p>
    <w:p>
      <w:pPr>
        <w:jc w:val="center"/>
        <w:rPr>
          <w:rFonts w:ascii="Times New Roman" w:hAnsi="Times New Roman" w:eastAsia="楷体_GB2312" w:cs="Times New Roman"/>
          <w:color w:val="000000" w:themeColor="text1"/>
          <w:sz w:val="40"/>
          <w:szCs w:val="48"/>
          <w:highlight w:val="none"/>
          <w14:textFill>
            <w14:solidFill>
              <w14:schemeClr w14:val="tx1"/>
            </w14:solidFill>
          </w14:textFill>
        </w:rPr>
      </w:pPr>
    </w:p>
    <w:p>
      <w:pPr>
        <w:jc w:val="center"/>
        <w:rPr>
          <w:rFonts w:ascii="Times New Roman" w:hAnsi="Times New Roman" w:eastAsia="楷体_GB2312" w:cs="Times New Roman"/>
          <w:color w:val="000000" w:themeColor="text1"/>
          <w:sz w:val="40"/>
          <w:szCs w:val="48"/>
          <w:highlight w:val="none"/>
          <w14:textFill>
            <w14:solidFill>
              <w14:schemeClr w14:val="tx1"/>
            </w14:solidFill>
          </w14:textFill>
        </w:rPr>
      </w:pPr>
    </w:p>
    <w:p>
      <w:pPr>
        <w:jc w:val="center"/>
        <w:rPr>
          <w:rFonts w:ascii="Times New Roman" w:hAnsi="Times New Roman" w:eastAsia="黑体" w:cs="Times New Roman"/>
          <w:color w:val="000000" w:themeColor="text1"/>
          <w:sz w:val="32"/>
          <w:szCs w:val="40"/>
          <w:highlight w:val="none"/>
          <w14:textFill>
            <w14:solidFill>
              <w14:schemeClr w14:val="tx1"/>
            </w14:solidFill>
          </w14:textFill>
        </w:rPr>
      </w:pPr>
    </w:p>
    <w:p>
      <w:pPr>
        <w:jc w:val="center"/>
        <w:rPr>
          <w:rFonts w:ascii="Times New Roman" w:hAnsi="Times New Roman" w:eastAsia="黑体" w:cs="Times New Roman"/>
          <w:color w:val="000000" w:themeColor="text1"/>
          <w:sz w:val="32"/>
          <w:szCs w:val="40"/>
          <w:highlight w:val="none"/>
          <w14:textFill>
            <w14:solidFill>
              <w14:schemeClr w14:val="tx1"/>
            </w14:solidFill>
          </w14:textFill>
        </w:rPr>
      </w:pPr>
    </w:p>
    <w:p>
      <w:pPr>
        <w:jc w:val="center"/>
        <w:rPr>
          <w:rFonts w:ascii="Times New Roman" w:hAnsi="Times New Roman" w:eastAsia="黑体" w:cs="Times New Roman"/>
          <w:color w:val="000000" w:themeColor="text1"/>
          <w:sz w:val="32"/>
          <w:szCs w:val="40"/>
          <w:highlight w:val="none"/>
          <w14:textFill>
            <w14:solidFill>
              <w14:schemeClr w14:val="tx1"/>
            </w14:solidFill>
          </w14:textFill>
        </w:rPr>
      </w:pPr>
      <w:r>
        <w:rPr>
          <w:rFonts w:ascii="Times New Roman" w:hAnsi="Times New Roman" w:eastAsia="黑体" w:cs="Times New Roman"/>
          <w:color w:val="000000" w:themeColor="text1"/>
          <w:sz w:val="32"/>
          <w:szCs w:val="40"/>
          <w:highlight w:val="none"/>
          <w14:textFill>
            <w14:solidFill>
              <w14:schemeClr w14:val="tx1"/>
            </w14:solidFill>
          </w14:textFill>
        </w:rPr>
        <w:t>北京市门头沟区商务局</w:t>
      </w:r>
    </w:p>
    <w:p>
      <w:pPr>
        <w:jc w:val="center"/>
        <w:rPr>
          <w:rFonts w:ascii="Times New Roman" w:hAnsi="Times New Roman" w:eastAsia="黑体" w:cs="Times New Roman"/>
          <w:color w:val="000000" w:themeColor="text1"/>
          <w:sz w:val="32"/>
          <w:szCs w:val="40"/>
          <w:highlight w:val="none"/>
          <w14:textFill>
            <w14:solidFill>
              <w14:schemeClr w14:val="tx1"/>
            </w14:solidFill>
          </w14:textFill>
        </w:rPr>
        <w:sectPr>
          <w:pgSz w:w="11906" w:h="16838"/>
          <w:pgMar w:top="1440" w:right="1800" w:bottom="1440" w:left="1800" w:header="851" w:footer="992" w:gutter="0"/>
          <w:pgNumType w:fmt="numberInDash"/>
          <w:cols w:space="425" w:num="1"/>
          <w:docGrid w:type="lines" w:linePitch="312" w:charSpace="0"/>
        </w:sectPr>
      </w:pPr>
      <w:r>
        <w:rPr>
          <w:rFonts w:ascii="Times New Roman" w:hAnsi="Times New Roman" w:eastAsia="黑体" w:cs="Times New Roman"/>
          <w:color w:val="000000" w:themeColor="text1"/>
          <w:sz w:val="32"/>
          <w:szCs w:val="40"/>
          <w:highlight w:val="none"/>
          <w14:textFill>
            <w14:solidFill>
              <w14:schemeClr w14:val="tx1"/>
            </w14:solidFill>
          </w14:textFill>
        </w:rPr>
        <w:t>202</w:t>
      </w:r>
      <w:r>
        <w:rPr>
          <w:rFonts w:hint="eastAsia" w:ascii="Times New Roman" w:hAnsi="Times New Roman" w:eastAsia="黑体" w:cs="Times New Roman"/>
          <w:color w:val="000000" w:themeColor="text1"/>
          <w:sz w:val="32"/>
          <w:szCs w:val="40"/>
          <w:highlight w:val="none"/>
          <w14:textFill>
            <w14:solidFill>
              <w14:schemeClr w14:val="tx1"/>
            </w14:solidFill>
          </w14:textFill>
        </w:rPr>
        <w:t>6</w:t>
      </w:r>
      <w:r>
        <w:rPr>
          <w:rFonts w:ascii="Times New Roman" w:hAnsi="Times New Roman" w:eastAsia="黑体" w:cs="Times New Roman"/>
          <w:color w:val="000000" w:themeColor="text1"/>
          <w:sz w:val="32"/>
          <w:szCs w:val="40"/>
          <w:highlight w:val="none"/>
          <w14:textFill>
            <w14:solidFill>
              <w14:schemeClr w14:val="tx1"/>
            </w14:solidFill>
          </w14:textFill>
        </w:rPr>
        <w:t>年</w:t>
      </w:r>
      <w:r>
        <w:rPr>
          <w:rFonts w:hint="eastAsia" w:ascii="Times New Roman" w:hAnsi="Times New Roman" w:eastAsia="黑体" w:cs="Times New Roman"/>
          <w:color w:val="000000" w:themeColor="text1"/>
          <w:sz w:val="32"/>
          <w:szCs w:val="40"/>
          <w:highlight w:val="none"/>
          <w:lang w:val="en-US" w:eastAsia="zh-CN"/>
          <w14:textFill>
            <w14:solidFill>
              <w14:schemeClr w14:val="tx1"/>
            </w14:solidFill>
          </w14:textFill>
        </w:rPr>
        <w:t>8</w:t>
      </w:r>
      <w:r>
        <w:rPr>
          <w:rFonts w:ascii="Times New Roman" w:hAnsi="Times New Roman" w:eastAsia="黑体" w:cs="Times New Roman"/>
          <w:color w:val="000000" w:themeColor="text1"/>
          <w:sz w:val="32"/>
          <w:szCs w:val="40"/>
          <w:highlight w:val="none"/>
          <w14:textFill>
            <w14:solidFill>
              <w14:schemeClr w14:val="tx1"/>
            </w14:solidFill>
          </w14:textFill>
        </w:rPr>
        <w:t>月</w:t>
      </w:r>
    </w:p>
    <w:p>
      <w:pPr>
        <w:spacing w:line="560" w:lineRule="exact"/>
        <w:jc w:val="center"/>
        <w:outlineLvl w:val="0"/>
        <w:rPr>
          <w:rFonts w:ascii="Times New Roman" w:hAnsi="Times New Roman" w:eastAsia="黑体" w:cs="Times New Roman"/>
          <w:color w:val="000000" w:themeColor="text1"/>
          <w:sz w:val="32"/>
          <w:szCs w:val="32"/>
          <w:highlight w:val="none"/>
          <w14:textFill>
            <w14:solidFill>
              <w14:schemeClr w14:val="tx1"/>
            </w14:solidFill>
          </w14:textFill>
        </w:rPr>
      </w:pPr>
      <w:bookmarkStart w:id="0" w:name="_Toc13374"/>
      <w:bookmarkStart w:id="1" w:name="_Toc727"/>
      <w:bookmarkStart w:id="2" w:name="_Toc28559"/>
      <w:bookmarkStart w:id="3" w:name="_Toc21213"/>
      <w:bookmarkStart w:id="4" w:name="_Toc17366"/>
      <w:bookmarkStart w:id="5" w:name="_Toc27299"/>
      <w:bookmarkStart w:id="6" w:name="_Toc1277"/>
      <w:bookmarkStart w:id="7" w:name="_Toc7078"/>
      <w:bookmarkStart w:id="8" w:name="_Toc30062"/>
      <w:bookmarkStart w:id="9" w:name="_Toc22417"/>
      <w:bookmarkStart w:id="10" w:name="_Toc6467"/>
      <w:bookmarkStart w:id="11" w:name="_Toc31406"/>
      <w:bookmarkStart w:id="12" w:name="_Toc29409"/>
      <w:bookmarkStart w:id="13" w:name="_Toc7364"/>
      <w:bookmarkStart w:id="14" w:name="_Toc18327"/>
      <w:bookmarkStart w:id="15" w:name="_Toc11747"/>
      <w:bookmarkStart w:id="16" w:name="_Toc26598"/>
      <w:bookmarkStart w:id="17" w:name="_Toc32301"/>
      <w:bookmarkStart w:id="18" w:name="_Toc3062"/>
      <w:bookmarkStart w:id="19" w:name="_Toc15454"/>
      <w:bookmarkStart w:id="20" w:name="_Toc12783"/>
      <w:bookmarkStart w:id="21" w:name="_Toc21140"/>
      <w:bookmarkStart w:id="22" w:name="_Toc609"/>
      <w:bookmarkStart w:id="23" w:name="_Toc11535"/>
      <w:bookmarkStart w:id="24" w:name="_Toc18202"/>
      <w:bookmarkStart w:id="25" w:name="_Toc6372"/>
      <w:bookmarkStart w:id="26" w:name="_Toc21404"/>
      <w:r>
        <w:rPr>
          <w:rFonts w:ascii="Times New Roman" w:hAnsi="Times New Roman" w:eastAsia="黑体" w:cs="Times New Roman"/>
          <w:color w:val="000000" w:themeColor="text1"/>
          <w:sz w:val="32"/>
          <w:szCs w:val="32"/>
          <w:highlight w:val="none"/>
          <w14:textFill>
            <w14:solidFill>
              <w14:schemeClr w14:val="tx1"/>
            </w14:solidFill>
          </w14:textFill>
        </w:rPr>
        <w:t>序 言</w:t>
      </w:r>
      <w:bookmarkEnd w:id="0"/>
      <w:bookmarkEnd w:id="1"/>
      <w:bookmarkEnd w:id="2"/>
    </w:p>
    <w:p>
      <w:pPr>
        <w:spacing w:line="560" w:lineRule="exact"/>
        <w:ind w:firstLine="640" w:firstLineChars="200"/>
        <w:rPr>
          <w:rFonts w:hint="eastAsia" w:ascii="仿宋_GB2312" w:hAnsi="仿宋_GB2312" w:eastAsia="仿宋_GB2312" w:cs="仿宋_GB2312"/>
          <w:color w:val="000000" w:themeColor="text1"/>
          <w:sz w:val="32"/>
          <w:szCs w:val="21"/>
          <w:highlight w:val="none"/>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21"/>
          <w:highlight w:val="none"/>
          <w14:textFill>
            <w14:solidFill>
              <w14:schemeClr w14:val="tx1"/>
            </w14:solidFill>
          </w14:textFill>
        </w:rPr>
        <w:t>“十五五”时期是基本实现社会主义现代化夯实基础、全面发力的关键时期，是北京率先基本实现社会主义现代化的</w:t>
      </w:r>
      <w:r>
        <w:rPr>
          <w:rFonts w:hint="eastAsia" w:ascii="仿宋_GB2312" w:hAnsi="仿宋_GB2312" w:eastAsia="仿宋_GB2312" w:cs="仿宋_GB2312"/>
          <w:color w:val="000000" w:themeColor="text1"/>
          <w:sz w:val="32"/>
          <w:szCs w:val="21"/>
          <w:highlight w:val="none"/>
          <w:lang w:eastAsia="zh-CN"/>
          <w14:textFill>
            <w14:solidFill>
              <w14:schemeClr w14:val="tx1"/>
            </w14:solidFill>
          </w14:textFill>
        </w:rPr>
        <w:t>战略机遇期</w:t>
      </w:r>
      <w:r>
        <w:rPr>
          <w:rFonts w:hint="eastAsia" w:ascii="仿宋_GB2312" w:hAnsi="仿宋_GB2312" w:eastAsia="仿宋_GB2312" w:cs="仿宋_GB2312"/>
          <w:color w:val="000000" w:themeColor="text1"/>
          <w:sz w:val="32"/>
          <w:szCs w:val="21"/>
          <w:highlight w:val="none"/>
          <w14:textFill>
            <w14:solidFill>
              <w14:schemeClr w14:val="tx1"/>
            </w14:solidFill>
          </w14:textFill>
        </w:rPr>
        <w:t>，也是门头沟区加速推进绿色高质量转型发展的</w:t>
      </w:r>
      <w:r>
        <w:rPr>
          <w:rFonts w:hint="eastAsia" w:ascii="仿宋_GB2312" w:hAnsi="仿宋_GB2312" w:eastAsia="仿宋_GB2312" w:cs="仿宋_GB2312"/>
          <w:color w:val="000000" w:themeColor="text1"/>
          <w:sz w:val="32"/>
          <w:szCs w:val="21"/>
          <w:highlight w:val="none"/>
          <w:lang w:eastAsia="zh-CN"/>
          <w14:textFill>
            <w14:solidFill>
              <w14:schemeClr w14:val="tx1"/>
            </w14:solidFill>
          </w14:textFill>
        </w:rPr>
        <w:t>重要</w:t>
      </w:r>
      <w:r>
        <w:rPr>
          <w:rFonts w:hint="eastAsia" w:ascii="仿宋_GB2312" w:hAnsi="仿宋_GB2312" w:eastAsia="仿宋_GB2312" w:cs="仿宋_GB2312"/>
          <w:color w:val="000000" w:themeColor="text1"/>
          <w:sz w:val="32"/>
          <w:szCs w:val="21"/>
          <w:highlight w:val="none"/>
          <w14:textFill>
            <w14:solidFill>
              <w14:schemeClr w14:val="tx1"/>
            </w14:solidFill>
          </w14:textFill>
        </w:rPr>
        <w:t>时期。准确把握发展环境面临的变化，科学编制并实施《门头沟区“十五五”时期商业发展规划》，对于</w:t>
      </w:r>
      <w:r>
        <w:rPr>
          <w:rFonts w:hint="eastAsia" w:ascii="仿宋_GB2312" w:hAnsi="仿宋_GB2312" w:eastAsia="仿宋_GB2312" w:cs="仿宋_GB2312"/>
          <w:color w:val="000000" w:themeColor="text1"/>
          <w:sz w:val="32"/>
          <w:szCs w:val="21"/>
          <w:highlight w:val="none"/>
          <w:shd w:val="clear" w:color="auto" w:fill="FFFFFF"/>
          <w14:textFill>
            <w14:solidFill>
              <w14:schemeClr w14:val="tx1"/>
            </w14:solidFill>
          </w14:textFill>
        </w:rPr>
        <w:t>推动区域消费市场扩容提质增效、</w:t>
      </w:r>
      <w:r>
        <w:rPr>
          <w:rFonts w:hint="eastAsia" w:ascii="仿宋_GB2312" w:hAnsi="仿宋_GB2312" w:eastAsia="仿宋_GB2312" w:cs="仿宋_GB2312"/>
          <w:color w:val="000000" w:themeColor="text1"/>
          <w:sz w:val="32"/>
          <w:szCs w:val="21"/>
          <w:highlight w:val="none"/>
          <w14:textFill>
            <w14:solidFill>
              <w14:schemeClr w14:val="tx1"/>
            </w14:solidFill>
          </w14:textFill>
        </w:rPr>
        <w:t>更好地满足全区人民美好生活需要、充分发挥</w:t>
      </w:r>
      <w:r>
        <w:rPr>
          <w:rFonts w:hint="eastAsia" w:ascii="仿宋_GB2312" w:hAnsi="仿宋_GB2312" w:eastAsia="仿宋_GB2312" w:cs="仿宋_GB2312"/>
          <w:color w:val="000000" w:themeColor="text1"/>
          <w:sz w:val="32"/>
          <w:szCs w:val="21"/>
          <w:highlight w:val="none"/>
          <w:lang w:eastAsia="zh-CN"/>
          <w14:textFill>
            <w14:solidFill>
              <w14:schemeClr w14:val="tx1"/>
            </w14:solidFill>
          </w14:textFill>
        </w:rPr>
        <w:t>消费</w:t>
      </w:r>
      <w:r>
        <w:rPr>
          <w:rFonts w:hint="eastAsia" w:ascii="仿宋_GB2312" w:hAnsi="仿宋_GB2312" w:eastAsia="仿宋_GB2312" w:cs="仿宋_GB2312"/>
          <w:color w:val="000000" w:themeColor="text1"/>
          <w:sz w:val="32"/>
          <w:szCs w:val="21"/>
          <w:highlight w:val="none"/>
          <w14:textFill>
            <w14:solidFill>
              <w14:schemeClr w14:val="tx1"/>
            </w14:solidFill>
          </w14:textFill>
        </w:rPr>
        <w:t>对地区产业升级和城市功能提升的支撑作用，</w:t>
      </w:r>
      <w:r>
        <w:rPr>
          <w:rFonts w:hint="eastAsia" w:ascii="仿宋_GB2312" w:hAnsi="仿宋_GB2312" w:eastAsia="仿宋_GB2312" w:cs="仿宋_GB2312"/>
          <w:color w:val="000000" w:themeColor="text1"/>
          <w:sz w:val="32"/>
          <w:szCs w:val="21"/>
          <w:highlight w:val="none"/>
          <w:shd w:val="clear" w:color="auto" w:fill="FFFFFF"/>
          <w14:textFill>
            <w14:solidFill>
              <w14:schemeClr w14:val="tx1"/>
            </w14:solidFill>
          </w14:textFill>
        </w:rPr>
        <w:t>具有重要意义。</w:t>
      </w:r>
    </w:p>
    <w:p>
      <w:pPr>
        <w:keepNext w:val="0"/>
        <w:keepLines w:val="0"/>
        <w:widowControl/>
        <w:suppressLineNumbers w:val="0"/>
        <w:spacing w:before="0" w:beforeAutospacing="0" w:after="0" w:afterAutospacing="0" w:line="560" w:lineRule="exact"/>
        <w:ind w:left="0" w:right="0" w:firstLine="640" w:firstLineChars="200"/>
        <w:jc w:val="left"/>
        <w:rPr>
          <w:color w:val="000000" w:themeColor="text1"/>
          <w:szCs w:val="32"/>
          <w:highlight w:val="none"/>
          <w:lang w:val="en-US"/>
          <w14:textFill>
            <w14:solidFill>
              <w14:schemeClr w14:val="tx1"/>
            </w14:solidFill>
          </w14:textFill>
        </w:rPr>
      </w:pPr>
      <w:r>
        <w:rPr>
          <w:rFonts w:hint="eastAsia" w:ascii="仿宋_GB2312" w:hAnsi="仿宋_GB2312" w:eastAsia="仿宋_GB2312" w:cs="仿宋_GB2312"/>
          <w:color w:val="000000" w:themeColor="text1"/>
          <w:sz w:val="32"/>
          <w:szCs w:val="21"/>
          <w:highlight w:val="none"/>
          <w:shd w:val="clear" w:color="auto" w:fill="FFFFFF"/>
          <w14:textFill>
            <w14:solidFill>
              <w14:schemeClr w14:val="tx1"/>
            </w14:solidFill>
          </w14:textFill>
        </w:rPr>
        <w:t>《门头沟区“十五五”时期商业发展规划》</w:t>
      </w:r>
      <w:r>
        <w:rPr>
          <w:rFonts w:hint="eastAsia" w:ascii="Times New Roman" w:hAnsi="Times New Roman" w:eastAsia="仿宋_GB2312" w:cs="仿宋_GB2312"/>
          <w:color w:val="000000" w:themeColor="text1"/>
          <w:kern w:val="2"/>
          <w:sz w:val="32"/>
          <w:szCs w:val="32"/>
          <w:highlight w:val="none"/>
          <w:lang w:val="en-US" w:eastAsia="zh-CN" w:bidi="ar"/>
          <w14:textFill>
            <w14:solidFill>
              <w14:schemeClr w14:val="tx1"/>
            </w14:solidFill>
          </w14:textFill>
        </w:rPr>
        <w:t>以习近平新时代中国特色社会主义思想和习近平总书记关于</w:t>
      </w:r>
      <w:r>
        <w:rPr>
          <w:rFonts w:hint="eastAsia" w:eastAsia="仿宋_GB2312" w:cs="仿宋_GB2312"/>
          <w:color w:val="000000" w:themeColor="text1"/>
          <w:kern w:val="2"/>
          <w:sz w:val="32"/>
          <w:szCs w:val="32"/>
          <w:highlight w:val="none"/>
          <w:lang w:val="en-US" w:eastAsia="zh-CN" w:bidi="ar"/>
          <w14:textFill>
            <w14:solidFill>
              <w14:schemeClr w14:val="tx1"/>
            </w14:solidFill>
          </w14:textFill>
        </w:rPr>
        <w:t>扩大内需、提振消费的</w:t>
      </w:r>
      <w:r>
        <w:rPr>
          <w:rFonts w:hint="eastAsia" w:ascii="Times New Roman" w:hAnsi="Times New Roman" w:eastAsia="仿宋_GB2312" w:cs="仿宋_GB2312"/>
          <w:color w:val="000000" w:themeColor="text1"/>
          <w:kern w:val="2"/>
          <w:sz w:val="32"/>
          <w:szCs w:val="32"/>
          <w:highlight w:val="none"/>
          <w:lang w:val="en-US" w:eastAsia="zh-CN" w:bidi="ar"/>
          <w14:textFill>
            <w14:solidFill>
              <w14:schemeClr w14:val="tx1"/>
            </w14:solidFill>
          </w14:textFill>
        </w:rPr>
        <w:t>重要论述为根本遵循，</w:t>
      </w:r>
      <w:r>
        <w:rPr>
          <w:rFonts w:hint="eastAsia" w:ascii="仿宋_GB2312" w:hAnsi="仿宋_GB2312" w:eastAsia="仿宋_GB2312" w:cs="仿宋_GB2312"/>
          <w:color w:val="000000" w:themeColor="text1"/>
          <w:sz w:val="32"/>
          <w:szCs w:val="21"/>
          <w:highlight w:val="none"/>
          <w:shd w:val="clear" w:color="auto" w:fill="FFFFFF"/>
          <w14:textFill>
            <w14:solidFill>
              <w14:schemeClr w14:val="tx1"/>
            </w14:solidFill>
          </w14:textFill>
        </w:rPr>
        <w:t>依据《中共门头沟区委关于制定国民经济和社会发展第十五个五年规划的建议》《北京</w:t>
      </w:r>
      <w:r>
        <w:rPr>
          <w:rFonts w:hint="eastAsia" w:ascii="仿宋_GB2312" w:hAnsi="仿宋_GB2312" w:eastAsia="仿宋_GB2312" w:cs="仿宋_GB2312"/>
          <w:color w:val="000000" w:themeColor="text1"/>
          <w:sz w:val="32"/>
          <w:szCs w:val="21"/>
          <w:highlight w:val="none"/>
          <w:u w:val="none"/>
          <w:shd w:val="clear" w:color="auto" w:fill="FFFFFF"/>
          <w14:textFill>
            <w14:solidFill>
              <w14:schemeClr w14:val="tx1"/>
            </w14:solidFill>
          </w14:textFill>
        </w:rPr>
        <w:t>市门头沟区国民经济和社会发展第十五个五年规划纲要》《门头沟区分区规划（2017年</w:t>
      </w:r>
      <w:r>
        <w:rPr>
          <w:rFonts w:hint="eastAsia" w:ascii="仿宋_GB2312" w:hAnsi="仿宋_GB2312" w:eastAsia="仿宋_GB2312" w:cs="仿宋_GB2312"/>
          <w:color w:val="000000" w:themeColor="text1"/>
          <w:sz w:val="32"/>
          <w:szCs w:val="21"/>
          <w:highlight w:val="none"/>
          <w:u w:val="none"/>
          <w:shd w:val="clear" w:color="auto" w:fill="FFFFFF"/>
          <w:lang w:eastAsia="zh-CN"/>
          <w14:textFill>
            <w14:solidFill>
              <w14:schemeClr w14:val="tx1"/>
            </w14:solidFill>
          </w14:textFill>
        </w:rPr>
        <w:t>—</w:t>
      </w:r>
      <w:r>
        <w:rPr>
          <w:rFonts w:hint="eastAsia" w:ascii="仿宋_GB2312" w:hAnsi="仿宋_GB2312" w:eastAsia="仿宋_GB2312" w:cs="仿宋_GB2312"/>
          <w:color w:val="000000" w:themeColor="text1"/>
          <w:sz w:val="32"/>
          <w:szCs w:val="21"/>
          <w:highlight w:val="none"/>
          <w:u w:val="none"/>
          <w:shd w:val="clear" w:color="auto" w:fill="FFFFFF"/>
          <w14:textFill>
            <w14:solidFill>
              <w14:schemeClr w14:val="tx1"/>
            </w14:solidFill>
          </w14:textFill>
        </w:rPr>
        <w:t>2035年）》《北京市“十五五”时期深化国际消费中心城市建设规划》</w:t>
      </w:r>
      <w:r>
        <w:rPr>
          <w:rFonts w:hint="eastAsia" w:ascii="仿宋_GB2312" w:hAnsi="仿宋_GB2312" w:eastAsia="仿宋_GB2312" w:cs="仿宋_GB2312"/>
          <w:i w:val="0"/>
          <w:iCs w:val="0"/>
          <w:caps w:val="0"/>
          <w:color w:val="000000" w:themeColor="text1"/>
          <w:spacing w:val="0"/>
          <w:sz w:val="32"/>
          <w:szCs w:val="21"/>
          <w:highlight w:val="none"/>
          <w:u w:val="none"/>
          <w:shd w:val="clear" w:color="auto" w:fill="FFFFFF"/>
          <w14:textFill>
            <w14:solidFill>
              <w14:schemeClr w14:val="tx1"/>
            </w14:solidFill>
          </w14:textFill>
        </w:rPr>
        <w:t>等文件编制</w:t>
      </w:r>
      <w:r>
        <w:rPr>
          <w:rFonts w:hint="eastAsia" w:ascii="仿宋_GB2312" w:hAnsi="仿宋_GB2312" w:eastAsia="仿宋_GB2312" w:cs="仿宋_GB2312"/>
          <w:i w:val="0"/>
          <w:iCs w:val="0"/>
          <w:caps w:val="0"/>
          <w:color w:val="000000" w:themeColor="text1"/>
          <w:spacing w:val="0"/>
          <w:sz w:val="32"/>
          <w:szCs w:val="21"/>
          <w:highlight w:val="none"/>
          <w:u w:val="none"/>
          <w:shd w:val="clear" w:color="auto" w:fill="FFFFFF"/>
          <w:lang w:eastAsia="zh-CN"/>
          <w14:textFill>
            <w14:solidFill>
              <w14:schemeClr w14:val="tx1"/>
            </w14:solidFill>
          </w14:textFill>
        </w:rPr>
        <w:t>，并与文旅、体育等服务消费领域专项规划</w:t>
      </w:r>
      <w:r>
        <w:rPr>
          <w:rFonts w:hint="eastAsia" w:ascii="Times New Roman" w:hAnsi="Times New Roman" w:eastAsia="仿宋_GB2312" w:cs="仿宋_GB2312"/>
          <w:color w:val="000000" w:themeColor="text1"/>
          <w:kern w:val="2"/>
          <w:sz w:val="32"/>
          <w:szCs w:val="32"/>
          <w:highlight w:val="none"/>
          <w:lang w:val="en-US" w:eastAsia="zh-CN" w:bidi="ar"/>
          <w14:textFill>
            <w14:solidFill>
              <w14:schemeClr w14:val="tx1"/>
            </w14:solidFill>
          </w14:textFill>
        </w:rPr>
        <w:t>紧密衔接。</w:t>
      </w:r>
    </w:p>
    <w:p>
      <w:pPr>
        <w:spacing w:line="560" w:lineRule="exact"/>
        <w:ind w:firstLine="640" w:firstLineChars="200"/>
        <w:rPr>
          <w:rFonts w:hint="eastAsia" w:ascii="仿宋_GB2312" w:hAnsi="仿宋_GB2312" w:eastAsia="仿宋_GB2312" w:cs="仿宋_GB2312"/>
          <w:color w:val="000000" w:themeColor="text1"/>
          <w:sz w:val="32"/>
          <w:szCs w:val="21"/>
          <w:highlight w:val="none"/>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21"/>
          <w:highlight w:val="none"/>
          <w:u w:val="none"/>
          <w:shd w:val="clear" w:color="auto" w:fill="FFFFFF"/>
          <w:lang w:eastAsia="zh-CN"/>
          <w14:textFill>
            <w14:solidFill>
              <w14:schemeClr w14:val="tx1"/>
            </w14:solidFill>
          </w14:textFill>
        </w:rPr>
        <w:t>本</w:t>
      </w:r>
      <w:r>
        <w:rPr>
          <w:rFonts w:hint="eastAsia" w:ascii="仿宋_GB2312" w:hAnsi="仿宋_GB2312" w:eastAsia="仿宋_GB2312" w:cs="仿宋_GB2312"/>
          <w:i w:val="0"/>
          <w:iCs w:val="0"/>
          <w:caps w:val="0"/>
          <w:color w:val="000000" w:themeColor="text1"/>
          <w:spacing w:val="0"/>
          <w:sz w:val="32"/>
          <w:szCs w:val="21"/>
          <w:highlight w:val="none"/>
          <w:u w:val="none"/>
          <w:shd w:val="clear" w:color="auto" w:fill="FFFFFF"/>
          <w14:textFill>
            <w14:solidFill>
              <w14:schemeClr w14:val="tx1"/>
            </w14:solidFill>
          </w14:textFill>
        </w:rPr>
        <w:t>规划阐明“十五</w:t>
      </w:r>
      <w:r>
        <w:rPr>
          <w:rFonts w:hint="eastAsia" w:ascii="仿宋_GB2312" w:hAnsi="仿宋_GB2312" w:eastAsia="仿宋_GB2312" w:cs="仿宋_GB2312"/>
          <w:i w:val="0"/>
          <w:iCs w:val="0"/>
          <w:caps w:val="0"/>
          <w:color w:val="000000" w:themeColor="text1"/>
          <w:spacing w:val="0"/>
          <w:sz w:val="32"/>
          <w:szCs w:val="21"/>
          <w:highlight w:val="none"/>
          <w:u w:val="none"/>
          <w:shd w:val="clear" w:color="auto" w:fill="FFFFFF"/>
          <w:lang w:eastAsia="zh-CN"/>
          <w14:textFill>
            <w14:solidFill>
              <w14:schemeClr w14:val="tx1"/>
            </w14:solidFill>
          </w14:textFill>
        </w:rPr>
        <w:t>五</w:t>
      </w:r>
      <w:r>
        <w:rPr>
          <w:rFonts w:hint="eastAsia" w:ascii="仿宋_GB2312" w:hAnsi="仿宋_GB2312" w:eastAsia="仿宋_GB2312" w:cs="仿宋_GB2312"/>
          <w:i w:val="0"/>
          <w:iCs w:val="0"/>
          <w:caps w:val="0"/>
          <w:color w:val="000000" w:themeColor="text1"/>
          <w:spacing w:val="0"/>
          <w:sz w:val="32"/>
          <w:szCs w:val="21"/>
          <w:highlight w:val="none"/>
          <w:u w:val="none"/>
          <w:shd w:val="clear" w:color="auto" w:fill="FFFFFF"/>
          <w14:textFill>
            <w14:solidFill>
              <w14:schemeClr w14:val="tx1"/>
            </w14:solidFill>
          </w14:textFill>
        </w:rPr>
        <w:t>”时期</w:t>
      </w:r>
      <w:r>
        <w:rPr>
          <w:rFonts w:hint="eastAsia" w:ascii="仿宋_GB2312" w:hAnsi="仿宋_GB2312" w:eastAsia="仿宋_GB2312" w:cs="仿宋_GB2312"/>
          <w:i w:val="0"/>
          <w:iCs w:val="0"/>
          <w:caps w:val="0"/>
          <w:color w:val="000000" w:themeColor="text1"/>
          <w:spacing w:val="0"/>
          <w:sz w:val="32"/>
          <w:szCs w:val="21"/>
          <w:highlight w:val="none"/>
          <w:u w:val="none"/>
          <w:shd w:val="clear" w:color="auto" w:fill="FFFFFF"/>
          <w:lang w:eastAsia="zh-CN"/>
          <w14:textFill>
            <w14:solidFill>
              <w14:schemeClr w14:val="tx1"/>
            </w14:solidFill>
          </w14:textFill>
        </w:rPr>
        <w:t>门头沟区</w:t>
      </w:r>
      <w:r>
        <w:rPr>
          <w:rFonts w:hint="eastAsia" w:ascii="仿宋_GB2312" w:hAnsi="仿宋_GB2312" w:eastAsia="仿宋_GB2312" w:cs="仿宋_GB2312"/>
          <w:i w:val="0"/>
          <w:iCs w:val="0"/>
          <w:caps w:val="0"/>
          <w:color w:val="000000" w:themeColor="text1"/>
          <w:spacing w:val="0"/>
          <w:sz w:val="32"/>
          <w:szCs w:val="21"/>
          <w:highlight w:val="none"/>
          <w:u w:val="none"/>
          <w:shd w:val="clear" w:color="auto" w:fill="FFFFFF"/>
          <w14:textFill>
            <w14:solidFill>
              <w14:schemeClr w14:val="tx1"/>
            </w14:solidFill>
          </w14:textFill>
        </w:rPr>
        <w:t>商业发展的指导思想</w:t>
      </w:r>
      <w:r>
        <w:rPr>
          <w:rFonts w:hint="eastAsia" w:ascii="仿宋_GB2312" w:hAnsi="仿宋_GB2312" w:eastAsia="仿宋_GB2312" w:cs="仿宋_GB2312"/>
          <w:i w:val="0"/>
          <w:iCs w:val="0"/>
          <w:caps w:val="0"/>
          <w:color w:val="000000" w:themeColor="text1"/>
          <w:spacing w:val="0"/>
          <w:sz w:val="32"/>
          <w:szCs w:val="21"/>
          <w:highlight w:val="none"/>
          <w:u w:val="none"/>
          <w:shd w:val="clear" w:color="auto" w:fill="FFFFFF"/>
          <w:lang w:eastAsia="zh-CN"/>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sz w:val="32"/>
          <w:szCs w:val="21"/>
          <w:highlight w:val="none"/>
          <w:u w:val="none"/>
          <w:shd w:val="clear" w:color="auto" w:fill="FFFFFF"/>
          <w14:textFill>
            <w14:solidFill>
              <w14:schemeClr w14:val="tx1"/>
            </w14:solidFill>
          </w14:textFill>
        </w:rPr>
        <w:t>明确发展目标、重点任务</w:t>
      </w:r>
      <w:r>
        <w:rPr>
          <w:rFonts w:hint="eastAsia" w:ascii="仿宋_GB2312" w:hAnsi="仿宋_GB2312" w:eastAsia="仿宋_GB2312" w:cs="仿宋_GB2312"/>
          <w:i w:val="0"/>
          <w:iCs w:val="0"/>
          <w:caps w:val="0"/>
          <w:color w:val="000000" w:themeColor="text1"/>
          <w:spacing w:val="0"/>
          <w:sz w:val="32"/>
          <w:szCs w:val="21"/>
          <w:highlight w:val="none"/>
          <w:u w:val="none"/>
          <w:shd w:val="clear" w:color="auto" w:fill="FFFFFF"/>
          <w:lang w:eastAsia="zh-CN"/>
          <w14:textFill>
            <w14:solidFill>
              <w14:schemeClr w14:val="tx1"/>
            </w14:solidFill>
          </w14:textFill>
        </w:rPr>
        <w:t>、重点项目</w:t>
      </w:r>
      <w:r>
        <w:rPr>
          <w:rFonts w:hint="eastAsia" w:ascii="仿宋_GB2312" w:hAnsi="仿宋_GB2312" w:eastAsia="仿宋_GB2312" w:cs="仿宋_GB2312"/>
          <w:i w:val="0"/>
          <w:iCs w:val="0"/>
          <w:caps w:val="0"/>
          <w:color w:val="000000" w:themeColor="text1"/>
          <w:spacing w:val="0"/>
          <w:sz w:val="32"/>
          <w:szCs w:val="21"/>
          <w:highlight w:val="none"/>
          <w:u w:val="none"/>
          <w:shd w:val="clear" w:color="auto" w:fill="FFFFFF"/>
          <w14:textFill>
            <w14:solidFill>
              <w14:schemeClr w14:val="tx1"/>
            </w14:solidFill>
          </w14:textFill>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是指导全区</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未来五年</w:t>
      </w:r>
      <w:r>
        <w:rPr>
          <w:rFonts w:hint="eastAsia" w:ascii="仿宋_GB2312" w:hAnsi="仿宋_GB2312" w:eastAsia="仿宋_GB2312" w:cs="仿宋_GB2312"/>
          <w:color w:val="000000" w:themeColor="text1"/>
          <w:sz w:val="32"/>
          <w:szCs w:val="32"/>
          <w:highlight w:val="none"/>
          <w14:textFill>
            <w14:solidFill>
              <w14:schemeClr w14:val="tx1"/>
            </w14:solidFill>
          </w14:textFill>
        </w:rPr>
        <w:t>商业高质量发展</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和消费市场扩容升级</w:t>
      </w:r>
      <w:r>
        <w:rPr>
          <w:rFonts w:hint="eastAsia" w:ascii="仿宋_GB2312" w:hAnsi="仿宋_GB2312" w:eastAsia="仿宋_GB2312" w:cs="仿宋_GB2312"/>
          <w:color w:val="000000" w:themeColor="text1"/>
          <w:sz w:val="32"/>
          <w:szCs w:val="32"/>
          <w:highlight w:val="none"/>
          <w14:textFill>
            <w14:solidFill>
              <w14:schemeClr w14:val="tx1"/>
            </w14:solidFill>
          </w14:textFill>
        </w:rPr>
        <w:t>的纲领性文件</w:t>
      </w:r>
      <w:r>
        <w:rPr>
          <w:rFonts w:hint="eastAsia" w:ascii="仿宋_GB2312" w:hAnsi="仿宋_GB2312" w:eastAsia="仿宋_GB2312" w:cs="仿宋_GB2312"/>
          <w:color w:val="000000" w:themeColor="text1"/>
          <w:sz w:val="32"/>
          <w:szCs w:val="21"/>
          <w:highlight w:val="none"/>
          <w14:textFill>
            <w14:solidFill>
              <w14:schemeClr w14:val="tx1"/>
            </w14:solidFill>
          </w14:textFill>
        </w:rPr>
        <w:t>。</w:t>
      </w:r>
    </w:p>
    <w:p>
      <w:pPr>
        <w:spacing w:line="560" w:lineRule="exact"/>
        <w:ind w:firstLine="640"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本规划实施期限为2026</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2030年。</w:t>
      </w:r>
    </w:p>
    <w:p>
      <w:pPr>
        <w:spacing w:line="560" w:lineRule="exact"/>
        <w:jc w:val="center"/>
        <w:outlineLvl w:val="0"/>
        <w:rPr>
          <w:rFonts w:ascii="Times New Roman" w:hAnsi="Times New Roman" w:eastAsia="黑体" w:cs="Times New Roman"/>
          <w:color w:val="000000" w:themeColor="text1"/>
          <w:sz w:val="32"/>
          <w:szCs w:val="32"/>
          <w:highlight w:val="none"/>
          <w14:textFill>
            <w14:solidFill>
              <w14:schemeClr w14:val="tx1"/>
            </w14:solidFill>
          </w14:textFill>
        </w:rPr>
        <w:sectPr>
          <w:footerReference r:id="rId4" w:type="default"/>
          <w:pgSz w:w="11906" w:h="16838"/>
          <w:pgMar w:top="1440" w:right="1800" w:bottom="1440" w:left="1800" w:header="851" w:footer="992" w:gutter="0"/>
          <w:pgNumType w:fmt="numberInDash" w:start="1"/>
          <w:cols w:space="425" w:num="1"/>
          <w:docGrid w:type="lines" w:linePitch="312" w:charSpace="0"/>
        </w:sectPr>
      </w:pPr>
    </w:p>
    <w:p>
      <w:pPr>
        <w:spacing w:line="560" w:lineRule="exact"/>
        <w:jc w:val="center"/>
        <w:outlineLvl w:val="0"/>
        <w:rPr>
          <w:rFonts w:ascii="Times New Roman" w:hAnsi="Times New Roman" w:eastAsia="黑体" w:cs="Times New Roman"/>
          <w:color w:val="000000" w:themeColor="text1"/>
          <w:sz w:val="32"/>
          <w:szCs w:val="32"/>
          <w:highlight w:val="none"/>
          <w14:textFill>
            <w14:solidFill>
              <w14:schemeClr w14:val="tx1"/>
            </w14:solidFill>
          </w14:textFill>
        </w:rPr>
      </w:pPr>
      <w:bookmarkStart w:id="27" w:name="_Toc21092"/>
      <w:bookmarkStart w:id="28" w:name="_Toc30993"/>
      <w:bookmarkStart w:id="29" w:name="_Toc6757"/>
      <w:r>
        <w:rPr>
          <w:rFonts w:hint="eastAsia" w:ascii="Times New Roman" w:hAnsi="Times New Roman" w:eastAsia="黑体" w:cs="Times New Roman"/>
          <w:color w:val="000000" w:themeColor="text1"/>
          <w:sz w:val="32"/>
          <w:szCs w:val="32"/>
          <w:highlight w:val="none"/>
          <w14:textFill>
            <w14:solidFill>
              <w14:schemeClr w14:val="tx1"/>
            </w14:solidFill>
          </w14:textFill>
        </w:rPr>
        <w:t>目 录</w:t>
      </w:r>
      <w:bookmarkEnd w:id="3"/>
      <w:bookmarkEnd w:id="4"/>
      <w:bookmarkEnd w:id="5"/>
      <w:bookmarkEnd w:id="6"/>
      <w:bookmarkEnd w:id="7"/>
      <w:bookmarkEnd w:id="8"/>
      <w:bookmarkEnd w:id="9"/>
      <w:bookmarkEnd w:id="10"/>
      <w:bookmarkEnd w:id="27"/>
      <w:bookmarkEnd w:id="28"/>
      <w:bookmarkEnd w:id="29"/>
    </w:p>
    <w:p>
      <w:pPr>
        <w:pStyle w:val="20"/>
        <w:tabs>
          <w:tab w:val="right" w:leader="dot" w:pos="8306"/>
        </w:tabs>
        <w:rPr>
          <w:sz w:val="32"/>
          <w:szCs w:val="32"/>
          <w:highlight w:val="none"/>
        </w:rPr>
      </w:pPr>
      <w:r>
        <w:rPr>
          <w:color w:val="000000" w:themeColor="text1"/>
          <w:sz w:val="32"/>
          <w:szCs w:val="32"/>
          <w:highlight w:val="none"/>
          <w14:textFill>
            <w14:solidFill>
              <w14:schemeClr w14:val="tx1"/>
            </w14:solidFill>
          </w14:textFill>
        </w:rPr>
        <w:fldChar w:fldCharType="begin"/>
      </w:r>
      <w:r>
        <w:rPr>
          <w:color w:val="000000" w:themeColor="text1"/>
          <w:sz w:val="32"/>
          <w:szCs w:val="32"/>
          <w:highlight w:val="none"/>
          <w14:textFill>
            <w14:solidFill>
              <w14:schemeClr w14:val="tx1"/>
            </w14:solidFill>
          </w14:textFill>
        </w:rPr>
        <w:instrText xml:space="preserve">TOC \o "1-2" \h \u </w:instrText>
      </w:r>
      <w:r>
        <w:rPr>
          <w:color w:val="000000" w:themeColor="text1"/>
          <w:sz w:val="32"/>
          <w:szCs w:val="32"/>
          <w:highlight w:val="none"/>
          <w14:textFill>
            <w14:solidFill>
              <w14:schemeClr w14:val="tx1"/>
            </w14:solidFill>
          </w14:textFill>
        </w:rPr>
        <w:fldChar w:fldCharType="separate"/>
      </w:r>
      <w:r>
        <w:rPr>
          <w:color w:val="000000" w:themeColor="text1"/>
          <w:sz w:val="32"/>
          <w:szCs w:val="32"/>
          <w:highlight w:val="none"/>
          <w14:textFill>
            <w14:solidFill>
              <w14:schemeClr w14:val="tx1"/>
            </w14:solidFill>
          </w14:textFill>
        </w:rPr>
        <w:fldChar w:fldCharType="begin"/>
      </w:r>
      <w:r>
        <w:rPr>
          <w:sz w:val="32"/>
          <w:szCs w:val="32"/>
          <w:highlight w:val="none"/>
        </w:rPr>
        <w:instrText xml:space="preserve"> HYPERLINK \l _Toc31397 </w:instrText>
      </w:r>
      <w:r>
        <w:rPr>
          <w:sz w:val="32"/>
          <w:szCs w:val="32"/>
          <w:highlight w:val="none"/>
        </w:rPr>
        <w:fldChar w:fldCharType="separate"/>
      </w:r>
      <w:r>
        <w:rPr>
          <w:rFonts w:ascii="Times New Roman" w:hAnsi="Times New Roman" w:eastAsia="黑体" w:cs="Times New Roman"/>
          <w:sz w:val="32"/>
          <w:szCs w:val="32"/>
          <w:highlight w:val="none"/>
        </w:rPr>
        <w:t xml:space="preserve">第一章 </w:t>
      </w:r>
      <w:r>
        <w:rPr>
          <w:rFonts w:hint="eastAsia" w:ascii="Times New Roman" w:hAnsi="Times New Roman" w:eastAsia="黑体" w:cs="Times New Roman"/>
          <w:sz w:val="32"/>
          <w:szCs w:val="32"/>
          <w:highlight w:val="none"/>
          <w:lang w:eastAsia="zh-CN"/>
        </w:rPr>
        <w:t>发展基础与面临形势</w:t>
      </w:r>
      <w:r>
        <w:rPr>
          <w:sz w:val="32"/>
          <w:szCs w:val="32"/>
          <w:highlight w:val="none"/>
        </w:rPr>
        <w:tab/>
      </w:r>
      <w:r>
        <w:rPr>
          <w:sz w:val="32"/>
          <w:szCs w:val="32"/>
          <w:highlight w:val="none"/>
        </w:rPr>
        <w:fldChar w:fldCharType="begin"/>
      </w:r>
      <w:r>
        <w:rPr>
          <w:sz w:val="32"/>
          <w:szCs w:val="32"/>
          <w:highlight w:val="none"/>
        </w:rPr>
        <w:instrText xml:space="preserve"> PAGEREF _Toc31397 \h </w:instrText>
      </w:r>
      <w:r>
        <w:rPr>
          <w:sz w:val="32"/>
          <w:szCs w:val="32"/>
          <w:highlight w:val="none"/>
        </w:rPr>
        <w:fldChar w:fldCharType="separate"/>
      </w:r>
      <w:r>
        <w:rPr>
          <w:sz w:val="32"/>
          <w:szCs w:val="32"/>
          <w:highlight w:val="none"/>
        </w:rPr>
        <w:t>- 1 -</w:t>
      </w:r>
      <w:r>
        <w:rPr>
          <w:sz w:val="32"/>
          <w:szCs w:val="32"/>
          <w:highlight w:val="none"/>
        </w:rPr>
        <w:fldChar w:fldCharType="end"/>
      </w:r>
      <w:r>
        <w:rPr>
          <w:color w:val="000000" w:themeColor="text1"/>
          <w:sz w:val="32"/>
          <w:szCs w:val="32"/>
          <w:highlight w:val="none"/>
          <w14:textFill>
            <w14:solidFill>
              <w14:schemeClr w14:val="tx1"/>
            </w14:solidFill>
          </w14:textFill>
        </w:rPr>
        <w:fldChar w:fldCharType="end"/>
      </w:r>
    </w:p>
    <w:p>
      <w:pPr>
        <w:pStyle w:val="23"/>
        <w:tabs>
          <w:tab w:val="right" w:leader="dot" w:pos="8306"/>
        </w:tabs>
        <w:rPr>
          <w:sz w:val="32"/>
          <w:szCs w:val="32"/>
          <w:highlight w:val="none"/>
        </w:rPr>
      </w:pPr>
      <w:r>
        <w:rPr>
          <w:color w:val="000000" w:themeColor="text1"/>
          <w:sz w:val="32"/>
          <w:szCs w:val="32"/>
          <w:highlight w:val="none"/>
          <w14:textFill>
            <w14:solidFill>
              <w14:schemeClr w14:val="tx1"/>
            </w14:solidFill>
          </w14:textFill>
        </w:rPr>
        <w:fldChar w:fldCharType="begin"/>
      </w:r>
      <w:r>
        <w:rPr>
          <w:sz w:val="32"/>
          <w:szCs w:val="32"/>
          <w:highlight w:val="none"/>
        </w:rPr>
        <w:instrText xml:space="preserve"> HYPERLINK \l _Toc6484 </w:instrText>
      </w:r>
      <w:r>
        <w:rPr>
          <w:sz w:val="32"/>
          <w:szCs w:val="32"/>
          <w:highlight w:val="none"/>
        </w:rPr>
        <w:fldChar w:fldCharType="separate"/>
      </w:r>
      <w:r>
        <w:rPr>
          <w:rFonts w:hint="eastAsia" w:ascii="楷体_GB2312" w:hAnsi="楷体_GB2312" w:eastAsia="楷体_GB2312" w:cs="楷体_GB2312"/>
          <w:sz w:val="32"/>
          <w:szCs w:val="32"/>
          <w:highlight w:val="none"/>
        </w:rPr>
        <w:t>一、</w:t>
      </w:r>
      <w:r>
        <w:rPr>
          <w:rFonts w:hint="eastAsia" w:ascii="楷体_GB2312" w:hAnsi="楷体_GB2312" w:eastAsia="楷体_GB2312" w:cs="楷体_GB2312"/>
          <w:sz w:val="32"/>
          <w:szCs w:val="32"/>
          <w:highlight w:val="none"/>
          <w:lang w:eastAsia="zh-CN"/>
        </w:rPr>
        <w:t>“十四五”时期</w:t>
      </w:r>
      <w:r>
        <w:rPr>
          <w:rFonts w:hint="eastAsia" w:ascii="楷体_GB2312" w:hAnsi="楷体_GB2312" w:eastAsia="楷体_GB2312" w:cs="楷体_GB2312"/>
          <w:sz w:val="32"/>
          <w:szCs w:val="32"/>
          <w:highlight w:val="none"/>
        </w:rPr>
        <w:t>发展</w:t>
      </w:r>
      <w:r>
        <w:rPr>
          <w:rFonts w:hint="eastAsia" w:ascii="楷体_GB2312" w:hAnsi="楷体_GB2312" w:eastAsia="楷体_GB2312" w:cs="楷体_GB2312"/>
          <w:sz w:val="32"/>
          <w:szCs w:val="32"/>
          <w:highlight w:val="none"/>
          <w:lang w:eastAsia="zh-CN"/>
        </w:rPr>
        <w:t>基础</w:t>
      </w:r>
      <w:r>
        <w:rPr>
          <w:sz w:val="32"/>
          <w:szCs w:val="32"/>
          <w:highlight w:val="none"/>
        </w:rPr>
        <w:tab/>
      </w:r>
      <w:r>
        <w:rPr>
          <w:sz w:val="32"/>
          <w:szCs w:val="32"/>
          <w:highlight w:val="none"/>
        </w:rPr>
        <w:fldChar w:fldCharType="begin"/>
      </w:r>
      <w:r>
        <w:rPr>
          <w:sz w:val="32"/>
          <w:szCs w:val="32"/>
          <w:highlight w:val="none"/>
        </w:rPr>
        <w:instrText xml:space="preserve"> PAGEREF _Toc6484 \h </w:instrText>
      </w:r>
      <w:r>
        <w:rPr>
          <w:sz w:val="32"/>
          <w:szCs w:val="32"/>
          <w:highlight w:val="none"/>
        </w:rPr>
        <w:fldChar w:fldCharType="separate"/>
      </w:r>
      <w:r>
        <w:rPr>
          <w:sz w:val="32"/>
          <w:szCs w:val="32"/>
          <w:highlight w:val="none"/>
        </w:rPr>
        <w:t>- 1 -</w:t>
      </w:r>
      <w:r>
        <w:rPr>
          <w:sz w:val="32"/>
          <w:szCs w:val="32"/>
          <w:highlight w:val="none"/>
        </w:rPr>
        <w:fldChar w:fldCharType="end"/>
      </w:r>
      <w:r>
        <w:rPr>
          <w:color w:val="000000" w:themeColor="text1"/>
          <w:sz w:val="32"/>
          <w:szCs w:val="32"/>
          <w:highlight w:val="none"/>
          <w14:textFill>
            <w14:solidFill>
              <w14:schemeClr w14:val="tx1"/>
            </w14:solidFill>
          </w14:textFill>
        </w:rPr>
        <w:fldChar w:fldCharType="end"/>
      </w:r>
    </w:p>
    <w:p>
      <w:pPr>
        <w:pStyle w:val="23"/>
        <w:tabs>
          <w:tab w:val="right" w:leader="dot" w:pos="8306"/>
        </w:tabs>
        <w:rPr>
          <w:sz w:val="32"/>
          <w:szCs w:val="32"/>
          <w:highlight w:val="none"/>
        </w:rPr>
      </w:pPr>
      <w:r>
        <w:rPr>
          <w:color w:val="000000" w:themeColor="text1"/>
          <w:sz w:val="32"/>
          <w:szCs w:val="32"/>
          <w:highlight w:val="none"/>
          <w14:textFill>
            <w14:solidFill>
              <w14:schemeClr w14:val="tx1"/>
            </w14:solidFill>
          </w14:textFill>
        </w:rPr>
        <w:fldChar w:fldCharType="begin"/>
      </w:r>
      <w:r>
        <w:rPr>
          <w:sz w:val="32"/>
          <w:szCs w:val="32"/>
          <w:highlight w:val="none"/>
        </w:rPr>
        <w:instrText xml:space="preserve"> HYPERLINK \l _Toc25540 </w:instrText>
      </w:r>
      <w:r>
        <w:rPr>
          <w:sz w:val="32"/>
          <w:szCs w:val="32"/>
          <w:highlight w:val="none"/>
        </w:rPr>
        <w:fldChar w:fldCharType="separate"/>
      </w:r>
      <w:r>
        <w:rPr>
          <w:rFonts w:hint="default" w:ascii="楷体_GB2312" w:hAnsi="楷体_GB2312" w:eastAsia="楷体_GB2312" w:cs="楷体_GB2312"/>
          <w:sz w:val="32"/>
          <w:szCs w:val="32"/>
          <w:highlight w:val="none"/>
          <w:lang w:eastAsia="zh-CN"/>
        </w:rPr>
        <w:t>二、</w:t>
      </w:r>
      <w:r>
        <w:rPr>
          <w:rFonts w:hint="default" w:ascii="楷体_GB2312" w:hAnsi="楷体_GB2312" w:eastAsia="楷体_GB2312" w:cs="楷体_GB2312"/>
          <w:sz w:val="32"/>
          <w:szCs w:val="32"/>
          <w:highlight w:val="none"/>
        </w:rPr>
        <w:t>“十五五”时期</w:t>
      </w:r>
      <w:r>
        <w:rPr>
          <w:rFonts w:hint="eastAsia" w:ascii="楷体_GB2312" w:hAnsi="楷体_GB2312" w:eastAsia="楷体_GB2312" w:cs="楷体_GB2312"/>
          <w:sz w:val="32"/>
          <w:szCs w:val="32"/>
          <w:highlight w:val="none"/>
          <w:lang w:eastAsia="zh-CN"/>
        </w:rPr>
        <w:t>面临形势</w:t>
      </w:r>
      <w:r>
        <w:rPr>
          <w:sz w:val="32"/>
          <w:szCs w:val="32"/>
          <w:highlight w:val="none"/>
        </w:rPr>
        <w:tab/>
      </w:r>
      <w:r>
        <w:rPr>
          <w:sz w:val="32"/>
          <w:szCs w:val="32"/>
          <w:highlight w:val="none"/>
        </w:rPr>
        <w:fldChar w:fldCharType="begin"/>
      </w:r>
      <w:r>
        <w:rPr>
          <w:sz w:val="32"/>
          <w:szCs w:val="32"/>
          <w:highlight w:val="none"/>
        </w:rPr>
        <w:instrText xml:space="preserve"> PAGEREF _Toc25540 \h </w:instrText>
      </w:r>
      <w:r>
        <w:rPr>
          <w:sz w:val="32"/>
          <w:szCs w:val="32"/>
          <w:highlight w:val="none"/>
        </w:rPr>
        <w:fldChar w:fldCharType="separate"/>
      </w:r>
      <w:r>
        <w:rPr>
          <w:sz w:val="32"/>
          <w:szCs w:val="32"/>
          <w:highlight w:val="none"/>
        </w:rPr>
        <w:t>- 2 -</w:t>
      </w:r>
      <w:r>
        <w:rPr>
          <w:sz w:val="32"/>
          <w:szCs w:val="32"/>
          <w:highlight w:val="none"/>
        </w:rPr>
        <w:fldChar w:fldCharType="end"/>
      </w:r>
      <w:r>
        <w:rPr>
          <w:color w:val="000000" w:themeColor="text1"/>
          <w:sz w:val="32"/>
          <w:szCs w:val="32"/>
          <w:highlight w:val="none"/>
          <w14:textFill>
            <w14:solidFill>
              <w14:schemeClr w14:val="tx1"/>
            </w14:solidFill>
          </w14:textFill>
        </w:rPr>
        <w:fldChar w:fldCharType="end"/>
      </w:r>
    </w:p>
    <w:p>
      <w:pPr>
        <w:pStyle w:val="20"/>
        <w:tabs>
          <w:tab w:val="right" w:leader="dot" w:pos="8306"/>
        </w:tabs>
        <w:rPr>
          <w:sz w:val="32"/>
          <w:szCs w:val="32"/>
          <w:highlight w:val="none"/>
        </w:rPr>
      </w:pPr>
      <w:r>
        <w:rPr>
          <w:color w:val="000000" w:themeColor="text1"/>
          <w:sz w:val="32"/>
          <w:szCs w:val="32"/>
          <w:highlight w:val="none"/>
          <w14:textFill>
            <w14:solidFill>
              <w14:schemeClr w14:val="tx1"/>
            </w14:solidFill>
          </w14:textFill>
        </w:rPr>
        <w:fldChar w:fldCharType="begin"/>
      </w:r>
      <w:r>
        <w:rPr>
          <w:sz w:val="32"/>
          <w:szCs w:val="32"/>
          <w:highlight w:val="none"/>
        </w:rPr>
        <w:instrText xml:space="preserve"> HYPERLINK \l _Toc9649 </w:instrText>
      </w:r>
      <w:r>
        <w:rPr>
          <w:sz w:val="32"/>
          <w:szCs w:val="32"/>
          <w:highlight w:val="none"/>
        </w:rPr>
        <w:fldChar w:fldCharType="separate"/>
      </w:r>
      <w:r>
        <w:rPr>
          <w:rFonts w:ascii="Times New Roman" w:hAnsi="Times New Roman" w:eastAsia="黑体" w:cs="Times New Roman"/>
          <w:sz w:val="32"/>
          <w:szCs w:val="32"/>
          <w:highlight w:val="none"/>
        </w:rPr>
        <w:t>第</w:t>
      </w:r>
      <w:r>
        <w:rPr>
          <w:rFonts w:hint="eastAsia" w:ascii="Times New Roman" w:hAnsi="Times New Roman" w:eastAsia="黑体" w:cs="Times New Roman"/>
          <w:sz w:val="32"/>
          <w:szCs w:val="32"/>
          <w:highlight w:val="none"/>
          <w:lang w:eastAsia="zh-CN"/>
        </w:rPr>
        <w:t>二</w:t>
      </w:r>
      <w:r>
        <w:rPr>
          <w:rFonts w:ascii="Times New Roman" w:hAnsi="Times New Roman" w:eastAsia="黑体" w:cs="Times New Roman"/>
          <w:sz w:val="32"/>
          <w:szCs w:val="32"/>
          <w:highlight w:val="none"/>
        </w:rPr>
        <w:t>章 总体思路与发展目标</w:t>
      </w:r>
      <w:r>
        <w:rPr>
          <w:sz w:val="32"/>
          <w:szCs w:val="32"/>
          <w:highlight w:val="none"/>
        </w:rPr>
        <w:tab/>
      </w:r>
      <w:r>
        <w:rPr>
          <w:sz w:val="32"/>
          <w:szCs w:val="32"/>
          <w:highlight w:val="none"/>
        </w:rPr>
        <w:fldChar w:fldCharType="begin"/>
      </w:r>
      <w:r>
        <w:rPr>
          <w:sz w:val="32"/>
          <w:szCs w:val="32"/>
          <w:highlight w:val="none"/>
        </w:rPr>
        <w:instrText xml:space="preserve"> PAGEREF _Toc9649 \h </w:instrText>
      </w:r>
      <w:r>
        <w:rPr>
          <w:sz w:val="32"/>
          <w:szCs w:val="32"/>
          <w:highlight w:val="none"/>
        </w:rPr>
        <w:fldChar w:fldCharType="separate"/>
      </w:r>
      <w:r>
        <w:rPr>
          <w:sz w:val="32"/>
          <w:szCs w:val="32"/>
          <w:highlight w:val="none"/>
        </w:rPr>
        <w:t>- 3 -</w:t>
      </w:r>
      <w:r>
        <w:rPr>
          <w:sz w:val="32"/>
          <w:szCs w:val="32"/>
          <w:highlight w:val="none"/>
        </w:rPr>
        <w:fldChar w:fldCharType="end"/>
      </w:r>
      <w:r>
        <w:rPr>
          <w:color w:val="000000" w:themeColor="text1"/>
          <w:sz w:val="32"/>
          <w:szCs w:val="32"/>
          <w:highlight w:val="none"/>
          <w14:textFill>
            <w14:solidFill>
              <w14:schemeClr w14:val="tx1"/>
            </w14:solidFill>
          </w14:textFill>
        </w:rPr>
        <w:fldChar w:fldCharType="end"/>
      </w:r>
    </w:p>
    <w:p>
      <w:pPr>
        <w:pStyle w:val="23"/>
        <w:tabs>
          <w:tab w:val="right" w:leader="dot" w:pos="8306"/>
        </w:tabs>
        <w:rPr>
          <w:sz w:val="32"/>
          <w:szCs w:val="32"/>
          <w:highlight w:val="none"/>
        </w:rPr>
      </w:pPr>
      <w:r>
        <w:rPr>
          <w:color w:val="000000" w:themeColor="text1"/>
          <w:sz w:val="32"/>
          <w:szCs w:val="32"/>
          <w:highlight w:val="none"/>
          <w14:textFill>
            <w14:solidFill>
              <w14:schemeClr w14:val="tx1"/>
            </w14:solidFill>
          </w14:textFill>
        </w:rPr>
        <w:fldChar w:fldCharType="begin"/>
      </w:r>
      <w:r>
        <w:rPr>
          <w:sz w:val="32"/>
          <w:szCs w:val="32"/>
          <w:highlight w:val="none"/>
        </w:rPr>
        <w:instrText xml:space="preserve"> HYPERLINK \l _Toc11718 </w:instrText>
      </w:r>
      <w:r>
        <w:rPr>
          <w:sz w:val="32"/>
          <w:szCs w:val="32"/>
          <w:highlight w:val="none"/>
        </w:rPr>
        <w:fldChar w:fldCharType="separate"/>
      </w:r>
      <w:r>
        <w:rPr>
          <w:rFonts w:hint="eastAsia" w:ascii="楷体_GB2312" w:hAnsi="楷体_GB2312" w:eastAsia="楷体_GB2312" w:cs="楷体_GB2312"/>
          <w:sz w:val="32"/>
          <w:szCs w:val="32"/>
          <w:highlight w:val="none"/>
        </w:rPr>
        <w:t>一、</w:t>
      </w:r>
      <w:r>
        <w:rPr>
          <w:rFonts w:hint="eastAsia" w:ascii="楷体_GB2312" w:hAnsi="楷体_GB2312" w:eastAsia="楷体_GB2312" w:cs="楷体_GB2312"/>
          <w:sz w:val="32"/>
          <w:szCs w:val="32"/>
          <w:highlight w:val="none"/>
          <w:lang w:eastAsia="zh-CN"/>
        </w:rPr>
        <w:t>指导思想</w:t>
      </w:r>
      <w:r>
        <w:rPr>
          <w:sz w:val="32"/>
          <w:szCs w:val="32"/>
          <w:highlight w:val="none"/>
        </w:rPr>
        <w:tab/>
      </w:r>
      <w:r>
        <w:rPr>
          <w:sz w:val="32"/>
          <w:szCs w:val="32"/>
          <w:highlight w:val="none"/>
        </w:rPr>
        <w:fldChar w:fldCharType="begin"/>
      </w:r>
      <w:r>
        <w:rPr>
          <w:sz w:val="32"/>
          <w:szCs w:val="32"/>
          <w:highlight w:val="none"/>
        </w:rPr>
        <w:instrText xml:space="preserve"> PAGEREF _Toc11718 \h </w:instrText>
      </w:r>
      <w:r>
        <w:rPr>
          <w:sz w:val="32"/>
          <w:szCs w:val="32"/>
          <w:highlight w:val="none"/>
        </w:rPr>
        <w:fldChar w:fldCharType="separate"/>
      </w:r>
      <w:r>
        <w:rPr>
          <w:sz w:val="32"/>
          <w:szCs w:val="32"/>
          <w:highlight w:val="none"/>
        </w:rPr>
        <w:t>- 3 -</w:t>
      </w:r>
      <w:r>
        <w:rPr>
          <w:sz w:val="32"/>
          <w:szCs w:val="32"/>
          <w:highlight w:val="none"/>
        </w:rPr>
        <w:fldChar w:fldCharType="end"/>
      </w:r>
      <w:r>
        <w:rPr>
          <w:color w:val="000000" w:themeColor="text1"/>
          <w:sz w:val="32"/>
          <w:szCs w:val="32"/>
          <w:highlight w:val="none"/>
          <w14:textFill>
            <w14:solidFill>
              <w14:schemeClr w14:val="tx1"/>
            </w14:solidFill>
          </w14:textFill>
        </w:rPr>
        <w:fldChar w:fldCharType="end"/>
      </w:r>
    </w:p>
    <w:p>
      <w:pPr>
        <w:pStyle w:val="23"/>
        <w:tabs>
          <w:tab w:val="right" w:leader="dot" w:pos="8306"/>
        </w:tabs>
        <w:rPr>
          <w:sz w:val="32"/>
          <w:szCs w:val="32"/>
          <w:highlight w:val="none"/>
        </w:rPr>
      </w:pPr>
      <w:r>
        <w:rPr>
          <w:color w:val="000000" w:themeColor="text1"/>
          <w:sz w:val="32"/>
          <w:szCs w:val="32"/>
          <w:highlight w:val="none"/>
          <w14:textFill>
            <w14:solidFill>
              <w14:schemeClr w14:val="tx1"/>
            </w14:solidFill>
          </w14:textFill>
        </w:rPr>
        <w:fldChar w:fldCharType="begin"/>
      </w:r>
      <w:r>
        <w:rPr>
          <w:sz w:val="32"/>
          <w:szCs w:val="32"/>
          <w:highlight w:val="none"/>
        </w:rPr>
        <w:instrText xml:space="preserve"> HYPERLINK \l _Toc15724 </w:instrText>
      </w:r>
      <w:r>
        <w:rPr>
          <w:sz w:val="32"/>
          <w:szCs w:val="32"/>
          <w:highlight w:val="none"/>
        </w:rPr>
        <w:fldChar w:fldCharType="separate"/>
      </w:r>
      <w:r>
        <w:rPr>
          <w:rFonts w:hint="eastAsia" w:ascii="楷体_GB2312" w:hAnsi="楷体_GB2312" w:eastAsia="楷体_GB2312" w:cs="楷体_GB2312"/>
          <w:sz w:val="32"/>
          <w:szCs w:val="32"/>
          <w:highlight w:val="none"/>
        </w:rPr>
        <w:t>二、发展目标</w:t>
      </w:r>
      <w:r>
        <w:rPr>
          <w:sz w:val="32"/>
          <w:szCs w:val="32"/>
          <w:highlight w:val="none"/>
        </w:rPr>
        <w:tab/>
      </w:r>
      <w:r>
        <w:rPr>
          <w:sz w:val="32"/>
          <w:szCs w:val="32"/>
          <w:highlight w:val="none"/>
        </w:rPr>
        <w:fldChar w:fldCharType="begin"/>
      </w:r>
      <w:r>
        <w:rPr>
          <w:sz w:val="32"/>
          <w:szCs w:val="32"/>
          <w:highlight w:val="none"/>
        </w:rPr>
        <w:instrText xml:space="preserve"> PAGEREF _Toc15724 \h </w:instrText>
      </w:r>
      <w:r>
        <w:rPr>
          <w:sz w:val="32"/>
          <w:szCs w:val="32"/>
          <w:highlight w:val="none"/>
        </w:rPr>
        <w:fldChar w:fldCharType="separate"/>
      </w:r>
      <w:r>
        <w:rPr>
          <w:sz w:val="32"/>
          <w:szCs w:val="32"/>
          <w:highlight w:val="none"/>
        </w:rPr>
        <w:t>- 4 -</w:t>
      </w:r>
      <w:r>
        <w:rPr>
          <w:sz w:val="32"/>
          <w:szCs w:val="32"/>
          <w:highlight w:val="none"/>
        </w:rPr>
        <w:fldChar w:fldCharType="end"/>
      </w:r>
      <w:r>
        <w:rPr>
          <w:color w:val="000000" w:themeColor="text1"/>
          <w:sz w:val="32"/>
          <w:szCs w:val="32"/>
          <w:highlight w:val="none"/>
          <w14:textFill>
            <w14:solidFill>
              <w14:schemeClr w14:val="tx1"/>
            </w14:solidFill>
          </w14:textFill>
        </w:rPr>
        <w:fldChar w:fldCharType="end"/>
      </w:r>
    </w:p>
    <w:p>
      <w:pPr>
        <w:pStyle w:val="20"/>
        <w:tabs>
          <w:tab w:val="right" w:leader="dot" w:pos="8306"/>
        </w:tabs>
        <w:rPr>
          <w:sz w:val="32"/>
          <w:szCs w:val="32"/>
          <w:highlight w:val="none"/>
        </w:rPr>
      </w:pPr>
      <w:r>
        <w:rPr>
          <w:color w:val="000000" w:themeColor="text1"/>
          <w:sz w:val="32"/>
          <w:szCs w:val="32"/>
          <w:highlight w:val="none"/>
          <w14:textFill>
            <w14:solidFill>
              <w14:schemeClr w14:val="tx1"/>
            </w14:solidFill>
          </w14:textFill>
        </w:rPr>
        <w:fldChar w:fldCharType="begin"/>
      </w:r>
      <w:r>
        <w:rPr>
          <w:sz w:val="32"/>
          <w:szCs w:val="32"/>
          <w:highlight w:val="none"/>
        </w:rPr>
        <w:instrText xml:space="preserve"> HYPERLINK \l _Toc28667 </w:instrText>
      </w:r>
      <w:r>
        <w:rPr>
          <w:sz w:val="32"/>
          <w:szCs w:val="32"/>
          <w:highlight w:val="none"/>
        </w:rPr>
        <w:fldChar w:fldCharType="separate"/>
      </w:r>
      <w:r>
        <w:rPr>
          <w:rFonts w:ascii="Times New Roman" w:hAnsi="Times New Roman" w:eastAsia="黑体" w:cs="Times New Roman"/>
          <w:sz w:val="32"/>
          <w:szCs w:val="32"/>
          <w:highlight w:val="none"/>
        </w:rPr>
        <w:t>第</w:t>
      </w:r>
      <w:r>
        <w:rPr>
          <w:rFonts w:hint="eastAsia" w:ascii="Times New Roman" w:hAnsi="Times New Roman" w:eastAsia="黑体" w:cs="Times New Roman"/>
          <w:sz w:val="32"/>
          <w:szCs w:val="32"/>
          <w:highlight w:val="none"/>
          <w:lang w:eastAsia="zh-CN"/>
        </w:rPr>
        <w:t>三</w:t>
      </w:r>
      <w:r>
        <w:rPr>
          <w:rFonts w:hint="eastAsia" w:ascii="Times New Roman" w:hAnsi="Times New Roman" w:eastAsia="黑体" w:cs="Times New Roman"/>
          <w:sz w:val="32"/>
          <w:szCs w:val="32"/>
          <w:highlight w:val="none"/>
        </w:rPr>
        <w:t>章</w:t>
      </w:r>
      <w:r>
        <w:rPr>
          <w:rFonts w:ascii="Times New Roman" w:hAnsi="Times New Roman" w:eastAsia="黑体" w:cs="Times New Roman"/>
          <w:sz w:val="32"/>
          <w:szCs w:val="32"/>
          <w:highlight w:val="none"/>
        </w:rPr>
        <w:t xml:space="preserve"> 优布局，丰富拓展品质消费场景</w:t>
      </w:r>
      <w:r>
        <w:rPr>
          <w:sz w:val="32"/>
          <w:szCs w:val="32"/>
          <w:highlight w:val="none"/>
        </w:rPr>
        <w:tab/>
      </w:r>
      <w:r>
        <w:rPr>
          <w:sz w:val="32"/>
          <w:szCs w:val="32"/>
          <w:highlight w:val="none"/>
        </w:rPr>
        <w:fldChar w:fldCharType="begin"/>
      </w:r>
      <w:r>
        <w:rPr>
          <w:sz w:val="32"/>
          <w:szCs w:val="32"/>
          <w:highlight w:val="none"/>
        </w:rPr>
        <w:instrText xml:space="preserve"> PAGEREF _Toc28667 \h </w:instrText>
      </w:r>
      <w:r>
        <w:rPr>
          <w:sz w:val="32"/>
          <w:szCs w:val="32"/>
          <w:highlight w:val="none"/>
        </w:rPr>
        <w:fldChar w:fldCharType="separate"/>
      </w:r>
      <w:r>
        <w:rPr>
          <w:sz w:val="32"/>
          <w:szCs w:val="32"/>
          <w:highlight w:val="none"/>
        </w:rPr>
        <w:t>- 4 -</w:t>
      </w:r>
      <w:r>
        <w:rPr>
          <w:sz w:val="32"/>
          <w:szCs w:val="32"/>
          <w:highlight w:val="none"/>
        </w:rPr>
        <w:fldChar w:fldCharType="end"/>
      </w:r>
      <w:r>
        <w:rPr>
          <w:color w:val="000000" w:themeColor="text1"/>
          <w:sz w:val="32"/>
          <w:szCs w:val="32"/>
          <w:highlight w:val="none"/>
          <w14:textFill>
            <w14:solidFill>
              <w14:schemeClr w14:val="tx1"/>
            </w14:solidFill>
          </w14:textFill>
        </w:rPr>
        <w:fldChar w:fldCharType="end"/>
      </w:r>
    </w:p>
    <w:p>
      <w:pPr>
        <w:pStyle w:val="23"/>
        <w:tabs>
          <w:tab w:val="right" w:leader="dot" w:pos="8306"/>
        </w:tabs>
        <w:rPr>
          <w:sz w:val="32"/>
          <w:szCs w:val="32"/>
          <w:highlight w:val="none"/>
        </w:rPr>
      </w:pPr>
      <w:r>
        <w:rPr>
          <w:color w:val="000000" w:themeColor="text1"/>
          <w:sz w:val="32"/>
          <w:szCs w:val="32"/>
          <w:highlight w:val="none"/>
          <w14:textFill>
            <w14:solidFill>
              <w14:schemeClr w14:val="tx1"/>
            </w14:solidFill>
          </w14:textFill>
        </w:rPr>
        <w:fldChar w:fldCharType="begin"/>
      </w:r>
      <w:r>
        <w:rPr>
          <w:sz w:val="32"/>
          <w:szCs w:val="32"/>
          <w:highlight w:val="none"/>
        </w:rPr>
        <w:instrText xml:space="preserve"> HYPERLINK \l _Toc26679 </w:instrText>
      </w:r>
      <w:r>
        <w:rPr>
          <w:sz w:val="32"/>
          <w:szCs w:val="32"/>
          <w:highlight w:val="none"/>
        </w:rPr>
        <w:fldChar w:fldCharType="separate"/>
      </w:r>
      <w:r>
        <w:rPr>
          <w:rFonts w:hint="eastAsia" w:ascii="楷体_GB2312" w:hAnsi="楷体_GB2312" w:eastAsia="楷体_GB2312" w:cs="楷体_GB2312"/>
          <w:sz w:val="32"/>
          <w:szCs w:val="32"/>
          <w:highlight w:val="none"/>
        </w:rPr>
        <w:t>一、构建“两核三圈、三带多点”商业发展格局</w:t>
      </w:r>
      <w:r>
        <w:rPr>
          <w:sz w:val="32"/>
          <w:szCs w:val="32"/>
          <w:highlight w:val="none"/>
        </w:rPr>
        <w:tab/>
      </w:r>
      <w:r>
        <w:rPr>
          <w:sz w:val="32"/>
          <w:szCs w:val="32"/>
          <w:highlight w:val="none"/>
        </w:rPr>
        <w:fldChar w:fldCharType="begin"/>
      </w:r>
      <w:r>
        <w:rPr>
          <w:sz w:val="32"/>
          <w:szCs w:val="32"/>
          <w:highlight w:val="none"/>
        </w:rPr>
        <w:instrText xml:space="preserve"> PAGEREF _Toc26679 \h </w:instrText>
      </w:r>
      <w:r>
        <w:rPr>
          <w:sz w:val="32"/>
          <w:szCs w:val="32"/>
          <w:highlight w:val="none"/>
        </w:rPr>
        <w:fldChar w:fldCharType="separate"/>
      </w:r>
      <w:r>
        <w:rPr>
          <w:sz w:val="32"/>
          <w:szCs w:val="32"/>
          <w:highlight w:val="none"/>
        </w:rPr>
        <w:t>- 5 -</w:t>
      </w:r>
      <w:r>
        <w:rPr>
          <w:sz w:val="32"/>
          <w:szCs w:val="32"/>
          <w:highlight w:val="none"/>
        </w:rPr>
        <w:fldChar w:fldCharType="end"/>
      </w:r>
      <w:r>
        <w:rPr>
          <w:color w:val="000000" w:themeColor="text1"/>
          <w:sz w:val="32"/>
          <w:szCs w:val="32"/>
          <w:highlight w:val="none"/>
          <w14:textFill>
            <w14:solidFill>
              <w14:schemeClr w14:val="tx1"/>
            </w14:solidFill>
          </w14:textFill>
        </w:rPr>
        <w:fldChar w:fldCharType="end"/>
      </w:r>
    </w:p>
    <w:p>
      <w:pPr>
        <w:pStyle w:val="23"/>
        <w:tabs>
          <w:tab w:val="right" w:leader="dot" w:pos="8306"/>
        </w:tabs>
        <w:rPr>
          <w:sz w:val="32"/>
          <w:szCs w:val="32"/>
          <w:highlight w:val="none"/>
        </w:rPr>
      </w:pPr>
      <w:r>
        <w:rPr>
          <w:color w:val="000000" w:themeColor="text1"/>
          <w:sz w:val="32"/>
          <w:szCs w:val="32"/>
          <w:highlight w:val="none"/>
          <w14:textFill>
            <w14:solidFill>
              <w14:schemeClr w14:val="tx1"/>
            </w14:solidFill>
          </w14:textFill>
        </w:rPr>
        <w:fldChar w:fldCharType="begin"/>
      </w:r>
      <w:r>
        <w:rPr>
          <w:sz w:val="32"/>
          <w:szCs w:val="32"/>
          <w:highlight w:val="none"/>
        </w:rPr>
        <w:instrText xml:space="preserve"> HYPERLINK \l _Toc856 </w:instrText>
      </w:r>
      <w:r>
        <w:rPr>
          <w:sz w:val="32"/>
          <w:szCs w:val="32"/>
          <w:highlight w:val="none"/>
        </w:rPr>
        <w:fldChar w:fldCharType="separate"/>
      </w:r>
      <w:r>
        <w:rPr>
          <w:rFonts w:hint="eastAsia" w:ascii="楷体_GB2312" w:hAnsi="楷体_GB2312" w:eastAsia="楷体_GB2312" w:cs="楷体_GB2312"/>
          <w:sz w:val="32"/>
          <w:szCs w:val="32"/>
          <w:highlight w:val="none"/>
        </w:rPr>
        <w:t>二、提升门城地区消费场景功能</w:t>
      </w:r>
      <w:r>
        <w:rPr>
          <w:sz w:val="32"/>
          <w:szCs w:val="32"/>
          <w:highlight w:val="none"/>
        </w:rPr>
        <w:tab/>
      </w:r>
      <w:r>
        <w:rPr>
          <w:sz w:val="32"/>
          <w:szCs w:val="32"/>
          <w:highlight w:val="none"/>
        </w:rPr>
        <w:fldChar w:fldCharType="begin"/>
      </w:r>
      <w:r>
        <w:rPr>
          <w:sz w:val="32"/>
          <w:szCs w:val="32"/>
          <w:highlight w:val="none"/>
        </w:rPr>
        <w:instrText xml:space="preserve"> PAGEREF _Toc856 \h </w:instrText>
      </w:r>
      <w:r>
        <w:rPr>
          <w:sz w:val="32"/>
          <w:szCs w:val="32"/>
          <w:highlight w:val="none"/>
        </w:rPr>
        <w:fldChar w:fldCharType="separate"/>
      </w:r>
      <w:r>
        <w:rPr>
          <w:sz w:val="32"/>
          <w:szCs w:val="32"/>
          <w:highlight w:val="none"/>
        </w:rPr>
        <w:t>- 8 -</w:t>
      </w:r>
      <w:r>
        <w:rPr>
          <w:sz w:val="32"/>
          <w:szCs w:val="32"/>
          <w:highlight w:val="none"/>
        </w:rPr>
        <w:fldChar w:fldCharType="end"/>
      </w:r>
      <w:r>
        <w:rPr>
          <w:color w:val="000000" w:themeColor="text1"/>
          <w:sz w:val="32"/>
          <w:szCs w:val="32"/>
          <w:highlight w:val="none"/>
          <w14:textFill>
            <w14:solidFill>
              <w14:schemeClr w14:val="tx1"/>
            </w14:solidFill>
          </w14:textFill>
        </w:rPr>
        <w:fldChar w:fldCharType="end"/>
      </w:r>
    </w:p>
    <w:p>
      <w:pPr>
        <w:pStyle w:val="23"/>
        <w:tabs>
          <w:tab w:val="right" w:leader="dot" w:pos="8306"/>
        </w:tabs>
        <w:rPr>
          <w:sz w:val="32"/>
          <w:szCs w:val="32"/>
          <w:highlight w:val="none"/>
        </w:rPr>
      </w:pPr>
      <w:r>
        <w:rPr>
          <w:color w:val="000000" w:themeColor="text1"/>
          <w:sz w:val="32"/>
          <w:szCs w:val="32"/>
          <w:highlight w:val="none"/>
          <w14:textFill>
            <w14:solidFill>
              <w14:schemeClr w14:val="tx1"/>
            </w14:solidFill>
          </w14:textFill>
        </w:rPr>
        <w:fldChar w:fldCharType="begin"/>
      </w:r>
      <w:r>
        <w:rPr>
          <w:sz w:val="32"/>
          <w:szCs w:val="32"/>
          <w:highlight w:val="none"/>
        </w:rPr>
        <w:instrText xml:space="preserve"> HYPERLINK \l _Toc10227 </w:instrText>
      </w:r>
      <w:r>
        <w:rPr>
          <w:sz w:val="32"/>
          <w:szCs w:val="32"/>
          <w:highlight w:val="none"/>
        </w:rPr>
        <w:fldChar w:fldCharType="separate"/>
      </w:r>
      <w:r>
        <w:rPr>
          <w:rFonts w:hint="eastAsia" w:ascii="楷体_GB2312" w:hAnsi="楷体_GB2312" w:eastAsia="楷体_GB2312" w:cs="楷体_GB2312"/>
          <w:sz w:val="32"/>
          <w:szCs w:val="32"/>
          <w:highlight w:val="none"/>
        </w:rPr>
        <w:t>三、拓展山区品质消费载体空间</w:t>
      </w:r>
      <w:r>
        <w:rPr>
          <w:sz w:val="32"/>
          <w:szCs w:val="32"/>
          <w:highlight w:val="none"/>
        </w:rPr>
        <w:tab/>
      </w:r>
      <w:r>
        <w:rPr>
          <w:sz w:val="32"/>
          <w:szCs w:val="32"/>
          <w:highlight w:val="none"/>
        </w:rPr>
        <w:fldChar w:fldCharType="begin"/>
      </w:r>
      <w:r>
        <w:rPr>
          <w:sz w:val="32"/>
          <w:szCs w:val="32"/>
          <w:highlight w:val="none"/>
        </w:rPr>
        <w:instrText xml:space="preserve"> PAGEREF _Toc10227 \h </w:instrText>
      </w:r>
      <w:r>
        <w:rPr>
          <w:sz w:val="32"/>
          <w:szCs w:val="32"/>
          <w:highlight w:val="none"/>
        </w:rPr>
        <w:fldChar w:fldCharType="separate"/>
      </w:r>
      <w:r>
        <w:rPr>
          <w:sz w:val="32"/>
          <w:szCs w:val="32"/>
          <w:highlight w:val="none"/>
        </w:rPr>
        <w:t>- 9 -</w:t>
      </w:r>
      <w:r>
        <w:rPr>
          <w:sz w:val="32"/>
          <w:szCs w:val="32"/>
          <w:highlight w:val="none"/>
        </w:rPr>
        <w:fldChar w:fldCharType="end"/>
      </w:r>
      <w:r>
        <w:rPr>
          <w:color w:val="000000" w:themeColor="text1"/>
          <w:sz w:val="32"/>
          <w:szCs w:val="32"/>
          <w:highlight w:val="none"/>
          <w14:textFill>
            <w14:solidFill>
              <w14:schemeClr w14:val="tx1"/>
            </w14:solidFill>
          </w14:textFill>
        </w:rPr>
        <w:fldChar w:fldCharType="end"/>
      </w:r>
    </w:p>
    <w:p>
      <w:pPr>
        <w:pStyle w:val="20"/>
        <w:tabs>
          <w:tab w:val="right" w:leader="dot" w:pos="8306"/>
        </w:tabs>
        <w:rPr>
          <w:sz w:val="32"/>
          <w:szCs w:val="32"/>
          <w:highlight w:val="none"/>
        </w:rPr>
      </w:pPr>
      <w:r>
        <w:rPr>
          <w:color w:val="000000" w:themeColor="text1"/>
          <w:sz w:val="32"/>
          <w:szCs w:val="32"/>
          <w:highlight w:val="none"/>
          <w14:textFill>
            <w14:solidFill>
              <w14:schemeClr w14:val="tx1"/>
            </w14:solidFill>
          </w14:textFill>
        </w:rPr>
        <w:fldChar w:fldCharType="begin"/>
      </w:r>
      <w:r>
        <w:rPr>
          <w:sz w:val="32"/>
          <w:szCs w:val="32"/>
          <w:highlight w:val="none"/>
        </w:rPr>
        <w:instrText xml:space="preserve"> HYPERLINK \l _Toc31852 </w:instrText>
      </w:r>
      <w:r>
        <w:rPr>
          <w:sz w:val="32"/>
          <w:szCs w:val="32"/>
          <w:highlight w:val="none"/>
        </w:rPr>
        <w:fldChar w:fldCharType="separate"/>
      </w:r>
      <w:r>
        <w:rPr>
          <w:rFonts w:hint="eastAsia" w:ascii="黑体" w:hAnsi="黑体" w:eastAsia="黑体" w:cs="黑体"/>
          <w:sz w:val="32"/>
          <w:szCs w:val="32"/>
          <w:highlight w:val="none"/>
        </w:rPr>
        <w:t>第</w:t>
      </w:r>
      <w:r>
        <w:rPr>
          <w:rFonts w:hint="eastAsia" w:ascii="黑体" w:hAnsi="黑体" w:eastAsia="黑体" w:cs="黑体"/>
          <w:sz w:val="32"/>
          <w:szCs w:val="32"/>
          <w:highlight w:val="none"/>
          <w:lang w:eastAsia="zh-CN"/>
        </w:rPr>
        <w:t>四</w:t>
      </w:r>
      <w:r>
        <w:rPr>
          <w:rFonts w:hint="eastAsia" w:ascii="黑体" w:hAnsi="黑体" w:eastAsia="黑体" w:cs="黑体"/>
          <w:sz w:val="32"/>
          <w:szCs w:val="32"/>
          <w:highlight w:val="none"/>
        </w:rPr>
        <w:t>章 提能级，提高品质商业供给能力</w:t>
      </w:r>
      <w:r>
        <w:rPr>
          <w:sz w:val="32"/>
          <w:szCs w:val="32"/>
          <w:highlight w:val="none"/>
        </w:rPr>
        <w:tab/>
      </w:r>
      <w:r>
        <w:rPr>
          <w:sz w:val="32"/>
          <w:szCs w:val="32"/>
          <w:highlight w:val="none"/>
        </w:rPr>
        <w:fldChar w:fldCharType="begin"/>
      </w:r>
      <w:r>
        <w:rPr>
          <w:sz w:val="32"/>
          <w:szCs w:val="32"/>
          <w:highlight w:val="none"/>
        </w:rPr>
        <w:instrText xml:space="preserve"> PAGEREF _Toc31852 \h </w:instrText>
      </w:r>
      <w:r>
        <w:rPr>
          <w:sz w:val="32"/>
          <w:szCs w:val="32"/>
          <w:highlight w:val="none"/>
        </w:rPr>
        <w:fldChar w:fldCharType="separate"/>
      </w:r>
      <w:r>
        <w:rPr>
          <w:sz w:val="32"/>
          <w:szCs w:val="32"/>
          <w:highlight w:val="none"/>
        </w:rPr>
        <w:t>- 10 -</w:t>
      </w:r>
      <w:r>
        <w:rPr>
          <w:sz w:val="32"/>
          <w:szCs w:val="32"/>
          <w:highlight w:val="none"/>
        </w:rPr>
        <w:fldChar w:fldCharType="end"/>
      </w:r>
      <w:r>
        <w:rPr>
          <w:color w:val="000000" w:themeColor="text1"/>
          <w:sz w:val="32"/>
          <w:szCs w:val="32"/>
          <w:highlight w:val="none"/>
          <w14:textFill>
            <w14:solidFill>
              <w14:schemeClr w14:val="tx1"/>
            </w14:solidFill>
          </w14:textFill>
        </w:rPr>
        <w:fldChar w:fldCharType="end"/>
      </w:r>
    </w:p>
    <w:p>
      <w:pPr>
        <w:pStyle w:val="23"/>
        <w:tabs>
          <w:tab w:val="right" w:leader="dot" w:pos="8306"/>
        </w:tabs>
        <w:rPr>
          <w:sz w:val="32"/>
          <w:szCs w:val="32"/>
          <w:highlight w:val="none"/>
        </w:rPr>
      </w:pPr>
      <w:r>
        <w:rPr>
          <w:color w:val="000000" w:themeColor="text1"/>
          <w:sz w:val="32"/>
          <w:szCs w:val="32"/>
          <w:highlight w:val="none"/>
          <w14:textFill>
            <w14:solidFill>
              <w14:schemeClr w14:val="tx1"/>
            </w14:solidFill>
          </w14:textFill>
        </w:rPr>
        <w:fldChar w:fldCharType="begin"/>
      </w:r>
      <w:r>
        <w:rPr>
          <w:sz w:val="32"/>
          <w:szCs w:val="32"/>
          <w:highlight w:val="none"/>
        </w:rPr>
        <w:instrText xml:space="preserve"> HYPERLINK \l _Toc28406 </w:instrText>
      </w:r>
      <w:r>
        <w:rPr>
          <w:sz w:val="32"/>
          <w:szCs w:val="32"/>
          <w:highlight w:val="none"/>
        </w:rPr>
        <w:fldChar w:fldCharType="separate"/>
      </w:r>
      <w:r>
        <w:rPr>
          <w:rFonts w:hint="eastAsia" w:ascii="楷体_GB2312" w:hAnsi="楷体_GB2312" w:eastAsia="楷体_GB2312" w:cs="楷体_GB2312"/>
          <w:sz w:val="32"/>
          <w:szCs w:val="32"/>
          <w:highlight w:val="none"/>
        </w:rPr>
        <w:t>一、促进零售业创新提升发展</w:t>
      </w:r>
      <w:r>
        <w:rPr>
          <w:sz w:val="32"/>
          <w:szCs w:val="32"/>
          <w:highlight w:val="none"/>
        </w:rPr>
        <w:tab/>
      </w:r>
      <w:r>
        <w:rPr>
          <w:sz w:val="32"/>
          <w:szCs w:val="32"/>
          <w:highlight w:val="none"/>
        </w:rPr>
        <w:fldChar w:fldCharType="begin"/>
      </w:r>
      <w:r>
        <w:rPr>
          <w:sz w:val="32"/>
          <w:szCs w:val="32"/>
          <w:highlight w:val="none"/>
        </w:rPr>
        <w:instrText xml:space="preserve"> PAGEREF _Toc28406 \h </w:instrText>
      </w:r>
      <w:r>
        <w:rPr>
          <w:sz w:val="32"/>
          <w:szCs w:val="32"/>
          <w:highlight w:val="none"/>
        </w:rPr>
        <w:fldChar w:fldCharType="separate"/>
      </w:r>
      <w:r>
        <w:rPr>
          <w:sz w:val="32"/>
          <w:szCs w:val="32"/>
          <w:highlight w:val="none"/>
        </w:rPr>
        <w:t>- 11 -</w:t>
      </w:r>
      <w:r>
        <w:rPr>
          <w:sz w:val="32"/>
          <w:szCs w:val="32"/>
          <w:highlight w:val="none"/>
        </w:rPr>
        <w:fldChar w:fldCharType="end"/>
      </w:r>
      <w:r>
        <w:rPr>
          <w:color w:val="000000" w:themeColor="text1"/>
          <w:sz w:val="32"/>
          <w:szCs w:val="32"/>
          <w:highlight w:val="none"/>
          <w14:textFill>
            <w14:solidFill>
              <w14:schemeClr w14:val="tx1"/>
            </w14:solidFill>
          </w14:textFill>
        </w:rPr>
        <w:fldChar w:fldCharType="end"/>
      </w:r>
    </w:p>
    <w:p>
      <w:pPr>
        <w:pStyle w:val="23"/>
        <w:tabs>
          <w:tab w:val="right" w:leader="dot" w:pos="8306"/>
        </w:tabs>
        <w:rPr>
          <w:sz w:val="32"/>
          <w:szCs w:val="32"/>
          <w:highlight w:val="none"/>
        </w:rPr>
      </w:pPr>
      <w:r>
        <w:rPr>
          <w:color w:val="000000" w:themeColor="text1"/>
          <w:sz w:val="32"/>
          <w:szCs w:val="32"/>
          <w:highlight w:val="none"/>
          <w14:textFill>
            <w14:solidFill>
              <w14:schemeClr w14:val="tx1"/>
            </w14:solidFill>
          </w14:textFill>
        </w:rPr>
        <w:fldChar w:fldCharType="begin"/>
      </w:r>
      <w:r>
        <w:rPr>
          <w:sz w:val="32"/>
          <w:szCs w:val="32"/>
          <w:highlight w:val="none"/>
        </w:rPr>
        <w:instrText xml:space="preserve"> HYPERLINK \l _Toc6105 </w:instrText>
      </w:r>
      <w:r>
        <w:rPr>
          <w:sz w:val="32"/>
          <w:szCs w:val="32"/>
          <w:highlight w:val="none"/>
        </w:rPr>
        <w:fldChar w:fldCharType="separate"/>
      </w:r>
      <w:r>
        <w:rPr>
          <w:rFonts w:hint="eastAsia" w:ascii="楷体_GB2312" w:hAnsi="楷体_GB2312" w:eastAsia="楷体_GB2312" w:cs="楷体_GB2312"/>
          <w:sz w:val="32"/>
          <w:szCs w:val="32"/>
          <w:highlight w:val="none"/>
        </w:rPr>
        <w:t>二、</w:t>
      </w:r>
      <w:r>
        <w:rPr>
          <w:rFonts w:hint="eastAsia" w:ascii="楷体_GB2312" w:hAnsi="楷体_GB2312" w:eastAsia="楷体_GB2312" w:cs="楷体_GB2312"/>
          <w:sz w:val="32"/>
          <w:szCs w:val="32"/>
          <w:highlight w:val="none"/>
          <w:lang w:eastAsia="zh-CN"/>
        </w:rPr>
        <w:t>培育打造</w:t>
      </w:r>
      <w:r>
        <w:rPr>
          <w:rFonts w:hint="eastAsia" w:ascii="楷体_GB2312" w:hAnsi="楷体_GB2312" w:eastAsia="楷体_GB2312" w:cs="楷体_GB2312"/>
          <w:sz w:val="32"/>
          <w:szCs w:val="32"/>
          <w:highlight w:val="none"/>
        </w:rPr>
        <w:t>京西餐饮品牌</w:t>
      </w:r>
      <w:r>
        <w:rPr>
          <w:sz w:val="32"/>
          <w:szCs w:val="32"/>
          <w:highlight w:val="none"/>
        </w:rPr>
        <w:tab/>
      </w:r>
      <w:r>
        <w:rPr>
          <w:sz w:val="32"/>
          <w:szCs w:val="32"/>
          <w:highlight w:val="none"/>
        </w:rPr>
        <w:fldChar w:fldCharType="begin"/>
      </w:r>
      <w:r>
        <w:rPr>
          <w:sz w:val="32"/>
          <w:szCs w:val="32"/>
          <w:highlight w:val="none"/>
        </w:rPr>
        <w:instrText xml:space="preserve"> PAGEREF _Toc6105 \h </w:instrText>
      </w:r>
      <w:r>
        <w:rPr>
          <w:sz w:val="32"/>
          <w:szCs w:val="32"/>
          <w:highlight w:val="none"/>
        </w:rPr>
        <w:fldChar w:fldCharType="separate"/>
      </w:r>
      <w:r>
        <w:rPr>
          <w:sz w:val="32"/>
          <w:szCs w:val="32"/>
          <w:highlight w:val="none"/>
        </w:rPr>
        <w:t>- 11 -</w:t>
      </w:r>
      <w:r>
        <w:rPr>
          <w:sz w:val="32"/>
          <w:szCs w:val="32"/>
          <w:highlight w:val="none"/>
        </w:rPr>
        <w:fldChar w:fldCharType="end"/>
      </w:r>
      <w:r>
        <w:rPr>
          <w:color w:val="000000" w:themeColor="text1"/>
          <w:sz w:val="32"/>
          <w:szCs w:val="32"/>
          <w:highlight w:val="none"/>
          <w14:textFill>
            <w14:solidFill>
              <w14:schemeClr w14:val="tx1"/>
            </w14:solidFill>
          </w14:textFill>
        </w:rPr>
        <w:fldChar w:fldCharType="end"/>
      </w:r>
    </w:p>
    <w:p>
      <w:pPr>
        <w:pStyle w:val="23"/>
        <w:tabs>
          <w:tab w:val="right" w:leader="dot" w:pos="8306"/>
        </w:tabs>
        <w:rPr>
          <w:sz w:val="32"/>
          <w:szCs w:val="32"/>
          <w:highlight w:val="none"/>
        </w:rPr>
      </w:pPr>
      <w:r>
        <w:rPr>
          <w:color w:val="000000" w:themeColor="text1"/>
          <w:sz w:val="32"/>
          <w:szCs w:val="32"/>
          <w:highlight w:val="none"/>
          <w14:textFill>
            <w14:solidFill>
              <w14:schemeClr w14:val="tx1"/>
            </w14:solidFill>
          </w14:textFill>
        </w:rPr>
        <w:fldChar w:fldCharType="begin"/>
      </w:r>
      <w:r>
        <w:rPr>
          <w:sz w:val="32"/>
          <w:szCs w:val="32"/>
          <w:highlight w:val="none"/>
        </w:rPr>
        <w:instrText xml:space="preserve"> HYPERLINK \l _Toc29872 </w:instrText>
      </w:r>
      <w:r>
        <w:rPr>
          <w:sz w:val="32"/>
          <w:szCs w:val="32"/>
          <w:highlight w:val="none"/>
        </w:rPr>
        <w:fldChar w:fldCharType="separate"/>
      </w:r>
      <w:r>
        <w:rPr>
          <w:rFonts w:hint="eastAsia" w:ascii="楷体_GB2312" w:hAnsi="楷体_GB2312" w:eastAsia="楷体_GB2312" w:cs="楷体_GB2312"/>
          <w:sz w:val="32"/>
          <w:szCs w:val="32"/>
          <w:highlight w:val="none"/>
        </w:rPr>
        <w:t>三、提升便民商业发展品质</w:t>
      </w:r>
      <w:r>
        <w:rPr>
          <w:sz w:val="32"/>
          <w:szCs w:val="32"/>
          <w:highlight w:val="none"/>
        </w:rPr>
        <w:tab/>
      </w:r>
      <w:r>
        <w:rPr>
          <w:sz w:val="32"/>
          <w:szCs w:val="32"/>
          <w:highlight w:val="none"/>
        </w:rPr>
        <w:fldChar w:fldCharType="begin"/>
      </w:r>
      <w:r>
        <w:rPr>
          <w:sz w:val="32"/>
          <w:szCs w:val="32"/>
          <w:highlight w:val="none"/>
        </w:rPr>
        <w:instrText xml:space="preserve"> PAGEREF _Toc29872 \h </w:instrText>
      </w:r>
      <w:r>
        <w:rPr>
          <w:sz w:val="32"/>
          <w:szCs w:val="32"/>
          <w:highlight w:val="none"/>
        </w:rPr>
        <w:fldChar w:fldCharType="separate"/>
      </w:r>
      <w:r>
        <w:rPr>
          <w:sz w:val="32"/>
          <w:szCs w:val="32"/>
          <w:highlight w:val="none"/>
        </w:rPr>
        <w:t>- 12 -</w:t>
      </w:r>
      <w:r>
        <w:rPr>
          <w:sz w:val="32"/>
          <w:szCs w:val="32"/>
          <w:highlight w:val="none"/>
        </w:rPr>
        <w:fldChar w:fldCharType="end"/>
      </w:r>
      <w:r>
        <w:rPr>
          <w:color w:val="000000" w:themeColor="text1"/>
          <w:sz w:val="32"/>
          <w:szCs w:val="32"/>
          <w:highlight w:val="none"/>
          <w14:textFill>
            <w14:solidFill>
              <w14:schemeClr w14:val="tx1"/>
            </w14:solidFill>
          </w14:textFill>
        </w:rPr>
        <w:fldChar w:fldCharType="end"/>
      </w:r>
    </w:p>
    <w:p>
      <w:pPr>
        <w:pStyle w:val="20"/>
        <w:tabs>
          <w:tab w:val="right" w:leader="dot" w:pos="8306"/>
        </w:tabs>
        <w:rPr>
          <w:sz w:val="32"/>
          <w:szCs w:val="32"/>
          <w:highlight w:val="none"/>
        </w:rPr>
      </w:pPr>
      <w:r>
        <w:rPr>
          <w:color w:val="000000" w:themeColor="text1"/>
          <w:sz w:val="32"/>
          <w:szCs w:val="32"/>
          <w:highlight w:val="none"/>
          <w14:textFill>
            <w14:solidFill>
              <w14:schemeClr w14:val="tx1"/>
            </w14:solidFill>
          </w14:textFill>
        </w:rPr>
        <w:fldChar w:fldCharType="begin"/>
      </w:r>
      <w:r>
        <w:rPr>
          <w:sz w:val="32"/>
          <w:szCs w:val="32"/>
          <w:highlight w:val="none"/>
        </w:rPr>
        <w:instrText xml:space="preserve"> HYPERLINK \l _Toc15062 </w:instrText>
      </w:r>
      <w:r>
        <w:rPr>
          <w:sz w:val="32"/>
          <w:szCs w:val="32"/>
          <w:highlight w:val="none"/>
        </w:rPr>
        <w:fldChar w:fldCharType="separate"/>
      </w:r>
      <w:r>
        <w:rPr>
          <w:rFonts w:hint="eastAsia" w:ascii="Times New Roman" w:hAnsi="Times New Roman" w:eastAsia="黑体" w:cs="Times New Roman"/>
          <w:sz w:val="32"/>
          <w:szCs w:val="32"/>
          <w:highlight w:val="none"/>
        </w:rPr>
        <w:t>第</w:t>
      </w:r>
      <w:r>
        <w:rPr>
          <w:rFonts w:hint="eastAsia" w:ascii="Times New Roman" w:hAnsi="Times New Roman" w:eastAsia="黑体" w:cs="Times New Roman"/>
          <w:sz w:val="32"/>
          <w:szCs w:val="32"/>
          <w:highlight w:val="none"/>
          <w:lang w:eastAsia="zh-CN"/>
        </w:rPr>
        <w:t>五</w:t>
      </w:r>
      <w:r>
        <w:rPr>
          <w:rFonts w:ascii="Times New Roman" w:hAnsi="Times New Roman" w:eastAsia="黑体" w:cs="Times New Roman"/>
          <w:sz w:val="32"/>
          <w:szCs w:val="32"/>
          <w:highlight w:val="none"/>
        </w:rPr>
        <w:t xml:space="preserve">章 </w:t>
      </w:r>
      <w:r>
        <w:rPr>
          <w:rFonts w:hint="eastAsia" w:ascii="Times New Roman" w:hAnsi="Times New Roman" w:eastAsia="黑体" w:cs="Times New Roman"/>
          <w:sz w:val="32"/>
          <w:szCs w:val="32"/>
          <w:highlight w:val="none"/>
        </w:rPr>
        <w:t>强服务</w:t>
      </w:r>
      <w:r>
        <w:rPr>
          <w:rFonts w:hint="eastAsia" w:ascii="黑体" w:hAnsi="黑体" w:eastAsia="黑体" w:cs="黑体"/>
          <w:sz w:val="32"/>
          <w:szCs w:val="32"/>
          <w:highlight w:val="none"/>
        </w:rPr>
        <w:t>，增强消费市场发展动能</w:t>
      </w:r>
      <w:r>
        <w:rPr>
          <w:sz w:val="32"/>
          <w:szCs w:val="32"/>
          <w:highlight w:val="none"/>
        </w:rPr>
        <w:tab/>
      </w:r>
      <w:r>
        <w:rPr>
          <w:sz w:val="32"/>
          <w:szCs w:val="32"/>
          <w:highlight w:val="none"/>
        </w:rPr>
        <w:fldChar w:fldCharType="begin"/>
      </w:r>
      <w:r>
        <w:rPr>
          <w:sz w:val="32"/>
          <w:szCs w:val="32"/>
          <w:highlight w:val="none"/>
        </w:rPr>
        <w:instrText xml:space="preserve"> PAGEREF _Toc15062 \h </w:instrText>
      </w:r>
      <w:r>
        <w:rPr>
          <w:sz w:val="32"/>
          <w:szCs w:val="32"/>
          <w:highlight w:val="none"/>
        </w:rPr>
        <w:fldChar w:fldCharType="separate"/>
      </w:r>
      <w:r>
        <w:rPr>
          <w:sz w:val="32"/>
          <w:szCs w:val="32"/>
          <w:highlight w:val="none"/>
        </w:rPr>
        <w:t>- 12 -</w:t>
      </w:r>
      <w:r>
        <w:rPr>
          <w:sz w:val="32"/>
          <w:szCs w:val="32"/>
          <w:highlight w:val="none"/>
        </w:rPr>
        <w:fldChar w:fldCharType="end"/>
      </w:r>
      <w:r>
        <w:rPr>
          <w:color w:val="000000" w:themeColor="text1"/>
          <w:sz w:val="32"/>
          <w:szCs w:val="32"/>
          <w:highlight w:val="none"/>
          <w14:textFill>
            <w14:solidFill>
              <w14:schemeClr w14:val="tx1"/>
            </w14:solidFill>
          </w14:textFill>
        </w:rPr>
        <w:fldChar w:fldCharType="end"/>
      </w:r>
    </w:p>
    <w:p>
      <w:pPr>
        <w:pStyle w:val="23"/>
        <w:tabs>
          <w:tab w:val="right" w:leader="dot" w:pos="8306"/>
        </w:tabs>
        <w:rPr>
          <w:sz w:val="32"/>
          <w:szCs w:val="32"/>
          <w:highlight w:val="none"/>
        </w:rPr>
      </w:pPr>
      <w:r>
        <w:rPr>
          <w:color w:val="000000" w:themeColor="text1"/>
          <w:sz w:val="32"/>
          <w:szCs w:val="32"/>
          <w:highlight w:val="none"/>
          <w14:textFill>
            <w14:solidFill>
              <w14:schemeClr w14:val="tx1"/>
            </w14:solidFill>
          </w14:textFill>
        </w:rPr>
        <w:fldChar w:fldCharType="begin"/>
      </w:r>
      <w:r>
        <w:rPr>
          <w:sz w:val="32"/>
          <w:szCs w:val="32"/>
          <w:highlight w:val="none"/>
        </w:rPr>
        <w:instrText xml:space="preserve"> HYPERLINK \l _Toc12534 </w:instrText>
      </w:r>
      <w:r>
        <w:rPr>
          <w:sz w:val="32"/>
          <w:szCs w:val="32"/>
          <w:highlight w:val="none"/>
        </w:rPr>
        <w:fldChar w:fldCharType="separate"/>
      </w:r>
      <w:r>
        <w:rPr>
          <w:rFonts w:hint="eastAsia" w:ascii="楷体_GB2312" w:hAnsi="楷体_GB2312" w:eastAsia="楷体_GB2312" w:cs="楷体_GB2312"/>
          <w:sz w:val="32"/>
          <w:szCs w:val="32"/>
          <w:highlight w:val="none"/>
        </w:rPr>
        <w:t>一、擦亮特色服务消费品牌</w:t>
      </w:r>
      <w:r>
        <w:rPr>
          <w:sz w:val="32"/>
          <w:szCs w:val="32"/>
          <w:highlight w:val="none"/>
        </w:rPr>
        <w:tab/>
      </w:r>
      <w:r>
        <w:rPr>
          <w:sz w:val="32"/>
          <w:szCs w:val="32"/>
          <w:highlight w:val="none"/>
        </w:rPr>
        <w:fldChar w:fldCharType="begin"/>
      </w:r>
      <w:r>
        <w:rPr>
          <w:sz w:val="32"/>
          <w:szCs w:val="32"/>
          <w:highlight w:val="none"/>
        </w:rPr>
        <w:instrText xml:space="preserve"> PAGEREF _Toc12534 \h </w:instrText>
      </w:r>
      <w:r>
        <w:rPr>
          <w:sz w:val="32"/>
          <w:szCs w:val="32"/>
          <w:highlight w:val="none"/>
        </w:rPr>
        <w:fldChar w:fldCharType="separate"/>
      </w:r>
      <w:r>
        <w:rPr>
          <w:sz w:val="32"/>
          <w:szCs w:val="32"/>
          <w:highlight w:val="none"/>
        </w:rPr>
        <w:t>- 12 -</w:t>
      </w:r>
      <w:r>
        <w:rPr>
          <w:sz w:val="32"/>
          <w:szCs w:val="32"/>
          <w:highlight w:val="none"/>
        </w:rPr>
        <w:fldChar w:fldCharType="end"/>
      </w:r>
      <w:r>
        <w:rPr>
          <w:color w:val="000000" w:themeColor="text1"/>
          <w:sz w:val="32"/>
          <w:szCs w:val="32"/>
          <w:highlight w:val="none"/>
          <w14:textFill>
            <w14:solidFill>
              <w14:schemeClr w14:val="tx1"/>
            </w14:solidFill>
          </w14:textFill>
        </w:rPr>
        <w:fldChar w:fldCharType="end"/>
      </w:r>
    </w:p>
    <w:p>
      <w:pPr>
        <w:pStyle w:val="23"/>
        <w:tabs>
          <w:tab w:val="right" w:leader="dot" w:pos="8306"/>
        </w:tabs>
        <w:rPr>
          <w:sz w:val="32"/>
          <w:szCs w:val="32"/>
          <w:highlight w:val="none"/>
        </w:rPr>
      </w:pPr>
      <w:r>
        <w:rPr>
          <w:color w:val="000000" w:themeColor="text1"/>
          <w:sz w:val="32"/>
          <w:szCs w:val="32"/>
          <w:highlight w:val="none"/>
          <w14:textFill>
            <w14:solidFill>
              <w14:schemeClr w14:val="tx1"/>
            </w14:solidFill>
          </w14:textFill>
        </w:rPr>
        <w:fldChar w:fldCharType="begin"/>
      </w:r>
      <w:r>
        <w:rPr>
          <w:sz w:val="32"/>
          <w:szCs w:val="32"/>
          <w:highlight w:val="none"/>
        </w:rPr>
        <w:instrText xml:space="preserve"> HYPERLINK \l _Toc18782 </w:instrText>
      </w:r>
      <w:r>
        <w:rPr>
          <w:sz w:val="32"/>
          <w:szCs w:val="32"/>
          <w:highlight w:val="none"/>
        </w:rPr>
        <w:fldChar w:fldCharType="separate"/>
      </w:r>
      <w:r>
        <w:rPr>
          <w:rFonts w:hint="eastAsia" w:ascii="楷体_GB2312" w:hAnsi="楷体_GB2312" w:eastAsia="楷体_GB2312" w:cs="楷体_GB2312"/>
          <w:sz w:val="32"/>
          <w:szCs w:val="32"/>
          <w:highlight w:val="none"/>
        </w:rPr>
        <w:t>二、激发改善型服务消费活力</w:t>
      </w:r>
      <w:r>
        <w:rPr>
          <w:sz w:val="32"/>
          <w:szCs w:val="32"/>
          <w:highlight w:val="none"/>
        </w:rPr>
        <w:tab/>
      </w:r>
      <w:r>
        <w:rPr>
          <w:sz w:val="32"/>
          <w:szCs w:val="32"/>
          <w:highlight w:val="none"/>
        </w:rPr>
        <w:fldChar w:fldCharType="begin"/>
      </w:r>
      <w:r>
        <w:rPr>
          <w:sz w:val="32"/>
          <w:szCs w:val="32"/>
          <w:highlight w:val="none"/>
        </w:rPr>
        <w:instrText xml:space="preserve"> PAGEREF _Toc18782 \h </w:instrText>
      </w:r>
      <w:r>
        <w:rPr>
          <w:sz w:val="32"/>
          <w:szCs w:val="32"/>
          <w:highlight w:val="none"/>
        </w:rPr>
        <w:fldChar w:fldCharType="separate"/>
      </w:r>
      <w:r>
        <w:rPr>
          <w:sz w:val="32"/>
          <w:szCs w:val="32"/>
          <w:highlight w:val="none"/>
        </w:rPr>
        <w:t>- 13 -</w:t>
      </w:r>
      <w:r>
        <w:rPr>
          <w:sz w:val="32"/>
          <w:szCs w:val="32"/>
          <w:highlight w:val="none"/>
        </w:rPr>
        <w:fldChar w:fldCharType="end"/>
      </w:r>
      <w:r>
        <w:rPr>
          <w:color w:val="000000" w:themeColor="text1"/>
          <w:sz w:val="32"/>
          <w:szCs w:val="32"/>
          <w:highlight w:val="none"/>
          <w14:textFill>
            <w14:solidFill>
              <w14:schemeClr w14:val="tx1"/>
            </w14:solidFill>
          </w14:textFill>
        </w:rPr>
        <w:fldChar w:fldCharType="end"/>
      </w:r>
    </w:p>
    <w:p>
      <w:pPr>
        <w:pStyle w:val="23"/>
        <w:tabs>
          <w:tab w:val="right" w:leader="dot" w:pos="8306"/>
        </w:tabs>
        <w:rPr>
          <w:sz w:val="32"/>
          <w:szCs w:val="32"/>
          <w:highlight w:val="none"/>
        </w:rPr>
      </w:pPr>
      <w:r>
        <w:rPr>
          <w:color w:val="000000" w:themeColor="text1"/>
          <w:sz w:val="32"/>
          <w:szCs w:val="32"/>
          <w:highlight w:val="none"/>
          <w14:textFill>
            <w14:solidFill>
              <w14:schemeClr w14:val="tx1"/>
            </w14:solidFill>
          </w14:textFill>
        </w:rPr>
        <w:fldChar w:fldCharType="begin"/>
      </w:r>
      <w:r>
        <w:rPr>
          <w:sz w:val="32"/>
          <w:szCs w:val="32"/>
          <w:highlight w:val="none"/>
        </w:rPr>
        <w:instrText xml:space="preserve"> HYPERLINK \l _Toc24525 </w:instrText>
      </w:r>
      <w:r>
        <w:rPr>
          <w:sz w:val="32"/>
          <w:szCs w:val="32"/>
          <w:highlight w:val="none"/>
        </w:rPr>
        <w:fldChar w:fldCharType="separate"/>
      </w:r>
      <w:r>
        <w:rPr>
          <w:rFonts w:hint="eastAsia" w:ascii="楷体_GB2312" w:hAnsi="楷体_GB2312" w:eastAsia="楷体_GB2312" w:cs="楷体_GB2312"/>
          <w:sz w:val="32"/>
          <w:szCs w:val="32"/>
          <w:highlight w:val="none"/>
        </w:rPr>
        <w:t>三、积极培育新兴消费市场</w:t>
      </w:r>
      <w:r>
        <w:rPr>
          <w:sz w:val="32"/>
          <w:szCs w:val="32"/>
          <w:highlight w:val="none"/>
        </w:rPr>
        <w:tab/>
      </w:r>
      <w:r>
        <w:rPr>
          <w:sz w:val="32"/>
          <w:szCs w:val="32"/>
          <w:highlight w:val="none"/>
        </w:rPr>
        <w:fldChar w:fldCharType="begin"/>
      </w:r>
      <w:r>
        <w:rPr>
          <w:sz w:val="32"/>
          <w:szCs w:val="32"/>
          <w:highlight w:val="none"/>
        </w:rPr>
        <w:instrText xml:space="preserve"> PAGEREF _Toc24525 \h </w:instrText>
      </w:r>
      <w:r>
        <w:rPr>
          <w:sz w:val="32"/>
          <w:szCs w:val="32"/>
          <w:highlight w:val="none"/>
        </w:rPr>
        <w:fldChar w:fldCharType="separate"/>
      </w:r>
      <w:r>
        <w:rPr>
          <w:sz w:val="32"/>
          <w:szCs w:val="32"/>
          <w:highlight w:val="none"/>
        </w:rPr>
        <w:t>- 14 -</w:t>
      </w:r>
      <w:r>
        <w:rPr>
          <w:sz w:val="32"/>
          <w:szCs w:val="32"/>
          <w:highlight w:val="none"/>
        </w:rPr>
        <w:fldChar w:fldCharType="end"/>
      </w:r>
      <w:r>
        <w:rPr>
          <w:color w:val="000000" w:themeColor="text1"/>
          <w:sz w:val="32"/>
          <w:szCs w:val="32"/>
          <w:highlight w:val="none"/>
          <w14:textFill>
            <w14:solidFill>
              <w14:schemeClr w14:val="tx1"/>
            </w14:solidFill>
          </w14:textFill>
        </w:rPr>
        <w:fldChar w:fldCharType="end"/>
      </w:r>
    </w:p>
    <w:p>
      <w:pPr>
        <w:pStyle w:val="20"/>
        <w:tabs>
          <w:tab w:val="right" w:leader="dot" w:pos="8306"/>
        </w:tabs>
        <w:rPr>
          <w:sz w:val="32"/>
          <w:szCs w:val="32"/>
          <w:highlight w:val="none"/>
        </w:rPr>
      </w:pPr>
      <w:r>
        <w:rPr>
          <w:color w:val="000000" w:themeColor="text1"/>
          <w:sz w:val="32"/>
          <w:szCs w:val="32"/>
          <w:highlight w:val="none"/>
          <w14:textFill>
            <w14:solidFill>
              <w14:schemeClr w14:val="tx1"/>
            </w14:solidFill>
          </w14:textFill>
        </w:rPr>
        <w:fldChar w:fldCharType="begin"/>
      </w:r>
      <w:r>
        <w:rPr>
          <w:sz w:val="32"/>
          <w:szCs w:val="32"/>
          <w:highlight w:val="none"/>
        </w:rPr>
        <w:instrText xml:space="preserve"> HYPERLINK \l _Toc7215 </w:instrText>
      </w:r>
      <w:r>
        <w:rPr>
          <w:sz w:val="32"/>
          <w:szCs w:val="32"/>
          <w:highlight w:val="none"/>
        </w:rPr>
        <w:fldChar w:fldCharType="separate"/>
      </w:r>
      <w:r>
        <w:rPr>
          <w:rFonts w:hint="eastAsia" w:ascii="Times New Roman" w:hAnsi="Times New Roman" w:eastAsia="黑体" w:cs="Times New Roman"/>
          <w:sz w:val="32"/>
          <w:szCs w:val="32"/>
          <w:highlight w:val="none"/>
        </w:rPr>
        <w:t>第</w:t>
      </w:r>
      <w:r>
        <w:rPr>
          <w:rFonts w:hint="eastAsia" w:ascii="Times New Roman" w:hAnsi="Times New Roman" w:eastAsia="黑体" w:cs="Times New Roman"/>
          <w:sz w:val="32"/>
          <w:szCs w:val="32"/>
          <w:highlight w:val="none"/>
          <w:lang w:eastAsia="zh-CN"/>
        </w:rPr>
        <w:t>六</w:t>
      </w:r>
      <w:r>
        <w:rPr>
          <w:rFonts w:hint="eastAsia" w:ascii="Times New Roman" w:hAnsi="Times New Roman" w:eastAsia="黑体" w:cs="Times New Roman"/>
          <w:sz w:val="32"/>
          <w:szCs w:val="32"/>
          <w:highlight w:val="none"/>
        </w:rPr>
        <w:t>章 入大局，提升开放经济发展水平</w:t>
      </w:r>
      <w:r>
        <w:rPr>
          <w:sz w:val="32"/>
          <w:szCs w:val="32"/>
          <w:highlight w:val="none"/>
        </w:rPr>
        <w:tab/>
      </w:r>
      <w:r>
        <w:rPr>
          <w:sz w:val="32"/>
          <w:szCs w:val="32"/>
          <w:highlight w:val="none"/>
        </w:rPr>
        <w:fldChar w:fldCharType="begin"/>
      </w:r>
      <w:r>
        <w:rPr>
          <w:sz w:val="32"/>
          <w:szCs w:val="32"/>
          <w:highlight w:val="none"/>
        </w:rPr>
        <w:instrText xml:space="preserve"> PAGEREF _Toc7215 \h </w:instrText>
      </w:r>
      <w:r>
        <w:rPr>
          <w:sz w:val="32"/>
          <w:szCs w:val="32"/>
          <w:highlight w:val="none"/>
        </w:rPr>
        <w:fldChar w:fldCharType="separate"/>
      </w:r>
      <w:r>
        <w:rPr>
          <w:sz w:val="32"/>
          <w:szCs w:val="32"/>
          <w:highlight w:val="none"/>
        </w:rPr>
        <w:t>- 15 -</w:t>
      </w:r>
      <w:r>
        <w:rPr>
          <w:sz w:val="32"/>
          <w:szCs w:val="32"/>
          <w:highlight w:val="none"/>
        </w:rPr>
        <w:fldChar w:fldCharType="end"/>
      </w:r>
      <w:r>
        <w:rPr>
          <w:color w:val="000000" w:themeColor="text1"/>
          <w:sz w:val="32"/>
          <w:szCs w:val="32"/>
          <w:highlight w:val="none"/>
          <w14:textFill>
            <w14:solidFill>
              <w14:schemeClr w14:val="tx1"/>
            </w14:solidFill>
          </w14:textFill>
        </w:rPr>
        <w:fldChar w:fldCharType="end"/>
      </w:r>
    </w:p>
    <w:p>
      <w:pPr>
        <w:pStyle w:val="23"/>
        <w:tabs>
          <w:tab w:val="right" w:leader="dot" w:pos="8306"/>
        </w:tabs>
        <w:rPr>
          <w:sz w:val="32"/>
          <w:szCs w:val="32"/>
          <w:highlight w:val="none"/>
        </w:rPr>
      </w:pPr>
      <w:r>
        <w:rPr>
          <w:color w:val="000000" w:themeColor="text1"/>
          <w:sz w:val="32"/>
          <w:szCs w:val="32"/>
          <w:highlight w:val="none"/>
          <w14:textFill>
            <w14:solidFill>
              <w14:schemeClr w14:val="tx1"/>
            </w14:solidFill>
          </w14:textFill>
        </w:rPr>
        <w:fldChar w:fldCharType="begin"/>
      </w:r>
      <w:r>
        <w:rPr>
          <w:sz w:val="32"/>
          <w:szCs w:val="32"/>
          <w:highlight w:val="none"/>
        </w:rPr>
        <w:instrText xml:space="preserve"> HYPERLINK \l _Toc8844 </w:instrText>
      </w:r>
      <w:r>
        <w:rPr>
          <w:sz w:val="32"/>
          <w:szCs w:val="32"/>
          <w:highlight w:val="none"/>
        </w:rPr>
        <w:fldChar w:fldCharType="separate"/>
      </w:r>
      <w:r>
        <w:rPr>
          <w:rFonts w:hint="eastAsia" w:ascii="楷体_GB2312" w:hAnsi="楷体_GB2312" w:eastAsia="楷体_GB2312" w:cs="楷体_GB2312"/>
          <w:sz w:val="32"/>
          <w:szCs w:val="32"/>
          <w:highlight w:val="none"/>
        </w:rPr>
        <w:t>一、推动跨境贸易高质量发展</w:t>
      </w:r>
      <w:r>
        <w:rPr>
          <w:sz w:val="32"/>
          <w:szCs w:val="32"/>
          <w:highlight w:val="none"/>
        </w:rPr>
        <w:tab/>
      </w:r>
      <w:r>
        <w:rPr>
          <w:sz w:val="32"/>
          <w:szCs w:val="32"/>
          <w:highlight w:val="none"/>
        </w:rPr>
        <w:fldChar w:fldCharType="begin"/>
      </w:r>
      <w:r>
        <w:rPr>
          <w:sz w:val="32"/>
          <w:szCs w:val="32"/>
          <w:highlight w:val="none"/>
        </w:rPr>
        <w:instrText xml:space="preserve"> PAGEREF _Toc8844 \h </w:instrText>
      </w:r>
      <w:r>
        <w:rPr>
          <w:sz w:val="32"/>
          <w:szCs w:val="32"/>
          <w:highlight w:val="none"/>
        </w:rPr>
        <w:fldChar w:fldCharType="separate"/>
      </w:r>
      <w:r>
        <w:rPr>
          <w:sz w:val="32"/>
          <w:szCs w:val="32"/>
          <w:highlight w:val="none"/>
        </w:rPr>
        <w:t>- 16 -</w:t>
      </w:r>
      <w:r>
        <w:rPr>
          <w:sz w:val="32"/>
          <w:szCs w:val="32"/>
          <w:highlight w:val="none"/>
        </w:rPr>
        <w:fldChar w:fldCharType="end"/>
      </w:r>
      <w:r>
        <w:rPr>
          <w:color w:val="000000" w:themeColor="text1"/>
          <w:sz w:val="32"/>
          <w:szCs w:val="32"/>
          <w:highlight w:val="none"/>
          <w14:textFill>
            <w14:solidFill>
              <w14:schemeClr w14:val="tx1"/>
            </w14:solidFill>
          </w14:textFill>
        </w:rPr>
        <w:fldChar w:fldCharType="end"/>
      </w:r>
    </w:p>
    <w:p>
      <w:pPr>
        <w:pStyle w:val="23"/>
        <w:tabs>
          <w:tab w:val="right" w:leader="dot" w:pos="8306"/>
        </w:tabs>
        <w:rPr>
          <w:sz w:val="32"/>
          <w:szCs w:val="32"/>
          <w:highlight w:val="none"/>
        </w:rPr>
      </w:pPr>
      <w:r>
        <w:rPr>
          <w:color w:val="000000" w:themeColor="text1"/>
          <w:sz w:val="32"/>
          <w:szCs w:val="32"/>
          <w:highlight w:val="none"/>
          <w14:textFill>
            <w14:solidFill>
              <w14:schemeClr w14:val="tx1"/>
            </w14:solidFill>
          </w14:textFill>
        </w:rPr>
        <w:fldChar w:fldCharType="begin"/>
      </w:r>
      <w:r>
        <w:rPr>
          <w:sz w:val="32"/>
          <w:szCs w:val="32"/>
          <w:highlight w:val="none"/>
        </w:rPr>
        <w:instrText xml:space="preserve"> HYPERLINK \l _Toc5072 </w:instrText>
      </w:r>
      <w:r>
        <w:rPr>
          <w:sz w:val="32"/>
          <w:szCs w:val="32"/>
          <w:highlight w:val="none"/>
        </w:rPr>
        <w:fldChar w:fldCharType="separate"/>
      </w:r>
      <w:r>
        <w:rPr>
          <w:rFonts w:hint="eastAsia" w:ascii="楷体_GB2312" w:hAnsi="楷体_GB2312" w:eastAsia="楷体_GB2312" w:cs="楷体_GB2312"/>
          <w:sz w:val="32"/>
          <w:szCs w:val="32"/>
          <w:highlight w:val="none"/>
        </w:rPr>
        <w:t>二、提高实际外资利用水平</w:t>
      </w:r>
      <w:r>
        <w:rPr>
          <w:sz w:val="32"/>
          <w:szCs w:val="32"/>
          <w:highlight w:val="none"/>
        </w:rPr>
        <w:tab/>
      </w:r>
      <w:r>
        <w:rPr>
          <w:sz w:val="32"/>
          <w:szCs w:val="32"/>
          <w:highlight w:val="none"/>
        </w:rPr>
        <w:fldChar w:fldCharType="begin"/>
      </w:r>
      <w:r>
        <w:rPr>
          <w:sz w:val="32"/>
          <w:szCs w:val="32"/>
          <w:highlight w:val="none"/>
        </w:rPr>
        <w:instrText xml:space="preserve"> PAGEREF _Toc5072 \h </w:instrText>
      </w:r>
      <w:r>
        <w:rPr>
          <w:sz w:val="32"/>
          <w:szCs w:val="32"/>
          <w:highlight w:val="none"/>
        </w:rPr>
        <w:fldChar w:fldCharType="separate"/>
      </w:r>
      <w:r>
        <w:rPr>
          <w:sz w:val="32"/>
          <w:szCs w:val="32"/>
          <w:highlight w:val="none"/>
        </w:rPr>
        <w:t>- 16 -</w:t>
      </w:r>
      <w:r>
        <w:rPr>
          <w:sz w:val="32"/>
          <w:szCs w:val="32"/>
          <w:highlight w:val="none"/>
        </w:rPr>
        <w:fldChar w:fldCharType="end"/>
      </w:r>
      <w:r>
        <w:rPr>
          <w:color w:val="000000" w:themeColor="text1"/>
          <w:sz w:val="32"/>
          <w:szCs w:val="32"/>
          <w:highlight w:val="none"/>
          <w14:textFill>
            <w14:solidFill>
              <w14:schemeClr w14:val="tx1"/>
            </w14:solidFill>
          </w14:textFill>
        </w:rPr>
        <w:fldChar w:fldCharType="end"/>
      </w:r>
    </w:p>
    <w:p>
      <w:pPr>
        <w:pStyle w:val="23"/>
        <w:tabs>
          <w:tab w:val="right" w:leader="dot" w:pos="8306"/>
        </w:tabs>
        <w:rPr>
          <w:sz w:val="32"/>
          <w:szCs w:val="32"/>
          <w:highlight w:val="none"/>
        </w:rPr>
      </w:pPr>
      <w:r>
        <w:rPr>
          <w:color w:val="000000" w:themeColor="text1"/>
          <w:sz w:val="32"/>
          <w:szCs w:val="32"/>
          <w:highlight w:val="none"/>
          <w14:textFill>
            <w14:solidFill>
              <w14:schemeClr w14:val="tx1"/>
            </w14:solidFill>
          </w14:textFill>
        </w:rPr>
        <w:fldChar w:fldCharType="begin"/>
      </w:r>
      <w:r>
        <w:rPr>
          <w:sz w:val="32"/>
          <w:szCs w:val="32"/>
          <w:highlight w:val="none"/>
        </w:rPr>
        <w:instrText xml:space="preserve"> HYPERLINK \l _Toc11600 </w:instrText>
      </w:r>
      <w:r>
        <w:rPr>
          <w:sz w:val="32"/>
          <w:szCs w:val="32"/>
          <w:highlight w:val="none"/>
        </w:rPr>
        <w:fldChar w:fldCharType="separate"/>
      </w:r>
      <w:r>
        <w:rPr>
          <w:rFonts w:hint="eastAsia" w:ascii="楷体_GB2312" w:hAnsi="楷体_GB2312" w:eastAsia="楷体_GB2312" w:cs="楷体_GB2312"/>
          <w:sz w:val="32"/>
          <w:szCs w:val="32"/>
          <w:highlight w:val="none"/>
        </w:rPr>
        <w:t>三、稳步扩大入境消费规模</w:t>
      </w:r>
      <w:r>
        <w:rPr>
          <w:sz w:val="32"/>
          <w:szCs w:val="32"/>
          <w:highlight w:val="none"/>
        </w:rPr>
        <w:tab/>
      </w:r>
      <w:r>
        <w:rPr>
          <w:sz w:val="32"/>
          <w:szCs w:val="32"/>
          <w:highlight w:val="none"/>
        </w:rPr>
        <w:fldChar w:fldCharType="begin"/>
      </w:r>
      <w:r>
        <w:rPr>
          <w:sz w:val="32"/>
          <w:szCs w:val="32"/>
          <w:highlight w:val="none"/>
        </w:rPr>
        <w:instrText xml:space="preserve"> PAGEREF _Toc11600 \h </w:instrText>
      </w:r>
      <w:r>
        <w:rPr>
          <w:sz w:val="32"/>
          <w:szCs w:val="32"/>
          <w:highlight w:val="none"/>
        </w:rPr>
        <w:fldChar w:fldCharType="separate"/>
      </w:r>
      <w:r>
        <w:rPr>
          <w:sz w:val="32"/>
          <w:szCs w:val="32"/>
          <w:highlight w:val="none"/>
        </w:rPr>
        <w:t>- 16 -</w:t>
      </w:r>
      <w:r>
        <w:rPr>
          <w:sz w:val="32"/>
          <w:szCs w:val="32"/>
          <w:highlight w:val="none"/>
        </w:rPr>
        <w:fldChar w:fldCharType="end"/>
      </w:r>
      <w:r>
        <w:rPr>
          <w:color w:val="000000" w:themeColor="text1"/>
          <w:sz w:val="32"/>
          <w:szCs w:val="32"/>
          <w:highlight w:val="none"/>
          <w14:textFill>
            <w14:solidFill>
              <w14:schemeClr w14:val="tx1"/>
            </w14:solidFill>
          </w14:textFill>
        </w:rPr>
        <w:fldChar w:fldCharType="end"/>
      </w:r>
    </w:p>
    <w:p>
      <w:pPr>
        <w:pStyle w:val="20"/>
        <w:tabs>
          <w:tab w:val="right" w:leader="dot" w:pos="8306"/>
        </w:tabs>
        <w:rPr>
          <w:sz w:val="32"/>
          <w:szCs w:val="32"/>
          <w:highlight w:val="none"/>
        </w:rPr>
      </w:pPr>
      <w:r>
        <w:rPr>
          <w:color w:val="000000" w:themeColor="text1"/>
          <w:sz w:val="32"/>
          <w:szCs w:val="32"/>
          <w:highlight w:val="none"/>
          <w14:textFill>
            <w14:solidFill>
              <w14:schemeClr w14:val="tx1"/>
            </w14:solidFill>
          </w14:textFill>
        </w:rPr>
        <w:fldChar w:fldCharType="begin"/>
      </w:r>
      <w:r>
        <w:rPr>
          <w:sz w:val="32"/>
          <w:szCs w:val="32"/>
          <w:highlight w:val="none"/>
        </w:rPr>
        <w:instrText xml:space="preserve"> HYPERLINK \l _Toc31030 </w:instrText>
      </w:r>
      <w:r>
        <w:rPr>
          <w:sz w:val="32"/>
          <w:szCs w:val="32"/>
          <w:highlight w:val="none"/>
        </w:rPr>
        <w:fldChar w:fldCharType="separate"/>
      </w:r>
      <w:r>
        <w:rPr>
          <w:rFonts w:hint="eastAsia" w:ascii="Times New Roman" w:hAnsi="Times New Roman" w:eastAsia="黑体" w:cs="Times New Roman"/>
          <w:sz w:val="32"/>
          <w:szCs w:val="32"/>
          <w:highlight w:val="none"/>
        </w:rPr>
        <w:t>第</w:t>
      </w:r>
      <w:r>
        <w:rPr>
          <w:rFonts w:hint="eastAsia" w:ascii="Times New Roman" w:hAnsi="Times New Roman" w:eastAsia="黑体" w:cs="Times New Roman"/>
          <w:sz w:val="32"/>
          <w:szCs w:val="32"/>
          <w:highlight w:val="none"/>
          <w:lang w:eastAsia="zh-CN"/>
        </w:rPr>
        <w:t>七</w:t>
      </w:r>
      <w:r>
        <w:rPr>
          <w:rFonts w:hint="eastAsia" w:ascii="Times New Roman" w:hAnsi="Times New Roman" w:eastAsia="黑体" w:cs="Times New Roman"/>
          <w:sz w:val="32"/>
          <w:szCs w:val="32"/>
          <w:highlight w:val="none"/>
        </w:rPr>
        <w:t>章 塑环境，构建区域良好消费生态</w:t>
      </w:r>
      <w:r>
        <w:rPr>
          <w:sz w:val="32"/>
          <w:szCs w:val="32"/>
          <w:highlight w:val="none"/>
        </w:rPr>
        <w:tab/>
      </w:r>
      <w:r>
        <w:rPr>
          <w:sz w:val="32"/>
          <w:szCs w:val="32"/>
          <w:highlight w:val="none"/>
        </w:rPr>
        <w:fldChar w:fldCharType="begin"/>
      </w:r>
      <w:r>
        <w:rPr>
          <w:sz w:val="32"/>
          <w:szCs w:val="32"/>
          <w:highlight w:val="none"/>
        </w:rPr>
        <w:instrText xml:space="preserve"> PAGEREF _Toc31030 \h </w:instrText>
      </w:r>
      <w:r>
        <w:rPr>
          <w:sz w:val="32"/>
          <w:szCs w:val="32"/>
          <w:highlight w:val="none"/>
        </w:rPr>
        <w:fldChar w:fldCharType="separate"/>
      </w:r>
      <w:r>
        <w:rPr>
          <w:sz w:val="32"/>
          <w:szCs w:val="32"/>
          <w:highlight w:val="none"/>
        </w:rPr>
        <w:t>- 17 -</w:t>
      </w:r>
      <w:r>
        <w:rPr>
          <w:sz w:val="32"/>
          <w:szCs w:val="32"/>
          <w:highlight w:val="none"/>
        </w:rPr>
        <w:fldChar w:fldCharType="end"/>
      </w:r>
      <w:r>
        <w:rPr>
          <w:color w:val="000000" w:themeColor="text1"/>
          <w:sz w:val="32"/>
          <w:szCs w:val="32"/>
          <w:highlight w:val="none"/>
          <w14:textFill>
            <w14:solidFill>
              <w14:schemeClr w14:val="tx1"/>
            </w14:solidFill>
          </w14:textFill>
        </w:rPr>
        <w:fldChar w:fldCharType="end"/>
      </w:r>
    </w:p>
    <w:p>
      <w:pPr>
        <w:pStyle w:val="23"/>
        <w:tabs>
          <w:tab w:val="right" w:leader="dot" w:pos="8306"/>
        </w:tabs>
        <w:rPr>
          <w:sz w:val="32"/>
          <w:szCs w:val="32"/>
          <w:highlight w:val="none"/>
        </w:rPr>
      </w:pPr>
      <w:r>
        <w:rPr>
          <w:color w:val="000000" w:themeColor="text1"/>
          <w:sz w:val="32"/>
          <w:szCs w:val="32"/>
          <w:highlight w:val="none"/>
          <w14:textFill>
            <w14:solidFill>
              <w14:schemeClr w14:val="tx1"/>
            </w14:solidFill>
          </w14:textFill>
        </w:rPr>
        <w:fldChar w:fldCharType="begin"/>
      </w:r>
      <w:r>
        <w:rPr>
          <w:sz w:val="32"/>
          <w:szCs w:val="32"/>
          <w:highlight w:val="none"/>
        </w:rPr>
        <w:instrText xml:space="preserve"> HYPERLINK \l _Toc17665 </w:instrText>
      </w:r>
      <w:r>
        <w:rPr>
          <w:sz w:val="32"/>
          <w:szCs w:val="32"/>
          <w:highlight w:val="none"/>
        </w:rPr>
        <w:fldChar w:fldCharType="separate"/>
      </w:r>
      <w:r>
        <w:rPr>
          <w:rFonts w:hint="eastAsia" w:ascii="楷体_GB2312" w:hAnsi="楷体_GB2312" w:eastAsia="楷体_GB2312" w:cs="楷体_GB2312"/>
          <w:sz w:val="32"/>
          <w:szCs w:val="32"/>
          <w:highlight w:val="none"/>
        </w:rPr>
        <w:t>一、营造包容赋能发展环境</w:t>
      </w:r>
      <w:r>
        <w:rPr>
          <w:sz w:val="32"/>
          <w:szCs w:val="32"/>
          <w:highlight w:val="none"/>
        </w:rPr>
        <w:tab/>
      </w:r>
      <w:r>
        <w:rPr>
          <w:sz w:val="32"/>
          <w:szCs w:val="32"/>
          <w:highlight w:val="none"/>
        </w:rPr>
        <w:fldChar w:fldCharType="begin"/>
      </w:r>
      <w:r>
        <w:rPr>
          <w:sz w:val="32"/>
          <w:szCs w:val="32"/>
          <w:highlight w:val="none"/>
        </w:rPr>
        <w:instrText xml:space="preserve"> PAGEREF _Toc17665 \h </w:instrText>
      </w:r>
      <w:r>
        <w:rPr>
          <w:sz w:val="32"/>
          <w:szCs w:val="32"/>
          <w:highlight w:val="none"/>
        </w:rPr>
        <w:fldChar w:fldCharType="separate"/>
      </w:r>
      <w:r>
        <w:rPr>
          <w:sz w:val="32"/>
          <w:szCs w:val="32"/>
          <w:highlight w:val="none"/>
        </w:rPr>
        <w:t>- 17 -</w:t>
      </w:r>
      <w:r>
        <w:rPr>
          <w:sz w:val="32"/>
          <w:szCs w:val="32"/>
          <w:highlight w:val="none"/>
        </w:rPr>
        <w:fldChar w:fldCharType="end"/>
      </w:r>
      <w:r>
        <w:rPr>
          <w:color w:val="000000" w:themeColor="text1"/>
          <w:sz w:val="32"/>
          <w:szCs w:val="32"/>
          <w:highlight w:val="none"/>
          <w14:textFill>
            <w14:solidFill>
              <w14:schemeClr w14:val="tx1"/>
            </w14:solidFill>
          </w14:textFill>
        </w:rPr>
        <w:fldChar w:fldCharType="end"/>
      </w:r>
    </w:p>
    <w:p>
      <w:pPr>
        <w:pStyle w:val="23"/>
        <w:tabs>
          <w:tab w:val="right" w:leader="dot" w:pos="8306"/>
        </w:tabs>
        <w:rPr>
          <w:sz w:val="32"/>
          <w:szCs w:val="32"/>
          <w:highlight w:val="none"/>
        </w:rPr>
      </w:pPr>
      <w:r>
        <w:rPr>
          <w:color w:val="000000" w:themeColor="text1"/>
          <w:sz w:val="32"/>
          <w:szCs w:val="32"/>
          <w:highlight w:val="none"/>
          <w14:textFill>
            <w14:solidFill>
              <w14:schemeClr w14:val="tx1"/>
            </w14:solidFill>
          </w14:textFill>
        </w:rPr>
        <w:fldChar w:fldCharType="begin"/>
      </w:r>
      <w:r>
        <w:rPr>
          <w:sz w:val="32"/>
          <w:szCs w:val="32"/>
          <w:highlight w:val="none"/>
        </w:rPr>
        <w:instrText xml:space="preserve"> HYPERLINK \l _Toc79 </w:instrText>
      </w:r>
      <w:r>
        <w:rPr>
          <w:sz w:val="32"/>
          <w:szCs w:val="32"/>
          <w:highlight w:val="none"/>
        </w:rPr>
        <w:fldChar w:fldCharType="separate"/>
      </w:r>
      <w:r>
        <w:rPr>
          <w:rFonts w:hint="eastAsia" w:ascii="楷体_GB2312" w:hAnsi="楷体_GB2312" w:eastAsia="楷体_GB2312" w:cs="楷体_GB2312"/>
          <w:sz w:val="32"/>
          <w:szCs w:val="32"/>
          <w:highlight w:val="none"/>
        </w:rPr>
        <w:t>二、打造安心便捷消费环境</w:t>
      </w:r>
      <w:r>
        <w:rPr>
          <w:sz w:val="32"/>
          <w:szCs w:val="32"/>
          <w:highlight w:val="none"/>
        </w:rPr>
        <w:tab/>
      </w:r>
      <w:r>
        <w:rPr>
          <w:sz w:val="32"/>
          <w:szCs w:val="32"/>
          <w:highlight w:val="none"/>
        </w:rPr>
        <w:fldChar w:fldCharType="begin"/>
      </w:r>
      <w:r>
        <w:rPr>
          <w:sz w:val="32"/>
          <w:szCs w:val="32"/>
          <w:highlight w:val="none"/>
        </w:rPr>
        <w:instrText xml:space="preserve"> PAGEREF _Toc79 \h </w:instrText>
      </w:r>
      <w:r>
        <w:rPr>
          <w:sz w:val="32"/>
          <w:szCs w:val="32"/>
          <w:highlight w:val="none"/>
        </w:rPr>
        <w:fldChar w:fldCharType="separate"/>
      </w:r>
      <w:r>
        <w:rPr>
          <w:sz w:val="32"/>
          <w:szCs w:val="32"/>
          <w:highlight w:val="none"/>
        </w:rPr>
        <w:t>- 17 -</w:t>
      </w:r>
      <w:r>
        <w:rPr>
          <w:sz w:val="32"/>
          <w:szCs w:val="32"/>
          <w:highlight w:val="none"/>
        </w:rPr>
        <w:fldChar w:fldCharType="end"/>
      </w:r>
      <w:r>
        <w:rPr>
          <w:color w:val="000000" w:themeColor="text1"/>
          <w:sz w:val="32"/>
          <w:szCs w:val="32"/>
          <w:highlight w:val="none"/>
          <w14:textFill>
            <w14:solidFill>
              <w14:schemeClr w14:val="tx1"/>
            </w14:solidFill>
          </w14:textFill>
        </w:rPr>
        <w:fldChar w:fldCharType="end"/>
      </w:r>
    </w:p>
    <w:p>
      <w:pPr>
        <w:pStyle w:val="20"/>
        <w:tabs>
          <w:tab w:val="right" w:leader="dot" w:pos="8306"/>
        </w:tabs>
        <w:rPr>
          <w:sz w:val="32"/>
          <w:szCs w:val="32"/>
          <w:highlight w:val="none"/>
        </w:rPr>
      </w:pPr>
      <w:r>
        <w:rPr>
          <w:color w:val="000000" w:themeColor="text1"/>
          <w:sz w:val="32"/>
          <w:szCs w:val="32"/>
          <w:highlight w:val="none"/>
          <w14:textFill>
            <w14:solidFill>
              <w14:schemeClr w14:val="tx1"/>
            </w14:solidFill>
          </w14:textFill>
        </w:rPr>
        <w:fldChar w:fldCharType="begin"/>
      </w:r>
      <w:r>
        <w:rPr>
          <w:sz w:val="32"/>
          <w:szCs w:val="32"/>
          <w:highlight w:val="none"/>
        </w:rPr>
        <w:instrText xml:space="preserve"> HYPERLINK \l _Toc25884 </w:instrText>
      </w:r>
      <w:r>
        <w:rPr>
          <w:sz w:val="32"/>
          <w:szCs w:val="32"/>
          <w:highlight w:val="none"/>
        </w:rPr>
        <w:fldChar w:fldCharType="separate"/>
      </w:r>
      <w:r>
        <w:rPr>
          <w:rFonts w:ascii="Times New Roman" w:hAnsi="Times New Roman" w:eastAsia="黑体" w:cs="Times New Roman"/>
          <w:sz w:val="32"/>
          <w:szCs w:val="32"/>
          <w:highlight w:val="none"/>
        </w:rPr>
        <w:t>第</w:t>
      </w:r>
      <w:r>
        <w:rPr>
          <w:rFonts w:hint="eastAsia" w:ascii="Times New Roman" w:hAnsi="Times New Roman" w:eastAsia="黑体" w:cs="Times New Roman"/>
          <w:sz w:val="32"/>
          <w:szCs w:val="32"/>
          <w:highlight w:val="none"/>
          <w:lang w:eastAsia="zh-CN"/>
        </w:rPr>
        <w:t>八</w:t>
      </w:r>
      <w:r>
        <w:rPr>
          <w:rFonts w:ascii="Times New Roman" w:hAnsi="Times New Roman" w:eastAsia="黑体" w:cs="Times New Roman"/>
          <w:sz w:val="32"/>
          <w:szCs w:val="32"/>
          <w:highlight w:val="none"/>
        </w:rPr>
        <w:t xml:space="preserve">章 </w:t>
      </w:r>
      <w:r>
        <w:rPr>
          <w:rFonts w:hint="eastAsia" w:ascii="Times New Roman" w:hAnsi="Times New Roman" w:eastAsia="黑体" w:cs="Times New Roman"/>
          <w:sz w:val="32"/>
          <w:szCs w:val="32"/>
          <w:highlight w:val="none"/>
          <w:lang w:eastAsia="zh-CN"/>
        </w:rPr>
        <w:t>规划</w:t>
      </w:r>
      <w:r>
        <w:rPr>
          <w:rFonts w:ascii="Times New Roman" w:hAnsi="Times New Roman" w:eastAsia="黑体" w:cs="Times New Roman"/>
          <w:sz w:val="32"/>
          <w:szCs w:val="32"/>
          <w:highlight w:val="none"/>
        </w:rPr>
        <w:t>实施保障</w:t>
      </w:r>
      <w:r>
        <w:rPr>
          <w:sz w:val="32"/>
          <w:szCs w:val="32"/>
          <w:highlight w:val="none"/>
        </w:rPr>
        <w:tab/>
      </w:r>
      <w:r>
        <w:rPr>
          <w:sz w:val="32"/>
          <w:szCs w:val="32"/>
          <w:highlight w:val="none"/>
        </w:rPr>
        <w:fldChar w:fldCharType="begin"/>
      </w:r>
      <w:r>
        <w:rPr>
          <w:sz w:val="32"/>
          <w:szCs w:val="32"/>
          <w:highlight w:val="none"/>
        </w:rPr>
        <w:instrText xml:space="preserve"> PAGEREF _Toc25884 \h </w:instrText>
      </w:r>
      <w:r>
        <w:rPr>
          <w:sz w:val="32"/>
          <w:szCs w:val="32"/>
          <w:highlight w:val="none"/>
        </w:rPr>
        <w:fldChar w:fldCharType="separate"/>
      </w:r>
      <w:r>
        <w:rPr>
          <w:sz w:val="32"/>
          <w:szCs w:val="32"/>
          <w:highlight w:val="none"/>
        </w:rPr>
        <w:t>- 18 -</w:t>
      </w:r>
      <w:r>
        <w:rPr>
          <w:sz w:val="32"/>
          <w:szCs w:val="32"/>
          <w:highlight w:val="none"/>
        </w:rPr>
        <w:fldChar w:fldCharType="end"/>
      </w:r>
      <w:r>
        <w:rPr>
          <w:color w:val="000000" w:themeColor="text1"/>
          <w:sz w:val="32"/>
          <w:szCs w:val="32"/>
          <w:highlight w:val="none"/>
          <w14:textFill>
            <w14:solidFill>
              <w14:schemeClr w14:val="tx1"/>
            </w14:solidFill>
          </w14:textFill>
        </w:rPr>
        <w:fldChar w:fldCharType="end"/>
      </w:r>
    </w:p>
    <w:p>
      <w:pPr>
        <w:pStyle w:val="23"/>
        <w:tabs>
          <w:tab w:val="right" w:leader="dot" w:pos="8306"/>
        </w:tabs>
        <w:rPr>
          <w:sz w:val="32"/>
          <w:szCs w:val="32"/>
          <w:highlight w:val="none"/>
        </w:rPr>
      </w:pPr>
      <w:r>
        <w:rPr>
          <w:color w:val="000000" w:themeColor="text1"/>
          <w:sz w:val="32"/>
          <w:szCs w:val="32"/>
          <w:highlight w:val="none"/>
          <w14:textFill>
            <w14:solidFill>
              <w14:schemeClr w14:val="tx1"/>
            </w14:solidFill>
          </w14:textFill>
        </w:rPr>
        <w:fldChar w:fldCharType="begin"/>
      </w:r>
      <w:r>
        <w:rPr>
          <w:sz w:val="32"/>
          <w:szCs w:val="32"/>
          <w:highlight w:val="none"/>
        </w:rPr>
        <w:instrText xml:space="preserve"> HYPERLINK \l _Toc19197 </w:instrText>
      </w:r>
      <w:r>
        <w:rPr>
          <w:sz w:val="32"/>
          <w:szCs w:val="32"/>
          <w:highlight w:val="none"/>
        </w:rPr>
        <w:fldChar w:fldCharType="separate"/>
      </w:r>
      <w:r>
        <w:rPr>
          <w:rFonts w:hint="eastAsia" w:ascii="楷体_GB2312" w:hAnsi="楷体_GB2312" w:eastAsia="楷体_GB2312" w:cs="楷体_GB2312"/>
          <w:sz w:val="32"/>
          <w:szCs w:val="32"/>
          <w:highlight w:val="none"/>
        </w:rPr>
        <w:t>一、强化组织领导</w:t>
      </w:r>
      <w:r>
        <w:rPr>
          <w:sz w:val="32"/>
          <w:szCs w:val="32"/>
          <w:highlight w:val="none"/>
        </w:rPr>
        <w:tab/>
      </w:r>
      <w:r>
        <w:rPr>
          <w:sz w:val="32"/>
          <w:szCs w:val="32"/>
          <w:highlight w:val="none"/>
        </w:rPr>
        <w:fldChar w:fldCharType="begin"/>
      </w:r>
      <w:r>
        <w:rPr>
          <w:sz w:val="32"/>
          <w:szCs w:val="32"/>
          <w:highlight w:val="none"/>
        </w:rPr>
        <w:instrText xml:space="preserve"> PAGEREF _Toc19197 \h </w:instrText>
      </w:r>
      <w:r>
        <w:rPr>
          <w:sz w:val="32"/>
          <w:szCs w:val="32"/>
          <w:highlight w:val="none"/>
        </w:rPr>
        <w:fldChar w:fldCharType="separate"/>
      </w:r>
      <w:r>
        <w:rPr>
          <w:sz w:val="32"/>
          <w:szCs w:val="32"/>
          <w:highlight w:val="none"/>
        </w:rPr>
        <w:t>- 18 -</w:t>
      </w:r>
      <w:r>
        <w:rPr>
          <w:sz w:val="32"/>
          <w:szCs w:val="32"/>
          <w:highlight w:val="none"/>
        </w:rPr>
        <w:fldChar w:fldCharType="end"/>
      </w:r>
      <w:r>
        <w:rPr>
          <w:color w:val="000000" w:themeColor="text1"/>
          <w:sz w:val="32"/>
          <w:szCs w:val="32"/>
          <w:highlight w:val="none"/>
          <w14:textFill>
            <w14:solidFill>
              <w14:schemeClr w14:val="tx1"/>
            </w14:solidFill>
          </w14:textFill>
        </w:rPr>
        <w:fldChar w:fldCharType="end"/>
      </w:r>
    </w:p>
    <w:p>
      <w:pPr>
        <w:pStyle w:val="23"/>
        <w:tabs>
          <w:tab w:val="right" w:leader="dot" w:pos="8306"/>
        </w:tabs>
        <w:rPr>
          <w:sz w:val="32"/>
          <w:szCs w:val="32"/>
          <w:highlight w:val="none"/>
        </w:rPr>
      </w:pPr>
      <w:r>
        <w:rPr>
          <w:color w:val="000000" w:themeColor="text1"/>
          <w:sz w:val="32"/>
          <w:szCs w:val="32"/>
          <w:highlight w:val="none"/>
          <w14:textFill>
            <w14:solidFill>
              <w14:schemeClr w14:val="tx1"/>
            </w14:solidFill>
          </w14:textFill>
        </w:rPr>
        <w:fldChar w:fldCharType="begin"/>
      </w:r>
      <w:r>
        <w:rPr>
          <w:sz w:val="32"/>
          <w:szCs w:val="32"/>
          <w:highlight w:val="none"/>
        </w:rPr>
        <w:instrText xml:space="preserve"> HYPERLINK \l _Toc23208 </w:instrText>
      </w:r>
      <w:r>
        <w:rPr>
          <w:sz w:val="32"/>
          <w:szCs w:val="32"/>
          <w:highlight w:val="none"/>
        </w:rPr>
        <w:fldChar w:fldCharType="separate"/>
      </w:r>
      <w:r>
        <w:rPr>
          <w:rFonts w:hint="eastAsia" w:ascii="楷体_GB2312" w:hAnsi="楷体_GB2312" w:eastAsia="楷体_GB2312" w:cs="楷体_GB2312"/>
          <w:sz w:val="32"/>
          <w:szCs w:val="32"/>
          <w:highlight w:val="none"/>
        </w:rPr>
        <w:t>二、夯实人才保障</w:t>
      </w:r>
      <w:r>
        <w:rPr>
          <w:sz w:val="32"/>
          <w:szCs w:val="32"/>
          <w:highlight w:val="none"/>
        </w:rPr>
        <w:tab/>
      </w:r>
      <w:r>
        <w:rPr>
          <w:sz w:val="32"/>
          <w:szCs w:val="32"/>
          <w:highlight w:val="none"/>
        </w:rPr>
        <w:fldChar w:fldCharType="begin"/>
      </w:r>
      <w:r>
        <w:rPr>
          <w:sz w:val="32"/>
          <w:szCs w:val="32"/>
          <w:highlight w:val="none"/>
        </w:rPr>
        <w:instrText xml:space="preserve"> PAGEREF _Toc23208 \h </w:instrText>
      </w:r>
      <w:r>
        <w:rPr>
          <w:sz w:val="32"/>
          <w:szCs w:val="32"/>
          <w:highlight w:val="none"/>
        </w:rPr>
        <w:fldChar w:fldCharType="separate"/>
      </w:r>
      <w:r>
        <w:rPr>
          <w:sz w:val="32"/>
          <w:szCs w:val="32"/>
          <w:highlight w:val="none"/>
        </w:rPr>
        <w:t>- 18 -</w:t>
      </w:r>
      <w:r>
        <w:rPr>
          <w:sz w:val="32"/>
          <w:szCs w:val="32"/>
          <w:highlight w:val="none"/>
        </w:rPr>
        <w:fldChar w:fldCharType="end"/>
      </w:r>
      <w:r>
        <w:rPr>
          <w:color w:val="000000" w:themeColor="text1"/>
          <w:sz w:val="32"/>
          <w:szCs w:val="32"/>
          <w:highlight w:val="none"/>
          <w14:textFill>
            <w14:solidFill>
              <w14:schemeClr w14:val="tx1"/>
            </w14:solidFill>
          </w14:textFill>
        </w:rPr>
        <w:fldChar w:fldCharType="end"/>
      </w:r>
    </w:p>
    <w:p>
      <w:pPr>
        <w:pStyle w:val="23"/>
        <w:tabs>
          <w:tab w:val="right" w:leader="dot" w:pos="8306"/>
        </w:tabs>
        <w:rPr>
          <w:sz w:val="32"/>
          <w:szCs w:val="32"/>
          <w:highlight w:val="none"/>
        </w:rPr>
      </w:pPr>
      <w:r>
        <w:rPr>
          <w:color w:val="000000" w:themeColor="text1"/>
          <w:sz w:val="32"/>
          <w:szCs w:val="32"/>
          <w:highlight w:val="none"/>
          <w14:textFill>
            <w14:solidFill>
              <w14:schemeClr w14:val="tx1"/>
            </w14:solidFill>
          </w14:textFill>
        </w:rPr>
        <w:fldChar w:fldCharType="begin"/>
      </w:r>
      <w:r>
        <w:rPr>
          <w:sz w:val="32"/>
          <w:szCs w:val="32"/>
          <w:highlight w:val="none"/>
        </w:rPr>
        <w:instrText xml:space="preserve"> HYPERLINK \l _Toc25517 </w:instrText>
      </w:r>
      <w:r>
        <w:rPr>
          <w:sz w:val="32"/>
          <w:szCs w:val="32"/>
          <w:highlight w:val="none"/>
        </w:rPr>
        <w:fldChar w:fldCharType="separate"/>
      </w:r>
      <w:r>
        <w:rPr>
          <w:rFonts w:hint="eastAsia" w:ascii="楷体_GB2312" w:hAnsi="楷体_GB2312" w:eastAsia="楷体_GB2312" w:cs="楷体_GB2312"/>
          <w:sz w:val="32"/>
          <w:szCs w:val="32"/>
          <w:highlight w:val="none"/>
        </w:rPr>
        <w:t>三、完善</w:t>
      </w:r>
      <w:r>
        <w:rPr>
          <w:rFonts w:hint="eastAsia" w:ascii="楷体_GB2312" w:hAnsi="楷体_GB2312" w:eastAsia="楷体_GB2312" w:cs="楷体_GB2312"/>
          <w:sz w:val="32"/>
          <w:szCs w:val="32"/>
          <w:highlight w:val="none"/>
          <w:lang w:eastAsia="zh-CN"/>
        </w:rPr>
        <w:t>统计</w:t>
      </w:r>
      <w:r>
        <w:rPr>
          <w:rFonts w:hint="eastAsia" w:ascii="楷体_GB2312" w:hAnsi="楷体_GB2312" w:eastAsia="楷体_GB2312" w:cs="楷体_GB2312"/>
          <w:sz w:val="32"/>
          <w:szCs w:val="32"/>
          <w:highlight w:val="none"/>
        </w:rPr>
        <w:t>评估</w:t>
      </w:r>
      <w:r>
        <w:rPr>
          <w:sz w:val="32"/>
          <w:szCs w:val="32"/>
          <w:highlight w:val="none"/>
        </w:rPr>
        <w:tab/>
      </w:r>
      <w:r>
        <w:rPr>
          <w:sz w:val="32"/>
          <w:szCs w:val="32"/>
          <w:highlight w:val="none"/>
        </w:rPr>
        <w:fldChar w:fldCharType="begin"/>
      </w:r>
      <w:r>
        <w:rPr>
          <w:sz w:val="32"/>
          <w:szCs w:val="32"/>
          <w:highlight w:val="none"/>
        </w:rPr>
        <w:instrText xml:space="preserve"> PAGEREF _Toc25517 \h </w:instrText>
      </w:r>
      <w:r>
        <w:rPr>
          <w:sz w:val="32"/>
          <w:szCs w:val="32"/>
          <w:highlight w:val="none"/>
        </w:rPr>
        <w:fldChar w:fldCharType="separate"/>
      </w:r>
      <w:r>
        <w:rPr>
          <w:sz w:val="32"/>
          <w:szCs w:val="32"/>
          <w:highlight w:val="none"/>
        </w:rPr>
        <w:t>- 18 -</w:t>
      </w:r>
      <w:r>
        <w:rPr>
          <w:sz w:val="32"/>
          <w:szCs w:val="32"/>
          <w:highlight w:val="none"/>
        </w:rPr>
        <w:fldChar w:fldCharType="end"/>
      </w:r>
      <w:r>
        <w:rPr>
          <w:color w:val="000000" w:themeColor="text1"/>
          <w:sz w:val="32"/>
          <w:szCs w:val="32"/>
          <w:highlight w:val="none"/>
          <w14:textFill>
            <w14:solidFill>
              <w14:schemeClr w14:val="tx1"/>
            </w14:solidFill>
          </w14:textFill>
        </w:rPr>
        <w:fldChar w:fldCharType="end"/>
      </w:r>
    </w:p>
    <w:p>
      <w:pPr>
        <w:pStyle w:val="20"/>
        <w:tabs>
          <w:tab w:val="right" w:leader="dot" w:pos="8754"/>
        </w:tabs>
        <w:rPr>
          <w:color w:val="000000" w:themeColor="text1"/>
          <w:sz w:val="32"/>
          <w:szCs w:val="32"/>
          <w:highlight w:val="none"/>
          <w14:textFill>
            <w14:solidFill>
              <w14:schemeClr w14:val="tx1"/>
            </w14:solidFill>
          </w14:textFill>
        </w:rPr>
        <w:sectPr>
          <w:footerReference r:id="rId5" w:type="default"/>
          <w:pgSz w:w="11906" w:h="16838"/>
          <w:pgMar w:top="1440" w:right="1800" w:bottom="1440" w:left="1800" w:header="851" w:footer="992" w:gutter="0"/>
          <w:pgNumType w:fmt="numberInDash" w:start="1"/>
          <w:cols w:space="425" w:num="1"/>
          <w:docGrid w:type="lines" w:linePitch="312" w:charSpace="0"/>
        </w:sectPr>
      </w:pPr>
      <w:r>
        <w:rPr>
          <w:color w:val="000000" w:themeColor="text1"/>
          <w:sz w:val="32"/>
          <w:szCs w:val="32"/>
          <w:highlight w:val="none"/>
          <w14:textFill>
            <w14:solidFill>
              <w14:schemeClr w14:val="tx1"/>
            </w14:solidFill>
          </w14:textFill>
        </w:rPr>
        <w:fldChar w:fldCharType="end"/>
      </w:r>
    </w:p>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Pr>
        <w:spacing w:before="156" w:beforeLines="50" w:after="156" w:afterLines="50" w:line="560" w:lineRule="exact"/>
        <w:jc w:val="center"/>
        <w:outlineLvl w:val="0"/>
        <w:rPr>
          <w:rFonts w:hint="eastAsia" w:ascii="Times New Roman" w:hAnsi="Times New Roman" w:eastAsia="黑体" w:cs="Times New Roman"/>
          <w:color w:val="000000" w:themeColor="text1"/>
          <w:sz w:val="32"/>
          <w:szCs w:val="32"/>
          <w:highlight w:val="none"/>
          <w:lang w:eastAsia="zh-CN"/>
          <w14:textFill>
            <w14:solidFill>
              <w14:schemeClr w14:val="tx1"/>
            </w14:solidFill>
          </w14:textFill>
        </w:rPr>
      </w:pPr>
      <w:bookmarkStart w:id="30" w:name="_Toc22607"/>
      <w:bookmarkStart w:id="31" w:name="_Toc27813"/>
      <w:bookmarkStart w:id="32" w:name="_Toc29248"/>
      <w:bookmarkStart w:id="33" w:name="_Toc9089"/>
      <w:bookmarkStart w:id="34" w:name="_Toc4061"/>
      <w:bookmarkStart w:id="35" w:name="_Toc32376"/>
      <w:bookmarkStart w:id="36" w:name="_Toc26246"/>
      <w:bookmarkStart w:id="37" w:name="_Toc29241"/>
      <w:bookmarkStart w:id="38" w:name="_Toc21384"/>
      <w:bookmarkStart w:id="39" w:name="_Toc1466"/>
      <w:bookmarkStart w:id="40" w:name="_Toc8924"/>
      <w:bookmarkStart w:id="41" w:name="_Toc7602"/>
      <w:bookmarkStart w:id="42" w:name="_Toc22916"/>
      <w:bookmarkStart w:id="43" w:name="_Toc18496"/>
      <w:bookmarkStart w:id="44" w:name="_Toc3826"/>
      <w:bookmarkStart w:id="45" w:name="_Toc31669"/>
      <w:bookmarkStart w:id="46" w:name="_Toc13718"/>
      <w:bookmarkStart w:id="47" w:name="_Toc2829"/>
      <w:bookmarkStart w:id="48" w:name="_Toc16344"/>
      <w:bookmarkStart w:id="49" w:name="_Toc45"/>
      <w:bookmarkStart w:id="50" w:name="_Toc1174"/>
      <w:bookmarkStart w:id="51" w:name="_Toc10860"/>
      <w:bookmarkStart w:id="52" w:name="_Toc31397"/>
      <w:bookmarkStart w:id="53" w:name="_Toc12026"/>
      <w:r>
        <w:rPr>
          <w:rFonts w:ascii="Times New Roman" w:hAnsi="Times New Roman" w:eastAsia="黑体" w:cs="Times New Roman"/>
          <w:color w:val="000000" w:themeColor="text1"/>
          <w:sz w:val="32"/>
          <w:szCs w:val="32"/>
          <w:highlight w:val="none"/>
          <w14:textFill>
            <w14:solidFill>
              <w14:schemeClr w14:val="tx1"/>
            </w14:solidFill>
          </w14:textFill>
        </w:rPr>
        <w:t xml:space="preserve">第一章 </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Pr>
          <w:rFonts w:hint="eastAsia" w:ascii="Times New Roman" w:hAnsi="Times New Roman" w:eastAsia="黑体" w:cs="Times New Roman"/>
          <w:color w:val="000000" w:themeColor="text1"/>
          <w:sz w:val="32"/>
          <w:szCs w:val="32"/>
          <w:highlight w:val="none"/>
          <w:lang w:eastAsia="zh-CN"/>
          <w14:textFill>
            <w14:solidFill>
              <w14:schemeClr w14:val="tx1"/>
            </w14:solidFill>
          </w14:textFill>
        </w:rPr>
        <w:t>发展基础与面临形势</w:t>
      </w:r>
      <w:bookmarkEnd w:id="49"/>
      <w:bookmarkEnd w:id="50"/>
      <w:bookmarkEnd w:id="51"/>
      <w:bookmarkEnd w:id="52"/>
    </w:p>
    <w:p>
      <w:pPr>
        <w:spacing w:line="560" w:lineRule="exact"/>
        <w:ind w:firstLine="640" w:firstLineChars="200"/>
        <w:outlineLvl w:val="1"/>
        <w:rPr>
          <w:rFonts w:ascii="Times New Roman" w:hAnsi="Times New Roman" w:eastAsia="黑体" w:cs="Times New Roman"/>
          <w:color w:val="000000" w:themeColor="text1"/>
          <w:sz w:val="32"/>
          <w:szCs w:val="32"/>
          <w:highlight w:val="none"/>
          <w14:textFill>
            <w14:solidFill>
              <w14:schemeClr w14:val="tx1"/>
            </w14:solidFill>
          </w14:textFill>
        </w:rPr>
      </w:pPr>
      <w:bookmarkStart w:id="54" w:name="_Toc24463"/>
      <w:bookmarkStart w:id="55" w:name="_Toc6286"/>
      <w:bookmarkStart w:id="56" w:name="_Toc23932"/>
      <w:bookmarkStart w:id="57" w:name="_Toc23088"/>
      <w:bookmarkStart w:id="58" w:name="_Toc26262"/>
      <w:bookmarkStart w:id="59" w:name="_Toc18728"/>
      <w:bookmarkStart w:id="60" w:name="_Toc31146"/>
      <w:bookmarkStart w:id="61" w:name="_Toc12160"/>
      <w:bookmarkStart w:id="62" w:name="_Toc2955"/>
      <w:bookmarkStart w:id="63" w:name="_Toc20803"/>
      <w:bookmarkStart w:id="64" w:name="_Toc7981"/>
      <w:bookmarkStart w:id="65" w:name="_Toc31823"/>
      <w:bookmarkStart w:id="66" w:name="_Toc11206"/>
      <w:bookmarkStart w:id="67" w:name="_Toc265"/>
      <w:bookmarkStart w:id="68" w:name="_Toc3037"/>
      <w:bookmarkStart w:id="69" w:name="_Toc17184"/>
      <w:bookmarkStart w:id="70" w:name="_Toc16814"/>
      <w:bookmarkStart w:id="71" w:name="_Toc27274"/>
      <w:bookmarkStart w:id="72" w:name="_Toc4397"/>
      <w:bookmarkStart w:id="73" w:name="_Toc23519"/>
      <w:bookmarkStart w:id="74" w:name="_Toc3995"/>
      <w:bookmarkStart w:id="75" w:name="_Toc8106"/>
      <w:bookmarkStart w:id="76" w:name="_Toc22923"/>
      <w:bookmarkStart w:id="77" w:name="_Toc6484"/>
      <w:r>
        <w:rPr>
          <w:rFonts w:ascii="Times New Roman" w:hAnsi="Times New Roman" w:eastAsia="黑体" w:cs="Times New Roman"/>
          <w:color w:val="000000" w:themeColor="text1"/>
          <w:sz w:val="32"/>
          <w:szCs w:val="32"/>
          <w:highlight w:val="none"/>
          <w14:textFill>
            <w14:solidFill>
              <w14:schemeClr w14:val="tx1"/>
            </w14:solidFill>
          </w14:textFill>
        </w:rPr>
        <w:t>一、</w:t>
      </w:r>
      <w:r>
        <w:rPr>
          <w:rFonts w:hint="eastAsia" w:ascii="Times New Roman" w:hAnsi="Times New Roman" w:eastAsia="黑体" w:cs="Times New Roman"/>
          <w:color w:val="000000" w:themeColor="text1"/>
          <w:sz w:val="32"/>
          <w:szCs w:val="32"/>
          <w:highlight w:val="none"/>
          <w:lang w:eastAsia="zh-CN"/>
          <w14:textFill>
            <w14:solidFill>
              <w14:schemeClr w14:val="tx1"/>
            </w14:solidFill>
          </w14:textFill>
        </w:rPr>
        <w:t>“十四五”时期</w:t>
      </w:r>
      <w:r>
        <w:rPr>
          <w:rFonts w:ascii="Times New Roman" w:hAnsi="Times New Roman" w:eastAsia="黑体" w:cs="Times New Roman"/>
          <w:color w:val="000000" w:themeColor="text1"/>
          <w:sz w:val="32"/>
          <w:szCs w:val="32"/>
          <w:highlight w:val="none"/>
          <w14:textFill>
            <w14:solidFill>
              <w14:schemeClr w14:val="tx1"/>
            </w14:solidFill>
          </w14:textFill>
        </w:rPr>
        <w:t>发展</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Pr>
          <w:rFonts w:hint="eastAsia" w:ascii="Times New Roman" w:hAnsi="Times New Roman" w:eastAsia="黑体" w:cs="Times New Roman"/>
          <w:color w:val="000000" w:themeColor="text1"/>
          <w:sz w:val="32"/>
          <w:szCs w:val="32"/>
          <w:highlight w:val="none"/>
          <w:lang w:eastAsia="zh-CN"/>
          <w14:textFill>
            <w14:solidFill>
              <w14:schemeClr w14:val="tx1"/>
            </w14:solidFill>
          </w14:textFill>
        </w:rPr>
        <w:t>基础</w:t>
      </w:r>
      <w:bookmarkEnd w:id="75"/>
      <w:bookmarkEnd w:id="76"/>
      <w:bookmarkEnd w:id="77"/>
    </w:p>
    <w:p>
      <w:pPr>
        <w:spacing w:line="560" w:lineRule="exact"/>
        <w:ind w:firstLine="640" w:firstLineChars="200"/>
        <w:outlineLvl w:val="9"/>
        <w:rPr>
          <w:rFonts w:hint="default" w:ascii="东文宋体" w:hAnsi="东文宋体" w:eastAsia="方正黑体" w:cs="东文宋体"/>
          <w:bCs w:val="0"/>
          <w:color w:val="auto"/>
          <w:sz w:val="28"/>
          <w:szCs w:val="28"/>
          <w:highlight w:val="none"/>
          <w:lang w:eastAsia="zh-CN"/>
        </w:rPr>
      </w:pPr>
      <w:bookmarkStart w:id="78" w:name="_Toc28503"/>
      <w:bookmarkStart w:id="79" w:name="_Toc23453"/>
      <w:bookmarkStart w:id="80" w:name="_Toc29056"/>
      <w:bookmarkStart w:id="81" w:name="_Toc31473"/>
      <w:bookmarkStart w:id="82" w:name="_Toc26381"/>
      <w:bookmarkStart w:id="83" w:name="_Toc995"/>
      <w:bookmarkStart w:id="84" w:name="_Toc29441"/>
      <w:bookmarkStart w:id="85" w:name="_Toc25578"/>
      <w:bookmarkStart w:id="86" w:name="_Toc2862"/>
      <w:bookmarkStart w:id="87" w:name="_Toc23478"/>
      <w:bookmarkStart w:id="88" w:name="_Toc9941"/>
      <w:bookmarkStart w:id="89" w:name="_Toc29838"/>
      <w:bookmarkStart w:id="90" w:name="_Toc25644"/>
      <w:bookmarkStart w:id="91" w:name="_Toc5764"/>
      <w:bookmarkStart w:id="92" w:name="_Toc26158"/>
      <w:bookmarkStart w:id="93" w:name="_Toc30312"/>
      <w:bookmarkStart w:id="94" w:name="_Toc25474"/>
      <w:bookmarkStart w:id="95" w:name="_Toc19476"/>
      <w:bookmarkStart w:id="96" w:name="_Toc8795"/>
      <w:bookmarkStart w:id="97" w:name="_Toc17935"/>
      <w:bookmarkStart w:id="98" w:name="_Toc11128"/>
      <w:bookmarkStart w:id="99" w:name="_Toc6592"/>
      <w:r>
        <w:rPr>
          <w:rFonts w:ascii="仿宋_GB2312" w:hAnsi="仿宋_GB2312" w:eastAsia="仿宋_GB2312" w:cs="仿宋_GB2312"/>
          <w:i w:val="0"/>
          <w:iCs w:val="0"/>
          <w:caps w:val="0"/>
          <w:color w:val="000000" w:themeColor="text1"/>
          <w:spacing w:val="0"/>
          <w:sz w:val="32"/>
          <w:szCs w:val="32"/>
          <w:highlight w:val="none"/>
          <w:shd w:val="clear" w:fill="FFFFFF"/>
          <w14:textFill>
            <w14:solidFill>
              <w14:schemeClr w14:val="tx1"/>
            </w14:solidFill>
          </w14:textFill>
        </w:rPr>
        <w:t>“十四五”时期，门头沟区坚持以习近平新时代中国特色社会主义思想为指导，紧扣“生态立区、文化兴区、科技强区”发展战略，紧密围绕北京国际消费中心城市培育建设要求，扎实推进消费市场复苏、商业载体升级、品牌集聚引育、业态融合创新，为“十五五”时期</w:t>
      </w:r>
      <w:r>
        <w:rPr>
          <w:rFonts w:hint="eastAsia" w:ascii="仿宋_GB2312" w:hAnsi="仿宋_GB2312" w:eastAsia="仿宋_GB2312" w:cs="仿宋_GB2312"/>
          <w:i w:val="0"/>
          <w:iCs w:val="0"/>
          <w:caps w:val="0"/>
          <w:color w:val="000000" w:themeColor="text1"/>
          <w:spacing w:val="0"/>
          <w:sz w:val="32"/>
          <w:szCs w:val="32"/>
          <w:highlight w:val="none"/>
          <w:shd w:val="clear"/>
          <w:lang w:eastAsia="zh-CN"/>
          <w14:textFill>
            <w14:solidFill>
              <w14:schemeClr w14:val="tx1"/>
            </w14:solidFill>
          </w14:textFill>
        </w:rPr>
        <w:t>商业高质量发展</w:t>
      </w:r>
      <w:r>
        <w:rPr>
          <w:rFonts w:ascii="仿宋_GB2312" w:hAnsi="仿宋_GB2312" w:eastAsia="仿宋_GB2312" w:cs="仿宋_GB2312"/>
          <w:i w:val="0"/>
          <w:iCs w:val="0"/>
          <w:caps w:val="0"/>
          <w:color w:val="000000" w:themeColor="text1"/>
          <w:spacing w:val="0"/>
          <w:sz w:val="32"/>
          <w:szCs w:val="32"/>
          <w:highlight w:val="none"/>
          <w:shd w:val="clear" w:fill="FFFFFF"/>
          <w14:textFill>
            <w14:solidFill>
              <w14:schemeClr w14:val="tx1"/>
            </w14:solidFill>
          </w14:textFill>
        </w:rPr>
        <w:t>奠定坚实基础</w:t>
      </w:r>
      <w:r>
        <w:rPr>
          <w:rFonts w:hint="eastAsia" w:ascii="仿宋_GB2312" w:hAnsi="仿宋_GB2312" w:eastAsia="仿宋_GB2312" w:cs="仿宋_GB2312"/>
          <w:i w:val="0"/>
          <w:iCs w:val="0"/>
          <w:caps w:val="0"/>
          <w:color w:val="000000" w:themeColor="text1"/>
          <w:spacing w:val="0"/>
          <w:sz w:val="32"/>
          <w:szCs w:val="32"/>
          <w:highlight w:val="none"/>
          <w:shd w:val="clear"/>
          <w:lang w:eastAsia="zh-CN"/>
          <w14:textFill>
            <w14:solidFill>
              <w14:schemeClr w14:val="tx1"/>
            </w14:solidFill>
          </w14:textFill>
        </w:rPr>
        <w:t>。</w:t>
      </w:r>
    </w:p>
    <w:p>
      <w:pPr>
        <w:spacing w:line="560" w:lineRule="exact"/>
        <w:ind w:firstLine="640" w:firstLineChars="200"/>
        <w:outlineLvl w:val="1"/>
        <w:rPr>
          <w:rFonts w:hint="eastAsia" w:ascii="楷体_GB2312" w:hAnsi="楷体_GB2312" w:eastAsia="楷体_GB2312" w:cs="楷体_GB2312"/>
          <w:color w:val="000000" w:themeColor="text1"/>
          <w:sz w:val="32"/>
          <w:szCs w:val="32"/>
          <w:highlight w:val="none"/>
          <w14:textFill>
            <w14:solidFill>
              <w14:schemeClr w14:val="tx1"/>
            </w14:solidFill>
          </w14:textFill>
        </w:rPr>
      </w:pPr>
      <w:r>
        <w:rPr>
          <w:rFonts w:hint="eastAsia" w:ascii="Times New Roman" w:hAnsi="Times New Roman" w:eastAsia="楷体_GB2312" w:cs="Times New Roman"/>
          <w:bCs/>
          <w:color w:val="000000" w:themeColor="text1"/>
          <w:sz w:val="32"/>
          <w:szCs w:val="32"/>
          <w:highlight w:val="none"/>
          <w14:textFill>
            <w14:solidFill>
              <w14:schemeClr w14:val="tx1"/>
            </w14:solidFill>
          </w14:textFill>
        </w:rPr>
        <w:t>（一）</w:t>
      </w:r>
      <w:bookmarkEnd w:id="78"/>
      <w:bookmarkEnd w:id="79"/>
      <w:bookmarkEnd w:id="80"/>
      <w:bookmarkEnd w:id="81"/>
      <w:bookmarkEnd w:id="82"/>
      <w:bookmarkEnd w:id="83"/>
      <w:r>
        <w:rPr>
          <w:rFonts w:hint="eastAsia" w:ascii="楷体_GB2312" w:hAnsi="楷体_GB2312" w:eastAsia="楷体_GB2312" w:cs="楷体_GB2312"/>
          <w:color w:val="000000" w:themeColor="text1"/>
          <w:sz w:val="32"/>
          <w:szCs w:val="32"/>
          <w:highlight w:val="none"/>
          <w14:textFill>
            <w14:solidFill>
              <w14:schemeClr w14:val="tx1"/>
            </w14:solidFill>
          </w14:textFill>
        </w:rPr>
        <w:t>消费市场</w:t>
      </w:r>
      <w:r>
        <w:rPr>
          <w:rFonts w:hint="eastAsia" w:ascii="楷体_GB2312" w:hAnsi="楷体_GB2312" w:eastAsia="楷体_GB2312" w:cs="楷体_GB2312"/>
          <w:color w:val="000000" w:themeColor="text1"/>
          <w:sz w:val="32"/>
          <w:szCs w:val="32"/>
          <w:highlight w:val="none"/>
          <w:lang w:val="en-US" w:eastAsia="zh-CN"/>
          <w14:textFill>
            <w14:solidFill>
              <w14:schemeClr w14:val="tx1"/>
            </w14:solidFill>
          </w14:textFill>
        </w:rPr>
        <w:t>稳步扩张</w:t>
      </w:r>
      <w:r>
        <w:rPr>
          <w:rFonts w:hint="eastAsia" w:ascii="楷体_GB2312" w:hAnsi="楷体_GB2312" w:eastAsia="楷体_GB2312" w:cs="楷体_GB2312"/>
          <w:color w:val="000000" w:themeColor="text1"/>
          <w:sz w:val="32"/>
          <w:szCs w:val="32"/>
          <w:highlight w:val="none"/>
          <w14:textFill>
            <w14:solidFill>
              <w14:schemeClr w14:val="tx1"/>
            </w14:solidFill>
          </w14:textFill>
        </w:rPr>
        <w:t>，对地区经济贡献力增强</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spacing w:line="560" w:lineRule="exact"/>
        <w:ind w:firstLine="640"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在国家</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及</w:t>
      </w:r>
      <w:r>
        <w:rPr>
          <w:rFonts w:hint="eastAsia" w:ascii="仿宋_GB2312" w:hAnsi="仿宋_GB2312" w:eastAsia="仿宋_GB2312" w:cs="仿宋_GB2312"/>
          <w:color w:val="000000" w:themeColor="text1"/>
          <w:sz w:val="32"/>
          <w:szCs w:val="32"/>
          <w:highlight w:val="none"/>
          <w14:textFill>
            <w14:solidFill>
              <w14:schemeClr w14:val="tx1"/>
            </w14:solidFill>
          </w14:textFill>
        </w:rPr>
        <w:t>市区系列提振消费政策驱动下，</w:t>
      </w:r>
      <w:r>
        <w:rPr>
          <w:rFonts w:ascii="仿宋_GB2312" w:hAnsi="仿宋_GB2312" w:eastAsia="仿宋_GB2312" w:cs="仿宋_GB2312"/>
          <w:color w:val="000000" w:themeColor="text1"/>
          <w:sz w:val="32"/>
          <w:szCs w:val="32"/>
          <w:highlight w:val="none"/>
          <w14:textFill>
            <w14:solidFill>
              <w14:schemeClr w14:val="tx1"/>
            </w14:solidFill>
          </w14:textFill>
        </w:rPr>
        <w:t>全区消费市场呈现企稳回升态势</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。“十四五”期末，</w:t>
      </w:r>
      <w:r>
        <w:rPr>
          <w:rFonts w:hint="eastAsia" w:ascii="仿宋_GB2312" w:hAnsi="仿宋_GB2312" w:eastAsia="仿宋_GB2312" w:cs="仿宋_GB2312"/>
          <w:color w:val="000000" w:themeColor="text1"/>
          <w:sz w:val="32"/>
          <w:szCs w:val="32"/>
          <w:highlight w:val="none"/>
          <w14:textFill>
            <w14:solidFill>
              <w14:schemeClr w14:val="tx1"/>
            </w14:solidFill>
          </w14:textFill>
        </w:rPr>
        <w:t>全区实现社会消费品零售额</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72.3</w:t>
      </w:r>
      <w:r>
        <w:rPr>
          <w:rFonts w:hint="eastAsia" w:ascii="仿宋_GB2312" w:hAnsi="仿宋_GB2312" w:eastAsia="仿宋_GB2312" w:cs="仿宋_GB2312"/>
          <w:color w:val="000000" w:themeColor="text1"/>
          <w:sz w:val="32"/>
          <w:szCs w:val="32"/>
          <w:highlight w:val="none"/>
          <w14:textFill>
            <w14:solidFill>
              <w14:schemeClr w14:val="tx1"/>
            </w14:solidFill>
          </w14:textFill>
        </w:rPr>
        <w:t>亿元，</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较</w:t>
      </w:r>
      <w:r>
        <w:rPr>
          <w:rFonts w:hint="eastAsia" w:ascii="仿宋_GB2312" w:hAnsi="仿宋_GB2312" w:eastAsia="仿宋_GB2312" w:cs="仿宋_GB2312"/>
          <w:color w:val="000000" w:themeColor="text1"/>
          <w:sz w:val="32"/>
          <w:szCs w:val="32"/>
          <w:highlight w:val="none"/>
          <w14:textFill>
            <w14:solidFill>
              <w14:schemeClr w14:val="tx1"/>
            </w14:solidFill>
          </w14:textFill>
        </w:rPr>
        <w:t>“十三五”期末增长9.</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8</w:t>
      </w:r>
      <w:r>
        <w:rPr>
          <w:rFonts w:hint="eastAsia" w:ascii="仿宋_GB2312" w:hAnsi="仿宋_GB2312" w:eastAsia="仿宋_GB2312" w:cs="仿宋_GB2312"/>
          <w:color w:val="000000" w:themeColor="text1"/>
          <w:sz w:val="32"/>
          <w:szCs w:val="32"/>
          <w:highlight w:val="none"/>
          <w14:textFill>
            <w14:solidFill>
              <w14:schemeClr w14:val="tx1"/>
            </w14:solidFill>
          </w14:textFill>
        </w:rPr>
        <w:t>%</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shd w:val="clear"/>
          <w14:textFill>
            <w14:solidFill>
              <w14:schemeClr w14:val="tx1"/>
            </w14:solidFill>
          </w14:textFill>
        </w:rPr>
        <w:t>批发和零售</w:t>
      </w:r>
      <w:r>
        <w:rPr>
          <w:rFonts w:hint="eastAsia" w:ascii="仿宋_GB2312" w:hAnsi="仿宋_GB2312" w:eastAsia="仿宋_GB2312" w:cs="仿宋_GB2312"/>
          <w:bCs/>
          <w:color w:val="000000" w:themeColor="text1"/>
          <w:sz w:val="32"/>
          <w:szCs w:val="32"/>
          <w:highlight w:val="none"/>
          <w:shd w:val="clear"/>
          <w14:textFill>
            <w14:solidFill>
              <w14:schemeClr w14:val="tx1"/>
            </w14:solidFill>
          </w14:textFill>
        </w:rPr>
        <w:t>业</w:t>
      </w:r>
      <w:r>
        <w:rPr>
          <w:rFonts w:hint="eastAsia" w:ascii="仿宋_GB2312" w:hAnsi="仿宋_GB2312" w:eastAsia="仿宋_GB2312" w:cs="仿宋_GB2312"/>
          <w:bCs/>
          <w:color w:val="000000" w:themeColor="text1"/>
          <w:sz w:val="32"/>
          <w:szCs w:val="32"/>
          <w:highlight w:val="none"/>
          <w:shd w:val="clear"/>
          <w:lang w:eastAsia="zh-CN"/>
          <w14:textFill>
            <w14:solidFill>
              <w14:schemeClr w14:val="tx1"/>
            </w14:solidFill>
          </w14:textFill>
        </w:rPr>
        <w:t>表现突出，</w:t>
      </w:r>
      <w:r>
        <w:rPr>
          <w:rFonts w:hint="eastAsia" w:ascii="仿宋_GB2312" w:hAnsi="仿宋_GB2312" w:eastAsia="仿宋_GB2312" w:cs="仿宋_GB2312"/>
          <w:color w:val="000000" w:themeColor="text1"/>
          <w:sz w:val="32"/>
          <w:szCs w:val="32"/>
          <w:highlight w:val="none"/>
          <w:shd w:val="clear"/>
          <w14:textFill>
            <w14:solidFill>
              <w14:schemeClr w14:val="tx1"/>
            </w14:solidFill>
          </w14:textFill>
        </w:rPr>
        <w:t>限上企业</w:t>
      </w:r>
      <w:r>
        <w:rPr>
          <w:rFonts w:hint="eastAsia" w:ascii="仿宋_GB2312" w:hAnsi="仿宋_GB2312" w:eastAsia="仿宋_GB2312" w:cs="仿宋_GB2312"/>
          <w:color w:val="000000" w:themeColor="text1"/>
          <w:sz w:val="32"/>
          <w:szCs w:val="32"/>
          <w:highlight w:val="none"/>
          <w:shd w:val="clear"/>
          <w:lang w:eastAsia="zh-CN"/>
          <w14:textFill>
            <w14:solidFill>
              <w14:schemeClr w14:val="tx1"/>
            </w14:solidFill>
          </w14:textFill>
        </w:rPr>
        <w:t>实现</w:t>
      </w:r>
      <w:r>
        <w:rPr>
          <w:rFonts w:hint="eastAsia" w:ascii="仿宋_GB2312" w:hAnsi="仿宋_GB2312" w:eastAsia="仿宋_GB2312" w:cs="仿宋_GB2312"/>
          <w:color w:val="000000" w:themeColor="text1"/>
          <w:sz w:val="32"/>
          <w:szCs w:val="32"/>
          <w:highlight w:val="none"/>
          <w:shd w:val="clear"/>
          <w14:textFill>
            <w14:solidFill>
              <w14:schemeClr w14:val="tx1"/>
            </w14:solidFill>
          </w14:textFill>
        </w:rPr>
        <w:t>收入</w:t>
      </w:r>
      <w:r>
        <w:rPr>
          <w:rFonts w:hint="eastAsia" w:ascii="仿宋_GB2312" w:hAnsi="仿宋_GB2312" w:eastAsia="仿宋_GB2312" w:cs="仿宋_GB2312"/>
          <w:color w:val="000000" w:themeColor="text1"/>
          <w:sz w:val="32"/>
          <w:szCs w:val="32"/>
          <w:highlight w:val="none"/>
          <w:shd w:val="clear" w:fill="auto"/>
          <w:lang w:val="en-US" w:eastAsia="zh-CN"/>
          <w14:textFill>
            <w14:solidFill>
              <w14:schemeClr w14:val="tx1"/>
            </w14:solidFill>
          </w14:textFill>
        </w:rPr>
        <w:t>904.6</w:t>
      </w:r>
      <w:r>
        <w:rPr>
          <w:rFonts w:hint="eastAsia" w:ascii="仿宋_GB2312" w:hAnsi="仿宋_GB2312" w:eastAsia="仿宋_GB2312" w:cs="仿宋_GB2312"/>
          <w:color w:val="000000" w:themeColor="text1"/>
          <w:sz w:val="32"/>
          <w:szCs w:val="32"/>
          <w:highlight w:val="none"/>
          <w:shd w:val="clear"/>
          <w14:textFill>
            <w14:solidFill>
              <w14:schemeClr w14:val="tx1"/>
            </w14:solidFill>
          </w14:textFill>
        </w:rPr>
        <w:t>亿元，</w:t>
      </w:r>
      <w:r>
        <w:rPr>
          <w:rFonts w:hint="eastAsia" w:ascii="仿宋_GB2312" w:hAnsi="仿宋_GB2312" w:eastAsia="仿宋_GB2312" w:cs="仿宋_GB2312"/>
          <w:color w:val="000000" w:themeColor="text1"/>
          <w:sz w:val="32"/>
          <w:szCs w:val="32"/>
          <w:highlight w:val="none"/>
          <w:shd w:val="clear"/>
          <w:lang w:eastAsia="zh-CN"/>
          <w14:textFill>
            <w14:solidFill>
              <w14:schemeClr w14:val="tx1"/>
            </w14:solidFill>
          </w14:textFill>
        </w:rPr>
        <w:t>收入</w:t>
      </w:r>
      <w:r>
        <w:rPr>
          <w:rFonts w:hint="eastAsia" w:ascii="仿宋_GB2312" w:hAnsi="仿宋_GB2312" w:eastAsia="仿宋_GB2312" w:cs="仿宋_GB2312"/>
          <w:color w:val="000000" w:themeColor="text1"/>
          <w:sz w:val="32"/>
          <w:szCs w:val="32"/>
          <w:highlight w:val="none"/>
          <w:shd w:val="clear"/>
          <w14:textFill>
            <w14:solidFill>
              <w14:schemeClr w14:val="tx1"/>
            </w14:solidFill>
          </w14:textFill>
        </w:rPr>
        <w:t>占规模以上第三产业总收入</w:t>
      </w:r>
      <w:r>
        <w:rPr>
          <w:rFonts w:hint="eastAsia" w:ascii="仿宋_GB2312" w:hAnsi="仿宋_GB2312" w:eastAsia="仿宋_GB2312" w:cs="仿宋_GB2312"/>
          <w:color w:val="000000" w:themeColor="text1"/>
          <w:sz w:val="32"/>
          <w:szCs w:val="32"/>
          <w:highlight w:val="none"/>
          <w:shd w:val="clear"/>
          <w:lang w:eastAsia="zh-CN"/>
          <w14:textFill>
            <w14:solidFill>
              <w14:schemeClr w14:val="tx1"/>
            </w14:solidFill>
          </w14:textFill>
        </w:rPr>
        <w:t>的</w:t>
      </w:r>
      <w:r>
        <w:rPr>
          <w:rFonts w:hint="eastAsia" w:ascii="仿宋_GB2312" w:hAnsi="仿宋_GB2312" w:eastAsia="仿宋_GB2312" w:cs="仿宋_GB2312"/>
          <w:color w:val="000000" w:themeColor="text1"/>
          <w:sz w:val="32"/>
          <w:szCs w:val="32"/>
          <w:highlight w:val="none"/>
          <w:shd w:val="clear" w:fill="auto"/>
          <w:lang w:val="en-US" w:eastAsia="zh-CN"/>
          <w14:textFill>
            <w14:solidFill>
              <w14:schemeClr w14:val="tx1"/>
            </w14:solidFill>
          </w14:textFill>
        </w:rPr>
        <w:t>75.9</w:t>
      </w:r>
      <w:r>
        <w:rPr>
          <w:rFonts w:hint="eastAsia" w:ascii="仿宋_GB2312" w:hAnsi="仿宋_GB2312" w:eastAsia="仿宋_GB2312" w:cs="仿宋_GB2312"/>
          <w:color w:val="000000" w:themeColor="text1"/>
          <w:sz w:val="32"/>
          <w:szCs w:val="32"/>
          <w:highlight w:val="none"/>
          <w:shd w:val="clear"/>
          <w14:textFill>
            <w14:solidFill>
              <w14:schemeClr w14:val="tx1"/>
            </w14:solidFill>
          </w14:textFill>
        </w:rPr>
        <w:t>%</w:t>
      </w:r>
      <w:r>
        <w:rPr>
          <w:rFonts w:hint="eastAsia" w:ascii="仿宋_GB2312" w:hAnsi="仿宋_GB2312" w:eastAsia="仿宋_GB2312" w:cs="仿宋_GB2312"/>
          <w:color w:val="000000" w:themeColor="text1"/>
          <w:sz w:val="32"/>
          <w:szCs w:val="32"/>
          <w:highlight w:val="none"/>
          <w:shd w:val="clear"/>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shd w:val="clear" w:fill="auto"/>
          <w:lang w:eastAsia="zh-CN"/>
          <w14:textFill>
            <w14:solidFill>
              <w14:schemeClr w14:val="tx1"/>
            </w14:solidFill>
          </w14:textFill>
        </w:rPr>
        <w:t>较</w:t>
      </w:r>
      <w:r>
        <w:rPr>
          <w:rFonts w:hint="eastAsia" w:ascii="仿宋_GB2312" w:hAnsi="仿宋_GB2312" w:eastAsia="仿宋_GB2312" w:cs="仿宋_GB2312"/>
          <w:color w:val="000000" w:themeColor="text1"/>
          <w:sz w:val="32"/>
          <w:szCs w:val="32"/>
          <w:highlight w:val="none"/>
          <w:shd w:val="clear"/>
          <w14:textFill>
            <w14:solidFill>
              <w14:schemeClr w14:val="tx1"/>
            </w14:solidFill>
          </w14:textFill>
        </w:rPr>
        <w:t>“十三五”期末</w:t>
      </w:r>
      <w:r>
        <w:rPr>
          <w:rFonts w:hint="eastAsia" w:ascii="仿宋_GB2312" w:hAnsi="仿宋_GB2312" w:eastAsia="仿宋_GB2312" w:cs="仿宋_GB2312"/>
          <w:color w:val="000000" w:themeColor="text1"/>
          <w:sz w:val="32"/>
          <w:szCs w:val="32"/>
          <w:highlight w:val="none"/>
          <w:shd w:val="clear" w:fill="auto"/>
          <w:lang w:eastAsia="zh-CN"/>
          <w14:textFill>
            <w14:solidFill>
              <w14:schemeClr w14:val="tx1"/>
            </w14:solidFill>
          </w14:textFill>
        </w:rPr>
        <w:t>增长</w:t>
      </w:r>
      <w:r>
        <w:rPr>
          <w:rFonts w:hint="eastAsia" w:ascii="仿宋_GB2312" w:hAnsi="仿宋_GB2312" w:eastAsia="仿宋_GB2312" w:cs="仿宋_GB2312"/>
          <w:color w:val="000000" w:themeColor="text1"/>
          <w:sz w:val="32"/>
          <w:szCs w:val="32"/>
          <w:highlight w:val="none"/>
          <w:shd w:val="clear" w:fill="auto"/>
          <w:lang w:val="en-US" w:eastAsia="zh-CN"/>
          <w14:textFill>
            <w14:solidFill>
              <w14:schemeClr w14:val="tx1"/>
            </w14:solidFill>
          </w14:textFill>
        </w:rPr>
        <w:t>59.6%</w:t>
      </w:r>
      <w:r>
        <w:rPr>
          <w:rFonts w:hint="eastAsia" w:ascii="仿宋_GB2312" w:hAnsi="仿宋_GB2312" w:eastAsia="仿宋_GB2312" w:cs="仿宋_GB2312"/>
          <w:color w:val="000000" w:themeColor="text1"/>
          <w:sz w:val="32"/>
          <w:szCs w:val="32"/>
          <w:highlight w:val="none"/>
          <w:shd w:val="clear"/>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批发和零售业、住宿和餐饮业增加值</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达</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32.5</w:t>
      </w:r>
      <w:r>
        <w:rPr>
          <w:rFonts w:hint="eastAsia" w:ascii="仿宋_GB2312" w:hAnsi="仿宋_GB2312" w:eastAsia="仿宋_GB2312" w:cs="仿宋_GB2312"/>
          <w:color w:val="000000" w:themeColor="text1"/>
          <w:sz w:val="32"/>
          <w:szCs w:val="32"/>
          <w:highlight w:val="none"/>
          <w14:textFill>
            <w14:solidFill>
              <w14:schemeClr w14:val="tx1"/>
            </w14:solidFill>
          </w14:textFill>
        </w:rPr>
        <w:t>亿元，较“十三五”期末增长</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23.7</w:t>
      </w:r>
      <w:r>
        <w:rPr>
          <w:rFonts w:hint="eastAsia" w:ascii="仿宋_GB2312" w:hAnsi="仿宋_GB2312" w:eastAsia="仿宋_GB2312" w:cs="仿宋_GB2312"/>
          <w:color w:val="000000" w:themeColor="text1"/>
          <w:sz w:val="32"/>
          <w:szCs w:val="32"/>
          <w:highlight w:val="none"/>
          <w14:textFill>
            <w14:solidFill>
              <w14:schemeClr w14:val="tx1"/>
            </w14:solidFill>
          </w14:textFill>
        </w:rPr>
        <w:t>%，占全区地区生产总值比重</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达</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10.2</w:t>
      </w:r>
      <w:r>
        <w:rPr>
          <w:rFonts w:hint="eastAsia" w:ascii="仿宋_GB2312" w:hAnsi="仿宋_GB2312" w:eastAsia="仿宋_GB2312" w:cs="仿宋_GB2312"/>
          <w:color w:val="000000" w:themeColor="text1"/>
          <w:sz w:val="32"/>
          <w:szCs w:val="32"/>
          <w:highlight w:val="none"/>
          <w14:textFill>
            <w14:solidFill>
              <w14:schemeClr w14:val="tx1"/>
            </w14:solidFill>
          </w14:textFill>
        </w:rPr>
        <w:t>%</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shd w:val="clear"/>
          <w:lang w:eastAsia="zh-CN"/>
          <w14:textFill>
            <w14:solidFill>
              <w14:schemeClr w14:val="tx1"/>
            </w14:solidFill>
          </w14:textFill>
        </w:rPr>
        <w:t>区域经济贡献进一步扩大</w:t>
      </w:r>
      <w:r>
        <w:rPr>
          <w:rFonts w:hint="eastAsia" w:ascii="仿宋_GB2312" w:hAnsi="仿宋_GB2312" w:eastAsia="仿宋_GB2312" w:cs="仿宋_GB2312"/>
          <w:color w:val="000000" w:themeColor="text1"/>
          <w:sz w:val="32"/>
          <w:szCs w:val="32"/>
          <w:highlight w:val="none"/>
          <w14:textFill>
            <w14:solidFill>
              <w14:schemeClr w14:val="tx1"/>
            </w14:solidFill>
          </w14:textFill>
        </w:rPr>
        <w:t>。</w:t>
      </w:r>
    </w:p>
    <w:p>
      <w:pPr>
        <w:keepNext/>
        <w:keepLines/>
        <w:spacing w:line="560" w:lineRule="exact"/>
        <w:ind w:firstLine="640" w:firstLineChars="200"/>
        <w:outlineLvl w:val="1"/>
        <w:rPr>
          <w:rFonts w:ascii="Times New Roman" w:hAnsi="Times New Roman" w:eastAsia="楷体_GB2312" w:cs="Times New Roman"/>
          <w:bCs/>
          <w:color w:val="000000" w:themeColor="text1"/>
          <w:sz w:val="32"/>
          <w:szCs w:val="32"/>
          <w:highlight w:val="none"/>
          <w14:textFill>
            <w14:solidFill>
              <w14:schemeClr w14:val="tx1"/>
            </w14:solidFill>
          </w14:textFill>
        </w:rPr>
      </w:pPr>
      <w:bookmarkStart w:id="100" w:name="_Toc27472"/>
      <w:bookmarkStart w:id="101" w:name="_Toc10455"/>
      <w:bookmarkStart w:id="102" w:name="_Toc23507"/>
      <w:bookmarkStart w:id="103" w:name="_Toc30765"/>
      <w:bookmarkStart w:id="104" w:name="_Toc12594"/>
      <w:bookmarkStart w:id="105" w:name="_Toc7988"/>
      <w:bookmarkStart w:id="106" w:name="_Toc11388"/>
      <w:bookmarkStart w:id="107" w:name="_Toc262"/>
      <w:bookmarkStart w:id="108" w:name="_Toc5564"/>
      <w:bookmarkStart w:id="109" w:name="_Toc12167"/>
      <w:bookmarkStart w:id="110" w:name="_Toc9442"/>
      <w:bookmarkStart w:id="111" w:name="_Toc19903"/>
      <w:bookmarkStart w:id="112" w:name="_Toc30737"/>
      <w:bookmarkStart w:id="113" w:name="_Toc4642"/>
      <w:bookmarkStart w:id="114" w:name="_Toc1995"/>
      <w:bookmarkStart w:id="115" w:name="_Toc29586"/>
      <w:bookmarkStart w:id="116" w:name="_Toc9921"/>
      <w:bookmarkStart w:id="117" w:name="_Toc1577"/>
      <w:bookmarkStart w:id="118" w:name="_Toc1117"/>
      <w:bookmarkStart w:id="119" w:name="_Toc10848"/>
      <w:bookmarkStart w:id="120" w:name="_Toc29011"/>
      <w:r>
        <w:rPr>
          <w:rFonts w:ascii="Times New Roman" w:hAnsi="Times New Roman" w:eastAsia="楷体_GB2312" w:cs="Times New Roman"/>
          <w:bCs/>
          <w:color w:val="000000" w:themeColor="text1"/>
          <w:sz w:val="32"/>
          <w:szCs w:val="32"/>
          <w:highlight w:val="none"/>
          <w14:textFill>
            <w14:solidFill>
              <w14:schemeClr w14:val="tx1"/>
            </w14:solidFill>
          </w14:textFill>
        </w:rPr>
        <w:t>（</w:t>
      </w:r>
      <w:r>
        <w:rPr>
          <w:rFonts w:hint="eastAsia" w:ascii="Times New Roman" w:hAnsi="Times New Roman" w:eastAsia="楷体_GB2312" w:cs="Times New Roman"/>
          <w:bCs/>
          <w:color w:val="000000" w:themeColor="text1"/>
          <w:sz w:val="32"/>
          <w:szCs w:val="32"/>
          <w:highlight w:val="none"/>
          <w14:textFill>
            <w14:solidFill>
              <w14:schemeClr w14:val="tx1"/>
            </w14:solidFill>
          </w14:textFill>
        </w:rPr>
        <w:t>二</w:t>
      </w:r>
      <w:r>
        <w:rPr>
          <w:rFonts w:ascii="Times New Roman" w:hAnsi="Times New Roman" w:eastAsia="楷体_GB2312" w:cs="Times New Roman"/>
          <w:bCs/>
          <w:color w:val="000000" w:themeColor="text1"/>
          <w:sz w:val="32"/>
          <w:szCs w:val="32"/>
          <w:highlight w:val="none"/>
          <w14:textFill>
            <w14:solidFill>
              <w14:schemeClr w14:val="tx1"/>
            </w14:solidFill>
          </w14:textFill>
        </w:rPr>
        <w:t>）</w:t>
      </w:r>
      <w:bookmarkEnd w:id="100"/>
      <w:bookmarkEnd w:id="101"/>
      <w:bookmarkEnd w:id="102"/>
      <w:bookmarkEnd w:id="103"/>
      <w:bookmarkEnd w:id="104"/>
      <w:r>
        <w:rPr>
          <w:rFonts w:hint="eastAsia" w:ascii="楷体_GB2312" w:hAnsi="楷体_GB2312" w:eastAsia="楷体_GB2312" w:cs="楷体_GB2312"/>
          <w:color w:val="000000" w:themeColor="text1"/>
          <w:sz w:val="32"/>
          <w:szCs w:val="32"/>
          <w:highlight w:val="none"/>
          <w14:textFill>
            <w14:solidFill>
              <w14:schemeClr w14:val="tx1"/>
            </w14:solidFill>
          </w14:textFill>
        </w:rPr>
        <w:t>品质商业空间扩容，消费发展布局明显优化</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spacing w:line="560" w:lineRule="exact"/>
        <w:ind w:firstLine="640" w:firstLineChars="200"/>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t>围绕“三地”品牌打造，</w:t>
      </w:r>
      <w:r>
        <w:rPr>
          <w:rFonts w:hint="eastAsia" w:ascii="仿宋_GB2312" w:hAnsi="仿宋_GB2312" w:eastAsia="仿宋_GB2312" w:cs="仿宋_GB2312"/>
          <w:i w:val="0"/>
          <w:iCs w:val="0"/>
          <w:caps w:val="0"/>
          <w:color w:val="000000" w:themeColor="text1"/>
          <w:spacing w:val="0"/>
          <w:sz w:val="32"/>
          <w:szCs w:val="32"/>
          <w:highlight w:val="none"/>
          <w:shd w:val="clear"/>
          <w:lang w:eastAsia="zh-CN"/>
          <w14:textFill>
            <w14:solidFill>
              <w14:schemeClr w14:val="tx1"/>
            </w14:solidFill>
          </w14:textFill>
        </w:rPr>
        <w:t>全区加强商圈建设与提质升级，“十四五”时期</w:t>
      </w:r>
      <w:r>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t>累计新增商业面积近20万平方米，人均商业面积在非中心城十区中位列第三。升级改造上岸、河滩商圈，落地西长安中骏世界城，华远坊开业运营，商圈功能品质全面提升。新增培育檀谷商圈，形成近山融合发展新范式，荣获市级商文旅体融合发展商圈、市级示范商业步行街及国家AAA级旅游景区称号。</w:t>
      </w:r>
    </w:p>
    <w:p>
      <w:pPr>
        <w:keepNext/>
        <w:keepLines/>
        <w:spacing w:line="560" w:lineRule="exact"/>
        <w:ind w:firstLine="640" w:firstLineChars="200"/>
        <w:outlineLvl w:val="1"/>
        <w:rPr>
          <w:rFonts w:ascii="Times New Roman" w:hAnsi="Times New Roman" w:eastAsia="楷体_GB2312" w:cs="Times New Roman"/>
          <w:bCs/>
          <w:color w:val="000000" w:themeColor="text1"/>
          <w:sz w:val="32"/>
          <w:szCs w:val="32"/>
          <w:highlight w:val="none"/>
          <w14:textFill>
            <w14:solidFill>
              <w14:schemeClr w14:val="tx1"/>
            </w14:solidFill>
          </w14:textFill>
        </w:rPr>
      </w:pPr>
      <w:bookmarkStart w:id="121" w:name="_Toc1956"/>
      <w:bookmarkStart w:id="122" w:name="_Toc6030"/>
      <w:bookmarkStart w:id="123" w:name="_Toc5931"/>
      <w:bookmarkStart w:id="124" w:name="_Toc30712"/>
      <w:bookmarkStart w:id="125" w:name="_Toc4461"/>
      <w:bookmarkStart w:id="126" w:name="_Toc17043"/>
      <w:bookmarkStart w:id="127" w:name="_Toc16473"/>
      <w:bookmarkStart w:id="128" w:name="_Toc17096"/>
      <w:bookmarkStart w:id="129" w:name="_Toc23465"/>
      <w:bookmarkStart w:id="130" w:name="_Toc1426"/>
      <w:bookmarkStart w:id="131" w:name="_Toc9609"/>
      <w:bookmarkStart w:id="132" w:name="_Toc27506"/>
      <w:bookmarkStart w:id="133" w:name="_Toc3421"/>
      <w:bookmarkStart w:id="134" w:name="_Toc28634"/>
      <w:bookmarkStart w:id="135" w:name="_Toc2445"/>
      <w:bookmarkStart w:id="136" w:name="_Toc25986"/>
      <w:bookmarkStart w:id="137" w:name="_Toc24004"/>
      <w:bookmarkStart w:id="138" w:name="_Toc30989"/>
      <w:bookmarkStart w:id="139" w:name="_Toc32752"/>
      <w:bookmarkStart w:id="140" w:name="_Toc298"/>
      <w:bookmarkStart w:id="141" w:name="_Toc7000"/>
      <w:bookmarkStart w:id="142" w:name="_Toc18460"/>
      <w:r>
        <w:rPr>
          <w:rFonts w:ascii="Times New Roman" w:hAnsi="Times New Roman" w:eastAsia="楷体_GB2312" w:cs="Times New Roman"/>
          <w:bCs/>
          <w:color w:val="000000" w:themeColor="text1"/>
          <w:sz w:val="32"/>
          <w:szCs w:val="32"/>
          <w:highlight w:val="none"/>
          <w14:textFill>
            <w14:solidFill>
              <w14:schemeClr w14:val="tx1"/>
            </w14:solidFill>
          </w14:textFill>
        </w:rPr>
        <w:t>（</w:t>
      </w:r>
      <w:r>
        <w:rPr>
          <w:rFonts w:hint="eastAsia" w:ascii="Times New Roman" w:hAnsi="Times New Roman" w:eastAsia="楷体_GB2312" w:cs="Times New Roman"/>
          <w:bCs/>
          <w:color w:val="000000" w:themeColor="text1"/>
          <w:sz w:val="32"/>
          <w:szCs w:val="32"/>
          <w:highlight w:val="none"/>
          <w14:textFill>
            <w14:solidFill>
              <w14:schemeClr w14:val="tx1"/>
            </w14:solidFill>
          </w14:textFill>
        </w:rPr>
        <w:t>三</w:t>
      </w:r>
      <w:r>
        <w:rPr>
          <w:rFonts w:ascii="Times New Roman" w:hAnsi="Times New Roman" w:eastAsia="楷体_GB2312" w:cs="Times New Roman"/>
          <w:bCs/>
          <w:color w:val="000000" w:themeColor="text1"/>
          <w:sz w:val="32"/>
          <w:szCs w:val="32"/>
          <w:highlight w:val="none"/>
          <w14:textFill>
            <w14:solidFill>
              <w14:schemeClr w14:val="tx1"/>
            </w14:solidFill>
          </w14:textFill>
        </w:rPr>
        <w:t>）品牌商业加快聚集，优质消费供给不断扩大</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spacing w:line="560" w:lineRule="exact"/>
        <w:ind w:firstLine="640" w:firstLineChars="200"/>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highlight w:val="none"/>
          <w:shd w:val="clear"/>
          <w:lang w:eastAsia="zh-CN"/>
          <w14:textFill>
            <w14:solidFill>
              <w14:schemeClr w14:val="tx1"/>
            </w14:solidFill>
          </w14:textFill>
        </w:rPr>
        <w:t>围绕</w:t>
      </w:r>
      <w:r>
        <w:rPr>
          <w:rFonts w:hint="eastAsia" w:ascii="仿宋_GB2312" w:hAnsi="仿宋_GB2312" w:eastAsia="仿宋_GB2312" w:cs="仿宋_GB2312"/>
          <w:color w:val="000000" w:themeColor="text1"/>
          <w:sz w:val="32"/>
          <w:szCs w:val="32"/>
          <w:highlight w:val="none"/>
          <w14:textFill>
            <w14:solidFill>
              <w14:schemeClr w14:val="tx1"/>
            </w14:solidFill>
          </w14:textFill>
        </w:rPr>
        <w:t>消费者品质生活需求</w:t>
      </w:r>
      <w:r>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t>，全区加快推进商业品牌化、体验化升级。</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“十四</w:t>
      </w:r>
      <w:r>
        <w:rPr>
          <w:rFonts w:hint="eastAsia" w:ascii="仿宋_GB2312" w:hAnsi="仿宋_GB2312" w:eastAsia="仿宋_GB2312" w:cs="仿宋_GB2312"/>
          <w:i w:val="0"/>
          <w:iCs w:val="0"/>
          <w:caps w:val="0"/>
          <w:color w:val="000000" w:themeColor="text1"/>
          <w:spacing w:val="0"/>
          <w:sz w:val="32"/>
          <w:szCs w:val="32"/>
          <w:highlight w:val="none"/>
          <w:shd w:val="clear"/>
          <w:lang w:eastAsia="zh-CN"/>
          <w14:textFill>
            <w14:solidFill>
              <w14:schemeClr w14:val="tx1"/>
            </w14:solidFill>
          </w14:textFill>
        </w:rPr>
        <w:t>五”时期</w:t>
      </w:r>
      <w:r>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t>累计引进首店</w:t>
      </w:r>
      <w:r>
        <w:rPr>
          <w:rFonts w:hint="eastAsia" w:ascii="仿宋_GB2312" w:hAnsi="仿宋_GB2312" w:eastAsia="仿宋_GB2312" w:cs="仿宋_GB2312"/>
          <w:i w:val="0"/>
          <w:iCs w:val="0"/>
          <w:caps w:val="0"/>
          <w:color w:val="000000" w:themeColor="text1"/>
          <w:spacing w:val="0"/>
          <w:sz w:val="32"/>
          <w:szCs w:val="32"/>
          <w:highlight w:val="none"/>
          <w:shd w:val="clear"/>
          <w:lang w:val="en-US" w:eastAsia="zh-CN"/>
          <w14:textFill>
            <w14:solidFill>
              <w14:schemeClr w14:val="tx1"/>
            </w14:solidFill>
          </w14:textFill>
        </w:rPr>
        <w:t>71</w:t>
      </w:r>
      <w:r>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t>家，数量居生态涵养区</w:t>
      </w:r>
      <w:r>
        <w:rPr>
          <w:rFonts w:hint="eastAsia" w:ascii="仿宋_GB2312" w:hAnsi="仿宋_GB2312" w:eastAsia="仿宋_GB2312" w:cs="仿宋_GB2312"/>
          <w:i w:val="0"/>
          <w:iCs w:val="0"/>
          <w:caps w:val="0"/>
          <w:color w:val="000000" w:themeColor="text1"/>
          <w:spacing w:val="0"/>
          <w:sz w:val="32"/>
          <w:szCs w:val="32"/>
          <w:highlight w:val="none"/>
          <w:shd w:val="clear"/>
          <w:lang w:eastAsia="zh-CN"/>
          <w14:textFill>
            <w14:solidFill>
              <w14:schemeClr w14:val="tx1"/>
            </w14:solidFill>
          </w14:textFill>
        </w:rPr>
        <w:t>首位</w:t>
      </w:r>
      <w:r>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t>。“京西好味道”品牌</w:t>
      </w:r>
      <w:r>
        <w:rPr>
          <w:rFonts w:hint="eastAsia" w:ascii="仿宋_GB2312" w:hAnsi="仿宋_GB2312" w:eastAsia="仿宋_GB2312" w:cs="仿宋_GB2312"/>
          <w:i w:val="0"/>
          <w:iCs w:val="0"/>
          <w:caps w:val="0"/>
          <w:color w:val="000000" w:themeColor="text1"/>
          <w:spacing w:val="0"/>
          <w:sz w:val="32"/>
          <w:szCs w:val="32"/>
          <w:highlight w:val="none"/>
          <w:shd w:val="clear"/>
          <w:lang w:eastAsia="zh-CN"/>
          <w14:textFill>
            <w14:solidFill>
              <w14:schemeClr w14:val="tx1"/>
            </w14:solidFill>
          </w14:textFill>
        </w:rPr>
        <w:t>影响力</w:t>
      </w:r>
      <w:r>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t>提升，</w:t>
      </w:r>
      <w:r>
        <w:rPr>
          <w:rFonts w:hint="eastAsia" w:ascii="仿宋_GB2312" w:hAnsi="仿宋_GB2312" w:eastAsia="仿宋_GB2312" w:cs="仿宋_GB2312"/>
          <w:i w:val="0"/>
          <w:iCs w:val="0"/>
          <w:caps w:val="0"/>
          <w:color w:val="000000" w:themeColor="text1"/>
          <w:spacing w:val="0"/>
          <w:sz w:val="32"/>
          <w:szCs w:val="32"/>
          <w:highlight w:val="none"/>
          <w:shd w:val="clear"/>
          <w:lang w:val="en-US" w:eastAsia="zh-CN"/>
          <w14:textFill>
            <w14:solidFill>
              <w14:schemeClr w14:val="tx1"/>
            </w14:solidFill>
          </w14:textFill>
        </w:rPr>
        <w:t>以门头沟</w:t>
      </w:r>
      <w:r>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t>特色小店专题榜单</w:t>
      </w:r>
      <w:r>
        <w:rPr>
          <w:rFonts w:hint="eastAsia" w:ascii="仿宋_GB2312" w:hAnsi="仿宋_GB2312" w:eastAsia="仿宋_GB2312" w:cs="仿宋_GB2312"/>
          <w:i w:val="0"/>
          <w:iCs w:val="0"/>
          <w:caps w:val="0"/>
          <w:color w:val="000000" w:themeColor="text1"/>
          <w:spacing w:val="0"/>
          <w:sz w:val="32"/>
          <w:szCs w:val="32"/>
          <w:highlight w:val="none"/>
          <w:shd w:val="clear"/>
          <w:lang w:val="en-US" w:eastAsia="zh-CN"/>
          <w14:textFill>
            <w14:solidFill>
              <w14:schemeClr w14:val="tx1"/>
            </w14:solidFill>
          </w14:textFill>
        </w:rPr>
        <w:t>形式推出</w:t>
      </w:r>
      <w:r>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t>26家</w:t>
      </w:r>
      <w:r>
        <w:rPr>
          <w:rFonts w:hint="eastAsia" w:ascii="仿宋_GB2312" w:hAnsi="仿宋_GB2312" w:eastAsia="仿宋_GB2312" w:cs="仿宋_GB2312"/>
          <w:i w:val="0"/>
          <w:iCs w:val="0"/>
          <w:caps w:val="0"/>
          <w:color w:val="000000" w:themeColor="text1"/>
          <w:spacing w:val="0"/>
          <w:sz w:val="32"/>
          <w:szCs w:val="32"/>
          <w:highlight w:val="none"/>
          <w:shd w:val="clear"/>
          <w:lang w:val="en-US" w:eastAsia="zh-CN"/>
          <w14:textFill>
            <w14:solidFill>
              <w14:schemeClr w14:val="tx1"/>
            </w14:solidFill>
          </w14:textFill>
        </w:rPr>
        <w:t>地域特色</w:t>
      </w:r>
      <w:r>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t>餐饮门店。入境消费</w:t>
      </w:r>
      <w:r>
        <w:rPr>
          <w:rFonts w:hint="eastAsia" w:ascii="仿宋_GB2312" w:hAnsi="仿宋_GB2312" w:eastAsia="仿宋_GB2312" w:cs="仿宋_GB2312"/>
          <w:i w:val="0"/>
          <w:iCs w:val="0"/>
          <w:caps w:val="0"/>
          <w:color w:val="000000" w:themeColor="text1"/>
          <w:spacing w:val="0"/>
          <w:sz w:val="32"/>
          <w:szCs w:val="32"/>
          <w:highlight w:val="none"/>
          <w:shd w:val="clear"/>
          <w:lang w:eastAsia="zh-CN"/>
          <w14:textFill>
            <w14:solidFill>
              <w14:schemeClr w14:val="tx1"/>
            </w14:solidFill>
          </w14:textFill>
        </w:rPr>
        <w:t>环境优化</w:t>
      </w:r>
      <w:r>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t>，离境退税商店达1</w:t>
      </w:r>
      <w:r>
        <w:rPr>
          <w:rFonts w:hint="eastAsia" w:ascii="仿宋_GB2312" w:hAnsi="仿宋_GB2312" w:eastAsia="仿宋_GB2312" w:cs="仿宋_GB2312"/>
          <w:i w:val="0"/>
          <w:iCs w:val="0"/>
          <w:caps w:val="0"/>
          <w:color w:val="000000" w:themeColor="text1"/>
          <w:spacing w:val="0"/>
          <w:sz w:val="32"/>
          <w:szCs w:val="32"/>
          <w:highlight w:val="none"/>
          <w:shd w:val="clear"/>
          <w:lang w:val="en-US" w:eastAsia="zh-CN"/>
          <w14:textFill>
            <w14:solidFill>
              <w14:schemeClr w14:val="tx1"/>
            </w14:solidFill>
          </w14:textFill>
        </w:rPr>
        <w:t>5</w:t>
      </w:r>
      <w:r>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t>家，</w:t>
      </w:r>
      <w:r>
        <w:rPr>
          <w:rFonts w:hint="eastAsia" w:ascii="仿宋_GB2312" w:hAnsi="仿宋_GB2312" w:eastAsia="仿宋_GB2312" w:cs="仿宋_GB2312"/>
          <w:i w:val="0"/>
          <w:iCs w:val="0"/>
          <w:caps w:val="0"/>
          <w:color w:val="000000" w:themeColor="text1"/>
          <w:spacing w:val="0"/>
          <w:sz w:val="32"/>
          <w:szCs w:val="32"/>
          <w:highlight w:val="none"/>
          <w:shd w:val="clear"/>
          <w:lang w:eastAsia="zh-CN"/>
          <w14:textFill>
            <w14:solidFill>
              <w14:schemeClr w14:val="tx1"/>
            </w14:solidFill>
          </w14:textFill>
        </w:rPr>
        <w:t>数</w:t>
      </w:r>
      <w:r>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t>量居生态涵养区</w:t>
      </w:r>
      <w:r>
        <w:rPr>
          <w:rFonts w:hint="eastAsia" w:ascii="仿宋_GB2312" w:hAnsi="仿宋_GB2312" w:eastAsia="仿宋_GB2312" w:cs="仿宋_GB2312"/>
          <w:i w:val="0"/>
          <w:iCs w:val="0"/>
          <w:caps w:val="0"/>
          <w:color w:val="000000" w:themeColor="text1"/>
          <w:spacing w:val="0"/>
          <w:sz w:val="32"/>
          <w:szCs w:val="32"/>
          <w:highlight w:val="none"/>
          <w:shd w:val="clear"/>
          <w:lang w:eastAsia="zh-CN"/>
          <w14:textFill>
            <w14:solidFill>
              <w14:schemeClr w14:val="tx1"/>
            </w14:solidFill>
          </w14:textFill>
        </w:rPr>
        <w:t>前列</w:t>
      </w:r>
      <w:r>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t>。便民商业加速</w:t>
      </w:r>
      <w:r>
        <w:rPr>
          <w:rFonts w:hint="eastAsia" w:ascii="仿宋_GB2312" w:hAnsi="仿宋_GB2312" w:eastAsia="仿宋_GB2312" w:cs="仿宋_GB2312"/>
          <w:i w:val="0"/>
          <w:iCs w:val="0"/>
          <w:caps w:val="0"/>
          <w:color w:val="000000" w:themeColor="text1"/>
          <w:spacing w:val="0"/>
          <w:sz w:val="32"/>
          <w:szCs w:val="32"/>
          <w:highlight w:val="none"/>
          <w:shd w:val="clear"/>
          <w:lang w:eastAsia="zh-CN"/>
          <w14:textFill>
            <w14:solidFill>
              <w14:schemeClr w14:val="tx1"/>
            </w14:solidFill>
          </w14:textFill>
        </w:rPr>
        <w:t>提质</w:t>
      </w:r>
      <w:r>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t>，累计创建19个一刻钟便民生活圈，入选全国城市一刻钟便民生活圈试点地区。</w:t>
      </w:r>
    </w:p>
    <w:p>
      <w:pPr>
        <w:keepNext/>
        <w:keepLines/>
        <w:spacing w:line="560" w:lineRule="exact"/>
        <w:ind w:firstLine="640" w:firstLineChars="200"/>
        <w:outlineLvl w:val="1"/>
        <w:rPr>
          <w:rFonts w:ascii="Times New Roman" w:hAnsi="Times New Roman" w:eastAsia="楷体_GB2312" w:cs="Times New Roman"/>
          <w:bCs/>
          <w:color w:val="000000" w:themeColor="text1"/>
          <w:sz w:val="32"/>
          <w:szCs w:val="32"/>
          <w:highlight w:val="none"/>
          <w14:textFill>
            <w14:solidFill>
              <w14:schemeClr w14:val="tx1"/>
            </w14:solidFill>
          </w14:textFill>
        </w:rPr>
      </w:pPr>
      <w:bookmarkStart w:id="143" w:name="_Toc13601"/>
      <w:bookmarkStart w:id="144" w:name="_Toc2705"/>
      <w:bookmarkStart w:id="145" w:name="_Toc11552"/>
      <w:bookmarkStart w:id="146" w:name="_Toc15092"/>
      <w:bookmarkStart w:id="147" w:name="_Toc20714"/>
      <w:bookmarkStart w:id="148" w:name="_Toc5822"/>
      <w:bookmarkStart w:id="149" w:name="_Toc12392"/>
      <w:bookmarkStart w:id="150" w:name="_Toc23707"/>
      <w:bookmarkStart w:id="151" w:name="_Toc8443"/>
      <w:bookmarkStart w:id="152" w:name="_Toc25071"/>
      <w:bookmarkStart w:id="153" w:name="_Toc14830"/>
      <w:bookmarkStart w:id="154" w:name="_Toc11099"/>
      <w:bookmarkStart w:id="155" w:name="_Toc391"/>
      <w:bookmarkStart w:id="156" w:name="_Toc29449"/>
      <w:bookmarkStart w:id="157" w:name="_Toc29823"/>
      <w:bookmarkStart w:id="158" w:name="_Toc783"/>
      <w:bookmarkStart w:id="159" w:name="_Toc11324"/>
      <w:bookmarkStart w:id="160" w:name="_Toc23436"/>
      <w:bookmarkStart w:id="161" w:name="_Toc12820"/>
      <w:bookmarkStart w:id="162" w:name="_Toc2329"/>
      <w:bookmarkStart w:id="163" w:name="_Toc10989"/>
      <w:bookmarkStart w:id="164" w:name="_Toc2593"/>
      <w:r>
        <w:rPr>
          <w:rFonts w:ascii="Times New Roman" w:hAnsi="Times New Roman" w:eastAsia="楷体_GB2312" w:cs="Times New Roman"/>
          <w:bCs/>
          <w:color w:val="000000" w:themeColor="text1"/>
          <w:sz w:val="32"/>
          <w:szCs w:val="32"/>
          <w:highlight w:val="none"/>
          <w14:textFill>
            <w14:solidFill>
              <w14:schemeClr w14:val="tx1"/>
            </w14:solidFill>
          </w14:textFill>
        </w:rPr>
        <w:t>（</w:t>
      </w:r>
      <w:r>
        <w:rPr>
          <w:rFonts w:hint="eastAsia" w:ascii="Times New Roman" w:hAnsi="Times New Roman" w:eastAsia="楷体_GB2312" w:cs="Times New Roman"/>
          <w:bCs/>
          <w:color w:val="000000" w:themeColor="text1"/>
          <w:sz w:val="32"/>
          <w:szCs w:val="32"/>
          <w:highlight w:val="none"/>
          <w14:textFill>
            <w14:solidFill>
              <w14:schemeClr w14:val="tx1"/>
            </w14:solidFill>
          </w14:textFill>
        </w:rPr>
        <w:t>四</w:t>
      </w:r>
      <w:r>
        <w:rPr>
          <w:rFonts w:ascii="Times New Roman" w:hAnsi="Times New Roman" w:eastAsia="楷体_GB2312" w:cs="Times New Roman"/>
          <w:bCs/>
          <w:color w:val="000000" w:themeColor="text1"/>
          <w:sz w:val="32"/>
          <w:szCs w:val="32"/>
          <w:highlight w:val="none"/>
          <w14:textFill>
            <w14:solidFill>
              <w14:schemeClr w14:val="tx1"/>
            </w14:solidFill>
          </w14:textFill>
        </w:rPr>
        <w:t>）</w:t>
      </w:r>
      <w:bookmarkEnd w:id="143"/>
      <w:bookmarkEnd w:id="144"/>
      <w:bookmarkEnd w:id="145"/>
      <w:bookmarkEnd w:id="146"/>
      <w:bookmarkEnd w:id="147"/>
      <w:bookmarkEnd w:id="148"/>
      <w:r>
        <w:rPr>
          <w:rFonts w:ascii="Times New Roman" w:hAnsi="Times New Roman" w:eastAsia="楷体_GB2312" w:cs="Times New Roman"/>
          <w:bCs/>
          <w:color w:val="000000" w:themeColor="text1"/>
          <w:sz w:val="32"/>
          <w:szCs w:val="32"/>
          <w:highlight w:val="none"/>
          <w14:textFill>
            <w14:solidFill>
              <w14:schemeClr w14:val="tx1"/>
            </w14:solidFill>
          </w14:textFill>
        </w:rPr>
        <w:t>消费融合创新深化，</w:t>
      </w:r>
      <w:r>
        <w:rPr>
          <w:rFonts w:hint="eastAsia" w:ascii="Times New Roman" w:hAnsi="Times New Roman" w:eastAsia="楷体_GB2312" w:cs="Times New Roman"/>
          <w:bCs/>
          <w:color w:val="000000" w:themeColor="text1"/>
          <w:sz w:val="32"/>
          <w:szCs w:val="32"/>
          <w:highlight w:val="none"/>
          <w14:textFill>
            <w14:solidFill>
              <w14:schemeClr w14:val="tx1"/>
            </w14:solidFill>
          </w14:textFill>
        </w:rPr>
        <w:t>业态</w:t>
      </w:r>
      <w:r>
        <w:rPr>
          <w:rFonts w:ascii="Times New Roman" w:hAnsi="Times New Roman" w:eastAsia="楷体_GB2312" w:cs="Times New Roman"/>
          <w:bCs/>
          <w:color w:val="000000" w:themeColor="text1"/>
          <w:sz w:val="32"/>
          <w:szCs w:val="32"/>
          <w:highlight w:val="none"/>
          <w14:textFill>
            <w14:solidFill>
              <w14:schemeClr w14:val="tx1"/>
            </w14:solidFill>
          </w14:textFill>
        </w:rPr>
        <w:t>场景供给持续丰富</w:t>
      </w:r>
      <w:bookmarkEnd w:id="149"/>
      <w:bookmarkEnd w:id="150"/>
      <w:bookmarkEnd w:id="151"/>
      <w:bookmarkEnd w:id="152"/>
      <w:bookmarkEnd w:id="153"/>
      <w:bookmarkEnd w:id="154"/>
      <w:bookmarkEnd w:id="155"/>
      <w:bookmarkEnd w:id="156"/>
    </w:p>
    <w:bookmarkEnd w:id="157"/>
    <w:bookmarkEnd w:id="158"/>
    <w:bookmarkEnd w:id="159"/>
    <w:bookmarkEnd w:id="160"/>
    <w:bookmarkEnd w:id="161"/>
    <w:bookmarkEnd w:id="162"/>
    <w:bookmarkEnd w:id="163"/>
    <w:bookmarkEnd w:id="164"/>
    <w:p>
      <w:pPr>
        <w:spacing w:line="560" w:lineRule="exact"/>
        <w:ind w:firstLine="640" w:firstLineChars="200"/>
        <w:rPr>
          <w:rFonts w:hint="eastAsia" w:ascii="仿宋_GB2312" w:hAnsi="仿宋_GB2312" w:eastAsia="仿宋_GB2312" w:cs="仿宋_GB2312"/>
          <w:i w:val="0"/>
          <w:iCs w:val="0"/>
          <w:caps w:val="0"/>
          <w:color w:val="000000" w:themeColor="text1"/>
          <w:spacing w:val="0"/>
          <w:kern w:val="0"/>
          <w:sz w:val="32"/>
          <w:szCs w:val="32"/>
          <w:highlight w:val="none"/>
          <w:shd w:val="clear" w:color="auto" w:fill="FFFFFF"/>
          <w:lang w:val="en-US" w:eastAsia="zh-CN"/>
          <w14:textFill>
            <w14:solidFill>
              <w14:schemeClr w14:val="tx1"/>
            </w14:solidFill>
          </w14:textFill>
        </w:rPr>
      </w:pPr>
      <w:r>
        <w:rPr>
          <w:rFonts w:hint="eastAsia" w:ascii="仿宋_GB2312" w:hAnsi="仿宋_GB2312" w:eastAsia="仿宋_GB2312" w:cs="仿宋_GB2312"/>
          <w:i w:val="0"/>
          <w:iCs w:val="0"/>
          <w:caps w:val="0"/>
          <w:color w:val="000000" w:themeColor="text1"/>
          <w:spacing w:val="0"/>
          <w:kern w:val="0"/>
          <w:sz w:val="32"/>
          <w:szCs w:val="32"/>
          <w:highlight w:val="none"/>
          <w:shd w:val="clear" w:color="auto" w:fill="FFFFFF"/>
          <w14:textFill>
            <w14:solidFill>
              <w14:schemeClr w14:val="tx1"/>
            </w14:solidFill>
          </w14:textFill>
        </w:rPr>
        <w:t>顺应消费升级新趋势，</w:t>
      </w:r>
      <w:bookmarkStart w:id="165" w:name="_Toc15048"/>
      <w:bookmarkStart w:id="166" w:name="_Toc19447"/>
      <w:bookmarkStart w:id="167" w:name="_Toc32006"/>
      <w:bookmarkStart w:id="168" w:name="_Toc14455"/>
      <w:bookmarkStart w:id="169" w:name="_Toc26664"/>
      <w:bookmarkStart w:id="170" w:name="_Toc32012"/>
      <w:bookmarkStart w:id="171" w:name="_Toc23306"/>
      <w:bookmarkStart w:id="172" w:name="_Toc19935"/>
      <w:bookmarkStart w:id="173" w:name="_Toc21408"/>
      <w:bookmarkStart w:id="174" w:name="_Toc32392"/>
      <w:bookmarkStart w:id="175" w:name="_Toc10934"/>
      <w:bookmarkStart w:id="176" w:name="_Toc19195"/>
      <w:bookmarkStart w:id="177" w:name="_Toc30541"/>
      <w:bookmarkStart w:id="178" w:name="_Toc1925"/>
      <w:bookmarkStart w:id="179" w:name="_Toc18178"/>
      <w:bookmarkStart w:id="180" w:name="_Toc3080"/>
      <w:r>
        <w:rPr>
          <w:rFonts w:hint="eastAsia" w:ascii="仿宋_GB2312" w:hAnsi="仿宋_GB2312" w:eastAsia="仿宋_GB2312" w:cs="仿宋_GB2312"/>
          <w:i w:val="0"/>
          <w:iCs w:val="0"/>
          <w:caps w:val="0"/>
          <w:color w:val="000000" w:themeColor="text1"/>
          <w:spacing w:val="0"/>
          <w:kern w:val="0"/>
          <w:sz w:val="32"/>
          <w:szCs w:val="32"/>
          <w:highlight w:val="none"/>
          <w:shd w:val="clear" w:color="auto" w:fill="FFFFFF"/>
          <w:lang w:val="en-US" w:eastAsia="zh-CN"/>
          <w14:textFill>
            <w14:solidFill>
              <w14:schemeClr w14:val="tx1"/>
            </w14:solidFill>
          </w14:textFill>
        </w:rPr>
        <w:t>加强</w:t>
      </w:r>
      <w:r>
        <w:rPr>
          <w:rFonts w:hint="eastAsia" w:ascii="仿宋_GB2312" w:hAnsi="仿宋_GB2312" w:eastAsia="仿宋_GB2312" w:cs="仿宋_GB2312"/>
          <w:i w:val="0"/>
          <w:iCs w:val="0"/>
          <w:caps w:val="0"/>
          <w:color w:val="000000" w:themeColor="text1"/>
          <w:spacing w:val="0"/>
          <w:kern w:val="0"/>
          <w:sz w:val="32"/>
          <w:szCs w:val="32"/>
          <w:highlight w:val="none"/>
          <w:shd w:val="clear" w:color="auto" w:fill="FFFFFF"/>
          <w14:textFill>
            <w14:solidFill>
              <w14:schemeClr w14:val="tx1"/>
            </w14:solidFill>
          </w14:textFill>
        </w:rPr>
        <w:t>消费模式与场景</w:t>
      </w:r>
      <w:r>
        <w:rPr>
          <w:rFonts w:hint="eastAsia" w:ascii="仿宋_GB2312" w:hAnsi="仿宋_GB2312" w:eastAsia="仿宋_GB2312" w:cs="仿宋_GB2312"/>
          <w:i w:val="0"/>
          <w:iCs w:val="0"/>
          <w:caps w:val="0"/>
          <w:color w:val="000000" w:themeColor="text1"/>
          <w:spacing w:val="0"/>
          <w:kern w:val="0"/>
          <w:sz w:val="32"/>
          <w:szCs w:val="32"/>
          <w:highlight w:val="none"/>
          <w:shd w:val="clear" w:color="auto" w:fill="FFFFFF"/>
          <w:lang w:eastAsia="zh-CN"/>
          <w14:textFill>
            <w14:solidFill>
              <w14:schemeClr w14:val="tx1"/>
            </w14:solidFill>
          </w14:textFill>
        </w:rPr>
        <w:t>创新，</w:t>
      </w:r>
      <w:r>
        <w:rPr>
          <w:rFonts w:hint="eastAsia" w:ascii="仿宋_GB2312" w:hAnsi="仿宋_GB2312" w:eastAsia="仿宋_GB2312" w:cs="仿宋_GB2312"/>
          <w:i w:val="0"/>
          <w:iCs w:val="0"/>
          <w:caps w:val="0"/>
          <w:color w:val="000000" w:themeColor="text1"/>
          <w:spacing w:val="0"/>
          <w:kern w:val="0"/>
          <w:sz w:val="32"/>
          <w:szCs w:val="32"/>
          <w:highlight w:val="none"/>
          <w:shd w:val="clear" w:color="auto" w:fill="FFFFFF"/>
          <w14:textFill>
            <w14:solidFill>
              <w14:schemeClr w14:val="tx1"/>
            </w14:solidFill>
          </w14:textFill>
        </w:rPr>
        <w:t>推出“JING彩消费季 购To门头沟”</w:t>
      </w:r>
      <w:r>
        <w:rPr>
          <w:rFonts w:hint="eastAsia" w:ascii="仿宋_GB2312" w:hAnsi="仿宋_GB2312" w:eastAsia="仿宋_GB2312" w:cs="仿宋_GB2312"/>
          <w:i w:val="0"/>
          <w:iCs w:val="0"/>
          <w:caps w:val="0"/>
          <w:color w:val="000000" w:themeColor="text1"/>
          <w:spacing w:val="0"/>
          <w:kern w:val="0"/>
          <w:sz w:val="32"/>
          <w:szCs w:val="32"/>
          <w:highlight w:val="none"/>
          <w:shd w:val="clear" w:color="auto" w:fill="FFFFFF"/>
          <w:lang w:eastAsia="zh-CN"/>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kern w:val="0"/>
          <w:sz w:val="32"/>
          <w:szCs w:val="32"/>
          <w:highlight w:val="none"/>
          <w:shd w:val="clear" w:color="auto" w:fill="FFFFFF"/>
          <w:lang w:val="en-US" w:eastAsia="zh-CN"/>
          <w14:textFill>
            <w14:solidFill>
              <w14:schemeClr w14:val="tx1"/>
            </w14:solidFill>
          </w14:textFill>
        </w:rPr>
        <w:t>开门迎春”等</w:t>
      </w:r>
      <w:r>
        <w:rPr>
          <w:rFonts w:hint="eastAsia" w:ascii="仿宋_GB2312" w:hAnsi="仿宋_GB2312" w:eastAsia="仿宋_GB2312" w:cs="仿宋_GB2312"/>
          <w:i w:val="0"/>
          <w:iCs w:val="0"/>
          <w:caps w:val="0"/>
          <w:color w:val="000000" w:themeColor="text1"/>
          <w:spacing w:val="0"/>
          <w:kern w:val="0"/>
          <w:sz w:val="32"/>
          <w:szCs w:val="32"/>
          <w:highlight w:val="none"/>
          <w:shd w:val="clear" w:color="auto" w:fill="FFFFFF"/>
          <w14:textFill>
            <w14:solidFill>
              <w14:schemeClr w14:val="tx1"/>
            </w14:solidFill>
          </w14:textFill>
        </w:rPr>
        <w:t>系列</w:t>
      </w:r>
      <w:r>
        <w:rPr>
          <w:rFonts w:hint="eastAsia" w:ascii="仿宋_GB2312" w:hAnsi="仿宋_GB2312" w:eastAsia="仿宋_GB2312" w:cs="仿宋_GB2312"/>
          <w:i w:val="0"/>
          <w:iCs w:val="0"/>
          <w:caps w:val="0"/>
          <w:color w:val="000000" w:themeColor="text1"/>
          <w:spacing w:val="0"/>
          <w:kern w:val="0"/>
          <w:sz w:val="32"/>
          <w:szCs w:val="32"/>
          <w:highlight w:val="none"/>
          <w:shd w:val="clear" w:color="auto" w:fill="FFFFFF"/>
          <w:lang w:val="en-US" w:eastAsia="zh-CN"/>
          <w14:textFill>
            <w14:solidFill>
              <w14:schemeClr w14:val="tx1"/>
            </w14:solidFill>
          </w14:textFill>
        </w:rPr>
        <w:t>融合性促消费</w:t>
      </w:r>
      <w:r>
        <w:rPr>
          <w:rFonts w:hint="eastAsia" w:ascii="仿宋_GB2312" w:hAnsi="仿宋_GB2312" w:eastAsia="仿宋_GB2312" w:cs="仿宋_GB2312"/>
          <w:i w:val="0"/>
          <w:iCs w:val="0"/>
          <w:caps w:val="0"/>
          <w:color w:val="000000" w:themeColor="text1"/>
          <w:spacing w:val="0"/>
          <w:kern w:val="0"/>
          <w:sz w:val="32"/>
          <w:szCs w:val="32"/>
          <w:highlight w:val="none"/>
          <w:shd w:val="clear" w:color="auto" w:fill="FFFFFF"/>
          <w14:textFill>
            <w14:solidFill>
              <w14:schemeClr w14:val="tx1"/>
            </w14:solidFill>
          </w14:textFill>
        </w:rPr>
        <w:t>活动</w:t>
      </w:r>
      <w:r>
        <w:rPr>
          <w:rFonts w:hint="eastAsia" w:ascii="仿宋_GB2312" w:hAnsi="仿宋_GB2312" w:eastAsia="仿宋_GB2312" w:cs="仿宋_GB2312"/>
          <w:i w:val="0"/>
          <w:iCs w:val="0"/>
          <w:caps w:val="0"/>
          <w:color w:val="000000" w:themeColor="text1"/>
          <w:spacing w:val="0"/>
          <w:kern w:val="0"/>
          <w:sz w:val="32"/>
          <w:szCs w:val="32"/>
          <w:highlight w:val="none"/>
          <w:shd w:val="clear" w:color="auto" w:fill="FFFFFF"/>
          <w:lang w:val="en-US" w:eastAsia="zh-CN"/>
          <w14:textFill>
            <w14:solidFill>
              <w14:schemeClr w14:val="tx1"/>
            </w14:solidFill>
          </w14:textFill>
        </w:rPr>
        <w:t>，初步形成文旅农林商体学融合消费格局。</w:t>
      </w:r>
      <w:r>
        <w:rPr>
          <w:rFonts w:hint="eastAsia" w:ascii="仿宋_GB2312" w:hAnsi="仿宋_GB2312" w:eastAsia="仿宋_GB2312" w:cs="仿宋_GB2312"/>
          <w:i w:val="0"/>
          <w:iCs w:val="0"/>
          <w:caps w:val="0"/>
          <w:color w:val="000000" w:themeColor="text1"/>
          <w:spacing w:val="0"/>
          <w:kern w:val="0"/>
          <w:sz w:val="32"/>
          <w:szCs w:val="32"/>
          <w:highlight w:val="none"/>
          <w:shd w:val="clear" w:color="auto" w:fill="FFFFFF"/>
          <w14:textFill>
            <w14:solidFill>
              <w14:schemeClr w14:val="tx1"/>
            </w14:solidFill>
          </w14:textFill>
        </w:rPr>
        <w:t>精品民宿体系持续壮大，集聚“门头沟小院”</w:t>
      </w:r>
      <w:r>
        <w:rPr>
          <w:rFonts w:hint="eastAsia" w:ascii="仿宋_GB2312" w:hAnsi="仿宋_GB2312" w:eastAsia="仿宋_GB2312" w:cs="仿宋_GB2312"/>
          <w:i w:val="0"/>
          <w:iCs w:val="0"/>
          <w:caps w:val="0"/>
          <w:color w:val="000000" w:themeColor="text1"/>
          <w:spacing w:val="0"/>
          <w:kern w:val="0"/>
          <w:sz w:val="32"/>
          <w:szCs w:val="32"/>
          <w:highlight w:val="none"/>
          <w:shd w:val="clear" w:color="auto" w:fill="FFFFFF"/>
          <w:lang w:eastAsia="zh-CN"/>
          <w14:textFill>
            <w14:solidFill>
              <w14:schemeClr w14:val="tx1"/>
            </w14:solidFill>
          </w14:textFill>
        </w:rPr>
        <w:t>超</w:t>
      </w:r>
      <w:r>
        <w:rPr>
          <w:rFonts w:hint="eastAsia" w:ascii="仿宋_GB2312" w:hAnsi="仿宋_GB2312" w:eastAsia="仿宋_GB2312" w:cs="仿宋_GB2312"/>
          <w:i w:val="0"/>
          <w:iCs w:val="0"/>
          <w:caps w:val="0"/>
          <w:color w:val="000000" w:themeColor="text1"/>
          <w:spacing w:val="0"/>
          <w:kern w:val="0"/>
          <w:sz w:val="32"/>
          <w:szCs w:val="32"/>
          <w:highlight w:val="none"/>
          <w:shd w:val="clear" w:color="auto" w:fill="FFFFFF"/>
          <w14:textFill>
            <w14:solidFill>
              <w14:schemeClr w14:val="tx1"/>
            </w14:solidFill>
          </w14:textFill>
        </w:rPr>
        <w:t>百家，北京国际山地徒步大会连续三年获评中国体育旅游十佳精品项目</w:t>
      </w:r>
      <w:r>
        <w:rPr>
          <w:rFonts w:hint="eastAsia" w:ascii="仿宋_GB2312" w:hAnsi="仿宋_GB2312" w:eastAsia="仿宋_GB2312" w:cs="仿宋_GB2312"/>
          <w:i w:val="0"/>
          <w:iCs w:val="0"/>
          <w:caps w:val="0"/>
          <w:color w:val="000000" w:themeColor="text1"/>
          <w:spacing w:val="0"/>
          <w:kern w:val="0"/>
          <w:sz w:val="32"/>
          <w:szCs w:val="32"/>
          <w:highlight w:val="none"/>
          <w:shd w:val="clear" w:color="auto" w:fill="FFFFFF"/>
          <w:lang w:eastAsia="zh-CN"/>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kern w:val="0"/>
          <w:sz w:val="32"/>
          <w:szCs w:val="32"/>
          <w:highlight w:val="none"/>
          <w:shd w:val="clear" w:color="auto" w:fill="FFFFFF"/>
          <w14:textFill>
            <w14:solidFill>
              <w14:schemeClr w14:val="tx1"/>
            </w14:solidFill>
          </w14:textFill>
        </w:rPr>
        <w:t>西长安中骏世界城获评市级智慧商店，3家企业入选全市信息消费体验中心</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b w:val="0"/>
          <w:bCs w:val="0"/>
          <w:i w:val="0"/>
          <w:iCs w:val="0"/>
          <w:caps w:val="0"/>
          <w:color w:val="000000" w:themeColor="text1"/>
          <w:spacing w:val="0"/>
          <w:kern w:val="0"/>
          <w:sz w:val="32"/>
          <w:szCs w:val="32"/>
          <w:highlight w:val="none"/>
          <w:shd w:val="clear" w:color="auto" w:fill="FFFFFF"/>
          <w14:textFill>
            <w14:solidFill>
              <w14:schemeClr w14:val="tx1"/>
            </w14:solidFill>
          </w14:textFill>
        </w:rPr>
        <w:t>檀谷商圈入选“夜京城”特色打卡地</w:t>
      </w:r>
      <w:r>
        <w:rPr>
          <w:rFonts w:hint="eastAsia" w:ascii="仿宋_GB2312" w:hAnsi="仿宋_GB2312" w:eastAsia="仿宋_GB2312" w:cs="仿宋_GB2312"/>
          <w:i w:val="0"/>
          <w:iCs w:val="0"/>
          <w:caps w:val="0"/>
          <w:color w:val="000000" w:themeColor="text1"/>
          <w:spacing w:val="0"/>
          <w:kern w:val="0"/>
          <w:sz w:val="32"/>
          <w:szCs w:val="32"/>
          <w:highlight w:val="none"/>
          <w:shd w:val="clear" w:color="auto" w:fill="FFFFFF"/>
          <w14:textFill>
            <w14:solidFill>
              <w14:schemeClr w14:val="tx1"/>
            </w14:solidFill>
          </w14:textFill>
        </w:rPr>
        <w:t>。</w:t>
      </w:r>
    </w:p>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Pr>
        <w:spacing w:line="560" w:lineRule="exact"/>
        <w:ind w:firstLine="640" w:firstLineChars="200"/>
        <w:outlineLvl w:val="1"/>
        <w:rPr>
          <w:rFonts w:ascii="Times New Roman" w:hAnsi="Times New Roman" w:eastAsia="黑体" w:cs="Times New Roman"/>
          <w:bCs w:val="0"/>
          <w:color w:val="000000" w:themeColor="text1"/>
          <w:sz w:val="32"/>
          <w:szCs w:val="32"/>
          <w:highlight w:val="none"/>
          <w14:textFill>
            <w14:solidFill>
              <w14:schemeClr w14:val="tx1"/>
            </w14:solidFill>
          </w14:textFill>
        </w:rPr>
      </w:pPr>
      <w:bookmarkStart w:id="181" w:name="_Toc15988"/>
      <w:bookmarkStart w:id="182" w:name="_Toc23481"/>
      <w:bookmarkStart w:id="183" w:name="_Toc9381"/>
      <w:bookmarkStart w:id="184" w:name="_Toc13139"/>
      <w:bookmarkStart w:id="185" w:name="_Toc41"/>
      <w:bookmarkStart w:id="186" w:name="_Toc13236"/>
      <w:bookmarkStart w:id="187" w:name="_Toc4174"/>
      <w:bookmarkStart w:id="188" w:name="_Toc31507"/>
      <w:bookmarkStart w:id="189" w:name="_Toc17075"/>
      <w:bookmarkStart w:id="190" w:name="_Toc23854"/>
      <w:bookmarkStart w:id="191" w:name="_Toc14147"/>
      <w:bookmarkStart w:id="192" w:name="_Toc32140"/>
      <w:bookmarkStart w:id="193" w:name="_Toc31798"/>
      <w:bookmarkStart w:id="194" w:name="_Toc17779"/>
      <w:bookmarkStart w:id="195" w:name="_Toc31701"/>
      <w:bookmarkStart w:id="196" w:name="_Toc30376"/>
      <w:bookmarkStart w:id="197" w:name="_Toc3098"/>
      <w:bookmarkStart w:id="198" w:name="_Toc15030"/>
      <w:bookmarkStart w:id="199" w:name="_Toc482"/>
      <w:bookmarkStart w:id="200" w:name="_Toc30134"/>
      <w:bookmarkStart w:id="201" w:name="_Toc25540"/>
      <w:bookmarkStart w:id="202" w:name="_Toc2914"/>
      <w:bookmarkStart w:id="203" w:name="_Toc2523"/>
      <w:r>
        <w:rPr>
          <w:rFonts w:hint="default" w:ascii="Times New Roman" w:hAnsi="Times New Roman" w:eastAsia="黑体" w:cs="Times New Roman"/>
          <w:color w:val="000000" w:themeColor="text1"/>
          <w:sz w:val="32"/>
          <w:szCs w:val="32"/>
          <w:highlight w:val="none"/>
          <w:lang w:eastAsia="zh-CN"/>
          <w14:textFill>
            <w14:solidFill>
              <w14:schemeClr w14:val="tx1"/>
            </w14:solidFill>
          </w14:textFill>
        </w:rPr>
        <w:t>二、</w:t>
      </w:r>
      <w:bookmarkEnd w:id="53"/>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Start w:id="204" w:name="_Toc9159"/>
      <w:bookmarkStart w:id="205" w:name="_Toc20949"/>
      <w:bookmarkStart w:id="206" w:name="_Toc11051"/>
      <w:bookmarkStart w:id="207" w:name="_Toc29219"/>
      <w:bookmarkStart w:id="208" w:name="_Toc10463"/>
      <w:bookmarkStart w:id="209" w:name="_Toc9041"/>
      <w:bookmarkStart w:id="210" w:name="_Toc10587"/>
      <w:bookmarkStart w:id="211" w:name="_Toc10162"/>
      <w:bookmarkStart w:id="212" w:name="_Toc24675"/>
      <w:bookmarkStart w:id="213" w:name="_Toc32310"/>
      <w:bookmarkStart w:id="214" w:name="_Toc7549"/>
      <w:bookmarkStart w:id="215" w:name="_Toc1913"/>
      <w:bookmarkStart w:id="216" w:name="_Toc26095"/>
      <w:bookmarkStart w:id="217" w:name="_Toc29376"/>
      <w:bookmarkStart w:id="218" w:name="_Toc28543"/>
      <w:bookmarkStart w:id="219" w:name="_Toc22344"/>
      <w:bookmarkStart w:id="220" w:name="_Toc7717"/>
      <w:bookmarkStart w:id="221" w:name="_Toc26745"/>
      <w:bookmarkStart w:id="222" w:name="_Toc9115"/>
      <w:bookmarkStart w:id="223" w:name="_Toc10169"/>
      <w:bookmarkStart w:id="224" w:name="_Toc28931"/>
      <w:bookmarkStart w:id="225" w:name="_Toc18125"/>
      <w:bookmarkStart w:id="226" w:name="_Toc14456"/>
      <w:bookmarkStart w:id="227" w:name="_Toc25657"/>
      <w:bookmarkStart w:id="228" w:name="_Toc31956"/>
      <w:bookmarkStart w:id="229" w:name="_Toc28122"/>
      <w:bookmarkStart w:id="230" w:name="_Toc11392"/>
      <w:r>
        <w:rPr>
          <w:rFonts w:hint="default" w:ascii="Times New Roman" w:hAnsi="Times New Roman" w:eastAsia="黑体" w:cs="Times New Roman"/>
          <w:bCs w:val="0"/>
          <w:color w:val="000000" w:themeColor="text1"/>
          <w:sz w:val="32"/>
          <w:szCs w:val="32"/>
          <w:highlight w:val="none"/>
          <w14:textFill>
            <w14:solidFill>
              <w14:schemeClr w14:val="tx1"/>
            </w14:solidFill>
          </w14:textFill>
        </w:rPr>
        <w:t>“十五五”时期</w:t>
      </w:r>
      <w:r>
        <w:rPr>
          <w:rFonts w:hint="eastAsia" w:ascii="Times New Roman" w:hAnsi="Times New Roman" w:eastAsia="黑体" w:cs="Times New Roman"/>
          <w:bCs w:val="0"/>
          <w:color w:val="000000" w:themeColor="text1"/>
          <w:sz w:val="32"/>
          <w:szCs w:val="32"/>
          <w:highlight w:val="none"/>
          <w:lang w:eastAsia="zh-CN"/>
          <w14:textFill>
            <w14:solidFill>
              <w14:schemeClr w14:val="tx1"/>
            </w14:solidFill>
          </w14:textFill>
        </w:rPr>
        <w:t>面临形势</w:t>
      </w:r>
      <w:bookmarkEnd w:id="201"/>
      <w:bookmarkEnd w:id="202"/>
      <w:bookmarkEnd w:id="203"/>
      <w:bookmarkEnd w:id="204"/>
    </w:p>
    <w:p>
      <w:pPr>
        <w:spacing w:line="560" w:lineRule="exact"/>
        <w:ind w:firstLine="640" w:firstLineChars="200"/>
        <w:outlineLvl w:val="9"/>
        <w:rPr>
          <w:rFonts w:hint="eastAsia" w:ascii="仿宋_GB2312" w:hAnsi="仿宋_GB2312" w:eastAsia="仿宋_GB2312" w:cs="仿宋_GB2312"/>
          <w:bCs/>
          <w:color w:val="000000" w:themeColor="text1"/>
          <w:kern w:val="0"/>
          <w:sz w:val="32"/>
          <w:szCs w:val="32"/>
          <w:highlight w:val="none"/>
          <w:lang w:eastAsia="zh-CN"/>
          <w14:textFill>
            <w14:solidFill>
              <w14:schemeClr w14:val="tx1"/>
            </w14:solidFill>
          </w14:textFill>
        </w:rPr>
      </w:pPr>
      <w:bookmarkStart w:id="231" w:name="_Toc8864"/>
      <w:bookmarkStart w:id="232" w:name="_Toc16740"/>
      <w:bookmarkStart w:id="233" w:name="_Toc6783"/>
      <w:bookmarkStart w:id="234" w:name="_Toc24653"/>
      <w:r>
        <w:rPr>
          <w:rFonts w:hint="eastAsia" w:ascii="仿宋_GB2312" w:hAnsi="仿宋_GB2312" w:eastAsia="仿宋_GB2312" w:cs="仿宋_GB2312"/>
          <w:bCs/>
          <w:i w:val="0"/>
          <w:iCs w:val="0"/>
          <w:caps w:val="0"/>
          <w:color w:val="000000" w:themeColor="text1"/>
          <w:spacing w:val="0"/>
          <w:kern w:val="0"/>
          <w:sz w:val="32"/>
          <w:szCs w:val="32"/>
          <w:highlight w:val="none"/>
          <w:shd w:val="clear"/>
          <w:lang w:eastAsia="zh-CN"/>
          <w14:textFill>
            <w14:solidFill>
              <w14:schemeClr w14:val="tx1"/>
            </w14:solidFill>
          </w14:textFill>
        </w:rPr>
        <w:t>“十五五”时期，战略机遇与挑战并存。</w:t>
      </w:r>
      <w:r>
        <w:rPr>
          <w:rFonts w:ascii="仿宋_GB2312" w:hAnsi="仿宋_GB2312" w:eastAsia="仿宋_GB2312" w:cs="仿宋_GB2312"/>
          <w:b/>
          <w:bCs w:val="0"/>
          <w:i w:val="0"/>
          <w:iCs w:val="0"/>
          <w:caps w:val="0"/>
          <w:color w:val="000000" w:themeColor="text1"/>
          <w:spacing w:val="0"/>
          <w:kern w:val="0"/>
          <w:sz w:val="32"/>
          <w:szCs w:val="32"/>
          <w:highlight w:val="none"/>
          <w:shd w:val="clear"/>
          <w14:textFill>
            <w14:solidFill>
              <w14:schemeClr w14:val="tx1"/>
            </w14:solidFill>
          </w14:textFill>
        </w:rPr>
        <w:t>从国家层面看</w:t>
      </w:r>
      <w:r>
        <w:rPr>
          <w:rFonts w:ascii="仿宋_GB2312" w:hAnsi="仿宋_GB2312" w:eastAsia="仿宋_GB2312" w:cs="仿宋_GB2312"/>
          <w:bCs/>
          <w:i w:val="0"/>
          <w:iCs w:val="0"/>
          <w:caps w:val="0"/>
          <w:color w:val="000000" w:themeColor="text1"/>
          <w:spacing w:val="0"/>
          <w:kern w:val="0"/>
          <w:sz w:val="32"/>
          <w:szCs w:val="32"/>
          <w:highlight w:val="none"/>
          <w:shd w:val="clear"/>
          <w14:textFill>
            <w14:solidFill>
              <w14:schemeClr w14:val="tx1"/>
            </w14:solidFill>
          </w14:textFill>
        </w:rPr>
        <w:t>，国家大力实施扩大内需战略，统筹部署服务业提质发展，为区域商品消费提档、服务消费提质提供顶层战略支撑。</w:t>
      </w:r>
      <w:r>
        <w:rPr>
          <w:rFonts w:ascii="仿宋_GB2312" w:hAnsi="仿宋_GB2312" w:eastAsia="仿宋_GB2312" w:cs="仿宋_GB2312"/>
          <w:b/>
          <w:bCs w:val="0"/>
          <w:i w:val="0"/>
          <w:iCs w:val="0"/>
          <w:caps w:val="0"/>
          <w:color w:val="000000" w:themeColor="text1"/>
          <w:spacing w:val="0"/>
          <w:kern w:val="0"/>
          <w:sz w:val="32"/>
          <w:szCs w:val="32"/>
          <w:highlight w:val="none"/>
          <w:shd w:val="clear"/>
          <w14:textFill>
            <w14:solidFill>
              <w14:schemeClr w14:val="tx1"/>
            </w14:solidFill>
          </w14:textFill>
        </w:rPr>
        <w:t>从区域层面看</w:t>
      </w:r>
      <w:r>
        <w:rPr>
          <w:rFonts w:ascii="仿宋_GB2312" w:hAnsi="仿宋_GB2312" w:eastAsia="仿宋_GB2312" w:cs="仿宋_GB2312"/>
          <w:bCs/>
          <w:i w:val="0"/>
          <w:iCs w:val="0"/>
          <w:caps w:val="0"/>
          <w:color w:val="000000" w:themeColor="text1"/>
          <w:spacing w:val="0"/>
          <w:kern w:val="0"/>
          <w:sz w:val="32"/>
          <w:szCs w:val="32"/>
          <w:highlight w:val="none"/>
          <w:shd w:val="clear"/>
          <w14:textFill>
            <w14:solidFill>
              <w14:schemeClr w14:val="tx1"/>
            </w14:solidFill>
          </w14:textFill>
        </w:rPr>
        <w:t>，京津冀协同发展迈向全方位高质量纵深阶段，区域统一市场加快构建，为门头沟区跨域联动</w:t>
      </w:r>
      <w:r>
        <w:rPr>
          <w:rFonts w:hint="eastAsia" w:ascii="仿宋_GB2312" w:hAnsi="仿宋_GB2312" w:eastAsia="仿宋_GB2312" w:cs="仿宋_GB2312"/>
          <w:bCs/>
          <w:i w:val="0"/>
          <w:iCs w:val="0"/>
          <w:caps w:val="0"/>
          <w:color w:val="000000" w:themeColor="text1"/>
          <w:spacing w:val="0"/>
          <w:kern w:val="0"/>
          <w:sz w:val="32"/>
          <w:szCs w:val="32"/>
          <w:highlight w:val="none"/>
          <w:shd w:val="clear"/>
          <w:lang w:val="en-US" w:eastAsia="zh-CN"/>
          <w14:textFill>
            <w14:solidFill>
              <w14:schemeClr w14:val="tx1"/>
            </w14:solidFill>
          </w14:textFill>
        </w:rPr>
        <w:t>发展</w:t>
      </w:r>
      <w:r>
        <w:rPr>
          <w:rFonts w:ascii="仿宋_GB2312" w:hAnsi="仿宋_GB2312" w:eastAsia="仿宋_GB2312" w:cs="仿宋_GB2312"/>
          <w:bCs/>
          <w:i w:val="0"/>
          <w:iCs w:val="0"/>
          <w:caps w:val="0"/>
          <w:color w:val="000000" w:themeColor="text1"/>
          <w:spacing w:val="0"/>
          <w:kern w:val="0"/>
          <w:sz w:val="32"/>
          <w:szCs w:val="32"/>
          <w:highlight w:val="none"/>
          <w:shd w:val="clear"/>
          <w14:textFill>
            <w14:solidFill>
              <w14:schemeClr w14:val="tx1"/>
            </w14:solidFill>
          </w14:textFill>
        </w:rPr>
        <w:t>夯实基础。</w:t>
      </w:r>
      <w:r>
        <w:rPr>
          <w:rFonts w:ascii="仿宋_GB2312" w:hAnsi="仿宋_GB2312" w:eastAsia="仿宋_GB2312" w:cs="仿宋_GB2312"/>
          <w:b/>
          <w:bCs w:val="0"/>
          <w:i w:val="0"/>
          <w:iCs w:val="0"/>
          <w:caps w:val="0"/>
          <w:color w:val="000000" w:themeColor="text1"/>
          <w:spacing w:val="0"/>
          <w:kern w:val="0"/>
          <w:sz w:val="32"/>
          <w:szCs w:val="32"/>
          <w:highlight w:val="none"/>
          <w:shd w:val="clear"/>
          <w14:textFill>
            <w14:solidFill>
              <w14:schemeClr w14:val="tx1"/>
            </w14:solidFill>
          </w14:textFill>
        </w:rPr>
        <w:t>从</w:t>
      </w:r>
      <w:r>
        <w:rPr>
          <w:rFonts w:hint="default" w:ascii="仿宋_GB2312" w:hAnsi="仿宋_GB2312" w:eastAsia="仿宋_GB2312" w:cs="仿宋_GB2312"/>
          <w:b/>
          <w:bCs w:val="0"/>
          <w:i w:val="0"/>
          <w:iCs w:val="0"/>
          <w:caps w:val="0"/>
          <w:color w:val="000000" w:themeColor="text1"/>
          <w:spacing w:val="0"/>
          <w:kern w:val="0"/>
          <w:sz w:val="32"/>
          <w:szCs w:val="32"/>
          <w:highlight w:val="none"/>
          <w:shd w:val="clear"/>
          <w:lang w:eastAsia="zh-CN"/>
          <w14:textFill>
            <w14:solidFill>
              <w14:schemeClr w14:val="tx1"/>
            </w14:solidFill>
          </w14:textFill>
        </w:rPr>
        <w:t>市级层面</w:t>
      </w:r>
      <w:r>
        <w:rPr>
          <w:rFonts w:ascii="仿宋_GB2312" w:hAnsi="仿宋_GB2312" w:eastAsia="仿宋_GB2312" w:cs="仿宋_GB2312"/>
          <w:b/>
          <w:bCs w:val="0"/>
          <w:i w:val="0"/>
          <w:iCs w:val="0"/>
          <w:caps w:val="0"/>
          <w:color w:val="000000" w:themeColor="text1"/>
          <w:spacing w:val="0"/>
          <w:kern w:val="0"/>
          <w:sz w:val="32"/>
          <w:szCs w:val="32"/>
          <w:highlight w:val="none"/>
          <w:shd w:val="clear"/>
          <w14:textFill>
            <w14:solidFill>
              <w14:schemeClr w14:val="tx1"/>
            </w14:solidFill>
          </w14:textFill>
        </w:rPr>
        <w:t>看</w:t>
      </w:r>
      <w:r>
        <w:rPr>
          <w:rFonts w:ascii="仿宋_GB2312" w:hAnsi="仿宋_GB2312" w:eastAsia="仿宋_GB2312" w:cs="仿宋_GB2312"/>
          <w:bCs/>
          <w:i w:val="0"/>
          <w:iCs w:val="0"/>
          <w:caps w:val="0"/>
          <w:color w:val="000000" w:themeColor="text1"/>
          <w:spacing w:val="0"/>
          <w:kern w:val="0"/>
          <w:sz w:val="32"/>
          <w:szCs w:val="32"/>
          <w:highlight w:val="none"/>
          <w:shd w:val="clear"/>
          <w14:textFill>
            <w14:solidFill>
              <w14:schemeClr w14:val="tx1"/>
            </w14:solidFill>
          </w14:textFill>
        </w:rPr>
        <w:t>，北京国际消费中心城市</w:t>
      </w:r>
      <w:r>
        <w:rPr>
          <w:rFonts w:hint="eastAsia" w:ascii="仿宋_GB2312" w:hAnsi="仿宋_GB2312" w:eastAsia="仿宋_GB2312" w:cs="仿宋_GB2312"/>
          <w:bCs/>
          <w:i w:val="0"/>
          <w:iCs w:val="0"/>
          <w:caps w:val="0"/>
          <w:color w:val="000000" w:themeColor="text1"/>
          <w:spacing w:val="0"/>
          <w:kern w:val="0"/>
          <w:sz w:val="32"/>
          <w:szCs w:val="32"/>
          <w:highlight w:val="none"/>
          <w:shd w:val="clear"/>
          <w:lang w:eastAsia="zh-CN"/>
          <w14:textFill>
            <w14:solidFill>
              <w14:schemeClr w14:val="tx1"/>
            </w14:solidFill>
          </w14:textFill>
        </w:rPr>
        <w:t>深化</w:t>
      </w:r>
      <w:r>
        <w:rPr>
          <w:rFonts w:ascii="仿宋_GB2312" w:hAnsi="仿宋_GB2312" w:eastAsia="仿宋_GB2312" w:cs="仿宋_GB2312"/>
          <w:bCs/>
          <w:i w:val="0"/>
          <w:iCs w:val="0"/>
          <w:caps w:val="0"/>
          <w:color w:val="000000" w:themeColor="text1"/>
          <w:spacing w:val="0"/>
          <w:kern w:val="0"/>
          <w:sz w:val="32"/>
          <w:szCs w:val="32"/>
          <w:highlight w:val="none"/>
          <w:shd w:val="clear"/>
          <w14:textFill>
            <w14:solidFill>
              <w14:schemeClr w14:val="tx1"/>
            </w14:solidFill>
          </w14:textFill>
        </w:rPr>
        <w:t>建设，</w:t>
      </w:r>
      <w:r>
        <w:rPr>
          <w:rFonts w:ascii="仿宋_GB2312" w:hAnsi="仿宋_GB2312" w:eastAsia="仿宋_GB2312" w:cs="仿宋_GB2312"/>
          <w:bCs/>
          <w:color w:val="000000" w:themeColor="text1"/>
          <w:kern w:val="0"/>
          <w:sz w:val="32"/>
          <w:szCs w:val="32"/>
          <w:highlight w:val="none"/>
          <w14:textFill>
            <w14:solidFill>
              <w14:schemeClr w14:val="tx1"/>
            </w14:solidFill>
          </w14:textFill>
        </w:rPr>
        <w:t>“两园一河”</w:t>
      </w:r>
      <w:r>
        <w:rPr>
          <w:rFonts w:hint="eastAsia" w:ascii="仿宋_GB2312" w:hAnsi="仿宋_GB2312" w:eastAsia="仿宋_GB2312" w:cs="仿宋_GB2312"/>
          <w:bCs/>
          <w:color w:val="000000" w:themeColor="text1"/>
          <w:kern w:val="0"/>
          <w:sz w:val="32"/>
          <w:szCs w:val="32"/>
          <w:highlight w:val="none"/>
          <w:lang w:eastAsia="zh-CN"/>
          <w14:textFill>
            <w14:solidFill>
              <w14:schemeClr w14:val="tx1"/>
            </w14:solidFill>
          </w14:textFill>
        </w:rPr>
        <w:t>协同</w:t>
      </w:r>
      <w:r>
        <w:rPr>
          <w:rFonts w:ascii="仿宋_GB2312" w:hAnsi="仿宋_GB2312" w:eastAsia="仿宋_GB2312" w:cs="仿宋_GB2312"/>
          <w:bCs/>
          <w:color w:val="000000" w:themeColor="text1"/>
          <w:kern w:val="0"/>
          <w:sz w:val="32"/>
          <w:szCs w:val="32"/>
          <w:highlight w:val="none"/>
          <w14:textFill>
            <w14:solidFill>
              <w14:schemeClr w14:val="tx1"/>
            </w14:solidFill>
          </w14:textFill>
        </w:rPr>
        <w:t>联动发展部署落地实施，</w:t>
      </w:r>
      <w:r>
        <w:rPr>
          <w:rFonts w:hint="eastAsia" w:ascii="仿宋_GB2312" w:hAnsi="仿宋_GB2312" w:eastAsia="仿宋_GB2312" w:cs="仿宋_GB2312"/>
          <w:bCs/>
          <w:color w:val="000000" w:themeColor="text1"/>
          <w:kern w:val="0"/>
          <w:sz w:val="32"/>
          <w:szCs w:val="32"/>
          <w:highlight w:val="none"/>
          <w:lang w:eastAsia="zh-CN"/>
          <w14:textFill>
            <w14:solidFill>
              <w14:schemeClr w14:val="tx1"/>
            </w14:solidFill>
          </w14:textFill>
        </w:rPr>
        <w:t>为京西地区带来机遇的同时，对</w:t>
      </w:r>
      <w:r>
        <w:rPr>
          <w:rFonts w:ascii="仿宋_GB2312" w:hAnsi="仿宋_GB2312" w:eastAsia="仿宋_GB2312" w:cs="仿宋_GB2312"/>
          <w:bCs/>
          <w:i w:val="0"/>
          <w:iCs w:val="0"/>
          <w:caps w:val="0"/>
          <w:color w:val="000000" w:themeColor="text1"/>
          <w:spacing w:val="0"/>
          <w:kern w:val="0"/>
          <w:sz w:val="32"/>
          <w:szCs w:val="32"/>
          <w:highlight w:val="none"/>
          <w:shd w:val="clear"/>
          <w14:textFill>
            <w14:solidFill>
              <w14:schemeClr w14:val="tx1"/>
            </w14:solidFill>
          </w14:textFill>
        </w:rPr>
        <w:t>本区消费能级提升、特色功能打造提出更高标准</w:t>
      </w:r>
      <w:r>
        <w:rPr>
          <w:rFonts w:hint="eastAsia" w:ascii="仿宋_GB2312" w:hAnsi="仿宋_GB2312" w:eastAsia="仿宋_GB2312" w:cs="仿宋_GB2312"/>
          <w:bCs/>
          <w:i w:val="0"/>
          <w:iCs w:val="0"/>
          <w:caps w:val="0"/>
          <w:color w:val="000000" w:themeColor="text1"/>
          <w:spacing w:val="0"/>
          <w:kern w:val="0"/>
          <w:sz w:val="32"/>
          <w:szCs w:val="32"/>
          <w:highlight w:val="none"/>
          <w:shd w:val="clear"/>
          <w:lang w:eastAsia="zh-CN"/>
          <w14:textFill>
            <w14:solidFill>
              <w14:schemeClr w14:val="tx1"/>
            </w14:solidFill>
          </w14:textFill>
        </w:rPr>
        <w:t>。</w:t>
      </w:r>
      <w:r>
        <w:rPr>
          <w:rFonts w:hint="eastAsia" w:ascii="仿宋_GB2312" w:hAnsi="仿宋_GB2312" w:eastAsia="仿宋_GB2312" w:cs="仿宋_GB2312"/>
          <w:b/>
          <w:bCs w:val="0"/>
          <w:i w:val="0"/>
          <w:iCs w:val="0"/>
          <w:caps w:val="0"/>
          <w:color w:val="000000" w:themeColor="text1"/>
          <w:spacing w:val="0"/>
          <w:kern w:val="0"/>
          <w:sz w:val="32"/>
          <w:szCs w:val="32"/>
          <w:highlight w:val="none"/>
          <w:shd w:val="clear"/>
          <w:lang w:eastAsia="zh-CN"/>
          <w14:textFill>
            <w14:solidFill>
              <w14:schemeClr w14:val="tx1"/>
            </w14:solidFill>
          </w14:textFill>
        </w:rPr>
        <w:t>从地区层面看</w:t>
      </w:r>
      <w:r>
        <w:rPr>
          <w:rFonts w:hint="eastAsia" w:ascii="仿宋_GB2312" w:hAnsi="仿宋_GB2312" w:eastAsia="仿宋_GB2312" w:cs="仿宋_GB2312"/>
          <w:bCs/>
          <w:i w:val="0"/>
          <w:iCs w:val="0"/>
          <w:caps w:val="0"/>
          <w:color w:val="000000" w:themeColor="text1"/>
          <w:spacing w:val="0"/>
          <w:kern w:val="0"/>
          <w:sz w:val="32"/>
          <w:szCs w:val="32"/>
          <w:highlight w:val="none"/>
          <w:shd w:val="clear"/>
          <w:lang w:eastAsia="zh-CN"/>
          <w14:textFill>
            <w14:solidFill>
              <w14:schemeClr w14:val="tx1"/>
            </w14:solidFill>
          </w14:textFill>
        </w:rPr>
        <w:t>，</w:t>
      </w:r>
      <w:r>
        <w:rPr>
          <w:rFonts w:hint="default" w:ascii="仿宋_GB2312" w:hAnsi="仿宋_GB2312" w:eastAsia="仿宋_GB2312" w:cs="仿宋_GB2312"/>
          <w:bCs/>
          <w:color w:val="000000" w:themeColor="text1"/>
          <w:kern w:val="0"/>
          <w:sz w:val="32"/>
          <w:szCs w:val="32"/>
          <w:highlight w:val="none"/>
          <w:lang w:eastAsia="zh-CN"/>
          <w14:textFill>
            <w14:solidFill>
              <w14:schemeClr w14:val="tx1"/>
            </w14:solidFill>
          </w14:textFill>
        </w:rPr>
        <w:t>门头沟区</w:t>
      </w:r>
      <w:r>
        <w:rPr>
          <w:rFonts w:hint="eastAsia" w:ascii="仿宋_GB2312" w:hAnsi="仿宋_GB2312" w:eastAsia="仿宋_GB2312" w:cs="仿宋_GB2312"/>
          <w:bCs/>
          <w:color w:val="000000" w:themeColor="text1"/>
          <w:kern w:val="0"/>
          <w:sz w:val="32"/>
          <w:szCs w:val="32"/>
          <w:highlight w:val="none"/>
          <w:lang w:eastAsia="zh-CN"/>
          <w14:textFill>
            <w14:solidFill>
              <w14:schemeClr w14:val="tx1"/>
            </w14:solidFill>
          </w14:textFill>
        </w:rPr>
        <w:t>进入</w:t>
      </w:r>
      <w:r>
        <w:rPr>
          <w:rFonts w:ascii="仿宋_GB2312" w:hAnsi="仿宋_GB2312" w:eastAsia="仿宋_GB2312" w:cs="仿宋_GB2312"/>
          <w:bCs/>
          <w:color w:val="000000" w:themeColor="text1"/>
          <w:kern w:val="0"/>
          <w:sz w:val="32"/>
          <w:szCs w:val="32"/>
          <w:highlight w:val="none"/>
          <w14:textFill>
            <w14:solidFill>
              <w14:schemeClr w14:val="tx1"/>
            </w14:solidFill>
          </w14:textFill>
        </w:rPr>
        <w:t>转型发展加速阶段</w:t>
      </w:r>
      <w:r>
        <w:rPr>
          <w:rFonts w:hint="default" w:ascii="仿宋_GB2312" w:hAnsi="仿宋_GB2312" w:eastAsia="仿宋_GB2312" w:cs="仿宋_GB2312"/>
          <w:bCs/>
          <w:color w:val="000000" w:themeColor="text1"/>
          <w:kern w:val="0"/>
          <w:sz w:val="32"/>
          <w:szCs w:val="32"/>
          <w:highlight w:val="none"/>
          <w:lang w:eastAsia="zh-CN"/>
          <w14:textFill>
            <w14:solidFill>
              <w14:schemeClr w14:val="tx1"/>
            </w14:solidFill>
          </w14:textFill>
        </w:rPr>
        <w:t>，</w:t>
      </w:r>
      <w:r>
        <w:rPr>
          <w:rFonts w:ascii="仿宋_GB2312" w:hAnsi="仿宋_GB2312" w:eastAsia="仿宋_GB2312" w:cs="仿宋_GB2312"/>
          <w:bCs/>
          <w:color w:val="000000" w:themeColor="text1"/>
          <w:kern w:val="0"/>
          <w:sz w:val="32"/>
          <w:szCs w:val="32"/>
          <w:highlight w:val="none"/>
          <w14:textFill>
            <w14:solidFill>
              <w14:schemeClr w14:val="tx1"/>
            </w14:solidFill>
          </w14:textFill>
        </w:rPr>
        <w:t>人工智能、超高清数字视听（计算视听）、心血管创新药械“新三产”加快集聚成势，</w:t>
      </w:r>
      <w:r>
        <w:rPr>
          <w:rFonts w:ascii="仿宋_GB2312" w:hAnsi="仿宋_GB2312" w:eastAsia="仿宋_GB2312" w:cs="仿宋_GB2312"/>
          <w:bCs/>
          <w:i w:val="0"/>
          <w:iCs w:val="0"/>
          <w:caps w:val="0"/>
          <w:color w:val="000000" w:themeColor="text1"/>
          <w:spacing w:val="0"/>
          <w:kern w:val="0"/>
          <w:sz w:val="32"/>
          <w:szCs w:val="32"/>
          <w:highlight w:val="none"/>
          <w:shd w:val="clear" w:fill="auto"/>
          <w14:textFill>
            <w14:solidFill>
              <w14:schemeClr w14:val="tx1"/>
            </w14:solidFill>
          </w14:textFill>
        </w:rPr>
        <w:t>人口结构持续优化，</w:t>
      </w:r>
      <w:r>
        <w:rPr>
          <w:rFonts w:hint="eastAsia" w:ascii="仿宋_GB2312" w:hAnsi="仿宋_GB2312" w:eastAsia="仿宋_GB2312" w:cs="仿宋_GB2312"/>
          <w:bCs/>
          <w:i w:val="0"/>
          <w:iCs w:val="0"/>
          <w:caps w:val="0"/>
          <w:color w:val="000000" w:themeColor="text1"/>
          <w:spacing w:val="0"/>
          <w:kern w:val="0"/>
          <w:sz w:val="32"/>
          <w:szCs w:val="32"/>
          <w:highlight w:val="none"/>
          <w:shd w:val="clear" w:fill="auto"/>
          <w:lang w:eastAsia="zh-CN"/>
          <w14:textFill>
            <w14:solidFill>
              <w14:schemeClr w14:val="tx1"/>
            </w14:solidFill>
          </w14:textFill>
        </w:rPr>
        <w:t>消费潜力</w:t>
      </w:r>
      <w:r>
        <w:rPr>
          <w:rFonts w:hint="default" w:ascii="仿宋_GB2312" w:hAnsi="仿宋_GB2312" w:eastAsia="仿宋_GB2312" w:cs="仿宋_GB2312"/>
          <w:bCs/>
          <w:color w:val="000000" w:themeColor="text1"/>
          <w:kern w:val="0"/>
          <w:sz w:val="32"/>
          <w:szCs w:val="32"/>
          <w:highlight w:val="none"/>
          <w:lang w:eastAsia="zh-CN"/>
          <w14:textFill>
            <w14:solidFill>
              <w14:schemeClr w14:val="tx1"/>
            </w14:solidFill>
          </w14:textFill>
        </w:rPr>
        <w:t>将加速</w:t>
      </w:r>
      <w:r>
        <w:rPr>
          <w:rFonts w:ascii="仿宋_GB2312" w:hAnsi="仿宋_GB2312" w:eastAsia="仿宋_GB2312" w:cs="仿宋_GB2312"/>
          <w:bCs/>
          <w:color w:val="000000" w:themeColor="text1"/>
          <w:kern w:val="0"/>
          <w:sz w:val="32"/>
          <w:szCs w:val="32"/>
          <w:highlight w:val="none"/>
          <w14:textFill>
            <w14:solidFill>
              <w14:schemeClr w14:val="tx1"/>
            </w14:solidFill>
          </w14:textFill>
        </w:rPr>
        <w:t>释放。</w:t>
      </w:r>
      <w:r>
        <w:rPr>
          <w:rFonts w:hint="eastAsia" w:ascii="仿宋_GB2312" w:hAnsi="仿宋_GB2312" w:eastAsia="仿宋_GB2312" w:cs="仿宋_GB2312"/>
          <w:bCs/>
          <w:color w:val="000000" w:themeColor="text1"/>
          <w:kern w:val="0"/>
          <w:sz w:val="32"/>
          <w:szCs w:val="32"/>
          <w:highlight w:val="none"/>
          <w:lang w:eastAsia="zh-CN"/>
          <w14:textFill>
            <w14:solidFill>
              <w14:schemeClr w14:val="tx1"/>
            </w14:solidFill>
          </w14:textFill>
        </w:rPr>
        <w:t>同时，全区商业发展也面临</w:t>
      </w:r>
      <w:r>
        <w:rPr>
          <w:rFonts w:ascii="仿宋_GB2312" w:hAnsi="仿宋_GB2312" w:eastAsia="仿宋_GB2312" w:cs="仿宋_GB2312"/>
          <w:bCs/>
          <w:color w:val="000000" w:themeColor="text1"/>
          <w:kern w:val="0"/>
          <w:sz w:val="32"/>
          <w:szCs w:val="32"/>
          <w:highlight w:val="none"/>
          <w14:textFill>
            <w14:solidFill>
              <w14:schemeClr w14:val="tx1"/>
            </w14:solidFill>
          </w14:textFill>
        </w:rPr>
        <w:t>优质供给不足</w:t>
      </w:r>
      <w:r>
        <w:rPr>
          <w:rFonts w:hint="eastAsia" w:ascii="仿宋_GB2312" w:hAnsi="仿宋_GB2312" w:eastAsia="仿宋_GB2312" w:cs="仿宋_GB2312"/>
          <w:bCs/>
          <w:color w:val="000000" w:themeColor="text1"/>
          <w:kern w:val="0"/>
          <w:sz w:val="32"/>
          <w:szCs w:val="32"/>
          <w:highlight w:val="none"/>
          <w:lang w:eastAsia="zh-CN"/>
          <w14:textFill>
            <w14:solidFill>
              <w14:schemeClr w14:val="tx1"/>
            </w14:solidFill>
          </w14:textFill>
        </w:rPr>
        <w:t>、</w:t>
      </w:r>
      <w:r>
        <w:rPr>
          <w:rFonts w:ascii="仿宋_GB2312" w:hAnsi="仿宋_GB2312" w:eastAsia="仿宋_GB2312" w:cs="仿宋_GB2312"/>
          <w:bCs/>
          <w:color w:val="000000" w:themeColor="text1"/>
          <w:kern w:val="0"/>
          <w:sz w:val="32"/>
          <w:szCs w:val="32"/>
          <w:highlight w:val="none"/>
          <w14:textFill>
            <w14:solidFill>
              <w14:schemeClr w14:val="tx1"/>
            </w14:solidFill>
          </w14:textFill>
        </w:rPr>
        <w:t>业态融合不深</w:t>
      </w:r>
      <w:r>
        <w:rPr>
          <w:rFonts w:hint="eastAsia" w:ascii="仿宋_GB2312" w:hAnsi="仿宋_GB2312" w:eastAsia="仿宋_GB2312" w:cs="仿宋_GB2312"/>
          <w:bCs/>
          <w:color w:val="000000" w:themeColor="text1"/>
          <w:kern w:val="0"/>
          <w:sz w:val="32"/>
          <w:szCs w:val="32"/>
          <w:highlight w:val="none"/>
          <w:lang w:eastAsia="zh-CN"/>
          <w14:textFill>
            <w14:solidFill>
              <w14:schemeClr w14:val="tx1"/>
            </w14:solidFill>
          </w14:textFill>
        </w:rPr>
        <w:t>、周边区域竞争加剧等问题和挑战。</w:t>
      </w:r>
    </w:p>
    <w:p>
      <w:pPr>
        <w:spacing w:line="560" w:lineRule="exact"/>
        <w:ind w:firstLine="640" w:firstLineChars="200"/>
        <w:outlineLvl w:val="9"/>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pPr>
      <w:r>
        <w:rPr>
          <w:rFonts w:ascii="仿宋_GB2312" w:hAnsi="仿宋_GB2312" w:eastAsia="仿宋_GB2312" w:cs="仿宋_GB2312"/>
          <w:bCs/>
          <w:i w:val="0"/>
          <w:iCs w:val="0"/>
          <w:caps w:val="0"/>
          <w:color w:val="000000" w:themeColor="text1"/>
          <w:spacing w:val="0"/>
          <w:kern w:val="0"/>
          <w:sz w:val="32"/>
          <w:szCs w:val="32"/>
          <w:highlight w:val="none"/>
          <w:shd w:val="clear"/>
          <w14:textFill>
            <w14:solidFill>
              <w14:schemeClr w14:val="tx1"/>
            </w14:solidFill>
          </w14:textFill>
        </w:rPr>
        <w:t>总体来</w:t>
      </w:r>
      <w:r>
        <w:rPr>
          <w:rFonts w:ascii="仿宋_GB2312" w:hAnsi="仿宋_GB2312" w:eastAsia="仿宋_GB2312" w:cs="仿宋_GB2312"/>
          <w:bCs/>
          <w:color w:val="000000" w:themeColor="text1"/>
          <w:kern w:val="0"/>
          <w:sz w:val="32"/>
          <w:szCs w:val="32"/>
          <w:highlight w:val="none"/>
          <w14:textFill>
            <w14:solidFill>
              <w14:schemeClr w14:val="tx1"/>
            </w14:solidFill>
          </w14:textFill>
        </w:rPr>
        <w:t>看，发展有利条件多于挑战</w:t>
      </w:r>
      <w:r>
        <w:rPr>
          <w:rFonts w:ascii="仿宋_GB2312" w:hAnsi="仿宋_GB2312" w:eastAsia="仿宋_GB2312" w:cs="仿宋_GB2312"/>
          <w:bCs/>
          <w:i w:val="0"/>
          <w:iCs w:val="0"/>
          <w:caps w:val="0"/>
          <w:color w:val="000000" w:themeColor="text1"/>
          <w:spacing w:val="0"/>
          <w:kern w:val="0"/>
          <w:sz w:val="32"/>
          <w:szCs w:val="32"/>
          <w:highlight w:val="none"/>
          <w:shd w:val="clear"/>
          <w14:textFill>
            <w14:solidFill>
              <w14:schemeClr w14:val="tx1"/>
            </w14:solidFill>
          </w14:textFill>
        </w:rPr>
        <w:t>，</w:t>
      </w:r>
      <w:r>
        <w:rPr>
          <w:rFonts w:hint="eastAsia" w:ascii="仿宋_GB2312" w:hAnsi="仿宋_GB2312" w:eastAsia="仿宋_GB2312" w:cs="仿宋_GB2312"/>
          <w:bCs/>
          <w:i w:val="0"/>
          <w:iCs w:val="0"/>
          <w:caps w:val="0"/>
          <w:color w:val="000000" w:themeColor="text1"/>
          <w:spacing w:val="0"/>
          <w:kern w:val="0"/>
          <w:sz w:val="32"/>
          <w:szCs w:val="32"/>
          <w:highlight w:val="none"/>
          <w:shd w:val="clear"/>
          <w:lang w:eastAsia="zh-CN"/>
          <w14:textFill>
            <w14:solidFill>
              <w14:schemeClr w14:val="tx1"/>
            </w14:solidFill>
          </w14:textFill>
        </w:rPr>
        <w:t>“十五五”时期</w:t>
      </w:r>
      <w:r>
        <w:rPr>
          <w:rFonts w:ascii="仿宋_GB2312" w:hAnsi="仿宋_GB2312" w:eastAsia="仿宋_GB2312" w:cs="仿宋_GB2312"/>
          <w:bCs/>
          <w:i w:val="0"/>
          <w:iCs w:val="0"/>
          <w:caps w:val="0"/>
          <w:color w:val="000000" w:themeColor="text1"/>
          <w:spacing w:val="0"/>
          <w:kern w:val="0"/>
          <w:sz w:val="32"/>
          <w:szCs w:val="32"/>
          <w:highlight w:val="none"/>
          <w:shd w:val="clear"/>
          <w14:textFill>
            <w14:solidFill>
              <w14:schemeClr w14:val="tx1"/>
            </w14:solidFill>
          </w14:textFill>
        </w:rPr>
        <w:t>要统筹推动商品消费与服务消费双向升级，培育消费新业态新模式新场景，打造多元融合、优质高效的现代消费供给体系，全面增强区域消费核心竞争力。</w:t>
      </w:r>
    </w:p>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Pr>
        <w:spacing w:before="156" w:beforeLines="50" w:after="156" w:afterLines="50" w:line="560" w:lineRule="exact"/>
        <w:jc w:val="center"/>
        <w:outlineLvl w:val="0"/>
        <w:rPr>
          <w:rFonts w:ascii="Times New Roman" w:hAnsi="Times New Roman" w:eastAsia="黑体" w:cs="Times New Roman"/>
          <w:color w:val="000000" w:themeColor="text1"/>
          <w:sz w:val="32"/>
          <w:szCs w:val="32"/>
          <w:highlight w:val="none"/>
          <w14:textFill>
            <w14:solidFill>
              <w14:schemeClr w14:val="tx1"/>
            </w14:solidFill>
          </w14:textFill>
        </w:rPr>
      </w:pPr>
      <w:bookmarkStart w:id="235" w:name="_Toc9387"/>
      <w:bookmarkStart w:id="236" w:name="_Toc28034"/>
      <w:bookmarkStart w:id="237" w:name="_Toc9649"/>
      <w:bookmarkStart w:id="238" w:name="_Toc6267"/>
      <w:bookmarkStart w:id="239" w:name="_Toc22017"/>
      <w:bookmarkStart w:id="240" w:name="_Toc4705"/>
      <w:bookmarkStart w:id="241" w:name="_Toc24576"/>
      <w:bookmarkStart w:id="242" w:name="_Toc5278"/>
      <w:bookmarkStart w:id="243" w:name="_Toc18504"/>
      <w:bookmarkStart w:id="244" w:name="_Toc18971"/>
      <w:bookmarkStart w:id="245" w:name="_Toc10364"/>
      <w:bookmarkStart w:id="246" w:name="_Toc2172"/>
      <w:bookmarkStart w:id="247" w:name="_Toc12982"/>
      <w:bookmarkStart w:id="248" w:name="_Toc27152"/>
      <w:bookmarkStart w:id="249" w:name="_Toc3972"/>
      <w:bookmarkStart w:id="250" w:name="_Toc8906"/>
      <w:bookmarkStart w:id="251" w:name="_Toc18283"/>
      <w:bookmarkStart w:id="252" w:name="_Toc25110"/>
      <w:bookmarkStart w:id="253" w:name="_Toc2847"/>
      <w:bookmarkStart w:id="254" w:name="_Toc20336"/>
      <w:bookmarkStart w:id="255" w:name="_Toc27775"/>
      <w:bookmarkStart w:id="256" w:name="_Toc21720"/>
      <w:bookmarkStart w:id="257" w:name="_Toc28814"/>
      <w:bookmarkStart w:id="258" w:name="_Toc28415"/>
      <w:r>
        <w:rPr>
          <w:rFonts w:ascii="Times New Roman" w:hAnsi="Times New Roman" w:eastAsia="黑体" w:cs="Times New Roman"/>
          <w:color w:val="000000" w:themeColor="text1"/>
          <w:sz w:val="32"/>
          <w:szCs w:val="32"/>
          <w:highlight w:val="none"/>
          <w14:textFill>
            <w14:solidFill>
              <w14:schemeClr w14:val="tx1"/>
            </w14:solidFill>
          </w14:textFill>
        </w:rPr>
        <w:t>第</w:t>
      </w:r>
      <w:r>
        <w:rPr>
          <w:rFonts w:hint="eastAsia" w:ascii="Times New Roman" w:hAnsi="Times New Roman" w:eastAsia="黑体" w:cs="Times New Roman"/>
          <w:color w:val="000000" w:themeColor="text1"/>
          <w:sz w:val="32"/>
          <w:szCs w:val="32"/>
          <w:highlight w:val="none"/>
          <w:lang w:eastAsia="zh-CN"/>
          <w14:textFill>
            <w14:solidFill>
              <w14:schemeClr w14:val="tx1"/>
            </w14:solidFill>
          </w14:textFill>
        </w:rPr>
        <w:t>二</w:t>
      </w:r>
      <w:r>
        <w:rPr>
          <w:rFonts w:ascii="Times New Roman" w:hAnsi="Times New Roman" w:eastAsia="黑体" w:cs="Times New Roman"/>
          <w:color w:val="000000" w:themeColor="text1"/>
          <w:sz w:val="32"/>
          <w:szCs w:val="32"/>
          <w:highlight w:val="none"/>
          <w14:textFill>
            <w14:solidFill>
              <w14:schemeClr w14:val="tx1"/>
            </w14:solidFill>
          </w14:textFill>
        </w:rPr>
        <w:t>章 总体思路与发展目标</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spacing w:line="560" w:lineRule="exact"/>
        <w:ind w:firstLine="640" w:firstLineChars="200"/>
        <w:outlineLvl w:val="1"/>
        <w:rPr>
          <w:rFonts w:hint="eastAsia" w:ascii="Times New Roman" w:hAnsi="Times New Roman" w:eastAsia="黑体" w:cs="Times New Roman"/>
          <w:color w:val="000000" w:themeColor="text1"/>
          <w:sz w:val="32"/>
          <w:szCs w:val="32"/>
          <w:highlight w:val="none"/>
          <w14:textFill>
            <w14:solidFill>
              <w14:schemeClr w14:val="tx1"/>
            </w14:solidFill>
          </w14:textFill>
        </w:rPr>
      </w:pPr>
      <w:bookmarkStart w:id="259" w:name="_Toc8344"/>
      <w:bookmarkStart w:id="260" w:name="_Toc2330"/>
      <w:bookmarkStart w:id="261" w:name="_Toc30188"/>
      <w:bookmarkStart w:id="262" w:name="_Toc18296"/>
      <w:bookmarkStart w:id="263" w:name="_Toc9349"/>
      <w:bookmarkStart w:id="264" w:name="_Toc2123"/>
      <w:bookmarkStart w:id="265" w:name="_Toc8520"/>
      <w:bookmarkStart w:id="266" w:name="_Toc19830"/>
      <w:bookmarkStart w:id="267" w:name="_Toc19433"/>
      <w:bookmarkStart w:id="268" w:name="_Toc27760"/>
      <w:bookmarkStart w:id="269" w:name="_Toc13167"/>
      <w:bookmarkStart w:id="270" w:name="_Toc23759"/>
      <w:bookmarkStart w:id="271" w:name="_Toc3679"/>
      <w:bookmarkStart w:id="272" w:name="_Toc17523"/>
      <w:bookmarkStart w:id="273" w:name="_Toc27374"/>
      <w:bookmarkStart w:id="274" w:name="_Toc10243"/>
      <w:bookmarkStart w:id="275" w:name="_Toc11412"/>
      <w:bookmarkStart w:id="276" w:name="_Toc24358"/>
      <w:bookmarkStart w:id="277" w:name="_Toc19438"/>
      <w:bookmarkStart w:id="278" w:name="_Toc6404"/>
      <w:bookmarkStart w:id="279" w:name="_Toc5297"/>
      <w:bookmarkStart w:id="280" w:name="_Toc20538"/>
      <w:bookmarkStart w:id="281" w:name="_Toc22320"/>
      <w:bookmarkStart w:id="282" w:name="_Toc11718"/>
      <w:r>
        <w:rPr>
          <w:rFonts w:hint="eastAsia" w:ascii="Times New Roman" w:hAnsi="Times New Roman" w:eastAsia="黑体" w:cs="Times New Roman"/>
          <w:color w:val="000000" w:themeColor="text1"/>
          <w:sz w:val="32"/>
          <w:szCs w:val="32"/>
          <w:highlight w:val="none"/>
          <w14:textFill>
            <w14:solidFill>
              <w14:schemeClr w14:val="tx1"/>
            </w14:solidFill>
          </w14:textFill>
        </w:rPr>
        <w:t>一、</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r>
        <w:rPr>
          <w:rFonts w:hint="eastAsia" w:ascii="Times New Roman" w:hAnsi="Times New Roman" w:eastAsia="黑体" w:cs="Times New Roman"/>
          <w:color w:val="000000" w:themeColor="text1"/>
          <w:sz w:val="32"/>
          <w:szCs w:val="32"/>
          <w:highlight w:val="none"/>
          <w:lang w:eastAsia="zh-CN"/>
          <w14:textFill>
            <w14:solidFill>
              <w14:schemeClr w14:val="tx1"/>
            </w14:solidFill>
          </w14:textFill>
        </w:rPr>
        <w:t>指导思想</w:t>
      </w:r>
      <w:bookmarkEnd w:id="282"/>
    </w:p>
    <w:p>
      <w:pPr>
        <w:spacing w:line="560" w:lineRule="exact"/>
        <w:ind w:firstLine="640" w:firstLineChars="200"/>
        <w:jc w:val="left"/>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pPr>
      <w:r>
        <w:rPr>
          <w:rFonts w:ascii="Times New Roman" w:hAnsi="Times New Roman" w:eastAsia="仿宋_GB2312" w:cs="Times New Roman"/>
          <w:color w:val="000000" w:themeColor="text1"/>
          <w:sz w:val="32"/>
          <w:szCs w:val="32"/>
          <w:highlight w:val="none"/>
          <w14:textFill>
            <w14:solidFill>
              <w14:schemeClr w14:val="tx1"/>
            </w14:solidFill>
          </w14:textFill>
        </w:rPr>
        <w:t>全面贯彻习近平新时代中国特色社会主义思想，深入贯彻党的二十大和二十届历次全会精神，深入贯彻习近平总书记对北京重要讲话精神，坚持以新时代首都发展为统领，</w:t>
      </w:r>
      <w:r>
        <w:rPr>
          <w:rFonts w:hint="eastAsia" w:ascii="仿宋_GB2312" w:hAnsi="仿宋_GB2312" w:eastAsia="仿宋_GB2312" w:cs="仿宋_GB2312"/>
          <w:color w:val="000000" w:themeColor="text1"/>
          <w:sz w:val="32"/>
          <w:szCs w:val="32"/>
          <w:highlight w:val="none"/>
          <w14:textFill>
            <w14:solidFill>
              <w14:schemeClr w14:val="tx1"/>
            </w14:solidFill>
          </w14:textFill>
        </w:rPr>
        <w:t>全面落实市委市政府关于着力扩大内需，稳定预期，激发活力的总体要求，坚持“生态立区、文化兴区、科技强区”发展战略，聚焦</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“京西福地门头沟”</w:t>
      </w:r>
      <w:r>
        <w:rPr>
          <w:rFonts w:hint="eastAsia" w:ascii="仿宋_GB2312" w:hAnsi="仿宋_GB2312" w:eastAsia="仿宋_GB2312" w:cs="仿宋_GB2312"/>
          <w:color w:val="000000" w:themeColor="text1"/>
          <w:sz w:val="32"/>
          <w:szCs w:val="32"/>
          <w:highlight w:val="none"/>
          <w14:textFill>
            <w14:solidFill>
              <w14:schemeClr w14:val="tx1"/>
            </w14:solidFill>
          </w14:textFill>
        </w:rPr>
        <w:t>打造，以</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服务区域绿色高质量转型发展</w:t>
      </w:r>
      <w:r>
        <w:rPr>
          <w:rFonts w:hint="eastAsia" w:ascii="仿宋_GB2312" w:hAnsi="仿宋_GB2312" w:eastAsia="仿宋_GB2312" w:cs="仿宋_GB2312"/>
          <w:color w:val="000000" w:themeColor="text1"/>
          <w:sz w:val="32"/>
          <w:szCs w:val="32"/>
          <w:highlight w:val="none"/>
          <w14:textFill>
            <w14:solidFill>
              <w14:schemeClr w14:val="tx1"/>
            </w14:solidFill>
          </w14:textFill>
        </w:rPr>
        <w:t>为导向，以</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“消费+”“+消费”</w:t>
      </w:r>
      <w:r>
        <w:rPr>
          <w:rFonts w:hint="eastAsia" w:ascii="仿宋_GB2312" w:hAnsi="仿宋_GB2312" w:eastAsia="仿宋_GB2312" w:cs="仿宋_GB2312"/>
          <w:color w:val="000000" w:themeColor="text1"/>
          <w:sz w:val="32"/>
          <w:szCs w:val="32"/>
          <w:highlight w:val="none"/>
          <w14:textFill>
            <w14:solidFill>
              <w14:schemeClr w14:val="tx1"/>
            </w14:solidFill>
          </w14:textFill>
        </w:rPr>
        <w:t>融合发展为主线，紧抓“两园一河”</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协同</w:t>
      </w:r>
      <w:r>
        <w:rPr>
          <w:rFonts w:hint="eastAsia" w:ascii="仿宋_GB2312" w:hAnsi="仿宋_GB2312" w:eastAsia="仿宋_GB2312" w:cs="仿宋_GB2312"/>
          <w:color w:val="000000" w:themeColor="text1"/>
          <w:sz w:val="32"/>
          <w:szCs w:val="32"/>
          <w:highlight w:val="none"/>
          <w14:textFill>
            <w14:solidFill>
              <w14:schemeClr w14:val="tx1"/>
            </w14:solidFill>
          </w14:textFill>
        </w:rPr>
        <w:t>联动发展机遇，</w:t>
      </w:r>
      <w:r>
        <w:rPr>
          <w:rFonts w:ascii="仿宋_GB2312" w:hAnsi="仿宋_GB2312" w:eastAsia="仿宋_GB2312" w:cs="仿宋_GB2312"/>
          <w:b/>
          <w:color w:val="000000" w:themeColor="text1"/>
          <w:kern w:val="0"/>
          <w:sz w:val="32"/>
          <w:szCs w:val="32"/>
          <w:highlight w:val="none"/>
          <w14:textFill>
            <w14:solidFill>
              <w14:schemeClr w14:val="tx1"/>
            </w14:solidFill>
          </w14:textFill>
        </w:rPr>
        <w:t>统筹推动商品消费提质扩容与服务消费</w:t>
      </w:r>
      <w:r>
        <w:rPr>
          <w:rFonts w:hint="eastAsia" w:ascii="仿宋_GB2312" w:hAnsi="仿宋_GB2312" w:eastAsia="仿宋_GB2312" w:cs="仿宋_GB2312"/>
          <w:b/>
          <w:color w:val="000000" w:themeColor="text1"/>
          <w:kern w:val="0"/>
          <w:sz w:val="32"/>
          <w:szCs w:val="32"/>
          <w:highlight w:val="none"/>
          <w14:textFill>
            <w14:solidFill>
              <w14:schemeClr w14:val="tx1"/>
            </w14:solidFill>
          </w14:textFill>
        </w:rPr>
        <w:t>培育壮大</w:t>
      </w:r>
      <w:r>
        <w:rPr>
          <w:rFonts w:ascii="仿宋_GB2312" w:hAnsi="仿宋_GB2312" w:eastAsia="仿宋_GB2312" w:cs="仿宋_GB2312"/>
          <w:b/>
          <w:color w:val="000000" w:themeColor="text1"/>
          <w:kern w:val="0"/>
          <w:sz w:val="32"/>
          <w:szCs w:val="32"/>
          <w:highlight w:val="none"/>
          <w14:textFill>
            <w14:solidFill>
              <w14:schemeClr w14:val="tx1"/>
            </w14:solidFill>
          </w14:textFill>
        </w:rPr>
        <w:t>，</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优布局、提能级、强服务、入大</w:t>
      </w:r>
      <w:r>
        <w:rPr>
          <w:rFonts w:hint="eastAsia" w:ascii="仿宋_GB2312" w:hAnsi="仿宋_GB2312" w:eastAsia="仿宋_GB2312" w:cs="仿宋_GB2312"/>
          <w:b/>
          <w:bCs/>
          <w:color w:val="auto"/>
          <w:sz w:val="32"/>
          <w:szCs w:val="32"/>
          <w:highlight w:val="none"/>
        </w:rPr>
        <w:t>局、塑环境，</w:t>
      </w:r>
      <w:r>
        <w:rPr>
          <w:rFonts w:hint="eastAsia" w:ascii="仿宋_GB2312" w:hAnsi="仿宋_GB2312" w:eastAsia="仿宋_GB2312" w:cs="仿宋_GB2312"/>
          <w:color w:val="auto"/>
          <w:sz w:val="32"/>
          <w:szCs w:val="32"/>
          <w:highlight w:val="none"/>
        </w:rPr>
        <w:t>构建</w:t>
      </w:r>
      <w:r>
        <w:rPr>
          <w:rFonts w:hint="eastAsia" w:ascii="仿宋_GB2312" w:hAnsi="仿宋_GB2312" w:eastAsia="仿宋_GB2312" w:cs="仿宋_GB2312"/>
          <w:color w:val="auto"/>
          <w:sz w:val="32"/>
          <w:szCs w:val="32"/>
          <w:highlight w:val="none"/>
          <w:lang w:val="en-US" w:eastAsia="zh-CN"/>
        </w:rPr>
        <w:t>深度</w:t>
      </w:r>
      <w:r>
        <w:rPr>
          <w:rFonts w:hint="eastAsia" w:ascii="仿宋_GB2312" w:hAnsi="仿宋_GB2312" w:eastAsia="仿宋_GB2312" w:cs="仿宋_GB2312"/>
          <w:color w:val="auto"/>
          <w:sz w:val="32"/>
          <w:szCs w:val="32"/>
          <w:highlight w:val="none"/>
        </w:rPr>
        <w:t>契合区域功能、</w:t>
      </w:r>
      <w:r>
        <w:rPr>
          <w:rFonts w:hint="eastAsia" w:ascii="仿宋_GB2312" w:hAnsi="仿宋_GB2312" w:eastAsia="仿宋_GB2312" w:cs="仿宋_GB2312"/>
          <w:color w:val="auto"/>
          <w:sz w:val="32"/>
          <w:szCs w:val="32"/>
          <w:highlight w:val="none"/>
          <w:lang w:val="en-US" w:eastAsia="zh-CN"/>
        </w:rPr>
        <w:t>精准适配多元需求的</w:t>
      </w:r>
      <w:r>
        <w:rPr>
          <w:rFonts w:hint="eastAsia" w:ascii="仿宋_GB2312" w:hAnsi="仿宋_GB2312" w:eastAsia="仿宋_GB2312" w:cs="仿宋_GB2312"/>
          <w:color w:val="auto"/>
          <w:sz w:val="32"/>
          <w:szCs w:val="32"/>
          <w:highlight w:val="none"/>
        </w:rPr>
        <w:t>消费体系</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推动文旅农林商体学融合发展实现新突破，为北京深化国际消费中心城市</w:t>
      </w:r>
      <w:r>
        <w:rPr>
          <w:rFonts w:hint="eastAsia" w:ascii="仿宋_GB2312" w:hAnsi="仿宋_GB2312" w:eastAsia="仿宋_GB2312" w:cs="仿宋_GB2312"/>
          <w:color w:val="000000" w:themeColor="text1"/>
          <w:sz w:val="32"/>
          <w:szCs w:val="32"/>
          <w:highlight w:val="none"/>
          <w14:textFill>
            <w14:solidFill>
              <w14:schemeClr w14:val="tx1"/>
            </w14:solidFill>
          </w14:textFill>
        </w:rPr>
        <w:t>建设形成有力支撑。</w:t>
      </w:r>
    </w:p>
    <w:p>
      <w:pPr>
        <w:spacing w:line="560" w:lineRule="exact"/>
        <w:ind w:firstLine="640" w:firstLineChars="200"/>
        <w:outlineLvl w:val="1"/>
        <w:rPr>
          <w:rFonts w:ascii="Times New Roman" w:hAnsi="Times New Roman" w:eastAsia="黑体" w:cs="Times New Roman"/>
          <w:b/>
          <w:bCs/>
          <w:color w:val="000000" w:themeColor="text1"/>
          <w:sz w:val="32"/>
          <w:szCs w:val="32"/>
          <w:highlight w:val="none"/>
          <w14:textFill>
            <w14:solidFill>
              <w14:schemeClr w14:val="tx1"/>
            </w14:solidFill>
          </w14:textFill>
        </w:rPr>
      </w:pPr>
      <w:bookmarkStart w:id="283" w:name="_Toc24096"/>
      <w:bookmarkStart w:id="284" w:name="_Toc7983"/>
      <w:bookmarkStart w:id="285" w:name="_Toc11925"/>
      <w:bookmarkStart w:id="286" w:name="_Toc23614"/>
      <w:bookmarkStart w:id="287" w:name="_Toc15724"/>
      <w:bookmarkStart w:id="288" w:name="_Toc5678"/>
      <w:bookmarkStart w:id="289" w:name="_Toc4167"/>
      <w:bookmarkStart w:id="290" w:name="_Toc24969"/>
      <w:bookmarkStart w:id="291" w:name="_Toc13249"/>
      <w:bookmarkStart w:id="292" w:name="_Toc24235"/>
      <w:bookmarkStart w:id="293" w:name="_Toc29080"/>
      <w:bookmarkStart w:id="294" w:name="_Toc6060"/>
      <w:bookmarkStart w:id="295" w:name="_Toc24711"/>
      <w:bookmarkStart w:id="296" w:name="_Toc12861"/>
      <w:bookmarkStart w:id="297" w:name="_Toc4588"/>
      <w:bookmarkStart w:id="298" w:name="_Toc8526"/>
      <w:bookmarkStart w:id="299" w:name="_Toc18289"/>
      <w:bookmarkStart w:id="300" w:name="_Toc19741"/>
      <w:bookmarkStart w:id="301" w:name="_Toc6314"/>
      <w:bookmarkStart w:id="302" w:name="_Toc19409"/>
      <w:bookmarkStart w:id="303" w:name="_Toc445"/>
      <w:bookmarkStart w:id="304" w:name="_Toc22170"/>
      <w:bookmarkStart w:id="305" w:name="_Toc7244"/>
      <w:bookmarkStart w:id="306" w:name="_Toc3900"/>
      <w:r>
        <w:rPr>
          <w:rFonts w:hint="eastAsia" w:ascii="Times New Roman" w:hAnsi="Times New Roman" w:eastAsia="黑体" w:cs="Times New Roman"/>
          <w:color w:val="000000" w:themeColor="text1"/>
          <w:sz w:val="32"/>
          <w:szCs w:val="32"/>
          <w:highlight w:val="none"/>
          <w14:textFill>
            <w14:solidFill>
              <w14:schemeClr w14:val="tx1"/>
            </w14:solidFill>
          </w14:textFill>
        </w:rPr>
        <w:t>二、</w:t>
      </w:r>
      <w:r>
        <w:rPr>
          <w:rFonts w:ascii="Times New Roman" w:hAnsi="Times New Roman" w:eastAsia="黑体" w:cs="Times New Roman"/>
          <w:color w:val="000000" w:themeColor="text1"/>
          <w:sz w:val="32"/>
          <w:szCs w:val="32"/>
          <w:highlight w:val="none"/>
          <w14:textFill>
            <w14:solidFill>
              <w14:schemeClr w14:val="tx1"/>
            </w14:solidFill>
          </w14:textFill>
        </w:rPr>
        <w:t>发展目标</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spacing w:line="560" w:lineRule="exact"/>
        <w:ind w:firstLine="643" w:firstLineChars="200"/>
        <w:rPr>
          <w:rFonts w:hint="eastAsia" w:ascii="仿宋_GB2312" w:hAnsi="仿宋_GB2312" w:eastAsia="仿宋_GB2312" w:cs="仿宋_GB2312"/>
          <w:i w:val="0"/>
          <w:iCs w:val="0"/>
          <w:caps w:val="0"/>
          <w:color w:val="000000" w:themeColor="text1"/>
          <w:spacing w:val="0"/>
          <w:kern w:val="0"/>
          <w:sz w:val="32"/>
          <w:szCs w:val="32"/>
          <w:highlight w:val="none"/>
          <w14:textFill>
            <w14:solidFill>
              <w14:schemeClr w14:val="tx1"/>
            </w14:solidFill>
          </w14:textFill>
        </w:rPr>
      </w:pPr>
      <w:r>
        <w:rPr>
          <w:rFonts w:hint="eastAsia" w:ascii="仿宋_GB2312" w:hAnsi="仿宋_GB2312" w:eastAsia="仿宋_GB2312" w:cs="仿宋_GB2312"/>
          <w:b/>
          <w:bCs/>
          <w:i w:val="0"/>
          <w:iCs w:val="0"/>
          <w:caps w:val="0"/>
          <w:color w:val="000000" w:themeColor="text1"/>
          <w:spacing w:val="0"/>
          <w:kern w:val="0"/>
          <w:sz w:val="32"/>
          <w:szCs w:val="32"/>
          <w:highlight w:val="none"/>
          <w:shd w:val="clear"/>
          <w14:textFill>
            <w14:solidFill>
              <w14:schemeClr w14:val="tx1"/>
            </w14:solidFill>
          </w14:textFill>
        </w:rPr>
        <w:t>商业能级稳步提升。</w:t>
      </w:r>
      <w:r>
        <w:rPr>
          <w:rFonts w:hint="eastAsia" w:ascii="仿宋_GB2312" w:hAnsi="仿宋_GB2312" w:eastAsia="仿宋_GB2312" w:cs="仿宋_GB2312"/>
          <w:i w:val="0"/>
          <w:iCs w:val="0"/>
          <w:caps w:val="0"/>
          <w:color w:val="000000" w:themeColor="text1"/>
          <w:spacing w:val="0"/>
          <w:kern w:val="0"/>
          <w:sz w:val="32"/>
          <w:szCs w:val="32"/>
          <w:highlight w:val="none"/>
          <w:shd w:val="clear"/>
          <w14:textFill>
            <w14:solidFill>
              <w14:schemeClr w14:val="tx1"/>
            </w14:solidFill>
          </w14:textFill>
        </w:rPr>
        <w:t>消费规模持续扩大，总消费年均增速不低于</w:t>
      </w:r>
      <w:r>
        <w:rPr>
          <w:rFonts w:hint="eastAsia" w:ascii="仿宋_GB2312" w:hAnsi="仿宋_GB2312" w:eastAsia="仿宋_GB2312" w:cs="仿宋_GB2312"/>
          <w:i w:val="0"/>
          <w:iCs w:val="0"/>
          <w:caps w:val="0"/>
          <w:color w:val="000000" w:themeColor="text1"/>
          <w:spacing w:val="0"/>
          <w:kern w:val="0"/>
          <w:sz w:val="32"/>
          <w:szCs w:val="32"/>
          <w:highlight w:val="none"/>
          <w:shd w:val="clear"/>
          <w:lang w:val="en-US" w:eastAsia="zh-CN"/>
          <w14:textFill>
            <w14:solidFill>
              <w14:schemeClr w14:val="tx1"/>
            </w14:solidFill>
          </w14:textFill>
        </w:rPr>
        <w:t>5%</w:t>
      </w:r>
      <w:r>
        <w:rPr>
          <w:rFonts w:hint="eastAsia" w:ascii="仿宋_GB2312" w:hAnsi="仿宋_GB2312" w:eastAsia="仿宋_GB2312" w:cs="仿宋_GB2312"/>
          <w:i w:val="0"/>
          <w:iCs w:val="0"/>
          <w:caps w:val="0"/>
          <w:color w:val="000000" w:themeColor="text1"/>
          <w:spacing w:val="0"/>
          <w:kern w:val="0"/>
          <w:sz w:val="32"/>
          <w:szCs w:val="32"/>
          <w:highlight w:val="none"/>
          <w:shd w:val="clear"/>
          <w14:textFill>
            <w14:solidFill>
              <w14:schemeClr w14:val="tx1"/>
            </w14:solidFill>
          </w14:textFill>
        </w:rPr>
        <w:t>。批发零售业支撑增强，集聚一批总部型、平台型企业。餐饮业加快提质，“京西好味道”品牌影响力扩大。</w:t>
      </w:r>
      <w:r>
        <w:rPr>
          <w:rFonts w:hint="eastAsia" w:ascii="仿宋_GB2312" w:hAnsi="仿宋_GB2312" w:eastAsia="仿宋_GB2312" w:cs="仿宋_GB2312"/>
          <w:color w:val="000000" w:themeColor="text1"/>
          <w:sz w:val="32"/>
          <w:szCs w:val="32"/>
          <w:highlight w:val="none"/>
          <w14:textFill>
            <w14:solidFill>
              <w14:schemeClr w14:val="tx1"/>
            </w14:solidFill>
          </w14:textFill>
        </w:rPr>
        <w:t>深度融入</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国内国际</w:t>
      </w:r>
      <w:r>
        <w:rPr>
          <w:rFonts w:hint="eastAsia" w:ascii="仿宋_GB2312" w:hAnsi="仿宋_GB2312" w:eastAsia="仿宋_GB2312" w:cs="仿宋_GB2312"/>
          <w:color w:val="000000" w:themeColor="text1"/>
          <w:sz w:val="32"/>
          <w:szCs w:val="32"/>
          <w:highlight w:val="none"/>
          <w14:textFill>
            <w14:solidFill>
              <w14:schemeClr w14:val="tx1"/>
            </w14:solidFill>
          </w14:textFill>
        </w:rPr>
        <w:t>双循环互促</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新</w:t>
      </w:r>
      <w:r>
        <w:rPr>
          <w:rFonts w:hint="eastAsia" w:ascii="仿宋_GB2312" w:hAnsi="仿宋_GB2312" w:eastAsia="仿宋_GB2312" w:cs="仿宋_GB2312"/>
          <w:color w:val="000000" w:themeColor="text1"/>
          <w:sz w:val="32"/>
          <w:szCs w:val="32"/>
          <w:highlight w:val="none"/>
          <w14:textFill>
            <w14:solidFill>
              <w14:schemeClr w14:val="tx1"/>
            </w14:solidFill>
          </w14:textFill>
        </w:rPr>
        <w:t>发展格局</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kern w:val="0"/>
          <w:sz w:val="32"/>
          <w:szCs w:val="32"/>
          <w:highlight w:val="none"/>
          <w:shd w:val="clear"/>
          <w14:textFill>
            <w14:solidFill>
              <w14:schemeClr w14:val="tx1"/>
            </w14:solidFill>
          </w14:textFill>
        </w:rPr>
        <w:t>“十五五”</w:t>
      </w:r>
      <w:r>
        <w:rPr>
          <w:rFonts w:hint="eastAsia" w:ascii="仿宋_GB2312" w:hAnsi="仿宋_GB2312" w:eastAsia="仿宋_GB2312" w:cs="仿宋_GB2312"/>
          <w:i w:val="0"/>
          <w:iCs w:val="0"/>
          <w:caps w:val="0"/>
          <w:color w:val="000000" w:themeColor="text1"/>
          <w:spacing w:val="0"/>
          <w:kern w:val="0"/>
          <w:sz w:val="32"/>
          <w:szCs w:val="32"/>
          <w:highlight w:val="none"/>
          <w:shd w:val="clear"/>
          <w:lang w:eastAsia="zh-CN"/>
          <w14:textFill>
            <w14:solidFill>
              <w14:schemeClr w14:val="tx1"/>
            </w14:solidFill>
          </w14:textFill>
        </w:rPr>
        <w:t>时期</w:t>
      </w:r>
      <w:r>
        <w:rPr>
          <w:rFonts w:hint="eastAsia" w:ascii="仿宋_GB2312" w:hAnsi="仿宋_GB2312" w:eastAsia="仿宋_GB2312" w:cs="仿宋_GB2312"/>
          <w:i w:val="0"/>
          <w:iCs w:val="0"/>
          <w:caps w:val="0"/>
          <w:color w:val="000000" w:themeColor="text1"/>
          <w:spacing w:val="0"/>
          <w:kern w:val="0"/>
          <w:sz w:val="32"/>
          <w:szCs w:val="32"/>
          <w:highlight w:val="none"/>
          <w:shd w:val="clear"/>
          <w14:textFill>
            <w14:solidFill>
              <w14:schemeClr w14:val="tx1"/>
            </w14:solidFill>
          </w14:textFill>
        </w:rPr>
        <w:t>进出口总额累计突破200亿元。</w:t>
      </w:r>
    </w:p>
    <w:p>
      <w:pPr>
        <w:spacing w:line="560" w:lineRule="exact"/>
        <w:ind w:firstLine="643" w:firstLineChars="200"/>
        <w:rPr>
          <w:rFonts w:hint="eastAsia" w:ascii="仿宋_GB2312" w:hAnsi="仿宋_GB2312" w:eastAsia="仿宋_GB2312" w:cs="仿宋_GB2312"/>
          <w:i w:val="0"/>
          <w:iCs w:val="0"/>
          <w:caps w:val="0"/>
          <w:color w:val="000000" w:themeColor="text1"/>
          <w:spacing w:val="0"/>
          <w:kern w:val="0"/>
          <w:sz w:val="32"/>
          <w:szCs w:val="32"/>
          <w:highlight w:val="none"/>
          <w14:textFill>
            <w14:solidFill>
              <w14:schemeClr w14:val="tx1"/>
            </w14:solidFill>
          </w14:textFill>
        </w:rPr>
      </w:pPr>
      <w:r>
        <w:rPr>
          <w:rFonts w:hint="eastAsia" w:ascii="仿宋_GB2312" w:hAnsi="仿宋_GB2312" w:eastAsia="仿宋_GB2312" w:cs="仿宋_GB2312"/>
          <w:b/>
          <w:bCs/>
          <w:i w:val="0"/>
          <w:iCs w:val="0"/>
          <w:caps w:val="0"/>
          <w:color w:val="000000" w:themeColor="text1"/>
          <w:spacing w:val="0"/>
          <w:kern w:val="0"/>
          <w:sz w:val="32"/>
          <w:szCs w:val="32"/>
          <w:highlight w:val="none"/>
          <w:shd w:val="clear"/>
          <w14:textFill>
            <w14:solidFill>
              <w14:schemeClr w14:val="tx1"/>
            </w14:solidFill>
          </w14:textFill>
        </w:rPr>
        <w:t>消费供给提质增效。</w:t>
      </w:r>
      <w:r>
        <w:rPr>
          <w:rFonts w:hint="eastAsia" w:ascii="仿宋_GB2312" w:hAnsi="仿宋_GB2312" w:eastAsia="仿宋_GB2312" w:cs="仿宋_GB2312"/>
          <w:i w:val="0"/>
          <w:iCs w:val="0"/>
          <w:caps w:val="0"/>
          <w:color w:val="000000" w:themeColor="text1"/>
          <w:spacing w:val="0"/>
          <w:kern w:val="0"/>
          <w:sz w:val="32"/>
          <w:szCs w:val="32"/>
          <w:highlight w:val="none"/>
          <w:shd w:val="clear"/>
          <w14:textFill>
            <w14:solidFill>
              <w14:schemeClr w14:val="tx1"/>
            </w14:solidFill>
          </w14:textFill>
        </w:rPr>
        <w:t>“两核三圈、三带多点”格局初步形成，河滩、上岸、檀谷商圈功能升级，山区特色消费</w:t>
      </w:r>
      <w:r>
        <w:rPr>
          <w:rFonts w:hint="eastAsia" w:ascii="仿宋_GB2312" w:hAnsi="仿宋_GB2312" w:eastAsia="仿宋_GB2312" w:cs="仿宋_GB2312"/>
          <w:i w:val="0"/>
          <w:iCs w:val="0"/>
          <w:caps w:val="0"/>
          <w:color w:val="000000" w:themeColor="text1"/>
          <w:spacing w:val="0"/>
          <w:kern w:val="0"/>
          <w:sz w:val="32"/>
          <w:szCs w:val="32"/>
          <w:highlight w:val="none"/>
          <w:shd w:val="clear"/>
          <w:lang w:eastAsia="zh-CN"/>
          <w14:textFill>
            <w14:solidFill>
              <w14:schemeClr w14:val="tx1"/>
            </w14:solidFill>
          </w14:textFill>
        </w:rPr>
        <w:t>空间拓展，</w:t>
      </w:r>
      <w:r>
        <w:rPr>
          <w:rFonts w:hint="eastAsia" w:ascii="仿宋_GB2312" w:hAnsi="仿宋_GB2312" w:eastAsia="仿宋_GB2312" w:cs="仿宋_GB2312"/>
          <w:i w:val="0"/>
          <w:iCs w:val="0"/>
          <w:caps w:val="0"/>
          <w:color w:val="000000" w:themeColor="text1"/>
          <w:spacing w:val="0"/>
          <w:kern w:val="0"/>
          <w:sz w:val="32"/>
          <w:szCs w:val="32"/>
          <w:highlight w:val="none"/>
          <w:shd w:val="clear"/>
          <w14:textFill>
            <w14:solidFill>
              <w14:schemeClr w14:val="tx1"/>
            </w14:solidFill>
          </w14:textFill>
        </w:rPr>
        <w:t>产业园区、社区商业配套有序完善。品牌供给能力增强，力争</w:t>
      </w:r>
      <w:r>
        <w:rPr>
          <w:rFonts w:hint="eastAsia" w:ascii="仿宋_GB2312" w:hAnsi="仿宋_GB2312" w:eastAsia="仿宋_GB2312" w:cs="仿宋_GB2312"/>
          <w:i w:val="0"/>
          <w:iCs w:val="0"/>
          <w:caps w:val="0"/>
          <w:color w:val="000000" w:themeColor="text1"/>
          <w:spacing w:val="0"/>
          <w:kern w:val="0"/>
          <w:sz w:val="32"/>
          <w:szCs w:val="32"/>
          <w:highlight w:val="none"/>
          <w:shd w:val="clear"/>
          <w:lang w:eastAsia="zh-CN"/>
          <w14:textFill>
            <w14:solidFill>
              <w14:schemeClr w14:val="tx1"/>
            </w14:solidFill>
          </w14:textFill>
        </w:rPr>
        <w:t>“十五五”</w:t>
      </w:r>
      <w:r>
        <w:rPr>
          <w:rFonts w:hint="eastAsia" w:ascii="仿宋_GB2312" w:hAnsi="仿宋_GB2312" w:eastAsia="仿宋_GB2312" w:cs="仿宋_GB2312"/>
          <w:i w:val="0"/>
          <w:iCs w:val="0"/>
          <w:caps w:val="0"/>
          <w:color w:val="000000" w:themeColor="text1"/>
          <w:spacing w:val="0"/>
          <w:kern w:val="0"/>
          <w:sz w:val="32"/>
          <w:szCs w:val="32"/>
          <w:highlight w:val="none"/>
          <w:shd w:val="clear"/>
          <w14:textFill>
            <w14:solidFill>
              <w14:schemeClr w14:val="tx1"/>
            </w14:solidFill>
          </w14:textFill>
        </w:rPr>
        <w:t>期末全区首店、旗舰店突破100家。</w:t>
      </w:r>
    </w:p>
    <w:p>
      <w:pPr>
        <w:spacing w:line="560" w:lineRule="exact"/>
        <w:ind w:firstLine="643" w:firstLineChars="200"/>
        <w:rPr>
          <w:rFonts w:hint="eastAsia" w:ascii="仿宋_GB2312" w:hAnsi="仿宋_GB2312" w:eastAsia="仿宋_GB2312" w:cs="仿宋_GB2312"/>
          <w:i w:val="0"/>
          <w:iCs w:val="0"/>
          <w:caps w:val="0"/>
          <w:color w:val="000000" w:themeColor="text1"/>
          <w:spacing w:val="0"/>
          <w:kern w:val="0"/>
          <w:sz w:val="32"/>
          <w:szCs w:val="32"/>
          <w:highlight w:val="none"/>
          <w14:textFill>
            <w14:solidFill>
              <w14:schemeClr w14:val="tx1"/>
            </w14:solidFill>
          </w14:textFill>
        </w:rPr>
      </w:pPr>
      <w:r>
        <w:rPr>
          <w:rFonts w:hint="eastAsia" w:ascii="仿宋_GB2312" w:hAnsi="仿宋_GB2312" w:eastAsia="仿宋_GB2312" w:cs="仿宋_GB2312"/>
          <w:b/>
          <w:bCs/>
          <w:i w:val="0"/>
          <w:iCs w:val="0"/>
          <w:caps w:val="0"/>
          <w:color w:val="000000" w:themeColor="text1"/>
          <w:spacing w:val="0"/>
          <w:kern w:val="0"/>
          <w:sz w:val="32"/>
          <w:szCs w:val="32"/>
          <w:highlight w:val="none"/>
          <w:shd w:val="clear"/>
          <w14:textFill>
            <w14:solidFill>
              <w14:schemeClr w14:val="tx1"/>
            </w14:solidFill>
          </w14:textFill>
        </w:rPr>
        <w:t>服务消费活力增强。</w:t>
      </w:r>
      <w:r>
        <w:rPr>
          <w:rFonts w:hint="eastAsia" w:ascii="仿宋_GB2312" w:hAnsi="仿宋_GB2312" w:eastAsia="仿宋_GB2312" w:cs="仿宋_GB2312"/>
          <w:i w:val="0"/>
          <w:iCs w:val="0"/>
          <w:caps w:val="0"/>
          <w:color w:val="000000" w:themeColor="text1"/>
          <w:spacing w:val="0"/>
          <w:kern w:val="0"/>
          <w:sz w:val="32"/>
          <w:szCs w:val="32"/>
          <w:highlight w:val="none"/>
          <w:shd w:val="clear"/>
          <w14:textFill>
            <w14:solidFill>
              <w14:schemeClr w14:val="tx1"/>
            </w14:solidFill>
          </w14:textFill>
        </w:rPr>
        <w:t>服务消费占比提高，山地骑行、滨水休闲、</w:t>
      </w:r>
      <w:r>
        <w:rPr>
          <w:rFonts w:hint="eastAsia" w:ascii="仿宋_GB2312" w:hAnsi="仿宋_GB2312" w:eastAsia="仿宋_GB2312" w:cs="仿宋_GB2312"/>
          <w:i w:val="0"/>
          <w:iCs w:val="0"/>
          <w:caps w:val="0"/>
          <w:color w:val="000000" w:themeColor="text1"/>
          <w:spacing w:val="0"/>
          <w:kern w:val="0"/>
          <w:sz w:val="32"/>
          <w:szCs w:val="32"/>
          <w:highlight w:val="none"/>
          <w:shd w:val="clear"/>
          <w:lang w:eastAsia="zh-CN"/>
          <w14:textFill>
            <w14:solidFill>
              <w14:schemeClr w14:val="tx1"/>
            </w14:solidFill>
          </w14:textFill>
        </w:rPr>
        <w:t>乡村体验等</w:t>
      </w:r>
      <w:r>
        <w:rPr>
          <w:rFonts w:hint="eastAsia" w:ascii="仿宋_GB2312" w:hAnsi="仿宋_GB2312" w:eastAsia="仿宋_GB2312" w:cs="仿宋_GB2312"/>
          <w:i w:val="0"/>
          <w:iCs w:val="0"/>
          <w:caps w:val="0"/>
          <w:color w:val="000000" w:themeColor="text1"/>
          <w:spacing w:val="0"/>
          <w:kern w:val="0"/>
          <w:sz w:val="32"/>
          <w:szCs w:val="32"/>
          <w:highlight w:val="none"/>
          <w:shd w:val="clear"/>
          <w14:textFill>
            <w14:solidFill>
              <w14:schemeClr w14:val="tx1"/>
            </w14:solidFill>
          </w14:textFill>
        </w:rPr>
        <w:t>特色品牌影响力提升，医疗健康、教育培训、文化娱乐、体育赛事等改善型消费活力增强，数智、绿色、银发等新兴消费蓬勃发展，</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形成一批消费新业态新模式新场景</w:t>
      </w:r>
      <w:r>
        <w:rPr>
          <w:rFonts w:hint="eastAsia" w:ascii="仿宋_GB2312" w:hAnsi="仿宋_GB2312" w:eastAsia="仿宋_GB2312" w:cs="仿宋_GB2312"/>
          <w:i w:val="0"/>
          <w:iCs w:val="0"/>
          <w:caps w:val="0"/>
          <w:color w:val="000000" w:themeColor="text1"/>
          <w:spacing w:val="0"/>
          <w:kern w:val="0"/>
          <w:sz w:val="32"/>
          <w:szCs w:val="32"/>
          <w:highlight w:val="none"/>
          <w:shd w:val="clear"/>
          <w14:textFill>
            <w14:solidFill>
              <w14:schemeClr w14:val="tx1"/>
            </w14:solidFill>
          </w14:textFill>
        </w:rPr>
        <w:t>。</w:t>
      </w:r>
    </w:p>
    <w:p>
      <w:pPr>
        <w:spacing w:line="560" w:lineRule="exact"/>
        <w:ind w:firstLine="643" w:firstLineChars="200"/>
        <w:rPr>
          <w:rFonts w:hint="eastAsia" w:ascii="仿宋_GB2312" w:hAnsi="仿宋_GB2312" w:eastAsia="仿宋_GB2312" w:cs="仿宋_GB2312"/>
          <w:i w:val="0"/>
          <w:iCs w:val="0"/>
          <w:caps w:val="0"/>
          <w:color w:val="000000" w:themeColor="text1"/>
          <w:spacing w:val="0"/>
          <w:kern w:val="0"/>
          <w:sz w:val="32"/>
          <w:szCs w:val="32"/>
          <w:highlight w:val="none"/>
          <w:shd w:val="clear"/>
          <w14:textFill>
            <w14:solidFill>
              <w14:schemeClr w14:val="tx1"/>
            </w14:solidFill>
          </w14:textFill>
        </w:rPr>
      </w:pPr>
      <w:r>
        <w:rPr>
          <w:rFonts w:hint="eastAsia" w:ascii="仿宋_GB2312" w:hAnsi="仿宋_GB2312" w:eastAsia="仿宋_GB2312" w:cs="仿宋_GB2312"/>
          <w:b/>
          <w:bCs/>
          <w:i w:val="0"/>
          <w:iCs w:val="0"/>
          <w:caps w:val="0"/>
          <w:color w:val="000000" w:themeColor="text1"/>
          <w:spacing w:val="0"/>
          <w:kern w:val="0"/>
          <w:sz w:val="32"/>
          <w:szCs w:val="32"/>
          <w:highlight w:val="none"/>
          <w:shd w:val="clear"/>
          <w14:textFill>
            <w14:solidFill>
              <w14:schemeClr w14:val="tx1"/>
            </w14:solidFill>
          </w14:textFill>
        </w:rPr>
        <w:t>京西枢纽功能显现。</w:t>
      </w:r>
      <w:r>
        <w:rPr>
          <w:rFonts w:hint="eastAsia" w:ascii="仿宋_GB2312" w:hAnsi="仿宋_GB2312" w:eastAsia="仿宋_GB2312" w:cs="仿宋_GB2312"/>
          <w:i w:val="0"/>
          <w:iCs w:val="0"/>
          <w:caps w:val="0"/>
          <w:color w:val="000000" w:themeColor="text1"/>
          <w:spacing w:val="0"/>
          <w:kern w:val="0"/>
          <w:sz w:val="32"/>
          <w:szCs w:val="32"/>
          <w:highlight w:val="none"/>
          <w:shd w:val="clear"/>
          <w:lang w:eastAsia="zh-CN"/>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kern w:val="0"/>
          <w:sz w:val="32"/>
          <w:szCs w:val="32"/>
          <w:highlight w:val="none"/>
          <w:shd w:val="clear"/>
          <w:lang w:val="en-US" w:eastAsia="zh-CN"/>
          <w14:textFill>
            <w14:solidFill>
              <w14:schemeClr w14:val="tx1"/>
            </w14:solidFill>
          </w14:textFill>
        </w:rPr>
        <w:t>两园一河”协同联动发展成效突出，</w:t>
      </w:r>
      <w:r>
        <w:rPr>
          <w:rFonts w:hint="eastAsia" w:ascii="仿宋_GB2312" w:hAnsi="仿宋_GB2312" w:eastAsia="仿宋_GB2312" w:cs="仿宋_GB2312"/>
          <w:i w:val="0"/>
          <w:iCs w:val="0"/>
          <w:caps w:val="0"/>
          <w:color w:val="000000" w:themeColor="text1"/>
          <w:spacing w:val="0"/>
          <w:kern w:val="0"/>
          <w:sz w:val="32"/>
          <w:szCs w:val="32"/>
          <w:highlight w:val="none"/>
          <w:shd w:val="clear"/>
          <w14:textFill>
            <w14:solidFill>
              <w14:schemeClr w14:val="tx1"/>
            </w14:solidFill>
          </w14:textFill>
        </w:rPr>
        <w:t>永定河沿线消费场景串珠成链，落地一批水上运动、滨水休闲、文化演艺等特色项目，</w:t>
      </w:r>
      <w:r>
        <w:rPr>
          <w:rFonts w:hint="eastAsia" w:ascii="仿宋_GB2312" w:hAnsi="仿宋_GB2312" w:eastAsia="仿宋_GB2312" w:cs="仿宋_GB2312"/>
          <w:i w:val="0"/>
          <w:iCs w:val="0"/>
          <w:caps w:val="0"/>
          <w:color w:val="000000" w:themeColor="text1"/>
          <w:spacing w:val="0"/>
          <w:kern w:val="0"/>
          <w:sz w:val="32"/>
          <w:szCs w:val="32"/>
          <w:highlight w:val="none"/>
          <w:shd w:val="clear"/>
          <w:lang w:eastAsia="zh-CN"/>
          <w14:textFill>
            <w14:solidFill>
              <w14:schemeClr w14:val="tx1"/>
            </w14:solidFill>
          </w14:textFill>
        </w:rPr>
        <w:t>形成一批知名赛事文娱活动品牌</w:t>
      </w:r>
      <w:r>
        <w:rPr>
          <w:rFonts w:hint="eastAsia" w:ascii="仿宋_GB2312" w:hAnsi="仿宋_GB2312" w:eastAsia="仿宋_GB2312" w:cs="仿宋_GB2312"/>
          <w:i w:val="0"/>
          <w:iCs w:val="0"/>
          <w:caps w:val="0"/>
          <w:color w:val="000000" w:themeColor="text1"/>
          <w:spacing w:val="0"/>
          <w:kern w:val="0"/>
          <w:sz w:val="32"/>
          <w:szCs w:val="32"/>
          <w:highlight w:val="none"/>
          <w:shd w:val="clear"/>
          <w14:textFill>
            <w14:solidFill>
              <w14:schemeClr w14:val="tx1"/>
            </w14:solidFill>
          </w14:textFill>
        </w:rPr>
        <w:t>。区域消费辐射半径不断扩大，京西特色消费枢纽集聚力、带动力与影响力显著增强。</w:t>
      </w:r>
    </w:p>
    <w:p>
      <w:pPr>
        <w:spacing w:before="156" w:beforeLines="50" w:after="156" w:afterLines="50" w:line="560" w:lineRule="exact"/>
        <w:jc w:val="center"/>
        <w:outlineLvl w:val="0"/>
        <w:rPr>
          <w:rFonts w:ascii="Times New Roman" w:hAnsi="Times New Roman" w:eastAsia="黑体" w:cs="Times New Roman"/>
          <w:color w:val="000000" w:themeColor="text1"/>
          <w:sz w:val="32"/>
          <w:szCs w:val="32"/>
          <w:highlight w:val="none"/>
          <w14:textFill>
            <w14:solidFill>
              <w14:schemeClr w14:val="tx1"/>
            </w14:solidFill>
          </w14:textFill>
        </w:rPr>
      </w:pPr>
      <w:bookmarkStart w:id="307" w:name="_Toc19768"/>
      <w:bookmarkStart w:id="308" w:name="_Toc12364"/>
      <w:bookmarkStart w:id="309" w:name="_Toc18412"/>
      <w:bookmarkStart w:id="310" w:name="_Toc19372"/>
      <w:bookmarkStart w:id="311" w:name="_Toc4073"/>
      <w:bookmarkStart w:id="312" w:name="_Toc23065"/>
      <w:bookmarkStart w:id="313" w:name="_Toc8660"/>
      <w:bookmarkStart w:id="314" w:name="_Toc6581"/>
      <w:bookmarkStart w:id="315" w:name="_Toc24996"/>
      <w:bookmarkStart w:id="316" w:name="_Toc31247"/>
      <w:bookmarkStart w:id="317" w:name="_Toc21067"/>
      <w:bookmarkStart w:id="318" w:name="_Toc16870"/>
      <w:bookmarkStart w:id="319" w:name="_Toc26868"/>
      <w:bookmarkStart w:id="320" w:name="_Toc9402"/>
      <w:bookmarkStart w:id="321" w:name="_Toc9905"/>
      <w:bookmarkStart w:id="322" w:name="_Toc13919"/>
      <w:bookmarkStart w:id="323" w:name="_Toc12566"/>
      <w:bookmarkStart w:id="324" w:name="_Toc4476"/>
      <w:bookmarkStart w:id="325" w:name="_Toc28667"/>
      <w:bookmarkStart w:id="326" w:name="_Toc31808"/>
      <w:bookmarkStart w:id="327" w:name="_Toc5467"/>
      <w:bookmarkStart w:id="328" w:name="_Toc6315"/>
      <w:bookmarkStart w:id="329" w:name="_Toc31478"/>
      <w:bookmarkStart w:id="330" w:name="_Toc2399"/>
      <w:r>
        <w:rPr>
          <w:rFonts w:ascii="Times New Roman" w:hAnsi="Times New Roman" w:eastAsia="黑体" w:cs="Times New Roman"/>
          <w:color w:val="000000" w:themeColor="text1"/>
          <w:sz w:val="32"/>
          <w:szCs w:val="32"/>
          <w:highlight w:val="none"/>
          <w14:textFill>
            <w14:solidFill>
              <w14:schemeClr w14:val="tx1"/>
            </w14:solidFill>
          </w14:textFill>
        </w:rPr>
        <w:t>第</w:t>
      </w:r>
      <w:r>
        <w:rPr>
          <w:rFonts w:hint="eastAsia" w:ascii="Times New Roman" w:hAnsi="Times New Roman" w:eastAsia="黑体" w:cs="Times New Roman"/>
          <w:color w:val="000000" w:themeColor="text1"/>
          <w:sz w:val="32"/>
          <w:szCs w:val="32"/>
          <w:highlight w:val="none"/>
          <w:lang w:eastAsia="zh-CN"/>
          <w14:textFill>
            <w14:solidFill>
              <w14:schemeClr w14:val="tx1"/>
            </w14:solidFill>
          </w14:textFill>
        </w:rPr>
        <w:t>三</w:t>
      </w:r>
      <w:r>
        <w:rPr>
          <w:rFonts w:hint="eastAsia" w:ascii="Times New Roman" w:hAnsi="Times New Roman" w:eastAsia="黑体" w:cs="Times New Roman"/>
          <w:color w:val="000000" w:themeColor="text1"/>
          <w:sz w:val="32"/>
          <w:szCs w:val="32"/>
          <w:highlight w:val="none"/>
          <w14:textFill>
            <w14:solidFill>
              <w14:schemeClr w14:val="tx1"/>
            </w14:solidFill>
          </w14:textFill>
        </w:rPr>
        <w:t>章</w:t>
      </w:r>
      <w:r>
        <w:rPr>
          <w:rFonts w:ascii="Times New Roman" w:hAnsi="Times New Roman" w:eastAsia="黑体" w:cs="Times New Roman"/>
          <w:color w:val="000000" w:themeColor="text1"/>
          <w:sz w:val="32"/>
          <w:szCs w:val="32"/>
          <w:highlight w:val="none"/>
          <w14:textFill>
            <w14:solidFill>
              <w14:schemeClr w14:val="tx1"/>
            </w14:solidFill>
          </w14:textFill>
        </w:rPr>
        <w:t xml:space="preserve"> 优布局，</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Start w:id="331" w:name="_Toc22513"/>
      <w:bookmarkStart w:id="332" w:name="_Toc8921"/>
      <w:bookmarkStart w:id="333" w:name="_Toc32044"/>
      <w:bookmarkStart w:id="334" w:name="_Toc22061"/>
      <w:bookmarkStart w:id="335" w:name="_Toc7328"/>
      <w:bookmarkStart w:id="336" w:name="_Toc7204"/>
      <w:r>
        <w:rPr>
          <w:rFonts w:ascii="Times New Roman" w:hAnsi="Times New Roman" w:eastAsia="黑体" w:cs="Times New Roman"/>
          <w:color w:val="000000" w:themeColor="text1"/>
          <w:sz w:val="32"/>
          <w:szCs w:val="32"/>
          <w:highlight w:val="none"/>
          <w14:textFill>
            <w14:solidFill>
              <w14:schemeClr w14:val="tx1"/>
            </w14:solidFill>
          </w14:textFill>
        </w:rPr>
        <w:t>丰富拓展品质消费场景</w:t>
      </w:r>
      <w:bookmarkEnd w:id="321"/>
      <w:bookmarkEnd w:id="322"/>
      <w:bookmarkEnd w:id="323"/>
      <w:bookmarkEnd w:id="324"/>
      <w:bookmarkEnd w:id="325"/>
      <w:bookmarkEnd w:id="326"/>
      <w:bookmarkEnd w:id="327"/>
      <w:bookmarkEnd w:id="328"/>
    </w:p>
    <w:bookmarkEnd w:id="331"/>
    <w:bookmarkEnd w:id="332"/>
    <w:bookmarkEnd w:id="333"/>
    <w:bookmarkEnd w:id="334"/>
    <w:bookmarkEnd w:id="335"/>
    <w:bookmarkEnd w:id="336"/>
    <w:p>
      <w:pPr>
        <w:spacing w:line="560" w:lineRule="exact"/>
        <w:ind w:firstLine="640" w:firstLineChars="200"/>
        <w:jc w:val="left"/>
        <w:rPr>
          <w:rFonts w:hint="default" w:ascii="仿宋_GB2312" w:hAnsi="仿宋_GB2312" w:eastAsia="仿宋_GB2312" w:cs="仿宋_GB2312"/>
          <w:bCs/>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优化全域商业空间布局，通过</w:t>
      </w:r>
      <w:r>
        <w:rPr>
          <w:rFonts w:ascii="仿宋_GB2312" w:hAnsi="仿宋_GB2312" w:eastAsia="仿宋_GB2312" w:cs="仿宋_GB2312"/>
          <w:bCs/>
          <w:color w:val="000000" w:themeColor="text1"/>
          <w:kern w:val="0"/>
          <w:sz w:val="32"/>
          <w:szCs w:val="32"/>
          <w:highlight w:val="none"/>
          <w14:textFill>
            <w14:solidFill>
              <w14:schemeClr w14:val="tx1"/>
            </w14:solidFill>
          </w14:textFill>
        </w:rPr>
        <w:t>强化核心引擎</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、夯实商圈支撑、</w:t>
      </w:r>
      <w:r>
        <w:rPr>
          <w:rFonts w:ascii="仿宋_GB2312" w:hAnsi="仿宋_GB2312" w:eastAsia="仿宋_GB2312" w:cs="仿宋_GB2312"/>
          <w:bCs/>
          <w:color w:val="000000" w:themeColor="text1"/>
          <w:kern w:val="0"/>
          <w:sz w:val="32"/>
          <w:szCs w:val="32"/>
          <w:highlight w:val="none"/>
          <w14:textFill>
            <w14:solidFill>
              <w14:schemeClr w14:val="tx1"/>
            </w14:solidFill>
          </w14:textFill>
        </w:rPr>
        <w:t>培育特色地标、织密服务网络</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w:t>
      </w:r>
      <w:r>
        <w:rPr>
          <w:rFonts w:ascii="仿宋_GB2312" w:hAnsi="仿宋_GB2312" w:eastAsia="仿宋_GB2312" w:cs="仿宋_GB2312"/>
          <w:bCs/>
          <w:color w:val="000000" w:themeColor="text1"/>
          <w:kern w:val="0"/>
          <w:sz w:val="32"/>
          <w:szCs w:val="32"/>
          <w:highlight w:val="none"/>
          <w14:textFill>
            <w14:solidFill>
              <w14:schemeClr w14:val="tx1"/>
            </w14:solidFill>
          </w14:textFill>
        </w:rPr>
        <w:t>统筹</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推进</w:t>
      </w:r>
      <w:r>
        <w:rPr>
          <w:rFonts w:ascii="仿宋_GB2312" w:hAnsi="仿宋_GB2312" w:eastAsia="仿宋_GB2312" w:cs="仿宋_GB2312"/>
          <w:bCs/>
          <w:color w:val="000000" w:themeColor="text1"/>
          <w:kern w:val="0"/>
          <w:sz w:val="32"/>
          <w:szCs w:val="32"/>
          <w:highlight w:val="none"/>
          <w14:textFill>
            <w14:solidFill>
              <w14:schemeClr w14:val="tx1"/>
            </w14:solidFill>
          </w14:textFill>
        </w:rPr>
        <w:t>门城地区消费</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功能提升</w:t>
      </w:r>
      <w:r>
        <w:rPr>
          <w:rFonts w:ascii="仿宋_GB2312" w:hAnsi="仿宋_GB2312" w:eastAsia="仿宋_GB2312" w:cs="仿宋_GB2312"/>
          <w:bCs/>
          <w:color w:val="000000" w:themeColor="text1"/>
          <w:kern w:val="0"/>
          <w:sz w:val="32"/>
          <w:szCs w:val="32"/>
          <w:highlight w:val="none"/>
          <w14:textFill>
            <w14:solidFill>
              <w14:schemeClr w14:val="tx1"/>
            </w14:solidFill>
          </w14:textFill>
        </w:rPr>
        <w:t>与山区消费空间</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拓展，</w:t>
      </w:r>
      <w:r>
        <w:rPr>
          <w:rFonts w:ascii="仿宋_GB2312" w:hAnsi="仿宋_GB2312" w:eastAsia="仿宋_GB2312" w:cs="仿宋_GB2312"/>
          <w:bCs/>
          <w:color w:val="000000" w:themeColor="text1"/>
          <w:kern w:val="0"/>
          <w:sz w:val="32"/>
          <w:szCs w:val="32"/>
          <w:highlight w:val="none"/>
          <w14:textFill>
            <w14:solidFill>
              <w14:schemeClr w14:val="tx1"/>
            </w14:solidFill>
          </w14:textFill>
        </w:rPr>
        <w:t>构建</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商业</w:t>
      </w:r>
      <w:r>
        <w:rPr>
          <w:rFonts w:ascii="仿宋_GB2312" w:hAnsi="仿宋_GB2312" w:eastAsia="仿宋_GB2312" w:cs="仿宋_GB2312"/>
          <w:bCs/>
          <w:color w:val="000000" w:themeColor="text1"/>
          <w:kern w:val="0"/>
          <w:sz w:val="32"/>
          <w:szCs w:val="32"/>
          <w:highlight w:val="none"/>
          <w14:textFill>
            <w14:solidFill>
              <w14:schemeClr w14:val="tx1"/>
            </w14:solidFill>
          </w14:textFill>
        </w:rPr>
        <w:t>发展新格局</w:t>
      </w:r>
      <w:r>
        <w:rPr>
          <w:rFonts w:ascii="仿宋_GB2312" w:hAnsi="仿宋_GB2312" w:eastAsia="仿宋_GB2312" w:cs="仿宋_GB2312"/>
          <w:bCs/>
          <w:i w:val="0"/>
          <w:iCs w:val="0"/>
          <w:caps w:val="0"/>
          <w:color w:val="000000" w:themeColor="text1"/>
          <w:spacing w:val="0"/>
          <w:kern w:val="0"/>
          <w:sz w:val="32"/>
          <w:szCs w:val="32"/>
          <w:highlight w:val="none"/>
          <w:shd w:val="clear"/>
          <w14:textFill>
            <w14:solidFill>
              <w14:schemeClr w14:val="tx1"/>
            </w14:solidFill>
          </w14:textFill>
        </w:rPr>
        <w:t>。</w:t>
      </w:r>
    </w:p>
    <w:p>
      <w:pPr>
        <w:spacing w:line="560" w:lineRule="exact"/>
        <w:ind w:firstLine="640" w:firstLineChars="200"/>
        <w:outlineLvl w:val="1"/>
        <w:rPr>
          <w:rFonts w:ascii="Times New Roman" w:hAnsi="Times New Roman" w:eastAsia="黑体" w:cs="Times New Roman"/>
          <w:color w:val="000000" w:themeColor="text1"/>
          <w:sz w:val="32"/>
          <w:szCs w:val="32"/>
          <w:highlight w:val="none"/>
          <w:lang w:bidi="ar"/>
          <w14:textFill>
            <w14:solidFill>
              <w14:schemeClr w14:val="tx1"/>
            </w14:solidFill>
          </w14:textFill>
        </w:rPr>
      </w:pPr>
      <w:bookmarkStart w:id="337" w:name="_Toc26281"/>
      <w:bookmarkStart w:id="338" w:name="_Toc26679"/>
      <w:bookmarkStart w:id="339" w:name="_Toc21920"/>
      <w:bookmarkStart w:id="340" w:name="_Toc18333"/>
      <w:bookmarkStart w:id="341" w:name="_Toc25314"/>
      <w:bookmarkStart w:id="342" w:name="_Toc7257"/>
      <w:bookmarkStart w:id="343" w:name="_Toc12468"/>
      <w:bookmarkStart w:id="344" w:name="_Toc12186"/>
      <w:r>
        <w:rPr>
          <w:rFonts w:hint="eastAsia" w:ascii="Times New Roman" w:hAnsi="Times New Roman" w:eastAsia="黑体" w:cs="Times New Roman"/>
          <w:color w:val="000000" w:themeColor="text1"/>
          <w:sz w:val="32"/>
          <w:szCs w:val="32"/>
          <w:highlight w:val="none"/>
          <w:lang w:bidi="ar"/>
          <w14:textFill>
            <w14:solidFill>
              <w14:schemeClr w14:val="tx1"/>
            </w14:solidFill>
          </w14:textFill>
        </w:rPr>
        <w:t>一、构建“两核三圈、三带多点”商业发展格局</w:t>
      </w:r>
      <w:bookmarkEnd w:id="337"/>
      <w:bookmarkEnd w:id="338"/>
      <w:bookmarkEnd w:id="339"/>
      <w:bookmarkEnd w:id="340"/>
      <w:bookmarkEnd w:id="341"/>
      <w:bookmarkEnd w:id="342"/>
      <w:bookmarkEnd w:id="343"/>
      <w:bookmarkEnd w:id="344"/>
    </w:p>
    <w:p>
      <w:pPr>
        <w:pStyle w:val="9"/>
        <w:keepNext w:val="0"/>
        <w:keepLines w:val="0"/>
        <w:pageBreakBefore w:val="0"/>
        <w:widowControl w:val="0"/>
        <w:kinsoku/>
        <w:wordWrap/>
        <w:overflowPunct/>
        <w:topLinePunct w:val="0"/>
        <w:autoSpaceDE/>
        <w:autoSpaceDN/>
        <w:bidi w:val="0"/>
        <w:adjustRightInd w:val="0"/>
        <w:snapToGrid/>
        <w:spacing w:after="0" w:line="240" w:lineRule="auto"/>
        <w:textAlignment w:val="baseline"/>
        <w:rPr>
          <w:rFonts w:hint="eastAsia"/>
          <w:highlight w:val="none"/>
        </w:rPr>
      </w:pPr>
      <w:r>
        <w:drawing>
          <wp:inline distT="0" distB="0" distL="114300" distR="114300">
            <wp:extent cx="5272405" cy="3439795"/>
            <wp:effectExtent l="0" t="0" r="635" b="444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8"/>
                    <a:stretch>
                      <a:fillRect/>
                    </a:stretch>
                  </pic:blipFill>
                  <pic:spPr>
                    <a:xfrm>
                      <a:off x="0" y="0"/>
                      <a:ext cx="5272405" cy="343979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snapToGrid/>
        <w:jc w:val="center"/>
        <w:rPr>
          <w:rFonts w:hint="default" w:ascii="黑体" w:hAnsi="黑体" w:eastAsia="黑体" w:cs="黑体"/>
          <w:color w:val="000000" w:themeColor="text1"/>
          <w:sz w:val="28"/>
          <w:szCs w:val="28"/>
          <w:highlight w:val="none"/>
          <w:lang w:val="en-US" w:eastAsia="zh-CN"/>
          <w14:textFill>
            <w14:solidFill>
              <w14:schemeClr w14:val="tx1"/>
            </w14:solidFill>
          </w14:textFill>
        </w:rPr>
      </w:pPr>
      <w:r>
        <w:rPr>
          <w:rFonts w:hint="eastAsia" w:ascii="黑体" w:hAnsi="黑体" w:eastAsia="黑体" w:cs="黑体"/>
          <w:bCs/>
          <w:color w:val="000000" w:themeColor="text1"/>
          <w:kern w:val="0"/>
          <w:sz w:val="28"/>
          <w:szCs w:val="28"/>
          <w:highlight w:val="none"/>
          <w14:textFill>
            <w14:solidFill>
              <w14:schemeClr w14:val="tx1"/>
            </w14:solidFill>
          </w14:textFill>
        </w:rPr>
        <w:t>图1“两核三圈、三带多点”商业发展格局示意图</w:t>
      </w:r>
    </w:p>
    <w:p>
      <w:pPr>
        <w:numPr>
          <w:ilvl w:val="255"/>
          <w:numId w:val="0"/>
        </w:numPr>
        <w:spacing w:line="560" w:lineRule="exact"/>
        <w:ind w:firstLine="640" w:firstLineChars="200"/>
        <w:jc w:val="left"/>
        <w:outlineLvl w:val="1"/>
        <w:rPr>
          <w:rFonts w:ascii="Times New Roman" w:hAnsi="Times New Roman" w:eastAsia="楷体_GB2312" w:cs="Times New Roman"/>
          <w:bCs/>
          <w:color w:val="000000" w:themeColor="text1"/>
          <w:kern w:val="0"/>
          <w:sz w:val="32"/>
          <w:szCs w:val="32"/>
          <w:highlight w:val="none"/>
          <w14:textFill>
            <w14:solidFill>
              <w14:schemeClr w14:val="tx1"/>
            </w14:solidFill>
          </w14:textFill>
        </w:rPr>
      </w:pPr>
      <w:bookmarkStart w:id="345" w:name="_Toc17132"/>
      <w:bookmarkStart w:id="346" w:name="_Toc25222"/>
      <w:bookmarkStart w:id="347" w:name="_Toc3136"/>
      <w:bookmarkStart w:id="348" w:name="_Toc25233"/>
      <w:bookmarkStart w:id="349" w:name="_Toc2118"/>
      <w:bookmarkStart w:id="350" w:name="_Toc24845"/>
      <w:bookmarkStart w:id="351" w:name="_Toc29306"/>
      <w:bookmarkStart w:id="352" w:name="_Toc21283"/>
      <w:bookmarkStart w:id="353" w:name="_Toc9279"/>
      <w:bookmarkStart w:id="354" w:name="_Toc2728"/>
      <w:bookmarkStart w:id="355" w:name="_Toc2688"/>
      <w:bookmarkStart w:id="356" w:name="_Toc16460"/>
      <w:bookmarkStart w:id="357" w:name="_Toc28771"/>
      <w:bookmarkStart w:id="358" w:name="_Toc25594"/>
      <w:bookmarkStart w:id="359" w:name="_Toc20351"/>
      <w:bookmarkStart w:id="360" w:name="_Toc20721"/>
      <w:bookmarkStart w:id="361" w:name="_Toc30279"/>
      <w:bookmarkStart w:id="362" w:name="_Toc288"/>
      <w:bookmarkStart w:id="363" w:name="_Toc15283"/>
      <w:bookmarkStart w:id="364" w:name="_Toc31332"/>
      <w:bookmarkStart w:id="365" w:name="_Toc3953"/>
      <w:bookmarkStart w:id="366" w:name="_Toc19898"/>
      <w:r>
        <w:rPr>
          <w:rFonts w:hint="eastAsia" w:ascii="Times New Roman" w:hAnsi="Times New Roman" w:eastAsia="楷体_GB2312" w:cs="Times New Roman"/>
          <w:bCs/>
          <w:color w:val="000000" w:themeColor="text1"/>
          <w:kern w:val="0"/>
          <w:sz w:val="32"/>
          <w:szCs w:val="32"/>
          <w:highlight w:val="none"/>
          <w14:textFill>
            <w14:solidFill>
              <w14:schemeClr w14:val="tx1"/>
            </w14:solidFill>
          </w14:textFill>
        </w:rPr>
        <w:t>（一）</w:t>
      </w:r>
      <w:r>
        <w:rPr>
          <w:rFonts w:ascii="Times New Roman" w:hAnsi="Times New Roman" w:eastAsia="楷体_GB2312" w:cs="Times New Roman"/>
          <w:bCs/>
          <w:color w:val="000000" w:themeColor="text1"/>
          <w:kern w:val="0"/>
          <w:sz w:val="32"/>
          <w:szCs w:val="32"/>
          <w:highlight w:val="none"/>
          <w14:textFill>
            <w14:solidFill>
              <w14:schemeClr w14:val="tx1"/>
            </w14:solidFill>
          </w14:textFill>
        </w:rPr>
        <w:t>“两核”引领</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numPr>
          <w:ilvl w:val="255"/>
          <w:numId w:val="0"/>
        </w:numPr>
        <w:spacing w:line="560" w:lineRule="exact"/>
        <w:ind w:firstLine="640" w:firstLineChars="200"/>
        <w:jc w:val="left"/>
        <w:rPr>
          <w:rFonts w:hint="eastAsia" w:ascii="仿宋_GB2312" w:hAnsi="仿宋_GB2312" w:eastAsia="仿宋_GB2312" w:cs="仿宋_GB2312"/>
          <w:bCs/>
          <w:i w:val="0"/>
          <w:iCs w:val="0"/>
          <w:caps w:val="0"/>
          <w:color w:val="000000" w:themeColor="text1"/>
          <w:spacing w:val="0"/>
          <w:kern w:val="0"/>
          <w:sz w:val="32"/>
          <w:szCs w:val="32"/>
          <w:highlight w:val="none"/>
          <w:shd w:val="clear"/>
          <w:lang w:eastAsia="zh-CN"/>
          <w14:textFill>
            <w14:solidFill>
              <w14:schemeClr w14:val="tx1"/>
            </w14:solidFill>
          </w14:textFill>
        </w:rPr>
      </w:pPr>
      <w:r>
        <w:rPr>
          <w:rFonts w:hint="eastAsia" w:ascii="仿宋_GB2312" w:hAnsi="仿宋_GB2312" w:eastAsia="仿宋_GB2312" w:cs="仿宋_GB2312"/>
          <w:bCs/>
          <w:i w:val="0"/>
          <w:iCs w:val="0"/>
          <w:caps w:val="0"/>
          <w:color w:val="000000" w:themeColor="text1"/>
          <w:spacing w:val="0"/>
          <w:kern w:val="0"/>
          <w:sz w:val="32"/>
          <w:szCs w:val="32"/>
          <w:highlight w:val="none"/>
          <w:shd w:val="clear"/>
          <w:lang w:eastAsia="zh-CN"/>
          <w14:textFill>
            <w14:solidFill>
              <w14:schemeClr w14:val="tx1"/>
            </w14:solidFill>
          </w14:textFill>
        </w:rPr>
        <w:t>立足门城地区和斋堂地区空间区位、客群结构、资源禀赋差异，坚持差异定位、特色打造、联动发展，聚力培育门城地区品质商业引领核、斋堂地区山地消费引领核，构建功能互补、双向赋能、辐射联动的双核引领发展格局。</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numPr>
                <w:ilvl w:val="255"/>
                <w:numId w:val="0"/>
              </w:numPr>
              <w:spacing w:line="560" w:lineRule="exact"/>
              <w:ind w:firstLine="0" w:firstLineChars="0"/>
              <w:jc w:val="center"/>
              <w:rPr>
                <w:rFonts w:hint="eastAsia" w:ascii="黑体" w:hAnsi="黑体" w:eastAsia="黑体" w:cs="黑体"/>
                <w:color w:val="000000" w:themeColor="text1"/>
                <w:sz w:val="32"/>
                <w:szCs w:val="32"/>
                <w:highlight w:val="none"/>
                <w:vertAlign w:val="baseline"/>
                <w:lang w:eastAsia="zh-CN"/>
                <w14:textFill>
                  <w14:solidFill>
                    <w14:schemeClr w14:val="tx1"/>
                  </w14:solidFill>
                </w14:textFill>
              </w:rPr>
            </w:pPr>
            <w:r>
              <w:rPr>
                <w:rFonts w:hint="eastAsia" w:ascii="黑体" w:hAnsi="黑体" w:eastAsia="黑体" w:cs="黑体"/>
                <w:color w:val="000000" w:themeColor="text1"/>
                <w:sz w:val="32"/>
                <w:szCs w:val="32"/>
                <w:highlight w:val="none"/>
                <w:vertAlign w:val="baseline"/>
                <w:lang w:eastAsia="zh-CN"/>
                <w14:textFill>
                  <w14:solidFill>
                    <w14:schemeClr w14:val="tx1"/>
                  </w14:solidFill>
                </w14:textFill>
              </w:rPr>
              <w:t>专栏：“两核”功能定位</w:t>
            </w:r>
          </w:p>
          <w:p>
            <w:pPr>
              <w:spacing w:line="560" w:lineRule="exact"/>
              <w:ind w:firstLine="562" w:firstLineChars="200"/>
              <w:jc w:val="left"/>
              <w:rPr>
                <w:rFonts w:hint="eastAsia" w:ascii="楷体_GB2312" w:hAnsi="楷体_GB2312" w:eastAsia="楷体_GB2312" w:cs="楷体_GB2312"/>
                <w:bCs/>
                <w:color w:val="000000" w:themeColor="text1"/>
                <w:kern w:val="0"/>
                <w:sz w:val="28"/>
                <w:szCs w:val="28"/>
                <w:highlight w:val="none"/>
                <w14:textFill>
                  <w14:solidFill>
                    <w14:schemeClr w14:val="tx1"/>
                  </w14:solidFill>
                </w14:textFill>
              </w:rPr>
            </w:pPr>
            <w:r>
              <w:rPr>
                <w:rFonts w:hint="eastAsia" w:ascii="楷体_GB2312" w:hAnsi="楷体_GB2312" w:eastAsia="楷体_GB2312" w:cs="楷体_GB2312"/>
                <w:b/>
                <w:color w:val="000000" w:themeColor="text1"/>
                <w:kern w:val="0"/>
                <w:sz w:val="28"/>
                <w:szCs w:val="28"/>
                <w:highlight w:val="none"/>
                <w14:textFill>
                  <w14:solidFill>
                    <w14:schemeClr w14:val="tx1"/>
                  </w14:solidFill>
                </w14:textFill>
              </w:rPr>
              <w:t>门城地区品质商业引领核。</w:t>
            </w:r>
            <w:r>
              <w:rPr>
                <w:rFonts w:hint="eastAsia" w:ascii="楷体_GB2312" w:hAnsi="楷体_GB2312" w:eastAsia="楷体_GB2312" w:cs="楷体_GB2312"/>
                <w:bCs/>
                <w:color w:val="000000" w:themeColor="text1"/>
                <w:kern w:val="0"/>
                <w:sz w:val="28"/>
                <w:szCs w:val="28"/>
                <w:highlight w:val="none"/>
                <w14:textFill>
                  <w14:solidFill>
                    <w14:schemeClr w14:val="tx1"/>
                  </w14:solidFill>
                </w14:textFill>
              </w:rPr>
              <w:t>立足新城居民消费升级需求及产业转型发展配套需求，加强品牌商业聚集发展，丰富业态场景功能，完善高品质商业服务功能，构建覆盖青年友好同时兼顾全龄层的消费服务体系，打造成为区域品质商业发展的核心引领区。</w:t>
            </w:r>
          </w:p>
          <w:p>
            <w:pPr>
              <w:numPr>
                <w:ilvl w:val="255"/>
                <w:numId w:val="0"/>
              </w:numPr>
              <w:spacing w:line="560" w:lineRule="exact"/>
              <w:ind w:firstLine="562" w:firstLineChars="200"/>
              <w:jc w:val="left"/>
              <w:rPr>
                <w:rFonts w:hint="eastAsia" w:ascii="仿宋_GB2312" w:hAnsi="仿宋_GB2312" w:eastAsia="仿宋_GB2312" w:cs="仿宋_GB2312"/>
                <w:bCs/>
                <w:i w:val="0"/>
                <w:iCs w:val="0"/>
                <w:caps w:val="0"/>
                <w:color w:val="000000" w:themeColor="text1"/>
                <w:spacing w:val="0"/>
                <w:kern w:val="0"/>
                <w:sz w:val="32"/>
                <w:szCs w:val="32"/>
                <w:highlight w:val="none"/>
                <w:shd w:val="clear"/>
                <w:vertAlign w:val="baseline"/>
                <w:lang w:eastAsia="zh-CN"/>
                <w14:textFill>
                  <w14:solidFill>
                    <w14:schemeClr w14:val="tx1"/>
                  </w14:solidFill>
                </w14:textFill>
              </w:rPr>
            </w:pPr>
            <w:r>
              <w:rPr>
                <w:rFonts w:hint="eastAsia" w:ascii="楷体_GB2312" w:hAnsi="楷体_GB2312" w:eastAsia="楷体_GB2312" w:cs="楷体_GB2312"/>
                <w:b/>
                <w:color w:val="000000" w:themeColor="text1"/>
                <w:kern w:val="0"/>
                <w:sz w:val="28"/>
                <w:szCs w:val="28"/>
                <w:highlight w:val="none"/>
                <w14:textFill>
                  <w14:solidFill>
                    <w14:schemeClr w14:val="tx1"/>
                  </w14:solidFill>
                </w14:textFill>
              </w:rPr>
              <w:t>斋堂地区山地</w:t>
            </w:r>
            <w:r>
              <w:rPr>
                <w:rFonts w:hint="eastAsia" w:ascii="楷体_GB2312" w:hAnsi="楷体_GB2312" w:eastAsia="楷体_GB2312" w:cs="楷体_GB2312"/>
                <w:b/>
                <w:color w:val="000000" w:themeColor="text1"/>
                <w:kern w:val="0"/>
                <w:sz w:val="28"/>
                <w:szCs w:val="28"/>
                <w:highlight w:val="none"/>
                <w:lang w:eastAsia="zh-CN"/>
                <w14:textFill>
                  <w14:solidFill>
                    <w14:schemeClr w14:val="tx1"/>
                  </w14:solidFill>
                </w14:textFill>
              </w:rPr>
              <w:t>消费引领核</w:t>
            </w:r>
            <w:r>
              <w:rPr>
                <w:rFonts w:hint="eastAsia" w:ascii="楷体_GB2312" w:hAnsi="楷体_GB2312" w:eastAsia="楷体_GB2312" w:cs="楷体_GB2312"/>
                <w:b/>
                <w:color w:val="000000" w:themeColor="text1"/>
                <w:kern w:val="0"/>
                <w:sz w:val="28"/>
                <w:szCs w:val="28"/>
                <w:highlight w:val="none"/>
                <w14:textFill>
                  <w14:solidFill>
                    <w14:schemeClr w14:val="tx1"/>
                  </w14:solidFill>
                </w14:textFill>
              </w:rPr>
              <w:t>。</w:t>
            </w:r>
            <w:r>
              <w:rPr>
                <w:rFonts w:hint="eastAsia" w:ascii="楷体_GB2312" w:hAnsi="楷体_GB2312" w:eastAsia="楷体_GB2312" w:cs="楷体_GB2312"/>
                <w:color w:val="000000" w:themeColor="text1"/>
                <w:sz w:val="28"/>
                <w:szCs w:val="28"/>
                <w:highlight w:val="none"/>
                <w14:textFill>
                  <w14:solidFill>
                    <w14:schemeClr w14:val="tx1"/>
                  </w14:solidFill>
                </w14:textFill>
              </w:rPr>
              <w:t>围绕</w:t>
            </w:r>
            <w:r>
              <w:rPr>
                <w:rFonts w:hint="eastAsia" w:ascii="楷体_GB2312" w:hAnsi="楷体_GB2312" w:eastAsia="楷体_GB2312" w:cs="楷体_GB2312"/>
                <w:color w:val="000000" w:themeColor="text1"/>
                <w:sz w:val="28"/>
                <w:szCs w:val="28"/>
                <w:highlight w:val="none"/>
                <w:lang w:bidi="ar"/>
                <w14:textFill>
                  <w14:solidFill>
                    <w14:schemeClr w14:val="tx1"/>
                  </w14:solidFill>
                </w14:textFill>
              </w:rPr>
              <w:t>镇区域“副中心”建设，立足区外消费群体需求和山区居民消费需求，</w:t>
            </w:r>
            <w:r>
              <w:rPr>
                <w:rFonts w:hint="eastAsia" w:ascii="楷体_GB2312" w:hAnsi="楷体_GB2312" w:eastAsia="楷体_GB2312" w:cs="楷体_GB2312"/>
                <w:bCs/>
                <w:color w:val="000000" w:themeColor="text1"/>
                <w:kern w:val="0"/>
                <w:sz w:val="28"/>
                <w:szCs w:val="28"/>
                <w:highlight w:val="none"/>
                <w14:textFill>
                  <w14:solidFill>
                    <w14:schemeClr w14:val="tx1"/>
                  </w14:solidFill>
                </w14:textFill>
              </w:rPr>
              <w:t>聚焦文旅休闲及山地运动发展，完善地区商业综合配套服务功能，打造辐射山区</w:t>
            </w:r>
            <w:r>
              <w:rPr>
                <w:rFonts w:hint="eastAsia" w:ascii="楷体_GB2312" w:hAnsi="楷体_GB2312" w:eastAsia="楷体_GB2312" w:cs="楷体_GB2312"/>
                <w:bCs/>
                <w:color w:val="000000" w:themeColor="text1"/>
                <w:kern w:val="0"/>
                <w:sz w:val="28"/>
                <w:szCs w:val="28"/>
                <w:highlight w:val="none"/>
                <w:lang w:val="en-US" w:eastAsia="zh-CN"/>
                <w14:textFill>
                  <w14:solidFill>
                    <w14:schemeClr w14:val="tx1"/>
                  </w14:solidFill>
                </w14:textFill>
              </w:rPr>
              <w:t>各</w:t>
            </w:r>
            <w:r>
              <w:rPr>
                <w:rFonts w:hint="eastAsia" w:ascii="楷体_GB2312" w:hAnsi="楷体_GB2312" w:eastAsia="楷体_GB2312" w:cs="楷体_GB2312"/>
                <w:bCs/>
                <w:color w:val="000000" w:themeColor="text1"/>
                <w:kern w:val="0"/>
                <w:sz w:val="28"/>
                <w:szCs w:val="28"/>
                <w:highlight w:val="none"/>
                <w14:textFill>
                  <w14:solidFill>
                    <w14:schemeClr w14:val="tx1"/>
                  </w14:solidFill>
                </w14:textFill>
              </w:rPr>
              <w:t>镇及河北接壤区域的特色山地消费核心引领地。</w:t>
            </w:r>
          </w:p>
        </w:tc>
      </w:tr>
    </w:tbl>
    <w:p>
      <w:pPr>
        <w:numPr>
          <w:ilvl w:val="255"/>
          <w:numId w:val="0"/>
        </w:numPr>
        <w:spacing w:line="560" w:lineRule="exact"/>
        <w:ind w:firstLine="640" w:firstLineChars="200"/>
        <w:jc w:val="left"/>
        <w:outlineLvl w:val="1"/>
        <w:rPr>
          <w:rFonts w:ascii="Times New Roman" w:hAnsi="Times New Roman" w:eastAsia="楷体_GB2312" w:cs="Times New Roman"/>
          <w:bCs/>
          <w:color w:val="000000" w:themeColor="text1"/>
          <w:kern w:val="0"/>
          <w:sz w:val="32"/>
          <w:szCs w:val="32"/>
          <w:highlight w:val="none"/>
          <w14:textFill>
            <w14:solidFill>
              <w14:schemeClr w14:val="tx1"/>
            </w14:solidFill>
          </w14:textFill>
        </w:rPr>
      </w:pPr>
      <w:bookmarkStart w:id="367" w:name="_Toc30888"/>
      <w:bookmarkStart w:id="368" w:name="_Toc9424"/>
      <w:bookmarkStart w:id="369" w:name="_Toc13369"/>
      <w:bookmarkStart w:id="370" w:name="_Toc29500"/>
      <w:bookmarkStart w:id="371" w:name="_Toc25737"/>
      <w:bookmarkStart w:id="372" w:name="_Toc16529"/>
      <w:bookmarkStart w:id="373" w:name="_Toc24108"/>
      <w:bookmarkStart w:id="374" w:name="_Toc6878"/>
      <w:bookmarkStart w:id="375" w:name="_Toc8773"/>
      <w:bookmarkStart w:id="376" w:name="_Toc10394"/>
      <w:bookmarkStart w:id="377" w:name="_Toc31675"/>
      <w:bookmarkStart w:id="378" w:name="_Toc2414"/>
      <w:bookmarkStart w:id="379" w:name="_Toc9748"/>
      <w:bookmarkStart w:id="380" w:name="_Toc21185"/>
      <w:bookmarkStart w:id="381" w:name="_Toc7689"/>
      <w:bookmarkStart w:id="382" w:name="_Toc7887"/>
      <w:bookmarkStart w:id="383" w:name="_Toc17674"/>
      <w:bookmarkStart w:id="384" w:name="_Toc11505"/>
      <w:bookmarkStart w:id="385" w:name="_Toc29760"/>
      <w:bookmarkStart w:id="386" w:name="_Toc31687"/>
      <w:bookmarkStart w:id="387" w:name="_Toc5847"/>
      <w:bookmarkStart w:id="388" w:name="_Toc9511"/>
      <w:r>
        <w:rPr>
          <w:rFonts w:hint="eastAsia" w:ascii="Times New Roman" w:hAnsi="Times New Roman" w:eastAsia="楷体_GB2312" w:cs="Times New Roman"/>
          <w:bCs/>
          <w:color w:val="000000" w:themeColor="text1"/>
          <w:kern w:val="0"/>
          <w:sz w:val="32"/>
          <w:szCs w:val="32"/>
          <w:highlight w:val="none"/>
          <w14:textFill>
            <w14:solidFill>
              <w14:schemeClr w14:val="tx1"/>
            </w14:solidFill>
          </w14:textFill>
        </w:rPr>
        <w:t>（二）</w:t>
      </w:r>
      <w:r>
        <w:rPr>
          <w:rFonts w:ascii="Times New Roman" w:hAnsi="Times New Roman" w:eastAsia="楷体_GB2312" w:cs="Times New Roman"/>
          <w:bCs/>
          <w:color w:val="000000" w:themeColor="text1"/>
          <w:kern w:val="0"/>
          <w:sz w:val="32"/>
          <w:szCs w:val="32"/>
          <w:highlight w:val="none"/>
          <w14:textFill>
            <w14:solidFill>
              <w14:schemeClr w14:val="tx1"/>
            </w14:solidFill>
          </w14:textFill>
        </w:rPr>
        <w:t>“三圈”支撑</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spacing w:line="560" w:lineRule="exact"/>
        <w:ind w:firstLine="640" w:firstLineChars="200"/>
        <w:rPr>
          <w:rFonts w:hint="eastAsia" w:ascii="仿宋_GB2312" w:hAnsi="仿宋_GB2312" w:eastAsia="仿宋_GB2312" w:cs="仿宋_GB2312"/>
          <w:bCs/>
          <w:i w:val="0"/>
          <w:iCs w:val="0"/>
          <w:caps w:val="0"/>
          <w:color w:val="000000" w:themeColor="text1"/>
          <w:spacing w:val="0"/>
          <w:kern w:val="0"/>
          <w:sz w:val="32"/>
          <w:szCs w:val="32"/>
          <w:highlight w:val="none"/>
          <w:shd w:val="clear"/>
          <w:lang w:val="en-US" w:eastAsia="zh-CN"/>
          <w14:textFill>
            <w14:solidFill>
              <w14:schemeClr w14:val="tx1"/>
            </w14:solidFill>
          </w14:textFill>
        </w:rPr>
      </w:pPr>
      <w:r>
        <w:rPr>
          <w:rFonts w:hint="eastAsia" w:ascii="仿宋_GB2312" w:hAnsi="仿宋_GB2312" w:eastAsia="仿宋_GB2312" w:cs="仿宋_GB2312"/>
          <w:bCs/>
          <w:i w:val="0"/>
          <w:iCs w:val="0"/>
          <w:caps w:val="0"/>
          <w:color w:val="000000" w:themeColor="text1"/>
          <w:spacing w:val="0"/>
          <w:kern w:val="0"/>
          <w:sz w:val="32"/>
          <w:szCs w:val="32"/>
          <w:highlight w:val="none"/>
          <w:shd w:val="clear"/>
          <w:lang w:val="en-US" w:eastAsia="zh-CN"/>
          <w14:textFill>
            <w14:solidFill>
              <w14:schemeClr w14:val="tx1"/>
            </w14:solidFill>
          </w14:textFill>
        </w:rPr>
        <w:t>统筹推进河滩、上岸、檀谷商圈发展，</w:t>
      </w:r>
      <w:r>
        <w:rPr>
          <w:rFonts w:hint="eastAsia" w:ascii="仿宋_GB2312" w:hAnsi="仿宋_GB2312" w:eastAsia="仿宋_GB2312" w:cs="仿宋_GB2312"/>
          <w:bCs/>
          <w:i w:val="0"/>
          <w:iCs w:val="0"/>
          <w:caps w:val="0"/>
          <w:color w:val="000000" w:themeColor="text1"/>
          <w:spacing w:val="0"/>
          <w:kern w:val="0"/>
          <w:sz w:val="32"/>
          <w:szCs w:val="32"/>
          <w:highlight w:val="none"/>
          <w:shd w:val="clear"/>
          <w14:textFill>
            <w14:solidFill>
              <w14:schemeClr w14:val="tx1"/>
            </w14:solidFill>
          </w14:textFill>
        </w:rPr>
        <w:t>坚持资源禀赋导向、客群精准</w:t>
      </w:r>
      <w:r>
        <w:rPr>
          <w:rFonts w:hint="eastAsia" w:ascii="仿宋_GB2312" w:hAnsi="仿宋_GB2312" w:eastAsia="仿宋_GB2312" w:cs="仿宋_GB2312"/>
          <w:bCs/>
          <w:i w:val="0"/>
          <w:iCs w:val="0"/>
          <w:caps w:val="0"/>
          <w:color w:val="000000" w:themeColor="text1"/>
          <w:spacing w:val="0"/>
          <w:kern w:val="0"/>
          <w:sz w:val="32"/>
          <w:szCs w:val="32"/>
          <w:highlight w:val="none"/>
          <w:shd w:val="clear"/>
          <w:lang w:eastAsia="zh-CN"/>
          <w14:textFill>
            <w14:solidFill>
              <w14:schemeClr w14:val="tx1"/>
            </w14:solidFill>
          </w14:textFill>
        </w:rPr>
        <w:t>聚焦</w:t>
      </w:r>
      <w:r>
        <w:rPr>
          <w:rFonts w:hint="eastAsia" w:ascii="仿宋_GB2312" w:hAnsi="仿宋_GB2312" w:eastAsia="仿宋_GB2312" w:cs="仿宋_GB2312"/>
          <w:bCs/>
          <w:i w:val="0"/>
          <w:iCs w:val="0"/>
          <w:caps w:val="0"/>
          <w:color w:val="000000" w:themeColor="text1"/>
          <w:spacing w:val="0"/>
          <w:kern w:val="0"/>
          <w:sz w:val="32"/>
          <w:szCs w:val="32"/>
          <w:highlight w:val="none"/>
          <w:shd w:val="clear"/>
          <w14:textFill>
            <w14:solidFill>
              <w14:schemeClr w14:val="tx1"/>
            </w14:solidFill>
          </w14:textFill>
        </w:rPr>
        <w:t>、业态差异互补</w:t>
      </w:r>
      <w:r>
        <w:rPr>
          <w:rFonts w:hint="eastAsia" w:ascii="仿宋_GB2312" w:hAnsi="仿宋_GB2312" w:eastAsia="仿宋_GB2312" w:cs="仿宋_GB2312"/>
          <w:bCs/>
          <w:i w:val="0"/>
          <w:iCs w:val="0"/>
          <w:caps w:val="0"/>
          <w:color w:val="000000" w:themeColor="text1"/>
          <w:spacing w:val="0"/>
          <w:kern w:val="0"/>
          <w:sz w:val="32"/>
          <w:szCs w:val="32"/>
          <w:highlight w:val="none"/>
          <w:shd w:val="clear"/>
          <w:lang w:eastAsia="zh-CN"/>
          <w14:textFill>
            <w14:solidFill>
              <w14:schemeClr w14:val="tx1"/>
            </w14:solidFill>
          </w14:textFill>
        </w:rPr>
        <w:t>，</w:t>
      </w:r>
      <w:r>
        <w:rPr>
          <w:rFonts w:hint="eastAsia" w:ascii="仿宋_GB2312" w:hAnsi="仿宋_GB2312" w:eastAsia="仿宋_GB2312" w:cs="仿宋_GB2312"/>
          <w:bCs/>
          <w:i w:val="0"/>
          <w:iCs w:val="0"/>
          <w:caps w:val="0"/>
          <w:color w:val="000000" w:themeColor="text1"/>
          <w:spacing w:val="0"/>
          <w:kern w:val="0"/>
          <w:sz w:val="32"/>
          <w:szCs w:val="32"/>
          <w:highlight w:val="none"/>
          <w:shd w:val="clear"/>
          <w:lang w:val="en-US" w:eastAsia="zh-CN"/>
          <w14:textFill>
            <w14:solidFill>
              <w14:schemeClr w14:val="tx1"/>
            </w14:solidFill>
          </w14:textFill>
        </w:rPr>
        <w:t>推动商圈载体更新改造，促进消费场景迭代创新，加快消费业态提档升级，</w:t>
      </w:r>
      <w:r>
        <w:rPr>
          <w:rFonts w:hint="eastAsia" w:ascii="仿宋_GB2312" w:hAnsi="仿宋_GB2312" w:eastAsia="仿宋_GB2312" w:cs="仿宋_GB2312"/>
          <w:bCs/>
          <w:i w:val="0"/>
          <w:iCs w:val="0"/>
          <w:caps w:val="0"/>
          <w:color w:val="000000" w:themeColor="text1"/>
          <w:spacing w:val="0"/>
          <w:kern w:val="0"/>
          <w:sz w:val="32"/>
          <w:szCs w:val="32"/>
          <w:highlight w:val="none"/>
          <w:shd w:val="clear"/>
          <w14:textFill>
            <w14:solidFill>
              <w14:schemeClr w14:val="tx1"/>
            </w14:solidFill>
          </w14:textFill>
        </w:rPr>
        <w:t>构建</w:t>
      </w:r>
      <w:r>
        <w:rPr>
          <w:rFonts w:hint="eastAsia" w:ascii="仿宋_GB2312" w:hAnsi="仿宋_GB2312" w:eastAsia="仿宋_GB2312" w:cs="仿宋_GB2312"/>
          <w:bCs/>
          <w:i w:val="0"/>
          <w:iCs w:val="0"/>
          <w:caps w:val="0"/>
          <w:color w:val="000000" w:themeColor="text1"/>
          <w:spacing w:val="0"/>
          <w:kern w:val="0"/>
          <w:sz w:val="32"/>
          <w:szCs w:val="32"/>
          <w:highlight w:val="none"/>
          <w:shd w:val="clear"/>
          <w:lang w:val="en-US" w:eastAsia="zh-CN"/>
          <w14:textFill>
            <w14:solidFill>
              <w14:schemeClr w14:val="tx1"/>
            </w14:solidFill>
          </w14:textFill>
        </w:rPr>
        <w:t>特色鲜明、协同发展</w:t>
      </w:r>
      <w:r>
        <w:rPr>
          <w:rFonts w:hint="eastAsia" w:ascii="仿宋_GB2312" w:hAnsi="仿宋_GB2312" w:eastAsia="仿宋_GB2312" w:cs="仿宋_GB2312"/>
          <w:bCs/>
          <w:i w:val="0"/>
          <w:iCs w:val="0"/>
          <w:caps w:val="0"/>
          <w:color w:val="000000" w:themeColor="text1"/>
          <w:spacing w:val="0"/>
          <w:kern w:val="0"/>
          <w:sz w:val="32"/>
          <w:szCs w:val="32"/>
          <w:highlight w:val="none"/>
          <w:shd w:val="clear"/>
          <w14:textFill>
            <w14:solidFill>
              <w14:schemeClr w14:val="tx1"/>
            </w14:solidFill>
          </w14:textFill>
        </w:rPr>
        <w:t>的品质商圈矩阵。</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numPr>
                <w:ilvl w:val="255"/>
                <w:numId w:val="0"/>
              </w:numPr>
              <w:spacing w:line="560" w:lineRule="exact"/>
              <w:ind w:firstLine="0" w:firstLineChars="0"/>
              <w:jc w:val="center"/>
              <w:rPr>
                <w:rFonts w:hint="eastAsia" w:ascii="黑体" w:hAnsi="黑体" w:eastAsia="黑体" w:cs="黑体"/>
                <w:color w:val="000000" w:themeColor="text1"/>
                <w:sz w:val="32"/>
                <w:szCs w:val="32"/>
                <w:highlight w:val="none"/>
                <w:vertAlign w:val="baseline"/>
                <w:lang w:eastAsia="zh-CN"/>
                <w14:textFill>
                  <w14:solidFill>
                    <w14:schemeClr w14:val="tx1"/>
                  </w14:solidFill>
                </w14:textFill>
              </w:rPr>
            </w:pPr>
            <w:r>
              <w:rPr>
                <w:rFonts w:hint="eastAsia" w:ascii="黑体" w:hAnsi="黑体" w:eastAsia="黑体" w:cs="黑体"/>
                <w:color w:val="000000" w:themeColor="text1"/>
                <w:sz w:val="32"/>
                <w:szCs w:val="32"/>
                <w:highlight w:val="none"/>
                <w:vertAlign w:val="baseline"/>
                <w:lang w:eastAsia="zh-CN"/>
                <w14:textFill>
                  <w14:solidFill>
                    <w14:schemeClr w14:val="tx1"/>
                  </w14:solidFill>
                </w14:textFill>
              </w:rPr>
              <w:t>专栏：“三圈”功能定位</w:t>
            </w:r>
          </w:p>
          <w:p>
            <w:pPr>
              <w:spacing w:line="560" w:lineRule="exact"/>
              <w:ind w:firstLine="562" w:firstLineChars="200"/>
              <w:rPr>
                <w:rFonts w:hint="default" w:ascii="楷体_GB2312" w:hAnsi="楷体_GB2312" w:eastAsia="楷体_GB2312" w:cs="楷体_GB2312"/>
                <w:bCs/>
                <w:color w:val="000000" w:themeColor="text1"/>
                <w:kern w:val="0"/>
                <w:sz w:val="28"/>
                <w:szCs w:val="28"/>
                <w:highlight w:val="none"/>
                <w:lang w:val="en-US" w:eastAsia="zh-CN"/>
                <w14:textFill>
                  <w14:solidFill>
                    <w14:schemeClr w14:val="tx1"/>
                  </w14:solidFill>
                </w14:textFill>
              </w:rPr>
            </w:pPr>
            <w:r>
              <w:rPr>
                <w:rFonts w:hint="eastAsia" w:ascii="楷体_GB2312" w:hAnsi="楷体_GB2312" w:eastAsia="楷体_GB2312" w:cs="楷体_GB2312"/>
                <w:b/>
                <w:color w:val="000000" w:themeColor="text1"/>
                <w:kern w:val="0"/>
                <w:sz w:val="28"/>
                <w:szCs w:val="28"/>
                <w:highlight w:val="none"/>
                <w14:textFill>
                  <w14:solidFill>
                    <w14:schemeClr w14:val="tx1"/>
                  </w14:solidFill>
                </w14:textFill>
              </w:rPr>
              <w:t>河滩商圈</w:t>
            </w:r>
            <w:r>
              <w:rPr>
                <w:rFonts w:hint="eastAsia" w:ascii="楷体_GB2312" w:hAnsi="楷体_GB2312" w:eastAsia="楷体_GB2312" w:cs="楷体_GB2312"/>
                <w:bCs/>
                <w:color w:val="000000" w:themeColor="text1"/>
                <w:kern w:val="0"/>
                <w:sz w:val="28"/>
                <w:szCs w:val="28"/>
                <w:highlight w:val="none"/>
                <w14:textFill>
                  <w14:solidFill>
                    <w14:schemeClr w14:val="tx1"/>
                  </w14:solidFill>
                </w14:textFill>
              </w:rPr>
              <w:t>。依托城市功能高度聚集特点及与永定河生态文旅带叠加</w:t>
            </w:r>
            <w:r>
              <w:rPr>
                <w:rFonts w:hint="eastAsia" w:ascii="楷体_GB2312" w:hAnsi="楷体_GB2312" w:eastAsia="楷体_GB2312" w:cs="楷体_GB2312"/>
                <w:color w:val="000000" w:themeColor="text1"/>
                <w:sz w:val="28"/>
                <w:szCs w:val="28"/>
                <w:highlight w:val="none"/>
                <w14:textFill>
                  <w14:solidFill>
                    <w14:schemeClr w14:val="tx1"/>
                  </w14:solidFill>
                </w14:textFill>
              </w:rPr>
              <w:t>优势，以满足地区居民消费升级需求为目标，推</w:t>
            </w:r>
            <w:r>
              <w:rPr>
                <w:rFonts w:hint="eastAsia" w:ascii="楷体_GB2312" w:hAnsi="楷体_GB2312" w:eastAsia="楷体_GB2312" w:cs="楷体_GB2312"/>
                <w:color w:val="000000" w:themeColor="text1"/>
                <w:sz w:val="28"/>
                <w:szCs w:val="28"/>
                <w:highlight w:val="none"/>
                <w:lang w:val="en-US" w:eastAsia="zh-CN"/>
                <w14:textFill>
                  <w14:solidFill>
                    <w14:schemeClr w14:val="tx1"/>
                  </w14:solidFill>
                </w14:textFill>
              </w:rPr>
              <w:t>动传统商业空间功能重塑与业态升级，打造彰显城市底蕴、富有烟火气息的品质生活</w:t>
            </w:r>
            <w:r>
              <w:rPr>
                <w:rFonts w:hint="eastAsia" w:ascii="楷体_GB2312" w:hAnsi="楷体_GB2312" w:eastAsia="楷体_GB2312" w:cs="楷体_GB2312"/>
                <w:color w:val="000000" w:themeColor="text1"/>
                <w:sz w:val="28"/>
                <w:szCs w:val="28"/>
                <w:highlight w:val="none"/>
                <w14:textFill>
                  <w14:solidFill>
                    <w14:schemeClr w14:val="tx1"/>
                  </w14:solidFill>
                </w14:textFill>
              </w:rPr>
              <w:t>圈。</w:t>
            </w:r>
          </w:p>
          <w:p>
            <w:pPr>
              <w:spacing w:line="560" w:lineRule="exact"/>
              <w:ind w:firstLine="562" w:firstLineChars="200"/>
              <w:rPr>
                <w:rFonts w:hint="default" w:ascii="楷体_GB2312" w:hAnsi="楷体_GB2312" w:eastAsia="楷体_GB2312" w:cs="楷体_GB2312"/>
                <w:bCs/>
                <w:color w:val="000000" w:themeColor="text1"/>
                <w:kern w:val="0"/>
                <w:sz w:val="28"/>
                <w:szCs w:val="28"/>
                <w:highlight w:val="none"/>
                <w:lang w:val="en-US" w:eastAsia="zh-CN"/>
                <w14:textFill>
                  <w14:solidFill>
                    <w14:schemeClr w14:val="tx1"/>
                  </w14:solidFill>
                </w14:textFill>
              </w:rPr>
            </w:pPr>
            <w:r>
              <w:rPr>
                <w:rFonts w:hint="eastAsia" w:ascii="楷体_GB2312" w:hAnsi="楷体_GB2312" w:eastAsia="楷体_GB2312" w:cs="楷体_GB2312"/>
                <w:b/>
                <w:color w:val="000000" w:themeColor="text1"/>
                <w:kern w:val="0"/>
                <w:sz w:val="28"/>
                <w:szCs w:val="28"/>
                <w:highlight w:val="none"/>
                <w14:textFill>
                  <w14:solidFill>
                    <w14:schemeClr w14:val="tx1"/>
                  </w14:solidFill>
                </w14:textFill>
              </w:rPr>
              <w:t>上岸商圈。</w:t>
            </w:r>
            <w:r>
              <w:rPr>
                <w:rFonts w:hint="eastAsia" w:ascii="楷体_GB2312" w:hAnsi="楷体_GB2312" w:eastAsia="楷体_GB2312" w:cs="楷体_GB2312"/>
                <w:bCs/>
                <w:color w:val="000000" w:themeColor="text1"/>
                <w:kern w:val="0"/>
                <w:sz w:val="28"/>
                <w:szCs w:val="28"/>
                <w:highlight w:val="none"/>
                <w14:textFill>
                  <w14:solidFill>
                    <w14:schemeClr w14:val="tx1"/>
                  </w14:solidFill>
                </w14:textFill>
              </w:rPr>
              <w:t>依托长安街西延线重要交通干线与永定河滨水生态双重区位优势，以服务都市青年与产业人才需求为主，完善“商业+文化+演艺”复合消费生态，着力打造都市青年活力圈、科技商务活力圈，力争成为京西</w:t>
            </w:r>
            <w:r>
              <w:rPr>
                <w:rFonts w:hint="eastAsia" w:ascii="楷体_GB2312" w:hAnsi="楷体_GB2312" w:eastAsia="楷体_GB2312" w:cs="楷体_GB2312"/>
                <w:bCs/>
                <w:color w:val="000000" w:themeColor="text1"/>
                <w:kern w:val="0"/>
                <w:sz w:val="28"/>
                <w:szCs w:val="28"/>
                <w:highlight w:val="none"/>
                <w:lang w:val="en-US" w:eastAsia="zh-CN"/>
                <w14:textFill>
                  <w14:solidFill>
                    <w14:schemeClr w14:val="tx1"/>
                  </w14:solidFill>
                </w14:textFill>
              </w:rPr>
              <w:t>潮流</w:t>
            </w:r>
            <w:r>
              <w:rPr>
                <w:rFonts w:hint="eastAsia" w:ascii="楷体_GB2312" w:hAnsi="楷体_GB2312" w:eastAsia="楷体_GB2312" w:cs="楷体_GB2312"/>
                <w:bCs/>
                <w:color w:val="000000" w:themeColor="text1"/>
                <w:kern w:val="0"/>
                <w:sz w:val="28"/>
                <w:szCs w:val="28"/>
                <w:highlight w:val="none"/>
                <w14:textFill>
                  <w14:solidFill>
                    <w14:schemeClr w14:val="tx1"/>
                  </w14:solidFill>
                </w14:textFill>
              </w:rPr>
              <w:t>消费核心地标。</w:t>
            </w:r>
          </w:p>
          <w:p>
            <w:pPr>
              <w:spacing w:line="560" w:lineRule="exact"/>
              <w:ind w:firstLine="562" w:firstLineChars="200"/>
              <w:rPr>
                <w:rFonts w:hint="eastAsia" w:ascii="仿宋_GB2312" w:hAnsi="仿宋_GB2312" w:eastAsia="仿宋_GB2312" w:cs="仿宋_GB2312"/>
                <w:bCs/>
                <w:i w:val="0"/>
                <w:iCs w:val="0"/>
                <w:caps w:val="0"/>
                <w:color w:val="000000" w:themeColor="text1"/>
                <w:spacing w:val="0"/>
                <w:kern w:val="0"/>
                <w:sz w:val="32"/>
                <w:szCs w:val="32"/>
                <w:highlight w:val="none"/>
                <w:shd w:val="clear"/>
                <w:vertAlign w:val="baseline"/>
                <w:lang w:eastAsia="zh-CN"/>
                <w14:textFill>
                  <w14:solidFill>
                    <w14:schemeClr w14:val="tx1"/>
                  </w14:solidFill>
                </w14:textFill>
              </w:rPr>
            </w:pPr>
            <w:r>
              <w:rPr>
                <w:rFonts w:hint="eastAsia" w:ascii="楷体_GB2312" w:hAnsi="楷体_GB2312" w:eastAsia="楷体_GB2312" w:cs="楷体_GB2312"/>
                <w:b/>
                <w:color w:val="000000" w:themeColor="text1"/>
                <w:kern w:val="0"/>
                <w:sz w:val="28"/>
                <w:szCs w:val="28"/>
                <w:highlight w:val="none"/>
                <w14:textFill>
                  <w14:solidFill>
                    <w14:schemeClr w14:val="tx1"/>
                  </w14:solidFill>
                </w14:textFill>
              </w:rPr>
              <w:t>檀谷商圈。</w:t>
            </w:r>
            <w:r>
              <w:rPr>
                <w:rFonts w:hint="eastAsia" w:ascii="楷体_GB2312" w:hAnsi="楷体_GB2312" w:eastAsia="楷体_GB2312" w:cs="楷体_GB2312"/>
                <w:bCs/>
                <w:color w:val="000000" w:themeColor="text1"/>
                <w:kern w:val="0"/>
                <w:sz w:val="28"/>
                <w:szCs w:val="28"/>
                <w:highlight w:val="none"/>
                <w14:textFill>
                  <w14:solidFill>
                    <w14:schemeClr w14:val="tx1"/>
                  </w14:solidFill>
                </w14:textFill>
              </w:rPr>
              <w:t>依托山地生态资源与潭柘寺文化金名片，以满足京西和更广域消费群体度假、运动、休闲需求为目标，聚焦现代生活方式，突出都市微度假、山地运动配套、文化艺术沉浸体验功能，成为具有</w:t>
            </w:r>
            <w:r>
              <w:rPr>
                <w:rFonts w:hint="eastAsia" w:ascii="楷体_GB2312" w:hAnsi="楷体_GB2312" w:eastAsia="楷体_GB2312" w:cs="楷体_GB2312"/>
                <w:bCs/>
                <w:color w:val="000000" w:themeColor="text1"/>
                <w:kern w:val="0"/>
                <w:sz w:val="28"/>
                <w:szCs w:val="28"/>
                <w:highlight w:val="none"/>
                <w:lang w:val="en-US" w:eastAsia="zh-CN"/>
                <w14:textFill>
                  <w14:solidFill>
                    <w14:schemeClr w14:val="tx1"/>
                  </w14:solidFill>
                </w14:textFill>
              </w:rPr>
              <w:t>全国</w:t>
            </w:r>
            <w:r>
              <w:rPr>
                <w:rFonts w:hint="eastAsia" w:ascii="楷体_GB2312" w:hAnsi="楷体_GB2312" w:eastAsia="楷体_GB2312" w:cs="楷体_GB2312"/>
                <w:bCs/>
                <w:color w:val="000000" w:themeColor="text1"/>
                <w:kern w:val="0"/>
                <w:sz w:val="28"/>
                <w:szCs w:val="28"/>
                <w:highlight w:val="none"/>
                <w14:textFill>
                  <w14:solidFill>
                    <w14:schemeClr w14:val="tx1"/>
                  </w14:solidFill>
                </w14:textFill>
              </w:rPr>
              <w:t>影响力的非标商业新范式。</w:t>
            </w:r>
          </w:p>
        </w:tc>
      </w:tr>
    </w:tbl>
    <w:p>
      <w:pPr>
        <w:numPr>
          <w:ilvl w:val="255"/>
          <w:numId w:val="0"/>
        </w:numPr>
        <w:spacing w:line="560" w:lineRule="exact"/>
        <w:ind w:firstLine="640" w:firstLineChars="200"/>
        <w:jc w:val="left"/>
        <w:outlineLvl w:val="1"/>
        <w:rPr>
          <w:rFonts w:ascii="Times New Roman" w:hAnsi="Times New Roman" w:eastAsia="楷体_GB2312" w:cs="Times New Roman"/>
          <w:bCs/>
          <w:color w:val="000000" w:themeColor="text1"/>
          <w:kern w:val="0"/>
          <w:sz w:val="32"/>
          <w:szCs w:val="32"/>
          <w:highlight w:val="none"/>
          <w14:textFill>
            <w14:solidFill>
              <w14:schemeClr w14:val="tx1"/>
            </w14:solidFill>
          </w14:textFill>
        </w:rPr>
      </w:pPr>
      <w:bookmarkStart w:id="389" w:name="_Toc30184"/>
      <w:bookmarkStart w:id="390" w:name="_Toc16804"/>
      <w:bookmarkStart w:id="391" w:name="_Toc13397"/>
      <w:bookmarkStart w:id="392" w:name="_Toc3440"/>
      <w:bookmarkStart w:id="393" w:name="_Toc24061"/>
      <w:bookmarkStart w:id="394" w:name="_Toc27883"/>
      <w:bookmarkStart w:id="395" w:name="_Toc14929"/>
      <w:bookmarkStart w:id="396" w:name="_Toc7120"/>
      <w:bookmarkStart w:id="397" w:name="_Toc15509"/>
      <w:bookmarkStart w:id="398" w:name="_Toc20117"/>
      <w:bookmarkStart w:id="399" w:name="_Toc14344"/>
      <w:bookmarkStart w:id="400" w:name="_Toc26538"/>
      <w:bookmarkStart w:id="401" w:name="_Toc31497"/>
      <w:bookmarkStart w:id="402" w:name="_Toc29457"/>
      <w:bookmarkStart w:id="403" w:name="_Toc2900"/>
      <w:bookmarkStart w:id="404" w:name="_Toc18640"/>
      <w:bookmarkStart w:id="405" w:name="_Toc10288"/>
      <w:bookmarkStart w:id="406" w:name="_Toc10008"/>
      <w:bookmarkStart w:id="407" w:name="_Toc20341"/>
      <w:bookmarkStart w:id="408" w:name="_Toc31987"/>
      <w:bookmarkStart w:id="409" w:name="_Toc18820"/>
      <w:bookmarkStart w:id="410" w:name="_Toc13244"/>
      <w:r>
        <w:rPr>
          <w:rFonts w:hint="eastAsia" w:ascii="Times New Roman" w:hAnsi="Times New Roman" w:eastAsia="楷体_GB2312" w:cs="Times New Roman"/>
          <w:bCs/>
          <w:color w:val="000000" w:themeColor="text1"/>
          <w:kern w:val="0"/>
          <w:sz w:val="32"/>
          <w:szCs w:val="32"/>
          <w:highlight w:val="none"/>
          <w14:textFill>
            <w14:solidFill>
              <w14:schemeClr w14:val="tx1"/>
            </w14:solidFill>
          </w14:textFill>
        </w:rPr>
        <w:t>（三）</w:t>
      </w:r>
      <w:r>
        <w:rPr>
          <w:rFonts w:ascii="Times New Roman" w:hAnsi="Times New Roman" w:eastAsia="楷体_GB2312" w:cs="Times New Roman"/>
          <w:bCs/>
          <w:color w:val="000000" w:themeColor="text1"/>
          <w:kern w:val="0"/>
          <w:sz w:val="32"/>
          <w:szCs w:val="32"/>
          <w:highlight w:val="none"/>
          <w14:textFill>
            <w14:solidFill>
              <w14:schemeClr w14:val="tx1"/>
            </w14:solidFill>
          </w14:textFill>
        </w:rPr>
        <w:t>“三带”串联</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spacing w:line="560" w:lineRule="exact"/>
        <w:ind w:firstLine="640" w:firstLineChars="200"/>
        <w:jc w:val="both"/>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整合串联长安街西延长线、永定河右岸、京蔚高速及109国道沿线资源，加强业态联动与功能互补，突出科技商务、滨水休闲、文旅融合等特色方向，着力打造长安街西延长线科技商务活力带、永定河右岸滨水休闲活力带、京蔚高速</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109国道文旅融合消费活力带，构建特色鲜明的区域消费活力廊道。</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numPr>
                <w:ilvl w:val="255"/>
                <w:numId w:val="0"/>
              </w:numPr>
              <w:spacing w:line="560" w:lineRule="exact"/>
              <w:ind w:firstLine="0" w:firstLineChars="0"/>
              <w:jc w:val="center"/>
              <w:rPr>
                <w:rFonts w:hint="eastAsia" w:ascii="黑体" w:hAnsi="黑体" w:eastAsia="黑体" w:cs="黑体"/>
                <w:color w:val="000000" w:themeColor="text1"/>
                <w:sz w:val="32"/>
                <w:szCs w:val="32"/>
                <w:highlight w:val="none"/>
                <w:vertAlign w:val="baseline"/>
                <w:lang w:eastAsia="zh-CN"/>
                <w14:textFill>
                  <w14:solidFill>
                    <w14:schemeClr w14:val="tx1"/>
                  </w14:solidFill>
                </w14:textFill>
              </w:rPr>
            </w:pPr>
            <w:r>
              <w:rPr>
                <w:rFonts w:hint="eastAsia" w:ascii="黑体" w:hAnsi="黑体" w:eastAsia="黑体" w:cs="黑体"/>
                <w:color w:val="000000" w:themeColor="text1"/>
                <w:sz w:val="32"/>
                <w:szCs w:val="32"/>
                <w:highlight w:val="none"/>
                <w:vertAlign w:val="baseline"/>
                <w:lang w:eastAsia="zh-CN"/>
                <w14:textFill>
                  <w14:solidFill>
                    <w14:schemeClr w14:val="tx1"/>
                  </w14:solidFill>
                </w14:textFill>
              </w:rPr>
              <w:t>专栏：“三带”功能定位</w:t>
            </w:r>
          </w:p>
          <w:p>
            <w:pPr>
              <w:spacing w:line="560" w:lineRule="exact"/>
              <w:ind w:firstLine="562" w:firstLineChars="200"/>
              <w:jc w:val="left"/>
              <w:rPr>
                <w:rFonts w:hint="eastAsia" w:ascii="楷体_GB2312" w:hAnsi="楷体_GB2312" w:eastAsia="楷体_GB2312" w:cs="楷体_GB2312"/>
                <w:b/>
                <w:bCs/>
                <w:color w:val="000000" w:themeColor="text1"/>
                <w:sz w:val="28"/>
                <w:szCs w:val="28"/>
                <w:highlight w:val="none"/>
                <w14:textFill>
                  <w14:solidFill>
                    <w14:schemeClr w14:val="tx1"/>
                  </w14:solidFill>
                </w14:textFill>
              </w:rPr>
            </w:pPr>
            <w:r>
              <w:rPr>
                <w:rFonts w:hint="eastAsia" w:ascii="楷体_GB2312" w:hAnsi="楷体_GB2312" w:eastAsia="楷体_GB2312" w:cs="楷体_GB2312"/>
                <w:b/>
                <w:bCs/>
                <w:color w:val="000000" w:themeColor="text1"/>
                <w:sz w:val="28"/>
                <w:szCs w:val="28"/>
                <w:highlight w:val="none"/>
                <w14:textFill>
                  <w14:solidFill>
                    <w14:schemeClr w14:val="tx1"/>
                  </w14:solidFill>
                </w14:textFill>
              </w:rPr>
              <w:t>长安街西延长线科技商务活力带</w:t>
            </w:r>
            <w:r>
              <w:rPr>
                <w:rFonts w:hint="eastAsia" w:ascii="楷体_GB2312" w:hAnsi="楷体_GB2312" w:eastAsia="楷体_GB2312" w:cs="楷体_GB2312"/>
                <w:color w:val="000000" w:themeColor="text1"/>
                <w:sz w:val="28"/>
                <w:szCs w:val="28"/>
                <w:highlight w:val="none"/>
                <w14:textFill>
                  <w14:solidFill>
                    <w14:schemeClr w14:val="tx1"/>
                  </w14:solidFill>
                </w14:textFill>
              </w:rPr>
              <w:t>。串联长安街及其西延长线首钢园、“中国心谷”“京西智谷”</w:t>
            </w: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w:t>
            </w:r>
            <w:r>
              <w:rPr>
                <w:rFonts w:hint="eastAsia" w:ascii="楷体_GB2312" w:hAnsi="楷体_GB2312" w:eastAsia="楷体_GB2312" w:cs="楷体_GB2312"/>
                <w:color w:val="000000" w:themeColor="text1"/>
                <w:sz w:val="28"/>
                <w:szCs w:val="28"/>
                <w:highlight w:val="none"/>
                <w:lang w:val="en-US" w:eastAsia="zh-CN"/>
                <w14:textFill>
                  <w14:solidFill>
                    <w14:schemeClr w14:val="tx1"/>
                  </w14:solidFill>
                </w14:textFill>
              </w:rPr>
              <w:t>京西剧谷”及</w:t>
            </w:r>
            <w:r>
              <w:rPr>
                <w:rFonts w:hint="eastAsia" w:ascii="楷体_GB2312" w:hAnsi="楷体_GB2312" w:eastAsia="楷体_GB2312" w:cs="楷体_GB2312"/>
                <w:color w:val="000000" w:themeColor="text1"/>
                <w:sz w:val="28"/>
                <w:szCs w:val="28"/>
                <w:highlight w:val="none"/>
                <w14:textFill>
                  <w14:solidFill>
                    <w14:schemeClr w14:val="tx1"/>
                  </w14:solidFill>
                </w14:textFill>
              </w:rPr>
              <w:t>上岸商圈等重要节点，强化总部、科技、商业</w:t>
            </w: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w:t>
            </w:r>
            <w:r>
              <w:rPr>
                <w:rFonts w:hint="eastAsia" w:ascii="楷体_GB2312" w:hAnsi="楷体_GB2312" w:eastAsia="楷体_GB2312" w:cs="楷体_GB2312"/>
                <w:color w:val="000000" w:themeColor="text1"/>
                <w:sz w:val="28"/>
                <w:szCs w:val="28"/>
                <w:highlight w:val="none"/>
                <w:lang w:val="en-US" w:eastAsia="zh-CN"/>
                <w14:textFill>
                  <w14:solidFill>
                    <w14:schemeClr w14:val="tx1"/>
                  </w14:solidFill>
                </w14:textFill>
              </w:rPr>
              <w:t>休闲等</w:t>
            </w:r>
            <w:r>
              <w:rPr>
                <w:rFonts w:hint="eastAsia" w:ascii="楷体_GB2312" w:hAnsi="楷体_GB2312" w:eastAsia="楷体_GB2312" w:cs="楷体_GB2312"/>
                <w:color w:val="000000" w:themeColor="text1"/>
                <w:sz w:val="28"/>
                <w:szCs w:val="28"/>
                <w:highlight w:val="none"/>
                <w14:textFill>
                  <w14:solidFill>
                    <w14:schemeClr w14:val="tx1"/>
                  </w14:solidFill>
                </w14:textFill>
              </w:rPr>
              <w:t>功能联动，深化多业态融合发展，塑造“京西福地门头沟”</w:t>
            </w:r>
            <w:r>
              <w:rPr>
                <w:rFonts w:hint="eastAsia" w:ascii="楷体_GB2312" w:hAnsi="楷体_GB2312" w:eastAsia="楷体_GB2312" w:cs="楷体_GB2312"/>
                <w:color w:val="000000" w:themeColor="text1"/>
                <w:sz w:val="28"/>
                <w:szCs w:val="28"/>
                <w:highlight w:val="none"/>
                <w:lang w:val="en-US" w:eastAsia="zh-CN"/>
                <w14:textFill>
                  <w14:solidFill>
                    <w14:schemeClr w14:val="tx1"/>
                  </w14:solidFill>
                </w14:textFill>
              </w:rPr>
              <w:t>门户</w:t>
            </w:r>
            <w:r>
              <w:rPr>
                <w:rFonts w:hint="eastAsia" w:ascii="楷体_GB2312" w:hAnsi="楷体_GB2312" w:eastAsia="楷体_GB2312" w:cs="楷体_GB2312"/>
                <w:color w:val="000000" w:themeColor="text1"/>
                <w:sz w:val="28"/>
                <w:szCs w:val="28"/>
                <w:highlight w:val="none"/>
                <w14:textFill>
                  <w14:solidFill>
                    <w14:schemeClr w14:val="tx1"/>
                  </w14:solidFill>
                </w14:textFill>
              </w:rPr>
              <w:t>形象。</w:t>
            </w:r>
          </w:p>
          <w:p>
            <w:pPr>
              <w:spacing w:line="560" w:lineRule="exact"/>
              <w:ind w:firstLine="562" w:firstLineChars="200"/>
              <w:jc w:val="left"/>
              <w:rPr>
                <w:rFonts w:hint="eastAsia" w:ascii="楷体_GB2312" w:hAnsi="楷体_GB2312" w:eastAsia="楷体_GB2312" w:cs="楷体_GB2312"/>
                <w:color w:val="000000" w:themeColor="text1"/>
                <w:sz w:val="28"/>
                <w:szCs w:val="28"/>
                <w:highlight w:val="none"/>
                <w:lang w:val="en-US" w:eastAsia="zh-CN"/>
                <w14:textFill>
                  <w14:solidFill>
                    <w14:schemeClr w14:val="tx1"/>
                  </w14:solidFill>
                </w14:textFill>
              </w:rPr>
            </w:pPr>
            <w:r>
              <w:rPr>
                <w:rFonts w:hint="eastAsia" w:ascii="楷体_GB2312" w:hAnsi="楷体_GB2312" w:eastAsia="楷体_GB2312" w:cs="楷体_GB2312"/>
                <w:b/>
                <w:bCs/>
                <w:color w:val="000000" w:themeColor="text1"/>
                <w:sz w:val="28"/>
                <w:szCs w:val="28"/>
                <w:highlight w:val="none"/>
                <w14:textFill>
                  <w14:solidFill>
                    <w14:schemeClr w14:val="tx1"/>
                  </w14:solidFill>
                </w14:textFill>
              </w:rPr>
              <w:t>永定河右岸滨水休闲活力带</w:t>
            </w:r>
            <w:r>
              <w:rPr>
                <w:rFonts w:hint="eastAsia" w:ascii="楷体_GB2312" w:hAnsi="楷体_GB2312" w:eastAsia="楷体_GB2312" w:cs="楷体_GB2312"/>
                <w:color w:val="000000" w:themeColor="text1"/>
                <w:sz w:val="28"/>
                <w:szCs w:val="28"/>
                <w:highlight w:val="none"/>
                <w14:textFill>
                  <w14:solidFill>
                    <w14:schemeClr w14:val="tx1"/>
                  </w14:solidFill>
                </w14:textFill>
              </w:rPr>
              <w:t>。</w:t>
            </w:r>
            <w:r>
              <w:rPr>
                <w:rFonts w:hint="eastAsia" w:ascii="楷体_GB2312" w:hAnsi="楷体_GB2312" w:eastAsia="楷体_GB2312" w:cs="楷体_GB2312"/>
                <w:color w:val="000000" w:themeColor="text1"/>
                <w:sz w:val="28"/>
                <w:szCs w:val="28"/>
                <w:highlight w:val="none"/>
                <w:lang w:val="en-US" w:eastAsia="zh-CN"/>
                <w14:textFill>
                  <w14:solidFill>
                    <w14:schemeClr w14:val="tx1"/>
                  </w14:solidFill>
                </w14:textFill>
              </w:rPr>
              <w:t>串联永定河右岸沿线“央视界”、冯村沟水岸项目、永定河几字湾湿地等项目，统筹生态修复与消费场景营造，加强滨水生态、城市休闲、文旅体验、水岸娱乐等消费功能配置，打造城水共生的滨水休闲活力带。</w:t>
            </w:r>
          </w:p>
          <w:p>
            <w:pPr>
              <w:spacing w:line="560" w:lineRule="exact"/>
              <w:ind w:firstLine="562" w:firstLineChars="200"/>
              <w:jc w:val="left"/>
              <w:rPr>
                <w:rFonts w:hint="eastAsia" w:ascii="仿宋_GB2312" w:hAnsi="仿宋_GB2312" w:eastAsia="楷体_GB2312" w:cs="仿宋_GB2312"/>
                <w:color w:val="000000" w:themeColor="text1"/>
                <w:sz w:val="32"/>
                <w:szCs w:val="32"/>
                <w:highlight w:val="none"/>
                <w:vertAlign w:val="baseline"/>
                <w:lang w:val="en-US" w:eastAsia="zh-CN"/>
                <w14:textFill>
                  <w14:solidFill>
                    <w14:schemeClr w14:val="tx1"/>
                  </w14:solidFill>
                </w14:textFill>
              </w:rPr>
            </w:pPr>
            <w:r>
              <w:rPr>
                <w:rFonts w:hint="eastAsia" w:ascii="楷体_GB2312" w:hAnsi="楷体_GB2312" w:eastAsia="楷体_GB2312" w:cs="楷体_GB2312"/>
                <w:b/>
                <w:bCs/>
                <w:color w:val="000000" w:themeColor="text1"/>
                <w:sz w:val="28"/>
                <w:szCs w:val="28"/>
                <w:highlight w:val="none"/>
                <w14:textFill>
                  <w14:solidFill>
                    <w14:schemeClr w14:val="tx1"/>
                  </w14:solidFill>
                </w14:textFill>
              </w:rPr>
              <w:t>京蔚高速·109国道文旅融合消费活力带。</w:t>
            </w:r>
            <w:r>
              <w:rPr>
                <w:rFonts w:hint="eastAsia" w:ascii="楷体_GB2312" w:hAnsi="楷体_GB2312" w:eastAsia="楷体_GB2312" w:cs="楷体_GB2312"/>
                <w:color w:val="000000" w:themeColor="text1"/>
                <w:sz w:val="28"/>
                <w:szCs w:val="28"/>
                <w:highlight w:val="none"/>
                <w14:textFill>
                  <w14:solidFill>
                    <w14:schemeClr w14:val="tx1"/>
                  </w14:solidFill>
                </w14:textFill>
              </w:rPr>
              <w:t>依托京蔚高速、109国道，串联道路沿线消费项目，优化交通接驳，完善商业配套，激活在地消费</w:t>
            </w: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，深化</w:t>
            </w:r>
            <w:r>
              <w:rPr>
                <w:rFonts w:hint="eastAsia" w:ascii="楷体_GB2312" w:hAnsi="楷体_GB2312" w:eastAsia="楷体_GB2312" w:cs="楷体_GB2312"/>
                <w:color w:val="000000" w:themeColor="text1"/>
                <w:sz w:val="28"/>
                <w:szCs w:val="28"/>
                <w:highlight w:val="none"/>
                <w14:textFill>
                  <w14:solidFill>
                    <w14:schemeClr w14:val="tx1"/>
                  </w14:solidFill>
                </w14:textFill>
              </w:rPr>
              <w:t>“诗画乡村”品牌</w:t>
            </w: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建设</w:t>
            </w:r>
            <w:r>
              <w:rPr>
                <w:rFonts w:hint="eastAsia" w:ascii="楷体_GB2312" w:hAnsi="楷体_GB2312" w:eastAsia="楷体_GB2312" w:cs="楷体_GB2312"/>
                <w:color w:val="000000" w:themeColor="text1"/>
                <w:sz w:val="28"/>
                <w:szCs w:val="28"/>
                <w:highlight w:val="none"/>
                <w14:textFill>
                  <w14:solidFill>
                    <w14:schemeClr w14:val="tx1"/>
                  </w14:solidFill>
                </w14:textFill>
              </w:rPr>
              <w:t>，打造京冀</w:t>
            </w:r>
            <w:r>
              <w:rPr>
                <w:rFonts w:hint="eastAsia" w:ascii="楷体_GB2312" w:hAnsi="楷体_GB2312" w:eastAsia="楷体_GB2312" w:cs="楷体_GB2312"/>
                <w:color w:val="000000" w:themeColor="text1"/>
                <w:sz w:val="28"/>
                <w:szCs w:val="28"/>
                <w:highlight w:val="none"/>
                <w:lang w:val="en-US" w:eastAsia="zh-CN"/>
                <w14:textFill>
                  <w14:solidFill>
                    <w14:schemeClr w14:val="tx1"/>
                  </w14:solidFill>
                </w14:textFill>
              </w:rPr>
              <w:t>晋</w:t>
            </w:r>
            <w:r>
              <w:rPr>
                <w:rFonts w:hint="eastAsia" w:ascii="楷体_GB2312" w:hAnsi="楷体_GB2312" w:eastAsia="楷体_GB2312" w:cs="楷体_GB2312"/>
                <w:color w:val="000000" w:themeColor="text1"/>
                <w:sz w:val="28"/>
                <w:szCs w:val="28"/>
                <w:highlight w:val="none"/>
                <w14:textFill>
                  <w14:solidFill>
                    <w14:schemeClr w14:val="tx1"/>
                  </w14:solidFill>
                </w14:textFill>
              </w:rPr>
              <w:t>文旅农林商体学融合消费活力带。</w:t>
            </w:r>
          </w:p>
        </w:tc>
      </w:tr>
    </w:tbl>
    <w:p>
      <w:pPr>
        <w:numPr>
          <w:ilvl w:val="255"/>
          <w:numId w:val="0"/>
        </w:numPr>
        <w:spacing w:line="560" w:lineRule="exact"/>
        <w:ind w:firstLine="640" w:firstLineChars="200"/>
        <w:jc w:val="left"/>
        <w:outlineLvl w:val="1"/>
        <w:rPr>
          <w:rFonts w:ascii="Times New Roman" w:hAnsi="Times New Roman" w:eastAsia="楷体_GB2312" w:cs="Times New Roman"/>
          <w:bCs/>
          <w:color w:val="000000" w:themeColor="text1"/>
          <w:kern w:val="0"/>
          <w:sz w:val="32"/>
          <w:szCs w:val="32"/>
          <w:highlight w:val="none"/>
          <w14:textFill>
            <w14:solidFill>
              <w14:schemeClr w14:val="tx1"/>
            </w14:solidFill>
          </w14:textFill>
        </w:rPr>
      </w:pPr>
      <w:bookmarkStart w:id="411" w:name="_Toc28404"/>
      <w:bookmarkStart w:id="412" w:name="_Toc4234"/>
      <w:bookmarkStart w:id="413" w:name="_Toc21501"/>
      <w:bookmarkStart w:id="414" w:name="_Toc7782"/>
      <w:bookmarkStart w:id="415" w:name="_Toc5115"/>
      <w:bookmarkStart w:id="416" w:name="_Toc952"/>
      <w:bookmarkStart w:id="417" w:name="_Toc12267"/>
      <w:bookmarkStart w:id="418" w:name="_Toc30736"/>
      <w:bookmarkStart w:id="419" w:name="_Toc1780"/>
      <w:bookmarkStart w:id="420" w:name="_Toc4115"/>
      <w:bookmarkStart w:id="421" w:name="_Toc4827"/>
      <w:bookmarkStart w:id="422" w:name="_Toc26734"/>
      <w:bookmarkStart w:id="423" w:name="_Toc660"/>
      <w:bookmarkStart w:id="424" w:name="_Toc14535"/>
      <w:bookmarkStart w:id="425" w:name="_Toc547"/>
      <w:bookmarkStart w:id="426" w:name="_Toc23430"/>
      <w:bookmarkStart w:id="427" w:name="_Toc11707"/>
      <w:bookmarkStart w:id="428" w:name="_Toc1248"/>
      <w:bookmarkStart w:id="429" w:name="_Toc10363"/>
      <w:bookmarkStart w:id="430" w:name="_Toc11872"/>
      <w:bookmarkStart w:id="431" w:name="_Toc31749"/>
      <w:bookmarkStart w:id="432" w:name="_Toc12339"/>
      <w:r>
        <w:rPr>
          <w:rFonts w:hint="eastAsia" w:ascii="Times New Roman" w:hAnsi="Times New Roman" w:eastAsia="楷体_GB2312" w:cs="Times New Roman"/>
          <w:bCs/>
          <w:color w:val="000000" w:themeColor="text1"/>
          <w:kern w:val="0"/>
          <w:sz w:val="32"/>
          <w:szCs w:val="32"/>
          <w:highlight w:val="none"/>
          <w14:textFill>
            <w14:solidFill>
              <w14:schemeClr w14:val="tx1"/>
            </w14:solidFill>
          </w14:textFill>
        </w:rPr>
        <w:t>（四）</w:t>
      </w:r>
      <w:r>
        <w:rPr>
          <w:rFonts w:ascii="Times New Roman" w:hAnsi="Times New Roman" w:eastAsia="楷体_GB2312" w:cs="Times New Roman"/>
          <w:bCs/>
          <w:color w:val="000000" w:themeColor="text1"/>
          <w:kern w:val="0"/>
          <w:sz w:val="32"/>
          <w:szCs w:val="32"/>
          <w:highlight w:val="none"/>
          <w14:textFill>
            <w14:solidFill>
              <w14:schemeClr w14:val="tx1"/>
            </w14:solidFill>
          </w14:textFill>
        </w:rPr>
        <w:t>“多点”分布</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spacing w:line="560" w:lineRule="exact"/>
        <w:ind w:firstLine="640" w:firstLineChars="200"/>
        <w:jc w:val="left"/>
        <w:outlineLvl w:val="9"/>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深化“融合+”发展理念，立足山区、城区、产业园区</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不同消费需求</w:t>
      </w:r>
      <w:r>
        <w:rPr>
          <w:rFonts w:hint="eastAsia" w:ascii="仿宋_GB2312" w:hAnsi="仿宋_GB2312" w:eastAsia="仿宋_GB2312" w:cs="仿宋_GB2312"/>
          <w:color w:val="000000" w:themeColor="text1"/>
          <w:sz w:val="32"/>
          <w:szCs w:val="32"/>
          <w:highlight w:val="none"/>
          <w14:textFill>
            <w14:solidFill>
              <w14:schemeClr w14:val="tx1"/>
            </w14:solidFill>
          </w14:textFill>
        </w:rPr>
        <w:t>差异化布局一批特色商业微中心，山区侧重景区与民生配套、城区依托城市更新完善社区便民业态、园区聚焦科创人才商务休闲需求，织密全域商业服务网络。</w:t>
      </w:r>
      <w:bookmarkStart w:id="433" w:name="_Toc24009"/>
      <w:bookmarkStart w:id="434" w:name="_Toc17480"/>
      <w:bookmarkStart w:id="435" w:name="_Toc24252"/>
      <w:bookmarkStart w:id="436" w:name="_Toc10483"/>
      <w:bookmarkStart w:id="437" w:name="_Toc1708"/>
      <w:bookmarkStart w:id="438" w:name="_Toc13699"/>
      <w:bookmarkStart w:id="439" w:name="_Toc27061"/>
      <w:bookmarkStart w:id="440" w:name="_Toc11190"/>
      <w:bookmarkStart w:id="441" w:name="_Toc6483"/>
      <w:bookmarkStart w:id="442" w:name="_Toc23706"/>
      <w:bookmarkStart w:id="443" w:name="_Toc3202"/>
      <w:bookmarkStart w:id="444" w:name="_Toc20160"/>
      <w:bookmarkStart w:id="445" w:name="_Toc22951"/>
      <w:bookmarkStart w:id="446" w:name="_Toc24631"/>
      <w:bookmarkStart w:id="447" w:name="_Toc6724"/>
      <w:bookmarkStart w:id="448" w:name="_Toc10405"/>
      <w:bookmarkStart w:id="449" w:name="_Toc21637"/>
      <w:bookmarkStart w:id="450" w:name="_Toc14495"/>
      <w:bookmarkStart w:id="451" w:name="_Toc5925"/>
      <w:bookmarkStart w:id="452" w:name="_Toc29859"/>
      <w:bookmarkStart w:id="453" w:name="_Toc21631"/>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numPr>
                <w:ilvl w:val="255"/>
                <w:numId w:val="0"/>
              </w:numPr>
              <w:spacing w:line="560" w:lineRule="exact"/>
              <w:ind w:firstLine="0" w:firstLineChars="0"/>
              <w:jc w:val="center"/>
              <w:rPr>
                <w:rFonts w:hint="eastAsia" w:ascii="黑体" w:hAnsi="黑体" w:eastAsia="黑体" w:cs="黑体"/>
                <w:color w:val="000000" w:themeColor="text1"/>
                <w:sz w:val="32"/>
                <w:szCs w:val="32"/>
                <w:highlight w:val="none"/>
                <w:vertAlign w:val="baseline"/>
                <w:lang w:eastAsia="zh-CN"/>
                <w14:textFill>
                  <w14:solidFill>
                    <w14:schemeClr w14:val="tx1"/>
                  </w14:solidFill>
                </w14:textFill>
              </w:rPr>
            </w:pPr>
            <w:r>
              <w:rPr>
                <w:rFonts w:hint="eastAsia" w:ascii="黑体" w:hAnsi="黑体" w:eastAsia="黑体" w:cs="黑体"/>
                <w:color w:val="000000" w:themeColor="text1"/>
                <w:sz w:val="32"/>
                <w:szCs w:val="32"/>
                <w:highlight w:val="none"/>
                <w:vertAlign w:val="baseline"/>
                <w:lang w:eastAsia="zh-CN"/>
                <w14:textFill>
                  <w14:solidFill>
                    <w14:schemeClr w14:val="tx1"/>
                  </w14:solidFill>
                </w14:textFill>
              </w:rPr>
              <w:t>专栏：特色商业微中心功能定位</w:t>
            </w:r>
          </w:p>
          <w:p>
            <w:pPr>
              <w:spacing w:line="560" w:lineRule="exact"/>
              <w:ind w:firstLine="562" w:firstLineChars="200"/>
              <w:jc w:val="left"/>
              <w:rPr>
                <w:rFonts w:hint="eastAsia" w:ascii="楷体_GB2312" w:hAnsi="楷体_GB2312" w:eastAsia="楷体_GB2312" w:cs="楷体_GB2312"/>
                <w:color w:val="000000" w:themeColor="text1"/>
                <w:sz w:val="28"/>
                <w:szCs w:val="28"/>
                <w:highlight w:val="none"/>
                <w14:textFill>
                  <w14:solidFill>
                    <w14:schemeClr w14:val="tx1"/>
                  </w14:solidFill>
                </w14:textFill>
              </w:rPr>
            </w:pPr>
            <w:r>
              <w:rPr>
                <w:rFonts w:hint="eastAsia" w:ascii="楷体_GB2312" w:hAnsi="楷体_GB2312" w:eastAsia="楷体_GB2312" w:cs="楷体_GB2312"/>
                <w:b/>
                <w:bCs/>
                <w:color w:val="000000" w:themeColor="text1"/>
                <w:sz w:val="28"/>
                <w:szCs w:val="28"/>
                <w:highlight w:val="none"/>
                <w14:textFill>
                  <w14:solidFill>
                    <w14:schemeClr w14:val="tx1"/>
                  </w14:solidFill>
                </w14:textFill>
              </w:rPr>
              <w:t>山区商业微中心。</w:t>
            </w:r>
            <w:r>
              <w:rPr>
                <w:rFonts w:hint="eastAsia" w:ascii="楷体_GB2312" w:hAnsi="楷体_GB2312" w:eastAsia="楷体_GB2312" w:cs="楷体_GB2312"/>
                <w:color w:val="000000" w:themeColor="text1"/>
                <w:sz w:val="28"/>
                <w:szCs w:val="28"/>
                <w:highlight w:val="none"/>
                <w14:textFill>
                  <w14:solidFill>
                    <w14:schemeClr w14:val="tx1"/>
                  </w14:solidFill>
                </w14:textFill>
              </w:rPr>
              <w:t>紧扣山区居民日常生活消费、重点景区配套服务及大型赛事活动保障等多元需求，</w:t>
            </w: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分类</w:t>
            </w:r>
            <w:r>
              <w:rPr>
                <w:rFonts w:hint="eastAsia" w:ascii="楷体_GB2312" w:hAnsi="楷体_GB2312" w:eastAsia="楷体_GB2312" w:cs="楷体_GB2312"/>
                <w:color w:val="000000" w:themeColor="text1"/>
                <w:sz w:val="28"/>
                <w:szCs w:val="28"/>
                <w:highlight w:val="none"/>
                <w14:textFill>
                  <w14:solidFill>
                    <w14:schemeClr w14:val="tx1"/>
                  </w14:solidFill>
                </w14:textFill>
              </w:rPr>
              <w:t>打造一批功能性商业微中心</w:t>
            </w: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w:t>
            </w:r>
            <w:r>
              <w:rPr>
                <w:rFonts w:hint="eastAsia" w:ascii="楷体_GB2312" w:hAnsi="楷体_GB2312" w:eastAsia="楷体_GB2312" w:cs="楷体_GB2312"/>
                <w:color w:val="000000" w:themeColor="text1"/>
                <w:sz w:val="28"/>
                <w:szCs w:val="28"/>
                <w:highlight w:val="none"/>
                <w14:textFill>
                  <w14:solidFill>
                    <w14:schemeClr w14:val="tx1"/>
                  </w14:solidFill>
                </w14:textFill>
              </w:rPr>
              <w:t>提升山区综合服务保障水平</w:t>
            </w: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w:t>
            </w:r>
            <w:r>
              <w:rPr>
                <w:rFonts w:hint="eastAsia" w:ascii="楷体_GB2312" w:hAnsi="楷体_GB2312" w:eastAsia="楷体_GB2312" w:cs="楷体_GB2312"/>
                <w:color w:val="000000" w:themeColor="text1"/>
                <w:sz w:val="28"/>
                <w:szCs w:val="28"/>
                <w:highlight w:val="none"/>
                <w14:textFill>
                  <w14:solidFill>
                    <w14:schemeClr w14:val="tx1"/>
                  </w14:solidFill>
                </w14:textFill>
              </w:rPr>
              <w:t>优化山区消费生态。</w:t>
            </w:r>
          </w:p>
          <w:p>
            <w:pPr>
              <w:spacing w:line="560" w:lineRule="exact"/>
              <w:ind w:firstLine="562" w:firstLineChars="200"/>
              <w:jc w:val="left"/>
              <w:rPr>
                <w:rFonts w:hint="eastAsia" w:ascii="楷体_GB2312" w:hAnsi="楷体_GB2312" w:eastAsia="楷体_GB2312" w:cs="楷体_GB2312"/>
                <w:color w:val="000000" w:themeColor="text1"/>
                <w:sz w:val="28"/>
                <w:szCs w:val="28"/>
                <w:highlight w:val="none"/>
                <w14:textFill>
                  <w14:solidFill>
                    <w14:schemeClr w14:val="tx1"/>
                  </w14:solidFill>
                </w14:textFill>
              </w:rPr>
            </w:pPr>
            <w:r>
              <w:rPr>
                <w:rFonts w:hint="eastAsia" w:ascii="楷体_GB2312" w:hAnsi="楷体_GB2312" w:eastAsia="楷体_GB2312" w:cs="楷体_GB2312"/>
                <w:b/>
                <w:bCs/>
                <w:color w:val="000000" w:themeColor="text1"/>
                <w:sz w:val="28"/>
                <w:szCs w:val="28"/>
                <w:highlight w:val="none"/>
                <w14:textFill>
                  <w14:solidFill>
                    <w14:schemeClr w14:val="tx1"/>
                  </w14:solidFill>
                </w14:textFill>
              </w:rPr>
              <w:t>城区社区</w:t>
            </w:r>
            <w:r>
              <w:rPr>
                <w:rFonts w:hint="eastAsia" w:ascii="楷体_GB2312" w:hAnsi="楷体_GB2312" w:eastAsia="楷体_GB2312" w:cs="楷体_GB2312"/>
                <w:b/>
                <w:bCs/>
                <w:color w:val="000000" w:themeColor="text1"/>
                <w:sz w:val="28"/>
                <w:szCs w:val="28"/>
                <w:highlight w:val="none"/>
                <w:lang w:eastAsia="zh-CN"/>
                <w14:textFill>
                  <w14:solidFill>
                    <w14:schemeClr w14:val="tx1"/>
                  </w14:solidFill>
                </w14:textFill>
              </w:rPr>
              <w:t>商业微中心</w:t>
            </w:r>
            <w:r>
              <w:rPr>
                <w:rFonts w:hint="eastAsia" w:ascii="楷体_GB2312" w:hAnsi="楷体_GB2312" w:eastAsia="楷体_GB2312" w:cs="楷体_GB2312"/>
                <w:b/>
                <w:bCs/>
                <w:color w:val="000000" w:themeColor="text1"/>
                <w:sz w:val="28"/>
                <w:szCs w:val="28"/>
                <w:highlight w:val="none"/>
                <w14:textFill>
                  <w14:solidFill>
                    <w14:schemeClr w14:val="tx1"/>
                  </w14:solidFill>
                </w14:textFill>
              </w:rPr>
              <w:t>。</w:t>
            </w:r>
            <w:r>
              <w:rPr>
                <w:rFonts w:hint="eastAsia" w:ascii="楷体_GB2312" w:hAnsi="楷体_GB2312" w:eastAsia="楷体_GB2312" w:cs="楷体_GB2312"/>
                <w:color w:val="000000" w:themeColor="text1"/>
                <w:sz w:val="28"/>
                <w:szCs w:val="28"/>
                <w:highlight w:val="none"/>
                <w14:textFill>
                  <w14:solidFill>
                    <w14:schemeClr w14:val="tx1"/>
                  </w14:solidFill>
                </w14:textFill>
              </w:rPr>
              <w:t>围绕城区城市更新改造和便民生活品质提升，通过老旧设施改造和存量空间挖潜利用，因地制宜打造一批社区级商业消费载体，优化“两镇三街”社区商业</w:t>
            </w: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功能和</w:t>
            </w:r>
            <w:r>
              <w:rPr>
                <w:rFonts w:hint="eastAsia" w:ascii="楷体_GB2312" w:hAnsi="楷体_GB2312" w:eastAsia="楷体_GB2312" w:cs="楷体_GB2312"/>
                <w:color w:val="000000" w:themeColor="text1"/>
                <w:sz w:val="28"/>
                <w:szCs w:val="28"/>
                <w:highlight w:val="none"/>
                <w14:textFill>
                  <w14:solidFill>
                    <w14:schemeClr w14:val="tx1"/>
                  </w14:solidFill>
                </w14:textFill>
              </w:rPr>
              <w:t>布局。</w:t>
            </w:r>
          </w:p>
          <w:p>
            <w:pPr>
              <w:spacing w:line="560" w:lineRule="exact"/>
              <w:ind w:firstLine="562" w:firstLineChars="200"/>
              <w:jc w:val="left"/>
              <w:rPr>
                <w:rFonts w:hint="eastAsia" w:ascii="仿宋_GB2312" w:hAnsi="仿宋_GB2312" w:eastAsia="楷体_GB2312" w:cs="仿宋_GB2312"/>
                <w:color w:val="000000" w:themeColor="text1"/>
                <w:sz w:val="32"/>
                <w:szCs w:val="32"/>
                <w:highlight w:val="none"/>
                <w:vertAlign w:val="baseline"/>
                <w:lang w:val="en-US" w:eastAsia="zh-CN"/>
                <w14:textFill>
                  <w14:solidFill>
                    <w14:schemeClr w14:val="tx1"/>
                  </w14:solidFill>
                </w14:textFill>
              </w:rPr>
            </w:pPr>
            <w:r>
              <w:rPr>
                <w:rFonts w:hint="eastAsia" w:ascii="楷体_GB2312" w:hAnsi="楷体_GB2312" w:eastAsia="楷体_GB2312" w:cs="楷体_GB2312"/>
                <w:b/>
                <w:bCs/>
                <w:color w:val="000000" w:themeColor="text1"/>
                <w:sz w:val="28"/>
                <w:szCs w:val="28"/>
                <w:highlight w:val="none"/>
                <w14:textFill>
                  <w14:solidFill>
                    <w14:schemeClr w14:val="tx1"/>
                  </w14:solidFill>
                </w14:textFill>
              </w:rPr>
              <w:t>产业园区商业微中心。</w:t>
            </w:r>
            <w:r>
              <w:rPr>
                <w:rFonts w:hint="eastAsia" w:ascii="楷体_GB2312" w:hAnsi="楷体_GB2312" w:eastAsia="楷体_GB2312" w:cs="楷体_GB2312"/>
                <w:color w:val="000000" w:themeColor="text1"/>
                <w:sz w:val="28"/>
                <w:szCs w:val="28"/>
                <w:highlight w:val="none"/>
                <w14:textFill>
                  <w14:solidFill>
                    <w14:schemeClr w14:val="tx1"/>
                  </w14:solidFill>
                </w14:textFill>
              </w:rPr>
              <w:t>围绕“京西智谷”“中国心谷”及医疗器械产业园等产业</w:t>
            </w: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园区</w:t>
            </w:r>
            <w:r>
              <w:rPr>
                <w:rFonts w:hint="eastAsia" w:ascii="楷体_GB2312" w:hAnsi="楷体_GB2312" w:eastAsia="楷体_GB2312" w:cs="楷体_GB2312"/>
                <w:color w:val="000000" w:themeColor="text1"/>
                <w:sz w:val="28"/>
                <w:szCs w:val="28"/>
                <w:highlight w:val="none"/>
                <w14:textFill>
                  <w14:solidFill>
                    <w14:schemeClr w14:val="tx1"/>
                  </w14:solidFill>
                </w14:textFill>
              </w:rPr>
              <w:t>建设，聚焦企业商务需求及科技人才生活需求，完善园区商业配套</w:t>
            </w: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w:t>
            </w:r>
            <w:r>
              <w:rPr>
                <w:rFonts w:hint="eastAsia" w:ascii="楷体_GB2312" w:hAnsi="楷体_GB2312" w:eastAsia="楷体_GB2312" w:cs="楷体_GB2312"/>
                <w:color w:val="000000" w:themeColor="text1"/>
                <w:sz w:val="28"/>
                <w:szCs w:val="28"/>
                <w:highlight w:val="none"/>
                <w14:textFill>
                  <w14:solidFill>
                    <w14:schemeClr w14:val="tx1"/>
                  </w14:solidFill>
                </w14:textFill>
              </w:rPr>
              <w:t>打造融合社交和休闲功能的活力场景和空间。</w:t>
            </w:r>
          </w:p>
        </w:tc>
      </w:tr>
    </w:tbl>
    <w:p>
      <w:pPr>
        <w:spacing w:line="560" w:lineRule="exact"/>
        <w:ind w:firstLine="640" w:firstLineChars="200"/>
        <w:outlineLvl w:val="1"/>
        <w:rPr>
          <w:rFonts w:ascii="Times New Roman" w:hAnsi="Times New Roman" w:eastAsia="黑体" w:cs="Times New Roman"/>
          <w:color w:val="000000" w:themeColor="text1"/>
          <w:sz w:val="32"/>
          <w:szCs w:val="32"/>
          <w:highlight w:val="none"/>
          <w14:textFill>
            <w14:solidFill>
              <w14:schemeClr w14:val="tx1"/>
            </w14:solidFill>
          </w14:textFill>
        </w:rPr>
      </w:pPr>
      <w:bookmarkStart w:id="454" w:name="_Toc856"/>
      <w:r>
        <w:rPr>
          <w:rFonts w:hint="eastAsia" w:ascii="Times New Roman" w:hAnsi="Times New Roman" w:eastAsia="黑体" w:cs="Times New Roman"/>
          <w:color w:val="000000" w:themeColor="text1"/>
          <w:sz w:val="32"/>
          <w:szCs w:val="32"/>
          <w:highlight w:val="none"/>
          <w14:textFill>
            <w14:solidFill>
              <w14:schemeClr w14:val="tx1"/>
            </w14:solidFill>
          </w14:textFill>
        </w:rPr>
        <w:t>二</w:t>
      </w:r>
      <w:r>
        <w:rPr>
          <w:rFonts w:ascii="Times New Roman" w:hAnsi="Times New Roman" w:eastAsia="黑体" w:cs="Times New Roman"/>
          <w:color w:val="000000" w:themeColor="text1"/>
          <w:sz w:val="32"/>
          <w:szCs w:val="32"/>
          <w:highlight w:val="none"/>
          <w14:textFill>
            <w14:solidFill>
              <w14:schemeClr w14:val="tx1"/>
            </w14:solidFill>
          </w14:textFill>
        </w:rPr>
        <w:t>、</w:t>
      </w:r>
      <w:r>
        <w:rPr>
          <w:rFonts w:hint="eastAsia" w:ascii="Times New Roman" w:hAnsi="Times New Roman" w:eastAsia="黑体" w:cs="Times New Roman"/>
          <w:color w:val="000000" w:themeColor="text1"/>
          <w:sz w:val="32"/>
          <w:szCs w:val="32"/>
          <w:highlight w:val="none"/>
          <w14:textFill>
            <w14:solidFill>
              <w14:schemeClr w14:val="tx1"/>
            </w14:solidFill>
          </w14:textFill>
        </w:rPr>
        <w:t>提升门城</w:t>
      </w:r>
      <w:r>
        <w:rPr>
          <w:rFonts w:hint="eastAsia" w:ascii="黑体" w:hAnsi="黑体" w:eastAsia="黑体" w:cs="黑体"/>
          <w:color w:val="000000" w:themeColor="text1"/>
          <w:sz w:val="32"/>
          <w:szCs w:val="32"/>
          <w:highlight w:val="none"/>
          <w14:textFill>
            <w14:solidFill>
              <w14:schemeClr w14:val="tx1"/>
            </w14:solidFill>
          </w14:textFill>
        </w:rPr>
        <w:t>地区</w:t>
      </w:r>
      <w:r>
        <w:rPr>
          <w:rFonts w:hint="eastAsia" w:ascii="Times New Roman" w:hAnsi="Times New Roman" w:eastAsia="黑体" w:cs="Times New Roman"/>
          <w:color w:val="000000" w:themeColor="text1"/>
          <w:sz w:val="32"/>
          <w:szCs w:val="32"/>
          <w:highlight w:val="none"/>
          <w14:textFill>
            <w14:solidFill>
              <w14:schemeClr w14:val="tx1"/>
            </w14:solidFill>
          </w14:textFill>
        </w:rPr>
        <w:t>消费场景功能</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54"/>
    </w:p>
    <w:p>
      <w:pPr>
        <w:numPr>
          <w:ilvl w:val="255"/>
          <w:numId w:val="0"/>
        </w:numPr>
        <w:spacing w:line="560" w:lineRule="exact"/>
        <w:ind w:firstLine="640" w:firstLineChars="200"/>
        <w:jc w:val="left"/>
        <w:outlineLvl w:val="1"/>
        <w:rPr>
          <w:rFonts w:hint="eastAsia" w:ascii="Times New Roman" w:hAnsi="Times New Roman" w:eastAsia="楷体_GB2312" w:cs="Times New Roman"/>
          <w:bCs/>
          <w:color w:val="000000" w:themeColor="text1"/>
          <w:kern w:val="0"/>
          <w:sz w:val="32"/>
          <w:szCs w:val="32"/>
          <w:highlight w:val="none"/>
          <w:lang w:eastAsia="zh-CN"/>
          <w14:textFill>
            <w14:solidFill>
              <w14:schemeClr w14:val="tx1"/>
            </w14:solidFill>
          </w14:textFill>
        </w:rPr>
      </w:pPr>
      <w:bookmarkStart w:id="455" w:name="_Toc2008"/>
      <w:bookmarkStart w:id="456" w:name="_Toc7435"/>
      <w:bookmarkStart w:id="457" w:name="_Toc14275"/>
      <w:bookmarkStart w:id="458" w:name="_Toc22873"/>
      <w:bookmarkStart w:id="459" w:name="_Toc27080"/>
      <w:bookmarkStart w:id="460" w:name="_Toc4687"/>
      <w:bookmarkStart w:id="461" w:name="_Toc11394"/>
      <w:bookmarkStart w:id="462" w:name="_Toc28430"/>
      <w:bookmarkStart w:id="463" w:name="_Toc20821"/>
      <w:bookmarkStart w:id="464" w:name="_Toc9588"/>
      <w:bookmarkStart w:id="465" w:name="_Toc26264"/>
      <w:bookmarkStart w:id="466" w:name="_Toc17270"/>
      <w:bookmarkStart w:id="467" w:name="_Toc5715"/>
      <w:bookmarkStart w:id="468" w:name="_Toc4103"/>
      <w:r>
        <w:rPr>
          <w:rFonts w:ascii="Times New Roman" w:hAnsi="Times New Roman" w:eastAsia="楷体_GB2312" w:cs="Times New Roman"/>
          <w:bCs/>
          <w:color w:val="000000" w:themeColor="text1"/>
          <w:kern w:val="0"/>
          <w:sz w:val="32"/>
          <w:szCs w:val="32"/>
          <w:highlight w:val="none"/>
          <w14:textFill>
            <w14:solidFill>
              <w14:schemeClr w14:val="tx1"/>
            </w14:solidFill>
          </w14:textFill>
        </w:rPr>
        <w:t>（</w:t>
      </w:r>
      <w:r>
        <w:rPr>
          <w:rFonts w:hint="eastAsia" w:ascii="Times New Roman" w:hAnsi="Times New Roman" w:eastAsia="楷体_GB2312" w:cs="Times New Roman"/>
          <w:bCs/>
          <w:color w:val="000000" w:themeColor="text1"/>
          <w:kern w:val="0"/>
          <w:sz w:val="32"/>
          <w:szCs w:val="32"/>
          <w:highlight w:val="none"/>
          <w:lang w:eastAsia="zh-CN"/>
          <w14:textFill>
            <w14:solidFill>
              <w14:schemeClr w14:val="tx1"/>
            </w14:solidFill>
          </w14:textFill>
        </w:rPr>
        <w:t>一</w:t>
      </w:r>
      <w:r>
        <w:rPr>
          <w:rFonts w:ascii="Times New Roman" w:hAnsi="Times New Roman" w:eastAsia="楷体_GB2312" w:cs="Times New Roman"/>
          <w:bCs/>
          <w:color w:val="000000" w:themeColor="text1"/>
          <w:kern w:val="0"/>
          <w:sz w:val="32"/>
          <w:szCs w:val="32"/>
          <w:highlight w:val="none"/>
          <w14:textFill>
            <w14:solidFill>
              <w14:schemeClr w14:val="tx1"/>
            </w14:solidFill>
          </w14:textFill>
        </w:rPr>
        <w:t>）</w:t>
      </w:r>
      <w:r>
        <w:rPr>
          <w:rFonts w:hint="eastAsia" w:ascii="Times New Roman" w:hAnsi="Times New Roman" w:eastAsia="楷体_GB2312" w:cs="Times New Roman"/>
          <w:bCs/>
          <w:color w:val="000000" w:themeColor="text1"/>
          <w:kern w:val="0"/>
          <w:sz w:val="32"/>
          <w:szCs w:val="32"/>
          <w:highlight w:val="none"/>
          <w:lang w:eastAsia="zh-CN"/>
          <w14:textFill>
            <w14:solidFill>
              <w14:schemeClr w14:val="tx1"/>
            </w14:solidFill>
          </w14:textFill>
        </w:rPr>
        <w:t>推动三大商圈提质升级</w:t>
      </w:r>
      <w:bookmarkEnd w:id="455"/>
    </w:p>
    <w:p>
      <w:pPr>
        <w:spacing w:line="560" w:lineRule="exact"/>
        <w:ind w:firstLine="640" w:firstLineChars="200"/>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t>河滩商圈</w:t>
      </w:r>
      <w:r>
        <w:rPr>
          <w:rFonts w:hint="eastAsia" w:ascii="仿宋_GB2312" w:hAnsi="仿宋_GB2312" w:eastAsia="仿宋_GB2312" w:cs="仿宋_GB2312"/>
          <w:i w:val="0"/>
          <w:iCs w:val="0"/>
          <w:caps w:val="0"/>
          <w:color w:val="000000" w:themeColor="text1"/>
          <w:spacing w:val="0"/>
          <w:sz w:val="32"/>
          <w:szCs w:val="32"/>
          <w:highlight w:val="none"/>
          <w:shd w:val="clear"/>
          <w:lang w:eastAsia="zh-CN"/>
          <w14:textFill>
            <w14:solidFill>
              <w14:schemeClr w14:val="tx1"/>
            </w14:solidFill>
          </w14:textFill>
        </w:rPr>
        <w:t>推进</w:t>
      </w:r>
      <w:r>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t>小白楼二期投运</w:t>
      </w:r>
      <w:r>
        <w:rPr>
          <w:rFonts w:hint="eastAsia" w:ascii="仿宋_GB2312" w:hAnsi="仿宋_GB2312" w:eastAsia="仿宋_GB2312" w:cs="仿宋_GB2312"/>
          <w:i w:val="0"/>
          <w:iCs w:val="0"/>
          <w:caps w:val="0"/>
          <w:color w:val="000000" w:themeColor="text1"/>
          <w:spacing w:val="0"/>
          <w:sz w:val="32"/>
          <w:szCs w:val="32"/>
          <w:highlight w:val="none"/>
          <w:shd w:val="clear"/>
          <w:lang w:eastAsia="zh-CN"/>
          <w14:textFill>
            <w14:solidFill>
              <w14:schemeClr w14:val="tx1"/>
            </w14:solidFill>
          </w14:textFill>
        </w:rPr>
        <w:t>和</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华远</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华中心项目四期</w:t>
      </w:r>
      <w:r>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t>建设，</w:t>
      </w:r>
      <w:r>
        <w:rPr>
          <w:rFonts w:hint="eastAsia" w:ascii="仿宋_GB2312" w:hAnsi="仿宋_GB2312" w:eastAsia="仿宋_GB2312" w:cs="仿宋_GB2312"/>
          <w:i w:val="0"/>
          <w:iCs w:val="0"/>
          <w:caps w:val="0"/>
          <w:color w:val="000000" w:themeColor="text1"/>
          <w:spacing w:val="0"/>
          <w:sz w:val="32"/>
          <w:szCs w:val="32"/>
          <w:highlight w:val="none"/>
          <w:shd w:val="clear"/>
          <w:lang w:eastAsia="zh-CN"/>
          <w14:textFill>
            <w14:solidFill>
              <w14:schemeClr w14:val="tx1"/>
            </w14:solidFill>
          </w14:textFill>
        </w:rPr>
        <w:t>加快</w:t>
      </w:r>
      <w:r>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t>星级酒店、长租公寓开业</w:t>
      </w:r>
      <w:r>
        <w:rPr>
          <w:rFonts w:hint="eastAsia" w:ascii="仿宋_GB2312" w:hAnsi="仿宋_GB2312" w:eastAsia="仿宋_GB2312" w:cs="仿宋_GB2312"/>
          <w:i w:val="0"/>
          <w:iCs w:val="0"/>
          <w:caps w:val="0"/>
          <w:color w:val="000000" w:themeColor="text1"/>
          <w:spacing w:val="0"/>
          <w:sz w:val="32"/>
          <w:szCs w:val="32"/>
          <w:highlight w:val="none"/>
          <w:shd w:val="clear"/>
          <w:lang w:eastAsia="zh-CN"/>
          <w14:textFill>
            <w14:solidFill>
              <w14:schemeClr w14:val="tx1"/>
            </w14:solidFill>
          </w14:textFill>
        </w:rPr>
        <w:t>，增强</w:t>
      </w:r>
      <w:r>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t>商圈人流聚集</w:t>
      </w:r>
      <w:r>
        <w:rPr>
          <w:rFonts w:hint="eastAsia" w:ascii="仿宋_GB2312" w:hAnsi="仿宋_GB2312" w:eastAsia="仿宋_GB2312" w:cs="仿宋_GB2312"/>
          <w:i w:val="0"/>
          <w:iCs w:val="0"/>
          <w:caps w:val="0"/>
          <w:color w:val="000000" w:themeColor="text1"/>
          <w:spacing w:val="0"/>
          <w:sz w:val="32"/>
          <w:szCs w:val="32"/>
          <w:highlight w:val="none"/>
          <w:shd w:val="clear"/>
          <w:lang w:eastAsia="zh-CN"/>
          <w14:textFill>
            <w14:solidFill>
              <w14:schemeClr w14:val="tx1"/>
            </w14:solidFill>
          </w14:textFill>
        </w:rPr>
        <w:t>力。</w:t>
      </w:r>
      <w:r>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t>上岸商圈</w:t>
      </w:r>
      <w:r>
        <w:rPr>
          <w:rFonts w:hint="eastAsia" w:ascii="仿宋_GB2312" w:hAnsi="仿宋_GB2312" w:eastAsia="仿宋_GB2312" w:cs="仿宋_GB2312"/>
          <w:i w:val="0"/>
          <w:iCs w:val="0"/>
          <w:caps w:val="0"/>
          <w:color w:val="000000" w:themeColor="text1"/>
          <w:spacing w:val="0"/>
          <w:sz w:val="32"/>
          <w:szCs w:val="32"/>
          <w:highlight w:val="none"/>
          <w:shd w:val="clear"/>
          <w:lang w:eastAsia="zh-CN"/>
          <w14:textFill>
            <w14:solidFill>
              <w14:schemeClr w14:val="tx1"/>
            </w14:solidFill>
          </w14:textFill>
        </w:rPr>
        <w:t>引导</w:t>
      </w:r>
      <w:r>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t>欢乐大都汇</w:t>
      </w:r>
      <w:r>
        <w:rPr>
          <w:rFonts w:hint="eastAsia" w:ascii="仿宋_GB2312" w:hAnsi="仿宋_GB2312" w:eastAsia="仿宋_GB2312" w:cs="仿宋_GB2312"/>
          <w:i w:val="0"/>
          <w:iCs w:val="0"/>
          <w:caps w:val="0"/>
          <w:color w:val="000000" w:themeColor="text1"/>
          <w:spacing w:val="0"/>
          <w:sz w:val="32"/>
          <w:szCs w:val="32"/>
          <w:highlight w:val="none"/>
          <w:shd w:val="clear"/>
          <w:lang w:eastAsia="zh-CN"/>
          <w14:textFill>
            <w14:solidFill>
              <w14:schemeClr w14:val="tx1"/>
            </w14:solidFill>
          </w14:textFill>
        </w:rPr>
        <w:t>向</w:t>
      </w:r>
      <w:r>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t>骑行主题商业街区</w:t>
      </w:r>
      <w:r>
        <w:rPr>
          <w:rFonts w:hint="eastAsia" w:ascii="仿宋_GB2312" w:hAnsi="仿宋_GB2312" w:eastAsia="仿宋_GB2312" w:cs="仿宋_GB2312"/>
          <w:i w:val="0"/>
          <w:iCs w:val="0"/>
          <w:caps w:val="0"/>
          <w:color w:val="000000" w:themeColor="text1"/>
          <w:spacing w:val="0"/>
          <w:sz w:val="32"/>
          <w:szCs w:val="32"/>
          <w:highlight w:val="none"/>
          <w:shd w:val="clear"/>
          <w:lang w:eastAsia="zh-CN"/>
          <w14:textFill>
            <w14:solidFill>
              <w14:schemeClr w14:val="tx1"/>
            </w14:solidFill>
          </w14:textFill>
        </w:rPr>
        <w:t>转型升级，</w:t>
      </w:r>
      <w:r>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t>支持商圈</w:t>
      </w:r>
      <w:r>
        <w:rPr>
          <w:rFonts w:hint="eastAsia" w:ascii="仿宋_GB2312" w:hAnsi="仿宋_GB2312" w:eastAsia="仿宋_GB2312" w:cs="仿宋_GB2312"/>
          <w:i w:val="0"/>
          <w:iCs w:val="0"/>
          <w:caps w:val="0"/>
          <w:color w:val="000000" w:themeColor="text1"/>
          <w:spacing w:val="0"/>
          <w:sz w:val="32"/>
          <w:szCs w:val="32"/>
          <w:highlight w:val="none"/>
          <w:shd w:val="clear"/>
          <w:lang w:eastAsia="zh-CN"/>
          <w14:textFill>
            <w14:solidFill>
              <w14:schemeClr w14:val="tx1"/>
            </w14:solidFill>
          </w14:textFill>
        </w:rPr>
        <w:t>加强品牌首店、旗舰店布局，拓展丰富</w:t>
      </w:r>
      <w:r>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t>沉浸式、体验式消费新场景</w:t>
      </w:r>
      <w:r>
        <w:rPr>
          <w:rFonts w:hint="eastAsia" w:ascii="仿宋_GB2312" w:hAnsi="仿宋_GB2312" w:eastAsia="仿宋_GB2312" w:cs="仿宋_GB2312"/>
          <w:i w:val="0"/>
          <w:iCs w:val="0"/>
          <w:caps w:val="0"/>
          <w:color w:val="000000" w:themeColor="text1"/>
          <w:spacing w:val="0"/>
          <w:sz w:val="32"/>
          <w:szCs w:val="32"/>
          <w:highlight w:val="none"/>
          <w:shd w:val="clear"/>
          <w:lang w:val="en-US" w:eastAsia="zh-CN"/>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t>檀谷商圈加强主题酒店、运动体验业态布局，</w:t>
      </w:r>
      <w:r>
        <w:rPr>
          <w:rFonts w:hint="eastAsia" w:ascii="仿宋_GB2312" w:hAnsi="仿宋_GB2312" w:eastAsia="仿宋_GB2312" w:cs="仿宋_GB2312"/>
          <w:i w:val="0"/>
          <w:iCs w:val="0"/>
          <w:caps w:val="0"/>
          <w:color w:val="000000" w:themeColor="text1"/>
          <w:spacing w:val="0"/>
          <w:sz w:val="32"/>
          <w:szCs w:val="32"/>
          <w:highlight w:val="none"/>
          <w:shd w:val="clear"/>
          <w:lang w:eastAsia="zh-CN"/>
          <w14:textFill>
            <w14:solidFill>
              <w14:schemeClr w14:val="tx1"/>
            </w14:solidFill>
          </w14:textFill>
        </w:rPr>
        <w:t>完善</w:t>
      </w:r>
      <w:r>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t>骑行驿站、主题餐饮等配套。</w:t>
      </w:r>
    </w:p>
    <w:bookmarkEnd w:id="456"/>
    <w:bookmarkEnd w:id="457"/>
    <w:bookmarkEnd w:id="458"/>
    <w:bookmarkEnd w:id="459"/>
    <w:bookmarkEnd w:id="460"/>
    <w:bookmarkEnd w:id="461"/>
    <w:bookmarkEnd w:id="462"/>
    <w:bookmarkEnd w:id="463"/>
    <w:bookmarkEnd w:id="464"/>
    <w:bookmarkEnd w:id="465"/>
    <w:bookmarkEnd w:id="466"/>
    <w:bookmarkEnd w:id="467"/>
    <w:bookmarkEnd w:id="468"/>
    <w:p>
      <w:pPr>
        <w:spacing w:line="560" w:lineRule="exact"/>
        <w:ind w:firstLine="640" w:firstLineChars="200"/>
        <w:outlineLvl w:val="1"/>
        <w:rPr>
          <w:rFonts w:hint="eastAsia" w:ascii="仿宋_GB2312" w:hAnsi="仿宋_GB2312" w:eastAsia="仿宋_GB2312" w:cs="仿宋_GB2312"/>
          <w:b/>
          <w:bCs/>
          <w:color w:val="000000" w:themeColor="text1"/>
          <w:sz w:val="32"/>
          <w:szCs w:val="32"/>
          <w:highlight w:val="none"/>
          <w14:textFill>
            <w14:solidFill>
              <w14:schemeClr w14:val="tx1"/>
            </w14:solidFill>
          </w14:textFill>
        </w:rPr>
      </w:pPr>
      <w:bookmarkStart w:id="469" w:name="_Toc27268"/>
      <w:bookmarkStart w:id="470" w:name="_Toc1366"/>
      <w:bookmarkStart w:id="471" w:name="_Toc14402"/>
      <w:bookmarkStart w:id="472" w:name="_Toc193"/>
      <w:bookmarkStart w:id="473" w:name="_Toc15451"/>
      <w:bookmarkStart w:id="474" w:name="_Toc22356"/>
      <w:bookmarkStart w:id="475" w:name="_Toc4870"/>
      <w:bookmarkStart w:id="476" w:name="_Toc30479"/>
      <w:bookmarkStart w:id="477" w:name="_Toc6560"/>
      <w:bookmarkStart w:id="478" w:name="_Toc19174"/>
      <w:bookmarkStart w:id="479" w:name="_Toc901"/>
      <w:bookmarkStart w:id="480" w:name="_Toc18983"/>
      <w:bookmarkStart w:id="481" w:name="_Toc30052"/>
      <w:bookmarkStart w:id="482" w:name="_Toc6890"/>
      <w:bookmarkStart w:id="483" w:name="_Toc22091"/>
      <w:bookmarkStart w:id="484" w:name="_Toc16847"/>
      <w:r>
        <w:rPr>
          <w:rFonts w:hint="eastAsia" w:ascii="楷体_GB2312" w:hAnsi="楷体_GB2312" w:eastAsia="楷体_GB2312" w:cs="楷体_GB2312"/>
          <w:color w:val="000000" w:themeColor="text1"/>
          <w:sz w:val="32"/>
          <w:szCs w:val="32"/>
          <w:highlight w:val="none"/>
          <w14:textFill>
            <w14:solidFill>
              <w14:schemeClr w14:val="tx1"/>
            </w14:solidFill>
          </w14:textFill>
        </w:rPr>
        <w:t>（</w:t>
      </w:r>
      <w:r>
        <w:rPr>
          <w:rFonts w:hint="eastAsia" w:ascii="楷体_GB2312" w:hAnsi="楷体_GB2312" w:eastAsia="楷体_GB2312" w:cs="楷体_GB2312"/>
          <w:color w:val="000000" w:themeColor="text1"/>
          <w:sz w:val="32"/>
          <w:szCs w:val="32"/>
          <w:highlight w:val="none"/>
          <w:lang w:eastAsia="zh-CN"/>
          <w14:textFill>
            <w14:solidFill>
              <w14:schemeClr w14:val="tx1"/>
            </w14:solidFill>
          </w14:textFill>
        </w:rPr>
        <w:t>二</w:t>
      </w:r>
      <w:r>
        <w:rPr>
          <w:rFonts w:hint="eastAsia" w:ascii="楷体_GB2312" w:hAnsi="楷体_GB2312" w:eastAsia="楷体_GB2312" w:cs="楷体_GB2312"/>
          <w:color w:val="000000" w:themeColor="text1"/>
          <w:sz w:val="32"/>
          <w:szCs w:val="32"/>
          <w:highlight w:val="none"/>
          <w14:textFill>
            <w14:solidFill>
              <w14:schemeClr w14:val="tx1"/>
            </w14:solidFill>
          </w14:textFill>
        </w:rPr>
        <w:t>）</w:t>
      </w:r>
      <w:bookmarkEnd w:id="469"/>
      <w:bookmarkEnd w:id="470"/>
      <w:bookmarkEnd w:id="471"/>
      <w:bookmarkEnd w:id="472"/>
      <w:bookmarkEnd w:id="473"/>
      <w:bookmarkEnd w:id="474"/>
      <w:bookmarkEnd w:id="475"/>
      <w:r>
        <w:rPr>
          <w:rFonts w:hint="eastAsia" w:ascii="楷体_GB2312" w:hAnsi="楷体_GB2312" w:eastAsia="楷体_GB2312" w:cs="楷体_GB2312"/>
          <w:color w:val="000000" w:themeColor="text1"/>
          <w:sz w:val="32"/>
          <w:szCs w:val="32"/>
          <w:highlight w:val="none"/>
          <w14:textFill>
            <w14:solidFill>
              <w14:schemeClr w14:val="tx1"/>
            </w14:solidFill>
          </w14:textFill>
        </w:rPr>
        <w:t>拓展消费新空间新场景</w:t>
      </w:r>
      <w:bookmarkEnd w:id="476"/>
      <w:bookmarkEnd w:id="477"/>
      <w:bookmarkEnd w:id="478"/>
      <w:bookmarkEnd w:id="479"/>
      <w:bookmarkEnd w:id="480"/>
      <w:bookmarkEnd w:id="481"/>
      <w:bookmarkEnd w:id="482"/>
      <w:bookmarkEnd w:id="483"/>
      <w:bookmarkEnd w:id="484"/>
    </w:p>
    <w:p>
      <w:pPr>
        <w:pStyle w:val="41"/>
        <w:spacing w:line="560" w:lineRule="exact"/>
        <w:ind w:firstLine="640" w:firstLineChars="200"/>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落实“两园一河”协同联动发展部署，围绕“央视界”</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冯村沟水岸项目、永定河几字湾湿地等项目，</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加强品质商业、娱乐</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休闲等功能布局。盘活存量空间，推动永定楼文商旅综合体业态功能升级，支持国有商业设施更新打造融合型、主题式商业新空间。完善中关村科技园区门头沟园商业配套，支持构建开放共享的社交型商业微生态，打造园区商业微中心，营造青年友好环境。拓展融合消费场景，提升金隅琉璃文创园消费体验，加快体育文化中心项目建设提升，</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鼓励公园</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拓展演艺、休闲等消费场景</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打造“无界公园”。</w:t>
      </w:r>
    </w:p>
    <w:p>
      <w:pPr>
        <w:spacing w:line="560" w:lineRule="exact"/>
        <w:ind w:firstLine="640" w:firstLineChars="200"/>
        <w:outlineLvl w:val="1"/>
        <w:rPr>
          <w:rFonts w:ascii="Times New Roman" w:hAnsi="Times New Roman" w:eastAsia="黑体" w:cs="Times New Roman"/>
          <w:color w:val="000000" w:themeColor="text1"/>
          <w:sz w:val="32"/>
          <w:szCs w:val="32"/>
          <w:highlight w:val="none"/>
          <w14:textFill>
            <w14:solidFill>
              <w14:schemeClr w14:val="tx1"/>
            </w14:solidFill>
          </w14:textFill>
        </w:rPr>
      </w:pPr>
      <w:bookmarkStart w:id="485" w:name="_Toc9357"/>
      <w:bookmarkStart w:id="486" w:name="_Toc10227"/>
      <w:bookmarkStart w:id="487" w:name="_Toc24867"/>
      <w:bookmarkStart w:id="488" w:name="_Toc8041"/>
      <w:bookmarkStart w:id="489" w:name="_Toc9913"/>
      <w:bookmarkStart w:id="490" w:name="_Toc18541"/>
      <w:bookmarkStart w:id="491" w:name="_Toc11090"/>
      <w:bookmarkStart w:id="492" w:name="_Toc1610"/>
      <w:bookmarkStart w:id="493" w:name="_Toc30969"/>
      <w:bookmarkStart w:id="494" w:name="_Toc25728"/>
      <w:bookmarkStart w:id="495" w:name="_Toc19851"/>
      <w:bookmarkStart w:id="496" w:name="_Toc22510"/>
      <w:bookmarkStart w:id="497" w:name="_Toc22820"/>
      <w:bookmarkStart w:id="498" w:name="_Toc26872"/>
      <w:bookmarkStart w:id="499" w:name="_Toc6003"/>
      <w:bookmarkStart w:id="500" w:name="_Toc6872"/>
      <w:r>
        <w:rPr>
          <w:rFonts w:hint="eastAsia" w:ascii="Times New Roman" w:hAnsi="Times New Roman" w:eastAsia="黑体" w:cs="Times New Roman"/>
          <w:color w:val="000000" w:themeColor="text1"/>
          <w:sz w:val="32"/>
          <w:szCs w:val="32"/>
          <w:highlight w:val="none"/>
          <w14:textFill>
            <w14:solidFill>
              <w14:schemeClr w14:val="tx1"/>
            </w14:solidFill>
          </w14:textFill>
        </w:rPr>
        <w:t>三</w:t>
      </w:r>
      <w:r>
        <w:rPr>
          <w:rFonts w:ascii="Times New Roman" w:hAnsi="Times New Roman" w:eastAsia="黑体" w:cs="Times New Roman"/>
          <w:color w:val="000000" w:themeColor="text1"/>
          <w:sz w:val="32"/>
          <w:szCs w:val="32"/>
          <w:highlight w:val="none"/>
          <w14:textFill>
            <w14:solidFill>
              <w14:schemeClr w14:val="tx1"/>
            </w14:solidFill>
          </w14:textFill>
        </w:rPr>
        <w:t>、拓展山区品质消费载体空间</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widowControl/>
        <w:spacing w:line="560" w:lineRule="exact"/>
        <w:ind w:firstLine="641"/>
        <w:outlineLvl w:val="1"/>
        <w:rPr>
          <w:rFonts w:hint="eastAsia" w:ascii="楷体_GB2312" w:hAnsi="楷体_GB2312" w:eastAsia="楷体_GB2312" w:cs="楷体_GB2312"/>
          <w:color w:val="000000" w:themeColor="text1"/>
          <w:sz w:val="32"/>
          <w:szCs w:val="32"/>
          <w:highlight w:val="none"/>
          <w14:textFill>
            <w14:solidFill>
              <w14:schemeClr w14:val="tx1"/>
            </w14:solidFill>
          </w14:textFill>
        </w:rPr>
      </w:pPr>
      <w:bookmarkStart w:id="501" w:name="_Toc4032"/>
      <w:bookmarkStart w:id="502" w:name="_Toc14877"/>
      <w:bookmarkStart w:id="503" w:name="_Toc29848"/>
      <w:bookmarkStart w:id="504" w:name="_Toc9062"/>
      <w:bookmarkStart w:id="505" w:name="_Toc18117"/>
      <w:bookmarkStart w:id="506" w:name="_Toc18448"/>
      <w:bookmarkStart w:id="507" w:name="_Toc3059"/>
      <w:bookmarkStart w:id="508" w:name="_Toc23022"/>
      <w:bookmarkStart w:id="509" w:name="_Toc21937"/>
      <w:bookmarkStart w:id="510" w:name="_Toc27822"/>
      <w:bookmarkStart w:id="511" w:name="_Toc13467"/>
      <w:bookmarkStart w:id="512" w:name="_Toc8136"/>
      <w:bookmarkStart w:id="513" w:name="_Toc12018"/>
      <w:bookmarkStart w:id="514" w:name="_Toc31527"/>
      <w:bookmarkStart w:id="515" w:name="_Toc6526"/>
      <w:bookmarkStart w:id="516" w:name="_Toc25458"/>
      <w:r>
        <w:rPr>
          <w:rFonts w:hint="eastAsia" w:ascii="楷体_GB2312" w:hAnsi="楷体_GB2312" w:eastAsia="楷体_GB2312" w:cs="楷体_GB2312"/>
          <w:color w:val="000000" w:themeColor="text1"/>
          <w:sz w:val="32"/>
          <w:szCs w:val="32"/>
          <w:highlight w:val="none"/>
          <w14:textFill>
            <w14:solidFill>
              <w14:schemeClr w14:val="tx1"/>
            </w14:solidFill>
          </w14:textFill>
        </w:rPr>
        <w:t>（一）打造镇街品质便民商业微中心</w:t>
      </w:r>
      <w:bookmarkEnd w:id="501"/>
      <w:bookmarkEnd w:id="502"/>
      <w:bookmarkEnd w:id="503"/>
      <w:bookmarkEnd w:id="504"/>
      <w:bookmarkEnd w:id="505"/>
      <w:bookmarkEnd w:id="506"/>
      <w:bookmarkEnd w:id="507"/>
      <w:bookmarkEnd w:id="508"/>
    </w:p>
    <w:p>
      <w:pPr>
        <w:pStyle w:val="41"/>
        <w:spacing w:line="560" w:lineRule="exact"/>
        <w:ind w:firstLine="640" w:firstLineChars="200"/>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highlight w:val="none"/>
          <w:shd w:val="clear"/>
          <w:lang w:val="en-US" w:eastAsia="zh-CN"/>
          <w14:textFill>
            <w14:solidFill>
              <w14:schemeClr w14:val="tx1"/>
            </w14:solidFill>
          </w14:textFill>
        </w:rPr>
        <w:t>围绕山区居民品质生活需求，在“六镇一街”布局便民商业微中心，提升镇街商业综合服务功能。完善清水、雁翅、妙峰山、王平、大台等镇街便利店、理发店等基础业态布局，支持有条件镇街引入品牌超市、咖啡茶饮等提升类门店，优化传统大集功能。支持斋堂镇围绕区域副中心建设打造一站式便民生活综合体，增强对周边镇辐射服务能力。</w:t>
      </w:r>
    </w:p>
    <w:p>
      <w:pPr>
        <w:widowControl/>
        <w:spacing w:line="560" w:lineRule="exact"/>
        <w:ind w:firstLine="641"/>
        <w:outlineLvl w:val="1"/>
        <w:rPr>
          <w:rFonts w:hint="eastAsia" w:ascii="楷体_GB2312" w:hAnsi="楷体_GB2312" w:eastAsia="楷体_GB2312" w:cs="楷体_GB2312"/>
          <w:color w:val="000000" w:themeColor="text1"/>
          <w:sz w:val="32"/>
          <w:szCs w:val="32"/>
          <w:highlight w:val="none"/>
          <w14:textFill>
            <w14:solidFill>
              <w14:schemeClr w14:val="tx1"/>
            </w14:solidFill>
          </w14:textFill>
        </w:rPr>
      </w:pPr>
      <w:bookmarkStart w:id="517" w:name="_Toc19358"/>
      <w:bookmarkStart w:id="518" w:name="_Toc3090"/>
      <w:bookmarkStart w:id="519" w:name="_Toc28730"/>
      <w:bookmarkStart w:id="520" w:name="_Toc32738"/>
      <w:bookmarkStart w:id="521" w:name="_Toc22980"/>
      <w:bookmarkStart w:id="522" w:name="_Toc9376"/>
      <w:bookmarkStart w:id="523" w:name="_Toc7261"/>
      <w:r>
        <w:rPr>
          <w:rFonts w:hint="eastAsia" w:ascii="楷体_GB2312" w:hAnsi="楷体_GB2312" w:eastAsia="楷体_GB2312" w:cs="楷体_GB2312"/>
          <w:color w:val="000000" w:themeColor="text1"/>
          <w:sz w:val="32"/>
          <w:szCs w:val="32"/>
          <w:highlight w:val="none"/>
          <w14:textFill>
            <w14:solidFill>
              <w14:schemeClr w14:val="tx1"/>
            </w14:solidFill>
          </w14:textFill>
        </w:rPr>
        <w:t>（二）打造商文旅融合服务微中心</w:t>
      </w:r>
      <w:bookmarkEnd w:id="517"/>
      <w:bookmarkEnd w:id="518"/>
      <w:bookmarkEnd w:id="519"/>
      <w:bookmarkEnd w:id="520"/>
      <w:bookmarkEnd w:id="521"/>
      <w:bookmarkEnd w:id="522"/>
      <w:bookmarkEnd w:id="523"/>
    </w:p>
    <w:p>
      <w:pPr>
        <w:numPr>
          <w:ilvl w:val="255"/>
          <w:numId w:val="0"/>
        </w:numPr>
        <w:spacing w:line="560" w:lineRule="exact"/>
        <w:ind w:firstLine="640"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围绕“两超四强”文旅目的地打造，聚焦旅游休闲人群服务需求，依托景区及周边服务资源基础，进一步补齐零售、餐饮、住宿、文化体验等业态功能，打造一批商文旅融合服务微中心，进一步激发景区消费活力。</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numPr>
                <w:ilvl w:val="255"/>
                <w:numId w:val="0"/>
              </w:numPr>
              <w:spacing w:line="560" w:lineRule="exact"/>
              <w:ind w:firstLine="0" w:firstLineChars="0"/>
              <w:jc w:val="center"/>
              <w:rPr>
                <w:rFonts w:hint="eastAsia" w:ascii="黑体" w:hAnsi="黑体" w:eastAsia="黑体" w:cs="黑体"/>
                <w:color w:val="000000" w:themeColor="text1"/>
                <w:sz w:val="32"/>
                <w:szCs w:val="32"/>
                <w:highlight w:val="none"/>
                <w:vertAlign w:val="baseline"/>
                <w:lang w:eastAsia="zh-CN"/>
                <w14:textFill>
                  <w14:solidFill>
                    <w14:schemeClr w14:val="tx1"/>
                  </w14:solidFill>
                </w14:textFill>
              </w:rPr>
            </w:pPr>
            <w:r>
              <w:rPr>
                <w:rFonts w:hint="eastAsia" w:ascii="黑体" w:hAnsi="黑体" w:eastAsia="黑体" w:cs="黑体"/>
                <w:color w:val="000000" w:themeColor="text1"/>
                <w:sz w:val="32"/>
                <w:szCs w:val="32"/>
                <w:highlight w:val="none"/>
                <w:vertAlign w:val="baseline"/>
                <w:lang w:eastAsia="zh-CN"/>
                <w14:textFill>
                  <w14:solidFill>
                    <w14:schemeClr w14:val="tx1"/>
                  </w14:solidFill>
                </w14:textFill>
              </w:rPr>
              <w:t>专栏：商文旅融合服务微中心</w:t>
            </w:r>
          </w:p>
          <w:p>
            <w:pPr>
              <w:numPr>
                <w:ilvl w:val="255"/>
                <w:numId w:val="0"/>
              </w:numPr>
              <w:spacing w:line="560" w:lineRule="exact"/>
              <w:ind w:firstLine="562" w:firstLineChars="200"/>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pPr>
            <w:r>
              <w:rPr>
                <w:rFonts w:hint="eastAsia" w:ascii="楷体_GB2312" w:hAnsi="楷体_GB2312" w:eastAsia="楷体_GB2312" w:cs="楷体_GB2312"/>
                <w:b/>
                <w:bCs/>
                <w:color w:val="000000" w:themeColor="text1"/>
                <w:sz w:val="28"/>
                <w:szCs w:val="28"/>
                <w:highlight w:val="none"/>
                <w14:textFill>
                  <w14:solidFill>
                    <w14:schemeClr w14:val="tx1"/>
                  </w14:solidFill>
                </w14:textFill>
              </w:rPr>
              <w:t>“两寺一峰”片区。</w:t>
            </w:r>
            <w:r>
              <w:rPr>
                <w:rFonts w:hint="eastAsia" w:ascii="楷体_GB2312" w:hAnsi="楷体_GB2312" w:eastAsia="楷体_GB2312" w:cs="楷体_GB2312"/>
                <w:color w:val="000000" w:themeColor="text1"/>
                <w:sz w:val="28"/>
                <w:szCs w:val="28"/>
                <w:highlight w:val="none"/>
                <w14:textFill>
                  <w14:solidFill>
                    <w14:schemeClr w14:val="tx1"/>
                  </w14:solidFill>
                </w14:textFill>
              </w:rPr>
              <w:t>围绕国家级</w:t>
            </w: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潭柘休闲</w:t>
            </w:r>
            <w:r>
              <w:rPr>
                <w:rFonts w:hint="eastAsia" w:ascii="楷体_GB2312" w:hAnsi="楷体_GB2312" w:eastAsia="楷体_GB2312" w:cs="楷体_GB2312"/>
                <w:color w:val="000000" w:themeColor="text1"/>
                <w:sz w:val="28"/>
                <w:szCs w:val="28"/>
                <w:highlight w:val="none"/>
                <w14:textFill>
                  <w14:solidFill>
                    <w14:schemeClr w14:val="tx1"/>
                  </w14:solidFill>
                </w14:textFill>
              </w:rPr>
              <w:t>旅游度假区创建，</w:t>
            </w: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推动</w:t>
            </w:r>
            <w:r>
              <w:rPr>
                <w:rFonts w:hint="eastAsia" w:ascii="楷体_GB2312" w:hAnsi="楷体_GB2312" w:eastAsia="楷体_GB2312" w:cs="楷体_GB2312"/>
                <w:color w:val="000000" w:themeColor="text1"/>
                <w:sz w:val="28"/>
                <w:szCs w:val="28"/>
                <w:highlight w:val="none"/>
                <w14:textFill>
                  <w14:solidFill>
                    <w14:schemeClr w14:val="tx1"/>
                  </w14:solidFill>
                </w14:textFill>
              </w:rPr>
              <w:t>旅游集散中心</w:t>
            </w: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建设</w:t>
            </w:r>
            <w:r>
              <w:rPr>
                <w:rFonts w:hint="eastAsia" w:ascii="楷体_GB2312" w:hAnsi="楷体_GB2312" w:eastAsia="楷体_GB2312" w:cs="楷体_GB2312"/>
                <w:color w:val="000000" w:themeColor="text1"/>
                <w:sz w:val="28"/>
                <w:szCs w:val="28"/>
                <w:highlight w:val="none"/>
                <w14:textFill>
                  <w14:solidFill>
                    <w14:schemeClr w14:val="tx1"/>
                  </w14:solidFill>
                </w14:textFill>
              </w:rPr>
              <w:t>，</w:t>
            </w: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依托</w:t>
            </w:r>
            <w:r>
              <w:rPr>
                <w:rFonts w:hint="eastAsia" w:ascii="楷体_GB2312" w:hAnsi="楷体_GB2312" w:eastAsia="楷体_GB2312" w:cs="楷体_GB2312"/>
                <w:color w:val="000000" w:themeColor="text1"/>
                <w:sz w:val="28"/>
                <w:szCs w:val="28"/>
                <w:highlight w:val="none"/>
                <w14:textFill>
                  <w14:solidFill>
                    <w14:schemeClr w14:val="tx1"/>
                  </w14:solidFill>
                </w14:textFill>
              </w:rPr>
              <w:t>潭柘寺、戒台寺禅文化</w:t>
            </w: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资源</w:t>
            </w:r>
            <w:r>
              <w:rPr>
                <w:rFonts w:hint="eastAsia" w:ascii="楷体_GB2312" w:hAnsi="楷体_GB2312" w:eastAsia="楷体_GB2312" w:cs="楷体_GB2312"/>
                <w:color w:val="000000" w:themeColor="text1"/>
                <w:sz w:val="28"/>
                <w:szCs w:val="28"/>
                <w:highlight w:val="none"/>
                <w14:textFill>
                  <w14:solidFill>
                    <w14:schemeClr w14:val="tx1"/>
                  </w14:solidFill>
                </w14:textFill>
              </w:rPr>
              <w:t>，</w:t>
            </w: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加强</w:t>
            </w:r>
            <w:r>
              <w:rPr>
                <w:rFonts w:hint="eastAsia" w:ascii="楷体_GB2312" w:hAnsi="楷体_GB2312" w:eastAsia="楷体_GB2312" w:cs="楷体_GB2312"/>
                <w:color w:val="000000" w:themeColor="text1"/>
                <w:sz w:val="28"/>
                <w:szCs w:val="28"/>
                <w:highlight w:val="none"/>
                <w14:textFill>
                  <w14:solidFill>
                    <w14:schemeClr w14:val="tx1"/>
                  </w14:solidFill>
                </w14:textFill>
              </w:rPr>
              <w:t>禅修主题餐厅、禅意工坊</w:t>
            </w: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等业态布局，</w:t>
            </w:r>
            <w:r>
              <w:rPr>
                <w:rFonts w:hint="eastAsia" w:ascii="楷体_GB2312" w:hAnsi="楷体_GB2312" w:eastAsia="楷体_GB2312" w:cs="楷体_GB2312"/>
                <w:color w:val="000000" w:themeColor="text1"/>
                <w:sz w:val="28"/>
                <w:szCs w:val="28"/>
                <w:highlight w:val="none"/>
                <w14:textFill>
                  <w14:solidFill>
                    <w14:schemeClr w14:val="tx1"/>
                  </w14:solidFill>
                </w14:textFill>
              </w:rPr>
              <w:t>推动定都峰、八奇洞景区完善</w:t>
            </w: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旅游基础设施及商业配套，</w:t>
            </w:r>
            <w:r>
              <w:rPr>
                <w:rFonts w:hint="eastAsia" w:ascii="楷体_GB2312" w:hAnsi="楷体_GB2312" w:eastAsia="楷体_GB2312" w:cs="楷体_GB2312"/>
                <w:color w:val="000000" w:themeColor="text1"/>
                <w:sz w:val="28"/>
                <w:szCs w:val="28"/>
                <w:highlight w:val="none"/>
                <w14:textFill>
                  <w14:solidFill>
                    <w14:schemeClr w14:val="tx1"/>
                  </w14:solidFill>
                </w14:textFill>
              </w:rPr>
              <w:t>加强与檀谷商圈联动，</w:t>
            </w: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打造</w:t>
            </w:r>
            <w:r>
              <w:rPr>
                <w:rFonts w:hint="eastAsia" w:ascii="楷体_GB2312" w:hAnsi="楷体_GB2312" w:eastAsia="楷体_GB2312" w:cs="楷体_GB2312"/>
                <w:color w:val="000000" w:themeColor="text1"/>
                <w:sz w:val="28"/>
                <w:szCs w:val="28"/>
                <w:highlight w:val="none"/>
                <w14:textFill>
                  <w14:solidFill>
                    <w14:schemeClr w14:val="tx1"/>
                  </w14:solidFill>
                </w14:textFill>
              </w:rPr>
              <w:t>以静心体验</w:t>
            </w: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为特色的商业微中心。</w:t>
            </w:r>
          </w:p>
          <w:p>
            <w:pPr>
              <w:numPr>
                <w:ilvl w:val="255"/>
                <w:numId w:val="0"/>
              </w:numPr>
              <w:spacing w:line="560" w:lineRule="exact"/>
              <w:ind w:firstLine="562" w:firstLineChars="200"/>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pPr>
            <w:r>
              <w:rPr>
                <w:rFonts w:hint="eastAsia" w:ascii="楷体_GB2312" w:hAnsi="楷体_GB2312" w:eastAsia="楷体_GB2312" w:cs="楷体_GB2312"/>
                <w:b/>
                <w:bCs/>
                <w:color w:val="000000" w:themeColor="text1"/>
                <w:sz w:val="28"/>
                <w:szCs w:val="28"/>
                <w:highlight w:val="none"/>
                <w14:textFill>
                  <w14:solidFill>
                    <w14:schemeClr w14:val="tx1"/>
                  </w14:solidFill>
                </w14:textFill>
              </w:rPr>
              <w:t>京西古道片区。</w:t>
            </w:r>
            <w:r>
              <w:rPr>
                <w:rFonts w:hint="eastAsia" w:ascii="楷体_GB2312" w:hAnsi="楷体_GB2312" w:eastAsia="楷体_GB2312" w:cs="楷体_GB2312"/>
                <w:color w:val="000000" w:themeColor="text1"/>
                <w:sz w:val="28"/>
                <w:szCs w:val="28"/>
                <w:highlight w:val="none"/>
                <w14:textFill>
                  <w14:solidFill>
                    <w14:schemeClr w14:val="tx1"/>
                  </w14:solidFill>
                </w14:textFill>
              </w:rPr>
              <w:t>围绕国家级徒步线路目的地打造，</w:t>
            </w: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挖掘古道、古村文化，</w:t>
            </w:r>
            <w:r>
              <w:rPr>
                <w:rFonts w:hint="eastAsia" w:ascii="楷体_GB2312" w:hAnsi="楷体_GB2312" w:eastAsia="楷体_GB2312" w:cs="楷体_GB2312"/>
                <w:color w:val="000000" w:themeColor="text1"/>
                <w:sz w:val="28"/>
                <w:szCs w:val="28"/>
                <w:highlight w:val="none"/>
                <w14:textFill>
                  <w14:solidFill>
                    <w14:schemeClr w14:val="tx1"/>
                  </w14:solidFill>
                </w14:textFill>
              </w:rPr>
              <w:t>依托闲置用房盘活利用，</w:t>
            </w: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加强</w:t>
            </w:r>
            <w:r>
              <w:rPr>
                <w:rFonts w:hint="eastAsia" w:ascii="楷体_GB2312" w:hAnsi="楷体_GB2312" w:eastAsia="楷体_GB2312" w:cs="楷体_GB2312"/>
                <w:color w:val="000000" w:themeColor="text1"/>
                <w:sz w:val="28"/>
                <w:szCs w:val="28"/>
                <w:highlight w:val="none"/>
                <w14:textFill>
                  <w14:solidFill>
                    <w14:schemeClr w14:val="tx1"/>
                  </w14:solidFill>
                </w14:textFill>
              </w:rPr>
              <w:t>非遗体验、元曲演艺、文创物产、咖啡酒馆等业态布局，</w:t>
            </w: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重现</w:t>
            </w:r>
            <w:r>
              <w:rPr>
                <w:rFonts w:hint="eastAsia" w:ascii="楷体_GB2312" w:hAnsi="楷体_GB2312" w:eastAsia="楷体_GB2312" w:cs="楷体_GB2312"/>
                <w:color w:val="000000" w:themeColor="text1"/>
                <w:sz w:val="28"/>
                <w:szCs w:val="28"/>
                <w:highlight w:val="none"/>
                <w14:textFill>
                  <w14:solidFill>
                    <w14:schemeClr w14:val="tx1"/>
                  </w14:solidFill>
                </w14:textFill>
              </w:rPr>
              <w:t>商贾云集的古道驿栈风情</w:t>
            </w: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w:t>
            </w:r>
          </w:p>
          <w:p>
            <w:pPr>
              <w:numPr>
                <w:ilvl w:val="255"/>
                <w:numId w:val="0"/>
              </w:numPr>
              <w:spacing w:line="560" w:lineRule="exact"/>
              <w:ind w:firstLine="562" w:firstLineChars="200"/>
              <w:rPr>
                <w:rFonts w:hint="eastAsia" w:ascii="楷体_GB2312" w:hAnsi="楷体_GB2312" w:eastAsia="楷体_GB2312" w:cs="楷体_GB2312"/>
                <w:color w:val="000000" w:themeColor="text1"/>
                <w:sz w:val="28"/>
                <w:szCs w:val="28"/>
                <w:highlight w:val="none"/>
                <w14:textFill>
                  <w14:solidFill>
                    <w14:schemeClr w14:val="tx1"/>
                  </w14:solidFill>
                </w14:textFill>
              </w:rPr>
            </w:pPr>
            <w:r>
              <w:rPr>
                <w:rFonts w:hint="eastAsia" w:ascii="楷体_GB2312" w:hAnsi="楷体_GB2312" w:eastAsia="楷体_GB2312" w:cs="楷体_GB2312"/>
                <w:b/>
                <w:bCs/>
                <w:color w:val="000000" w:themeColor="text1"/>
                <w:sz w:val="28"/>
                <w:szCs w:val="28"/>
                <w:highlight w:val="none"/>
                <w14:textFill>
                  <w14:solidFill>
                    <w14:schemeClr w14:val="tx1"/>
                  </w14:solidFill>
                </w14:textFill>
              </w:rPr>
              <w:t>妙峰山片区。</w:t>
            </w:r>
            <w:r>
              <w:rPr>
                <w:rFonts w:hint="eastAsia" w:ascii="楷体_GB2312" w:hAnsi="楷体_GB2312" w:eastAsia="楷体_GB2312" w:cs="楷体_GB2312"/>
                <w:color w:val="000000" w:themeColor="text1"/>
                <w:sz w:val="28"/>
                <w:szCs w:val="28"/>
                <w:highlight w:val="none"/>
                <w14:textFill>
                  <w14:solidFill>
                    <w14:schemeClr w14:val="tx1"/>
                  </w14:solidFill>
                </w14:textFill>
              </w:rPr>
              <w:t>以妙峰山风景区、谷山村、京西十八潭、神泉峡为核心，全面提升周边餐饮、购物、住宿服务能级</w:t>
            </w: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w:t>
            </w:r>
            <w:r>
              <w:rPr>
                <w:rFonts w:hint="eastAsia" w:ascii="楷体_GB2312" w:hAnsi="楷体_GB2312" w:eastAsia="楷体_GB2312" w:cs="楷体_GB2312"/>
                <w:color w:val="000000" w:themeColor="text1"/>
                <w:sz w:val="28"/>
                <w:szCs w:val="28"/>
                <w:highlight w:val="none"/>
                <w14:textFill>
                  <w14:solidFill>
                    <w14:schemeClr w14:val="tx1"/>
                  </w14:solidFill>
                </w14:textFill>
              </w:rPr>
              <w:t>深挖妙峰山庙会等民俗文化资源，加强民俗主题餐厅、非遗手作体验店、京西特产市集等商业配套，营造可游可购可体验的</w:t>
            </w: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消费</w:t>
            </w:r>
            <w:r>
              <w:rPr>
                <w:rFonts w:hint="eastAsia" w:ascii="楷体_GB2312" w:hAnsi="楷体_GB2312" w:eastAsia="楷体_GB2312" w:cs="楷体_GB2312"/>
                <w:color w:val="000000" w:themeColor="text1"/>
                <w:sz w:val="28"/>
                <w:szCs w:val="28"/>
                <w:highlight w:val="none"/>
                <w14:textFill>
                  <w14:solidFill>
                    <w14:schemeClr w14:val="tx1"/>
                  </w14:solidFill>
                </w14:textFill>
              </w:rPr>
              <w:t>氛围。</w:t>
            </w:r>
          </w:p>
          <w:p>
            <w:pPr>
              <w:numPr>
                <w:ilvl w:val="255"/>
                <w:numId w:val="0"/>
              </w:numPr>
              <w:spacing w:line="560" w:lineRule="exact"/>
              <w:ind w:firstLine="562" w:firstLineChars="200"/>
              <w:rPr>
                <w:rFonts w:hint="default" w:ascii="楷体_GB2312" w:hAnsi="楷体_GB2312" w:eastAsia="楷体_GB2312" w:cs="楷体_GB2312"/>
                <w:color w:val="000000" w:themeColor="text1"/>
                <w:sz w:val="28"/>
                <w:szCs w:val="28"/>
                <w:highlight w:val="none"/>
                <w:lang w:val="en-US" w:eastAsia="zh-CN"/>
                <w14:textFill>
                  <w14:solidFill>
                    <w14:schemeClr w14:val="tx1"/>
                  </w14:solidFill>
                </w14:textFill>
              </w:rPr>
            </w:pPr>
            <w:r>
              <w:rPr>
                <w:rFonts w:hint="eastAsia" w:ascii="楷体_GB2312" w:hAnsi="楷体_GB2312" w:eastAsia="楷体_GB2312" w:cs="楷体_GB2312"/>
                <w:b/>
                <w:bCs/>
                <w:color w:val="000000" w:themeColor="text1"/>
                <w:sz w:val="28"/>
                <w:szCs w:val="28"/>
                <w:highlight w:val="none"/>
                <w14:textFill>
                  <w14:solidFill>
                    <w14:schemeClr w14:val="tx1"/>
                  </w14:solidFill>
                </w14:textFill>
              </w:rPr>
              <w:t>南石洋片区。</w:t>
            </w:r>
            <w:r>
              <w:rPr>
                <w:rFonts w:hint="eastAsia" w:ascii="楷体_GB2312" w:hAnsi="楷体_GB2312" w:eastAsia="楷体_GB2312" w:cs="楷体_GB2312"/>
                <w:color w:val="000000" w:themeColor="text1"/>
                <w:sz w:val="28"/>
                <w:szCs w:val="28"/>
                <w:highlight w:val="none"/>
                <w14:textFill>
                  <w14:solidFill>
                    <w14:schemeClr w14:val="tx1"/>
                  </w14:solidFill>
                </w14:textFill>
              </w:rPr>
              <w:t>以南石洋大峡谷</w:t>
            </w: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景区</w:t>
            </w:r>
            <w:r>
              <w:rPr>
                <w:rFonts w:hint="eastAsia" w:ascii="楷体_GB2312" w:hAnsi="楷体_GB2312" w:eastAsia="楷体_GB2312" w:cs="楷体_GB2312"/>
                <w:color w:val="000000" w:themeColor="text1"/>
                <w:sz w:val="28"/>
                <w:szCs w:val="28"/>
                <w:highlight w:val="none"/>
                <w14:textFill>
                  <w14:solidFill>
                    <w14:schemeClr w14:val="tx1"/>
                  </w14:solidFill>
                </w14:textFill>
              </w:rPr>
              <w:t>为核心，</w:t>
            </w: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加强</w:t>
            </w:r>
            <w:r>
              <w:rPr>
                <w:rFonts w:hint="eastAsia" w:ascii="楷体_GB2312" w:hAnsi="楷体_GB2312" w:eastAsia="楷体_GB2312" w:cs="楷体_GB2312"/>
                <w:color w:val="000000" w:themeColor="text1"/>
                <w:sz w:val="28"/>
                <w:szCs w:val="28"/>
                <w:highlight w:val="none"/>
                <w14:textFill>
                  <w14:solidFill>
                    <w14:schemeClr w14:val="tx1"/>
                  </w14:solidFill>
                </w14:textFill>
              </w:rPr>
              <w:t>特色餐饮、自然研学、地质主题文创等</w:t>
            </w: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业态布局，</w:t>
            </w:r>
            <w:r>
              <w:rPr>
                <w:rFonts w:hint="eastAsia" w:ascii="楷体_GB2312" w:hAnsi="楷体_GB2312" w:eastAsia="楷体_GB2312" w:cs="楷体_GB2312"/>
                <w:color w:val="000000" w:themeColor="text1"/>
                <w:sz w:val="28"/>
                <w:szCs w:val="28"/>
                <w:highlight w:val="none"/>
                <w14:textFill>
                  <w14:solidFill>
                    <w14:schemeClr w14:val="tx1"/>
                  </w14:solidFill>
                </w14:textFill>
              </w:rPr>
              <w:t>联动马套村完善住宿、餐饮</w:t>
            </w: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等</w:t>
            </w:r>
            <w:r>
              <w:rPr>
                <w:rFonts w:hint="eastAsia" w:ascii="楷体_GB2312" w:hAnsi="楷体_GB2312" w:eastAsia="楷体_GB2312" w:cs="楷体_GB2312"/>
                <w:color w:val="000000" w:themeColor="text1"/>
                <w:sz w:val="28"/>
                <w:szCs w:val="28"/>
                <w:highlight w:val="none"/>
                <w14:textFill>
                  <w14:solidFill>
                    <w14:schemeClr w14:val="tx1"/>
                  </w14:solidFill>
                </w14:textFill>
              </w:rPr>
              <w:t>配套，构建兼具地质观光与野趣消费特色的</w:t>
            </w: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商业</w:t>
            </w:r>
            <w:r>
              <w:rPr>
                <w:rFonts w:hint="eastAsia" w:ascii="楷体_GB2312" w:hAnsi="楷体_GB2312" w:eastAsia="楷体_GB2312" w:cs="楷体_GB2312"/>
                <w:color w:val="000000" w:themeColor="text1"/>
                <w:sz w:val="28"/>
                <w:szCs w:val="28"/>
                <w:highlight w:val="none"/>
                <w14:textFill>
                  <w14:solidFill>
                    <w14:schemeClr w14:val="tx1"/>
                  </w14:solidFill>
                </w14:textFill>
              </w:rPr>
              <w:t>微中心。</w:t>
            </w:r>
          </w:p>
          <w:p>
            <w:pPr>
              <w:numPr>
                <w:ilvl w:val="255"/>
                <w:numId w:val="0"/>
              </w:numPr>
              <w:spacing w:line="560" w:lineRule="exact"/>
              <w:ind w:firstLine="562" w:firstLineChars="200"/>
              <w:rPr>
                <w:rFonts w:hint="eastAsia" w:ascii="楷体_GB2312" w:hAnsi="楷体_GB2312" w:eastAsia="楷体_GB2312" w:cs="楷体_GB2312"/>
                <w:color w:val="000000" w:themeColor="text1"/>
                <w:sz w:val="28"/>
                <w:szCs w:val="28"/>
                <w:highlight w:val="none"/>
                <w:lang w:val="en-US" w:eastAsia="zh-CN"/>
                <w14:textFill>
                  <w14:solidFill>
                    <w14:schemeClr w14:val="tx1"/>
                  </w14:solidFill>
                </w14:textFill>
              </w:rPr>
            </w:pPr>
            <w:r>
              <w:rPr>
                <w:rFonts w:hint="eastAsia" w:ascii="楷体_GB2312" w:hAnsi="楷体_GB2312" w:eastAsia="楷体_GB2312" w:cs="楷体_GB2312"/>
                <w:b/>
                <w:bCs/>
                <w:color w:val="000000" w:themeColor="text1"/>
                <w:sz w:val="28"/>
                <w:szCs w:val="28"/>
                <w:highlight w:val="none"/>
                <w14:textFill>
                  <w14:solidFill>
                    <w14:schemeClr w14:val="tx1"/>
                  </w14:solidFill>
                </w14:textFill>
              </w:rPr>
              <w:t>爨柏片区。</w:t>
            </w:r>
            <w:r>
              <w:rPr>
                <w:rFonts w:hint="eastAsia" w:ascii="楷体_GB2312" w:hAnsi="楷体_GB2312" w:eastAsia="楷体_GB2312" w:cs="楷体_GB2312"/>
                <w:color w:val="000000" w:themeColor="text1"/>
                <w:sz w:val="28"/>
                <w:szCs w:val="28"/>
                <w:highlight w:val="none"/>
                <w14:textFill>
                  <w14:solidFill>
                    <w14:schemeClr w14:val="tx1"/>
                  </w14:solidFill>
                </w14:textFill>
              </w:rPr>
              <w:t>围绕斋堂旅游集散中心建设，</w:t>
            </w: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加强</w:t>
            </w:r>
            <w:r>
              <w:rPr>
                <w:rFonts w:hint="eastAsia" w:ascii="楷体_GB2312" w:hAnsi="楷体_GB2312" w:eastAsia="楷体_GB2312" w:cs="楷体_GB2312"/>
                <w:color w:val="000000" w:themeColor="text1"/>
                <w:sz w:val="28"/>
                <w:szCs w:val="28"/>
                <w:highlight w:val="none"/>
                <w14:textFill>
                  <w14:solidFill>
                    <w14:schemeClr w14:val="tx1"/>
                  </w14:solidFill>
                </w14:textFill>
              </w:rPr>
              <w:t>精品酒店、特色民宿、</w:t>
            </w: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品质商业等配套，</w:t>
            </w:r>
            <w:r>
              <w:rPr>
                <w:rFonts w:hint="eastAsia" w:ascii="楷体_GB2312" w:hAnsi="楷体_GB2312" w:eastAsia="楷体_GB2312" w:cs="楷体_GB2312"/>
                <w:color w:val="000000" w:themeColor="text1"/>
                <w:sz w:val="28"/>
                <w:szCs w:val="28"/>
                <w:highlight w:val="none"/>
                <w14:textFill>
                  <w14:solidFill>
                    <w14:schemeClr w14:val="tx1"/>
                  </w14:solidFill>
                </w14:textFill>
              </w:rPr>
              <w:t>提升109国道及京蔚高速沿线旅游服务</w:t>
            </w: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保障能力，完善爨柏景区、灵水景区特色商业配套，塑造红色文化与古村风貌交融的消费新空间。</w:t>
            </w:r>
          </w:p>
          <w:p>
            <w:pPr>
              <w:numPr>
                <w:ilvl w:val="255"/>
                <w:numId w:val="0"/>
              </w:numPr>
              <w:spacing w:line="560" w:lineRule="exact"/>
              <w:ind w:firstLine="562" w:firstLineChars="200"/>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pPr>
            <w:r>
              <w:rPr>
                <w:rFonts w:hint="eastAsia" w:ascii="楷体_GB2312" w:hAnsi="楷体_GB2312" w:eastAsia="楷体_GB2312" w:cs="楷体_GB2312"/>
                <w:b/>
                <w:bCs/>
                <w:color w:val="000000" w:themeColor="text1"/>
                <w:sz w:val="28"/>
                <w:szCs w:val="28"/>
                <w:highlight w:val="none"/>
                <w14:textFill>
                  <w14:solidFill>
                    <w14:schemeClr w14:val="tx1"/>
                  </w14:solidFill>
                </w14:textFill>
              </w:rPr>
              <w:t>百灵片区。</w:t>
            </w:r>
            <w:r>
              <w:rPr>
                <w:rFonts w:hint="eastAsia" w:ascii="楷体_GB2312" w:hAnsi="楷体_GB2312" w:eastAsia="楷体_GB2312" w:cs="楷体_GB2312"/>
                <w:color w:val="000000" w:themeColor="text1"/>
                <w:sz w:val="28"/>
                <w:szCs w:val="28"/>
                <w:highlight w:val="none"/>
                <w:lang w:val="en-US" w:eastAsia="zh-CN"/>
                <w14:textFill>
                  <w14:solidFill>
                    <w14:schemeClr w14:val="tx1"/>
                  </w14:solidFill>
                </w14:textFill>
              </w:rPr>
              <w:t>围绕</w:t>
            </w:r>
            <w:r>
              <w:rPr>
                <w:rFonts w:hint="eastAsia" w:ascii="楷体_GB2312" w:hAnsi="楷体_GB2312" w:eastAsia="楷体_GB2312" w:cs="楷体_GB2312"/>
                <w:color w:val="000000" w:themeColor="text1"/>
                <w:sz w:val="28"/>
                <w:szCs w:val="28"/>
                <w:highlight w:val="none"/>
                <w14:textFill>
                  <w14:solidFill>
                    <w14:schemeClr w14:val="tx1"/>
                  </w14:solidFill>
                </w14:textFill>
              </w:rPr>
              <w:t>百花山</w:t>
            </w: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w:t>
            </w:r>
            <w:r>
              <w:rPr>
                <w:rFonts w:hint="eastAsia" w:ascii="楷体_GB2312" w:hAnsi="楷体_GB2312" w:eastAsia="楷体_GB2312" w:cs="楷体_GB2312"/>
                <w:color w:val="000000" w:themeColor="text1"/>
                <w:sz w:val="28"/>
                <w:szCs w:val="28"/>
                <w:highlight w:val="none"/>
                <w:lang w:val="en-US" w:eastAsia="zh-CN"/>
                <w14:textFill>
                  <w14:solidFill>
                    <w14:schemeClr w14:val="tx1"/>
                  </w14:solidFill>
                </w14:textFill>
              </w:rPr>
              <w:t>灵山生态</w:t>
            </w:r>
            <w:r>
              <w:rPr>
                <w:rFonts w:hint="eastAsia" w:ascii="楷体_GB2312" w:hAnsi="楷体_GB2312" w:eastAsia="楷体_GB2312" w:cs="楷体_GB2312"/>
                <w:color w:val="000000" w:themeColor="text1"/>
                <w:sz w:val="28"/>
                <w:szCs w:val="28"/>
                <w:highlight w:val="none"/>
                <w14:textFill>
                  <w14:solidFill>
                    <w14:schemeClr w14:val="tx1"/>
                  </w14:solidFill>
                </w14:textFill>
              </w:rPr>
              <w:t>旅游功能提升，突出</w:t>
            </w: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生态休闲</w:t>
            </w:r>
            <w:r>
              <w:rPr>
                <w:rFonts w:hint="eastAsia" w:ascii="楷体_GB2312" w:hAnsi="楷体_GB2312" w:eastAsia="楷体_GB2312" w:cs="楷体_GB2312"/>
                <w:color w:val="000000" w:themeColor="text1"/>
                <w:sz w:val="28"/>
                <w:szCs w:val="28"/>
                <w:highlight w:val="none"/>
                <w14:textFill>
                  <w14:solidFill>
                    <w14:schemeClr w14:val="tx1"/>
                  </w14:solidFill>
                </w14:textFill>
              </w:rPr>
              <w:t>、森林康养</w:t>
            </w: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特色，</w:t>
            </w:r>
            <w:r>
              <w:rPr>
                <w:rFonts w:hint="eastAsia" w:ascii="楷体_GB2312" w:hAnsi="楷体_GB2312" w:eastAsia="楷体_GB2312" w:cs="楷体_GB2312"/>
                <w:color w:val="000000" w:themeColor="text1"/>
                <w:sz w:val="28"/>
                <w:szCs w:val="28"/>
                <w:highlight w:val="none"/>
                <w14:textFill>
                  <w14:solidFill>
                    <w14:schemeClr w14:val="tx1"/>
                  </w14:solidFill>
                </w14:textFill>
              </w:rPr>
              <w:t>以镇中心</w:t>
            </w: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为服务核心</w:t>
            </w:r>
            <w:r>
              <w:rPr>
                <w:rFonts w:hint="eastAsia" w:ascii="楷体_GB2312" w:hAnsi="楷体_GB2312" w:eastAsia="楷体_GB2312" w:cs="楷体_GB2312"/>
                <w:color w:val="000000" w:themeColor="text1"/>
                <w:sz w:val="28"/>
                <w:szCs w:val="28"/>
                <w:highlight w:val="none"/>
                <w14:textFill>
                  <w14:solidFill>
                    <w14:schemeClr w14:val="tx1"/>
                  </w14:solidFill>
                </w14:textFill>
              </w:rPr>
              <w:t>，联动景</w:t>
            </w: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区</w:t>
            </w:r>
            <w:r>
              <w:rPr>
                <w:rFonts w:hint="eastAsia" w:ascii="楷体_GB2312" w:hAnsi="楷体_GB2312" w:eastAsia="楷体_GB2312" w:cs="楷体_GB2312"/>
                <w:color w:val="000000" w:themeColor="text1"/>
                <w:sz w:val="28"/>
                <w:szCs w:val="28"/>
                <w:highlight w:val="none"/>
                <w14:textFill>
                  <w14:solidFill>
                    <w14:schemeClr w14:val="tx1"/>
                  </w14:solidFill>
                </w14:textFill>
              </w:rPr>
              <w:t>周边村落</w:t>
            </w: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加强特色</w:t>
            </w:r>
            <w:r>
              <w:rPr>
                <w:rFonts w:hint="eastAsia" w:ascii="楷体_GB2312" w:hAnsi="楷体_GB2312" w:eastAsia="楷体_GB2312" w:cs="楷体_GB2312"/>
                <w:color w:val="000000" w:themeColor="text1"/>
                <w:sz w:val="28"/>
                <w:szCs w:val="28"/>
                <w:highlight w:val="none"/>
                <w14:textFill>
                  <w14:solidFill>
                    <w14:schemeClr w14:val="tx1"/>
                  </w14:solidFill>
                </w14:textFill>
              </w:rPr>
              <w:t>餐饮、品质零售、精品住宿等</w:t>
            </w: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业态布局，提升商业综合服务功能</w:t>
            </w:r>
            <w:r>
              <w:rPr>
                <w:rFonts w:hint="eastAsia" w:ascii="楷体_GB2312" w:hAnsi="楷体_GB2312" w:eastAsia="楷体_GB2312" w:cs="楷体_GB2312"/>
                <w:color w:val="000000" w:themeColor="text1"/>
                <w:sz w:val="28"/>
                <w:szCs w:val="28"/>
                <w:highlight w:val="none"/>
                <w14:textFill>
                  <w14:solidFill>
                    <w14:schemeClr w14:val="tx1"/>
                  </w14:solidFill>
                </w14:textFill>
              </w:rPr>
              <w:t>。</w:t>
            </w:r>
          </w:p>
        </w:tc>
      </w:tr>
    </w:tbl>
    <w:p>
      <w:pPr>
        <w:spacing w:line="560" w:lineRule="exact"/>
        <w:ind w:firstLine="640" w:firstLineChars="200"/>
        <w:outlineLvl w:val="1"/>
        <w:rPr>
          <w:rFonts w:hint="eastAsia" w:ascii="楷体_GB2312" w:hAnsi="楷体_GB2312" w:eastAsia="楷体_GB2312" w:cs="楷体_GB2312"/>
          <w:color w:val="000000" w:themeColor="text1"/>
          <w:sz w:val="32"/>
          <w:szCs w:val="32"/>
          <w:highlight w:val="none"/>
          <w14:textFill>
            <w14:solidFill>
              <w14:schemeClr w14:val="tx1"/>
            </w14:solidFill>
          </w14:textFill>
        </w:rPr>
      </w:pPr>
      <w:bookmarkStart w:id="524" w:name="_Toc29644"/>
      <w:bookmarkStart w:id="525" w:name="_Toc8790"/>
      <w:bookmarkStart w:id="526" w:name="_Toc5279"/>
      <w:bookmarkStart w:id="527" w:name="_Toc29828"/>
      <w:bookmarkStart w:id="528" w:name="_Toc31085"/>
      <w:bookmarkStart w:id="529" w:name="_Toc16774"/>
      <w:bookmarkStart w:id="530" w:name="_Toc18498"/>
      <w:bookmarkStart w:id="531" w:name="_Toc6758"/>
      <w:r>
        <w:rPr>
          <w:rFonts w:hint="eastAsia" w:ascii="楷体_GB2312" w:hAnsi="楷体_GB2312" w:eastAsia="楷体_GB2312" w:cs="楷体_GB2312"/>
          <w:color w:val="000000" w:themeColor="text1"/>
          <w:sz w:val="32"/>
          <w:szCs w:val="32"/>
          <w:highlight w:val="none"/>
          <w14:textFill>
            <w14:solidFill>
              <w14:schemeClr w14:val="tx1"/>
            </w14:solidFill>
          </w14:textFill>
        </w:rPr>
        <w:t>（三）打造赛事运动服务微中心</w:t>
      </w:r>
      <w:bookmarkEnd w:id="524"/>
      <w:bookmarkEnd w:id="525"/>
      <w:bookmarkEnd w:id="526"/>
      <w:bookmarkEnd w:id="527"/>
      <w:bookmarkEnd w:id="528"/>
      <w:bookmarkEnd w:id="529"/>
      <w:bookmarkEnd w:id="530"/>
      <w:bookmarkEnd w:id="531"/>
    </w:p>
    <w:p>
      <w:pPr>
        <w:keepNext w:val="0"/>
        <w:keepLines w:val="0"/>
        <w:widowControl/>
        <w:suppressLineNumbers w:val="0"/>
        <w:spacing w:line="560" w:lineRule="exact"/>
        <w:ind w:firstLine="640" w:firstLineChars="200"/>
        <w:jc w:val="left"/>
        <w:rPr>
          <w:rFonts w:hint="eastAsia" w:ascii="仿宋_GB2312" w:hAnsi="仿宋_GB2312" w:eastAsia="仿宋_GB2312" w:cs="仿宋_GB2312"/>
          <w:color w:val="000000" w:themeColor="text1"/>
          <w:kern w:val="2"/>
          <w:sz w:val="32"/>
          <w:szCs w:val="32"/>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围绕国际山地徒步大会、环门头沟国际公路自行车赛、京西古道越野赛</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UCI泵道世锦赛总决赛</w:t>
      </w:r>
      <w:r>
        <w:rPr>
          <w:rFonts w:hint="eastAsia" w:ascii="仿宋_GB2312" w:hAnsi="仿宋_GB2312" w:eastAsia="仿宋_GB2312" w:cs="仿宋_GB2312"/>
          <w:color w:val="000000" w:themeColor="text1"/>
          <w:sz w:val="32"/>
          <w:szCs w:val="32"/>
          <w:highlight w:val="none"/>
          <w14:textFill>
            <w14:solidFill>
              <w14:schemeClr w14:val="tx1"/>
            </w14:solidFill>
          </w14:textFill>
        </w:rPr>
        <w:t>等赛事举办，在赛事</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线路</w:t>
      </w:r>
      <w:r>
        <w:rPr>
          <w:rFonts w:hint="eastAsia" w:ascii="仿宋_GB2312" w:hAnsi="仿宋_GB2312" w:eastAsia="仿宋_GB2312" w:cs="仿宋_GB2312"/>
          <w:color w:val="000000" w:themeColor="text1"/>
          <w:sz w:val="32"/>
          <w:szCs w:val="32"/>
          <w:highlight w:val="none"/>
          <w14:textFill>
            <w14:solidFill>
              <w14:schemeClr w14:val="tx1"/>
            </w14:solidFill>
          </w14:textFill>
        </w:rPr>
        <w:t>关键节点</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和场地</w:t>
      </w:r>
      <w:r>
        <w:rPr>
          <w:rFonts w:hint="eastAsia" w:ascii="仿宋_GB2312" w:hAnsi="仿宋_GB2312" w:eastAsia="仿宋_GB2312" w:cs="仿宋_GB2312"/>
          <w:color w:val="000000" w:themeColor="text1"/>
          <w:sz w:val="32"/>
          <w:szCs w:val="32"/>
          <w:highlight w:val="none"/>
          <w14:textFill>
            <w14:solidFill>
              <w14:schemeClr w14:val="tx1"/>
            </w14:solidFill>
          </w14:textFill>
        </w:rPr>
        <w:t>布局打造赛事运动服务微中心。整合升级镇域零售、餐饮、住宿、停车等资源，补齐骑行驿站、装备租赁及快速补给等设施，引入品牌餐饮</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门店</w:t>
      </w:r>
      <w:r>
        <w:rPr>
          <w:rFonts w:hint="eastAsia" w:ascii="仿宋_GB2312" w:hAnsi="仿宋_GB2312" w:eastAsia="仿宋_GB2312" w:cs="仿宋_GB2312"/>
          <w:color w:val="000000" w:themeColor="text1"/>
          <w:sz w:val="32"/>
          <w:szCs w:val="32"/>
          <w:highlight w:val="none"/>
          <w14:textFill>
            <w14:solidFill>
              <w14:schemeClr w14:val="tx1"/>
            </w14:solidFill>
          </w14:textFill>
        </w:rPr>
        <w:t>，设立文创与农产品展销专区。</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完善</w:t>
      </w:r>
      <w:r>
        <w:rPr>
          <w:rFonts w:hint="eastAsia" w:ascii="仿宋_GB2312" w:hAnsi="仿宋_GB2312" w:eastAsia="仿宋_GB2312" w:cs="仿宋_GB2312"/>
          <w:color w:val="000000" w:themeColor="text1"/>
          <w:sz w:val="32"/>
          <w:szCs w:val="32"/>
          <w:highlight w:val="none"/>
          <w:lang w:val="en"/>
          <w14:textFill>
            <w14:solidFill>
              <w14:schemeClr w14:val="tx1"/>
            </w14:solidFill>
          </w14:textFill>
        </w:rPr>
        <w:t>徒步线路休息点、露营地</w:t>
      </w:r>
      <w:r>
        <w:rPr>
          <w:rFonts w:hint="eastAsia" w:ascii="仿宋_GB2312" w:hAnsi="仿宋_GB2312" w:eastAsia="仿宋_GB2312" w:cs="仿宋_GB2312"/>
          <w:color w:val="000000" w:themeColor="text1"/>
          <w:sz w:val="32"/>
          <w:szCs w:val="32"/>
          <w:highlight w:val="none"/>
          <w:lang w:val="en" w:eastAsia="zh-CN"/>
          <w14:textFill>
            <w14:solidFill>
              <w14:schemeClr w14:val="tx1"/>
            </w14:solidFill>
          </w14:textFill>
        </w:rPr>
        <w:t>等建设，</w:t>
      </w:r>
      <w:r>
        <w:rPr>
          <w:rFonts w:hint="eastAsia" w:ascii="仿宋_GB2312" w:hAnsi="仿宋_GB2312" w:eastAsia="仿宋_GB2312" w:cs="仿宋_GB2312"/>
          <w:color w:val="000000" w:themeColor="text1"/>
          <w:kern w:val="2"/>
          <w:sz w:val="32"/>
          <w:szCs w:val="32"/>
          <w:highlight w:val="none"/>
          <w:lang w:val="en-US" w:eastAsia="zh-CN" w:bidi="ar"/>
          <w14:textFill>
            <w14:solidFill>
              <w14:schemeClr w14:val="tx1"/>
            </w14:solidFill>
          </w14:textFill>
        </w:rPr>
        <w:t>加强与乡村休闲、生态观光场景联动，延伸赛事消费链条。</w:t>
      </w:r>
    </w:p>
    <w:bookmarkEnd w:id="329"/>
    <w:bookmarkEnd w:id="330"/>
    <w:bookmarkEnd w:id="448"/>
    <w:bookmarkEnd w:id="449"/>
    <w:bookmarkEnd w:id="450"/>
    <w:bookmarkEnd w:id="451"/>
    <w:bookmarkEnd w:id="452"/>
    <w:bookmarkEnd w:id="453"/>
    <w:bookmarkEnd w:id="509"/>
    <w:bookmarkEnd w:id="510"/>
    <w:bookmarkEnd w:id="511"/>
    <w:bookmarkEnd w:id="512"/>
    <w:bookmarkEnd w:id="513"/>
    <w:bookmarkEnd w:id="514"/>
    <w:bookmarkEnd w:id="515"/>
    <w:bookmarkEnd w:id="516"/>
    <w:p>
      <w:pPr>
        <w:spacing w:before="156" w:beforeLines="50" w:after="156" w:afterLines="50" w:line="560" w:lineRule="exact"/>
        <w:jc w:val="center"/>
        <w:outlineLvl w:val="0"/>
        <w:rPr>
          <w:rFonts w:hint="eastAsia" w:ascii="Times New Roman" w:hAnsi="Times New Roman" w:eastAsia="黑体" w:cs="Times New Roman"/>
          <w:color w:val="000000" w:themeColor="text1"/>
          <w:sz w:val="32"/>
          <w:szCs w:val="32"/>
          <w:highlight w:val="none"/>
          <w14:textFill>
            <w14:solidFill>
              <w14:schemeClr w14:val="tx1"/>
            </w14:solidFill>
          </w14:textFill>
        </w:rPr>
      </w:pPr>
      <w:bookmarkStart w:id="532" w:name="_Toc14202"/>
      <w:bookmarkStart w:id="533" w:name="_Toc13997"/>
      <w:bookmarkStart w:id="534" w:name="_Toc8435"/>
      <w:bookmarkStart w:id="535" w:name="_Toc8113"/>
      <w:bookmarkStart w:id="536" w:name="_Toc16787"/>
      <w:bookmarkStart w:id="537" w:name="_Toc6419"/>
      <w:bookmarkStart w:id="538" w:name="_Toc18693"/>
      <w:bookmarkStart w:id="539" w:name="_Toc27516"/>
      <w:bookmarkStart w:id="540" w:name="_Toc1230"/>
      <w:bookmarkStart w:id="541" w:name="_Toc31852"/>
      <w:bookmarkStart w:id="542" w:name="_Toc24337"/>
      <w:bookmarkStart w:id="543" w:name="_Toc7438"/>
      <w:bookmarkStart w:id="544" w:name="_Toc8731"/>
      <w:bookmarkStart w:id="545" w:name="_Toc27420"/>
      <w:bookmarkStart w:id="546" w:name="_Toc3012"/>
      <w:bookmarkStart w:id="547" w:name="_Toc20963"/>
      <w:bookmarkStart w:id="548" w:name="_Toc6204"/>
      <w:bookmarkStart w:id="549" w:name="_Toc20144"/>
      <w:bookmarkStart w:id="550" w:name="_Toc18515"/>
      <w:bookmarkStart w:id="551" w:name="_Toc1057"/>
      <w:bookmarkStart w:id="552" w:name="_Toc21911"/>
      <w:bookmarkStart w:id="553" w:name="_Toc13803"/>
      <w:bookmarkStart w:id="554" w:name="_Toc5185"/>
      <w:bookmarkStart w:id="555" w:name="_Toc26923"/>
      <w:bookmarkStart w:id="556" w:name="_Toc30123"/>
      <w:bookmarkStart w:id="557" w:name="_Toc337"/>
      <w:bookmarkStart w:id="558" w:name="_Toc31632"/>
      <w:bookmarkStart w:id="559" w:name="_Toc6345"/>
      <w:bookmarkStart w:id="560" w:name="_Toc31750"/>
      <w:bookmarkStart w:id="561" w:name="_Toc18166"/>
      <w:r>
        <w:rPr>
          <w:rFonts w:hint="eastAsia" w:ascii="Times New Roman" w:hAnsi="Times New Roman" w:eastAsia="黑体" w:cs="Times New Roman"/>
          <w:color w:val="000000" w:themeColor="text1"/>
          <w:sz w:val="32"/>
          <w:szCs w:val="32"/>
          <w:highlight w:val="none"/>
          <w14:textFill>
            <w14:solidFill>
              <w14:schemeClr w14:val="tx1"/>
            </w14:solidFill>
          </w14:textFill>
        </w:rPr>
        <w:t>第</w:t>
      </w:r>
      <w:r>
        <w:rPr>
          <w:rFonts w:hint="eastAsia" w:ascii="Times New Roman" w:hAnsi="Times New Roman" w:eastAsia="黑体" w:cs="Times New Roman"/>
          <w:color w:val="000000" w:themeColor="text1"/>
          <w:sz w:val="32"/>
          <w:szCs w:val="32"/>
          <w:highlight w:val="none"/>
          <w:lang w:eastAsia="zh-CN"/>
          <w14:textFill>
            <w14:solidFill>
              <w14:schemeClr w14:val="tx1"/>
            </w14:solidFill>
          </w14:textFill>
        </w:rPr>
        <w:t>四</w:t>
      </w:r>
      <w:r>
        <w:rPr>
          <w:rFonts w:hint="eastAsia" w:ascii="Times New Roman" w:hAnsi="Times New Roman" w:eastAsia="黑体" w:cs="Times New Roman"/>
          <w:color w:val="000000" w:themeColor="text1"/>
          <w:sz w:val="32"/>
          <w:szCs w:val="32"/>
          <w:highlight w:val="none"/>
          <w14:textFill>
            <w14:solidFill>
              <w14:schemeClr w14:val="tx1"/>
            </w14:solidFill>
          </w14:textFill>
        </w:rPr>
        <w:t>章 提能级，提高品质商业供给能力</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spacing w:line="560" w:lineRule="exact"/>
        <w:ind w:firstLine="640" w:firstLineChars="200"/>
        <w:rPr>
          <w:rFonts w:hint="eastAsia" w:ascii="仿宋_GB2312" w:hAnsi="仿宋_GB2312" w:eastAsia="仿宋_GB2312" w:cs="仿宋_GB2312"/>
          <w:color w:val="000000" w:themeColor="text1"/>
          <w:kern w:val="0"/>
          <w:sz w:val="32"/>
          <w:highlight w:val="none"/>
          <w:lang w:eastAsia="zh-CN"/>
          <w14:textFill>
            <w14:solidFill>
              <w14:schemeClr w14:val="tx1"/>
            </w14:solidFill>
          </w14:textFill>
        </w:rPr>
      </w:pPr>
      <w:bookmarkStart w:id="562" w:name="_Toc3023"/>
      <w:bookmarkStart w:id="563" w:name="_Toc31426"/>
      <w:bookmarkStart w:id="564" w:name="_Toc1112"/>
      <w:bookmarkStart w:id="565" w:name="_Toc16763"/>
      <w:bookmarkStart w:id="566" w:name="_Toc14105"/>
      <w:bookmarkStart w:id="567" w:name="_Toc30762"/>
      <w:bookmarkStart w:id="568" w:name="_Toc8557"/>
      <w:bookmarkStart w:id="569" w:name="_Toc16055"/>
      <w:r>
        <w:rPr>
          <w:rFonts w:hint="eastAsia" w:ascii="仿宋_GB2312" w:hAnsi="仿宋_GB2312" w:eastAsia="仿宋_GB2312" w:cs="仿宋_GB2312"/>
          <w:i w:val="0"/>
          <w:iCs w:val="0"/>
          <w:caps w:val="0"/>
          <w:color w:val="000000" w:themeColor="text1"/>
          <w:spacing w:val="0"/>
          <w:kern w:val="0"/>
          <w:sz w:val="32"/>
          <w:szCs w:val="24"/>
          <w:highlight w:val="none"/>
          <w:shd w:val="clear"/>
          <w14:textFill>
            <w14:solidFill>
              <w14:schemeClr w14:val="tx1"/>
            </w14:solidFill>
          </w14:textFill>
        </w:rPr>
        <w:t>聚焦零售、餐饮、便民</w:t>
      </w:r>
      <w:r>
        <w:rPr>
          <w:rFonts w:hint="eastAsia" w:ascii="仿宋_GB2312" w:hAnsi="仿宋_GB2312" w:eastAsia="仿宋_GB2312" w:cs="仿宋_GB2312"/>
          <w:i w:val="0"/>
          <w:iCs w:val="0"/>
          <w:caps w:val="0"/>
          <w:color w:val="000000" w:themeColor="text1"/>
          <w:spacing w:val="0"/>
          <w:kern w:val="0"/>
          <w:sz w:val="32"/>
          <w:szCs w:val="24"/>
          <w:highlight w:val="none"/>
          <w:shd w:val="clear"/>
          <w:lang w:eastAsia="zh-CN"/>
          <w14:textFill>
            <w14:solidFill>
              <w14:schemeClr w14:val="tx1"/>
            </w14:solidFill>
          </w14:textFill>
        </w:rPr>
        <w:t>服务</w:t>
      </w:r>
      <w:r>
        <w:rPr>
          <w:rFonts w:hint="eastAsia" w:ascii="仿宋_GB2312" w:hAnsi="仿宋_GB2312" w:eastAsia="仿宋_GB2312" w:cs="仿宋_GB2312"/>
          <w:i w:val="0"/>
          <w:iCs w:val="0"/>
          <w:caps w:val="0"/>
          <w:color w:val="000000" w:themeColor="text1"/>
          <w:spacing w:val="0"/>
          <w:kern w:val="0"/>
          <w:sz w:val="32"/>
          <w:szCs w:val="24"/>
          <w:highlight w:val="none"/>
          <w:shd w:val="clear"/>
          <w14:textFill>
            <w14:solidFill>
              <w14:schemeClr w14:val="tx1"/>
            </w14:solidFill>
          </w14:textFill>
        </w:rPr>
        <w:t>领域，推动零售业能级跃升、餐饮</w:t>
      </w:r>
      <w:r>
        <w:rPr>
          <w:rFonts w:hint="eastAsia" w:ascii="仿宋_GB2312" w:hAnsi="仿宋_GB2312" w:eastAsia="仿宋_GB2312" w:cs="仿宋_GB2312"/>
          <w:i w:val="0"/>
          <w:iCs w:val="0"/>
          <w:caps w:val="0"/>
          <w:color w:val="000000" w:themeColor="text1"/>
          <w:spacing w:val="0"/>
          <w:kern w:val="0"/>
          <w:sz w:val="32"/>
          <w:szCs w:val="24"/>
          <w:highlight w:val="none"/>
          <w:shd w:val="clear"/>
          <w:lang w:eastAsia="zh-CN"/>
          <w14:textFill>
            <w14:solidFill>
              <w14:schemeClr w14:val="tx1"/>
            </w14:solidFill>
          </w14:textFill>
        </w:rPr>
        <w:t>业</w:t>
      </w:r>
      <w:r>
        <w:rPr>
          <w:rFonts w:hint="eastAsia" w:ascii="仿宋_GB2312" w:hAnsi="仿宋_GB2312" w:eastAsia="仿宋_GB2312" w:cs="仿宋_GB2312"/>
          <w:i w:val="0"/>
          <w:iCs w:val="0"/>
          <w:caps w:val="0"/>
          <w:color w:val="000000" w:themeColor="text1"/>
          <w:spacing w:val="0"/>
          <w:kern w:val="0"/>
          <w:sz w:val="32"/>
          <w:szCs w:val="24"/>
          <w:highlight w:val="none"/>
          <w:shd w:val="clear"/>
          <w14:textFill>
            <w14:solidFill>
              <w14:schemeClr w14:val="tx1"/>
            </w14:solidFill>
          </w14:textFill>
        </w:rPr>
        <w:t>品牌化发展、便民</w:t>
      </w:r>
      <w:r>
        <w:rPr>
          <w:rFonts w:hint="eastAsia" w:ascii="仿宋_GB2312" w:hAnsi="仿宋_GB2312" w:eastAsia="仿宋_GB2312" w:cs="仿宋_GB2312"/>
          <w:i w:val="0"/>
          <w:iCs w:val="0"/>
          <w:caps w:val="0"/>
          <w:color w:val="000000" w:themeColor="text1"/>
          <w:spacing w:val="0"/>
          <w:kern w:val="0"/>
          <w:sz w:val="32"/>
          <w:szCs w:val="24"/>
          <w:highlight w:val="none"/>
          <w:shd w:val="clear"/>
          <w:lang w:eastAsia="zh-CN"/>
          <w14:textFill>
            <w14:solidFill>
              <w14:schemeClr w14:val="tx1"/>
            </w14:solidFill>
          </w14:textFill>
        </w:rPr>
        <w:t>商业</w:t>
      </w:r>
      <w:r>
        <w:rPr>
          <w:rFonts w:hint="eastAsia" w:ascii="仿宋_GB2312" w:hAnsi="仿宋_GB2312" w:eastAsia="仿宋_GB2312" w:cs="仿宋_GB2312"/>
          <w:i w:val="0"/>
          <w:iCs w:val="0"/>
          <w:caps w:val="0"/>
          <w:color w:val="000000" w:themeColor="text1"/>
          <w:spacing w:val="0"/>
          <w:kern w:val="0"/>
          <w:sz w:val="32"/>
          <w:szCs w:val="24"/>
          <w:highlight w:val="none"/>
          <w:shd w:val="clear"/>
          <w14:textFill>
            <w14:solidFill>
              <w14:schemeClr w14:val="tx1"/>
            </w14:solidFill>
          </w14:textFill>
        </w:rPr>
        <w:t>提质扩容，</w:t>
      </w:r>
      <w:r>
        <w:rPr>
          <w:rFonts w:hint="eastAsia" w:ascii="仿宋_GB2312" w:hAnsi="仿宋_GB2312" w:eastAsia="仿宋_GB2312" w:cs="仿宋_GB2312"/>
          <w:color w:val="000000" w:themeColor="text1"/>
          <w:kern w:val="0"/>
          <w:sz w:val="32"/>
          <w:szCs w:val="24"/>
          <w:highlight w:val="none"/>
          <w14:textFill>
            <w14:solidFill>
              <w14:schemeClr w14:val="tx1"/>
            </w14:solidFill>
          </w14:textFill>
        </w:rPr>
        <w:t>打造客群全覆盖的京西优质消费集聚地</w:t>
      </w:r>
      <w:r>
        <w:rPr>
          <w:rFonts w:hint="eastAsia" w:ascii="仿宋_GB2312" w:hAnsi="仿宋_GB2312" w:eastAsia="仿宋_GB2312" w:cs="仿宋_GB2312"/>
          <w:color w:val="000000" w:themeColor="text1"/>
          <w:kern w:val="0"/>
          <w:sz w:val="32"/>
          <w:szCs w:val="24"/>
          <w:highlight w:val="none"/>
          <w:lang w:eastAsia="zh-CN"/>
          <w14:textFill>
            <w14:solidFill>
              <w14:schemeClr w14:val="tx1"/>
            </w14:solidFill>
          </w14:textFill>
        </w:rPr>
        <w:t>。</w:t>
      </w:r>
    </w:p>
    <w:p>
      <w:pPr>
        <w:spacing w:line="560" w:lineRule="exact"/>
        <w:ind w:firstLine="640" w:firstLineChars="200"/>
        <w:outlineLvl w:val="1"/>
        <w:rPr>
          <w:rFonts w:hint="eastAsia" w:ascii="黑体" w:hAnsi="黑体" w:eastAsia="黑体" w:cs="黑体"/>
          <w:color w:val="000000" w:themeColor="text1"/>
          <w:sz w:val="32"/>
          <w:szCs w:val="32"/>
          <w:highlight w:val="none"/>
          <w14:textFill>
            <w14:solidFill>
              <w14:schemeClr w14:val="tx1"/>
            </w14:solidFill>
          </w14:textFill>
        </w:rPr>
      </w:pPr>
      <w:bookmarkStart w:id="570" w:name="_Toc6080"/>
      <w:bookmarkStart w:id="571" w:name="_Toc26570"/>
      <w:bookmarkStart w:id="572" w:name="_Toc18004"/>
      <w:bookmarkStart w:id="573" w:name="_Toc25454"/>
      <w:bookmarkStart w:id="574" w:name="_Toc20143"/>
      <w:bookmarkStart w:id="575" w:name="_Toc28007"/>
      <w:bookmarkStart w:id="576" w:name="_Toc13398"/>
      <w:bookmarkStart w:id="577" w:name="_Toc28406"/>
      <w:r>
        <w:rPr>
          <w:rFonts w:hint="eastAsia" w:ascii="黑体" w:hAnsi="黑体" w:eastAsia="黑体" w:cs="黑体"/>
          <w:color w:val="000000" w:themeColor="text1"/>
          <w:sz w:val="32"/>
          <w:szCs w:val="32"/>
          <w:highlight w:val="none"/>
          <w14:textFill>
            <w14:solidFill>
              <w14:schemeClr w14:val="tx1"/>
            </w14:solidFill>
          </w14:textFill>
        </w:rPr>
        <w:t>一、促进零售业创新提升发展</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spacing w:line="560" w:lineRule="exact"/>
        <w:ind w:firstLine="640" w:firstLineChars="200"/>
        <w:outlineLvl w:val="1"/>
        <w:rPr>
          <w:rFonts w:hint="eastAsia" w:ascii="楷体_GB2312" w:hAnsi="楷体_GB2312" w:eastAsia="楷体_GB2312" w:cs="楷体_GB2312"/>
          <w:color w:val="000000" w:themeColor="text1"/>
          <w:sz w:val="32"/>
          <w:szCs w:val="32"/>
          <w:highlight w:val="none"/>
          <w14:textFill>
            <w14:solidFill>
              <w14:schemeClr w14:val="tx1"/>
            </w14:solidFill>
          </w14:textFill>
        </w:rPr>
      </w:pPr>
      <w:bookmarkStart w:id="578" w:name="_Toc23624"/>
      <w:bookmarkStart w:id="579" w:name="_Toc17339"/>
      <w:bookmarkStart w:id="580" w:name="_Toc3585"/>
      <w:bookmarkStart w:id="581" w:name="_Toc22330"/>
      <w:bookmarkStart w:id="582" w:name="_Toc15050"/>
      <w:bookmarkStart w:id="583" w:name="_Toc30824"/>
      <w:bookmarkStart w:id="584" w:name="_Toc23889"/>
      <w:bookmarkStart w:id="585" w:name="_Toc22090"/>
      <w:bookmarkStart w:id="586" w:name="_Toc24326"/>
      <w:bookmarkStart w:id="587" w:name="_Toc13620"/>
      <w:bookmarkStart w:id="588" w:name="_Toc23528"/>
      <w:bookmarkStart w:id="589" w:name="_Toc10696"/>
      <w:bookmarkStart w:id="590" w:name="_Toc6290"/>
      <w:bookmarkStart w:id="591" w:name="_Toc18186"/>
      <w:bookmarkStart w:id="592" w:name="_Toc11704"/>
      <w:bookmarkStart w:id="593" w:name="_Toc20544"/>
      <w:r>
        <w:rPr>
          <w:rFonts w:hint="eastAsia" w:ascii="楷体_GB2312" w:hAnsi="楷体_GB2312" w:eastAsia="楷体_GB2312" w:cs="楷体_GB2312"/>
          <w:color w:val="000000" w:themeColor="text1"/>
          <w:sz w:val="32"/>
          <w:szCs w:val="32"/>
          <w:highlight w:val="none"/>
          <w14:textFill>
            <w14:solidFill>
              <w14:schemeClr w14:val="tx1"/>
            </w14:solidFill>
          </w14:textFill>
        </w:rPr>
        <w:t>（一）构建多元商品消费品牌矩阵</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spacing w:line="560" w:lineRule="exact"/>
        <w:ind w:firstLine="640" w:firstLineChars="200"/>
        <w:rPr>
          <w:rFonts w:hint="eastAsia" w:ascii="仿宋_GB2312" w:hAnsi="仿宋_GB2312" w:eastAsia="仿宋_GB2312" w:cs="仿宋_GB2312"/>
          <w:color w:val="000000" w:themeColor="text1"/>
          <w:kern w:val="0"/>
          <w:sz w:val="32"/>
          <w:highlight w:val="none"/>
          <w14:textFill>
            <w14:solidFill>
              <w14:schemeClr w14:val="tx1"/>
            </w14:solidFill>
          </w14:textFill>
        </w:rPr>
      </w:pP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加强国内外品牌门店引入，支持商业设施运营主体</w:t>
      </w:r>
      <w:r>
        <w:rPr>
          <w:rFonts w:hint="eastAsia" w:ascii="仿宋_GB2312" w:hAnsi="仿宋_GB2312" w:eastAsia="仿宋_GB2312" w:cs="仿宋_GB2312"/>
          <w:color w:val="000000" w:themeColor="text1"/>
          <w:sz w:val="32"/>
          <w:szCs w:val="32"/>
          <w:highlight w:val="none"/>
          <w14:textFill>
            <w14:solidFill>
              <w14:schemeClr w14:val="tx1"/>
            </w14:solidFill>
          </w14:textFill>
        </w:rPr>
        <w:t>引入高层级首店、旗舰店、</w:t>
      </w:r>
      <w:r>
        <w:rPr>
          <w:rFonts w:hint="eastAsia" w:ascii="仿宋_GB2312" w:hAnsi="仿宋_GB2312" w:eastAsia="仿宋_GB2312" w:cs="仿宋_GB2312"/>
          <w:color w:val="000000" w:themeColor="text1"/>
          <w:kern w:val="0"/>
          <w:sz w:val="32"/>
          <w:highlight w:val="none"/>
          <w14:textFill>
            <w14:solidFill>
              <w14:schemeClr w14:val="tx1"/>
            </w14:solidFill>
          </w14:textFill>
        </w:rPr>
        <w:t>概念店、主理人门店</w:t>
      </w:r>
      <w:r>
        <w:rPr>
          <w:rFonts w:hint="eastAsia" w:ascii="仿宋_GB2312" w:hAnsi="仿宋_GB2312" w:eastAsia="仿宋_GB2312" w:cs="仿宋_GB2312"/>
          <w:color w:val="000000" w:themeColor="text1"/>
          <w:kern w:val="0"/>
          <w:sz w:val="32"/>
          <w:highlight w:val="none"/>
          <w:lang w:eastAsia="zh-CN"/>
          <w14:textFill>
            <w14:solidFill>
              <w14:schemeClr w14:val="tx1"/>
            </w14:solidFill>
          </w14:textFill>
        </w:rPr>
        <w:t>等</w:t>
      </w:r>
      <w:r>
        <w:rPr>
          <w:rFonts w:hint="eastAsia" w:ascii="仿宋_GB2312" w:hAnsi="仿宋_GB2312" w:eastAsia="仿宋_GB2312" w:cs="仿宋_GB2312"/>
          <w:color w:val="000000" w:themeColor="text1"/>
          <w:sz w:val="32"/>
          <w:szCs w:val="32"/>
          <w:highlight w:val="none"/>
          <w:lang w:bidi="ar"/>
          <w14:textFill>
            <w14:solidFill>
              <w14:schemeClr w14:val="tx1"/>
            </w14:solidFill>
          </w14:textFill>
        </w:rPr>
        <w:t>。加强</w:t>
      </w:r>
      <w:r>
        <w:rPr>
          <w:rFonts w:hint="eastAsia" w:ascii="仿宋_GB2312" w:hAnsi="仿宋_GB2312" w:eastAsia="仿宋_GB2312" w:cs="仿宋_GB2312"/>
          <w:color w:val="000000" w:themeColor="text1"/>
          <w:kern w:val="0"/>
          <w:sz w:val="32"/>
          <w:highlight w:val="none"/>
          <w14:textFill>
            <w14:solidFill>
              <w14:schemeClr w14:val="tx1"/>
            </w14:solidFill>
          </w14:textFill>
        </w:rPr>
        <w:t>本土商业品牌培育，</w:t>
      </w:r>
      <w:r>
        <w:rPr>
          <w:rFonts w:hint="eastAsia" w:ascii="仿宋_GB2312" w:hAnsi="仿宋_GB2312" w:eastAsia="仿宋_GB2312" w:cs="仿宋_GB2312"/>
          <w:color w:val="000000" w:themeColor="text1"/>
          <w:kern w:val="0"/>
          <w:sz w:val="32"/>
          <w:highlight w:val="none"/>
          <w:lang w:eastAsia="zh-CN"/>
          <w14:textFill>
            <w14:solidFill>
              <w14:schemeClr w14:val="tx1"/>
            </w14:solidFill>
          </w14:textFill>
        </w:rPr>
        <w:t>支持企业依托</w:t>
      </w:r>
      <w:r>
        <w:rPr>
          <w:rFonts w:hint="eastAsia" w:ascii="仿宋_GB2312" w:hAnsi="仿宋_GB2312" w:eastAsia="仿宋_GB2312" w:cs="仿宋_GB2312"/>
          <w:color w:val="000000" w:themeColor="text1"/>
          <w:kern w:val="0"/>
          <w:sz w:val="32"/>
          <w:highlight w:val="none"/>
          <w14:textFill>
            <w14:solidFill>
              <w14:schemeClr w14:val="tx1"/>
            </w14:solidFill>
          </w14:textFill>
        </w:rPr>
        <w:t>“三地”</w:t>
      </w:r>
      <w:r>
        <w:rPr>
          <w:rFonts w:hint="eastAsia" w:ascii="仿宋_GB2312" w:hAnsi="仿宋_GB2312" w:eastAsia="仿宋_GB2312" w:cs="仿宋_GB2312"/>
          <w:color w:val="000000" w:themeColor="text1"/>
          <w:sz w:val="32"/>
          <w:szCs w:val="32"/>
          <w:highlight w:val="none"/>
          <w14:textFill>
            <w14:solidFill>
              <w14:schemeClr w14:val="tx1"/>
            </w14:solidFill>
          </w14:textFill>
        </w:rPr>
        <w:t>“京西福地门头沟”“</w:t>
      </w:r>
      <w:r>
        <w:rPr>
          <w:rFonts w:hint="eastAsia" w:ascii="仿宋_GB2312" w:hAnsi="仿宋_GB2312" w:eastAsia="仿宋_GB2312" w:cs="仿宋_GB2312"/>
          <w:color w:val="000000" w:themeColor="text1"/>
          <w:kern w:val="0"/>
          <w:sz w:val="32"/>
          <w:highlight w:val="none"/>
          <w14:textFill>
            <w14:solidFill>
              <w14:schemeClr w14:val="tx1"/>
            </w14:solidFill>
          </w14:textFill>
        </w:rPr>
        <w:t>上岸”等区域符号打造新锐国货品牌，</w:t>
      </w:r>
      <w:r>
        <w:rPr>
          <w:rFonts w:hint="eastAsia" w:ascii="仿宋_GB2312" w:hAnsi="仿宋_GB2312" w:eastAsia="仿宋_GB2312" w:cs="仿宋_GB2312"/>
          <w:color w:val="000000" w:themeColor="text1"/>
          <w:kern w:val="0"/>
          <w:sz w:val="32"/>
          <w:highlight w:val="none"/>
          <w:lang w:eastAsia="zh-CN"/>
          <w14:textFill>
            <w14:solidFill>
              <w14:schemeClr w14:val="tx1"/>
            </w14:solidFill>
          </w14:textFill>
        </w:rPr>
        <w:t>鼓励开发</w:t>
      </w:r>
      <w:r>
        <w:rPr>
          <w:rFonts w:hint="eastAsia" w:ascii="仿宋_GB2312" w:hAnsi="仿宋_GB2312" w:eastAsia="仿宋_GB2312" w:cs="仿宋_GB2312"/>
          <w:color w:val="000000" w:themeColor="text1"/>
          <w:kern w:val="0"/>
          <w:sz w:val="32"/>
          <w:highlight w:val="none"/>
          <w14:textFill>
            <w14:solidFill>
              <w14:schemeClr w14:val="tx1"/>
            </w14:solidFill>
          </w14:textFill>
        </w:rPr>
        <w:t>“京西福礼”文创产品</w:t>
      </w:r>
      <w:r>
        <w:rPr>
          <w:rFonts w:hint="eastAsia" w:ascii="仿宋_GB2312" w:hAnsi="仿宋_GB2312" w:eastAsia="仿宋_GB2312" w:cs="仿宋_GB2312"/>
          <w:color w:val="000000" w:themeColor="text1"/>
          <w:kern w:val="0"/>
          <w:sz w:val="32"/>
          <w:highlight w:val="none"/>
          <w:lang w:eastAsia="zh-CN"/>
          <w14:textFill>
            <w14:solidFill>
              <w14:schemeClr w14:val="tx1"/>
            </w14:solidFill>
          </w14:textFill>
        </w:rPr>
        <w:t>和</w:t>
      </w:r>
      <w:r>
        <w:rPr>
          <w:rFonts w:hint="eastAsia" w:ascii="仿宋_GB2312" w:hAnsi="仿宋_GB2312" w:eastAsia="仿宋_GB2312" w:cs="仿宋_GB2312"/>
          <w:color w:val="000000" w:themeColor="text1"/>
          <w:kern w:val="0"/>
          <w:sz w:val="32"/>
          <w:highlight w:val="none"/>
          <w14:textFill>
            <w14:solidFill>
              <w14:schemeClr w14:val="tx1"/>
            </w14:solidFill>
          </w14:textFill>
        </w:rPr>
        <w:t>特色非遗、旅游纪念产品。推动老字号品牌守正创新，支持老字号跨界合作。</w:t>
      </w:r>
    </w:p>
    <w:p>
      <w:pPr>
        <w:spacing w:line="560" w:lineRule="exact"/>
        <w:ind w:firstLine="640" w:firstLineChars="200"/>
        <w:outlineLvl w:val="1"/>
        <w:rPr>
          <w:rFonts w:hint="eastAsia" w:ascii="楷体_GB2312" w:hAnsi="楷体_GB2312" w:eastAsia="楷体_GB2312" w:cs="楷体_GB2312"/>
          <w:color w:val="000000" w:themeColor="text1"/>
          <w:sz w:val="32"/>
          <w:szCs w:val="32"/>
          <w:highlight w:val="none"/>
          <w:lang w:eastAsia="zh-CN"/>
          <w14:textFill>
            <w14:solidFill>
              <w14:schemeClr w14:val="tx1"/>
            </w14:solidFill>
          </w14:textFill>
        </w:rPr>
      </w:pPr>
      <w:bookmarkStart w:id="594" w:name="_Toc23278"/>
      <w:bookmarkStart w:id="595" w:name="_Toc19255"/>
      <w:bookmarkStart w:id="596" w:name="_Toc10693"/>
      <w:bookmarkStart w:id="597" w:name="_Toc21162"/>
      <w:bookmarkStart w:id="598" w:name="_Toc12028"/>
      <w:bookmarkStart w:id="599" w:name="_Toc20519"/>
      <w:bookmarkStart w:id="600" w:name="_Toc834"/>
      <w:bookmarkStart w:id="601" w:name="_Toc27759"/>
      <w:bookmarkStart w:id="602" w:name="_Toc12261"/>
      <w:bookmarkStart w:id="603" w:name="_Toc24692"/>
      <w:bookmarkStart w:id="604" w:name="_Toc15874"/>
      <w:bookmarkStart w:id="605" w:name="_Toc12236"/>
      <w:bookmarkStart w:id="606" w:name="_Toc21195"/>
      <w:bookmarkStart w:id="607" w:name="_Toc27341"/>
      <w:bookmarkStart w:id="608" w:name="_Toc23272"/>
      <w:bookmarkStart w:id="609" w:name="_Toc2759"/>
      <w:r>
        <w:rPr>
          <w:rFonts w:hint="eastAsia" w:ascii="楷体_GB2312" w:hAnsi="楷体_GB2312" w:eastAsia="楷体_GB2312" w:cs="楷体_GB2312"/>
          <w:color w:val="000000" w:themeColor="text1"/>
          <w:sz w:val="32"/>
          <w:szCs w:val="32"/>
          <w:highlight w:val="none"/>
          <w14:textFill>
            <w14:solidFill>
              <w14:schemeClr w14:val="tx1"/>
            </w14:solidFill>
          </w14:textFill>
        </w:rPr>
        <w:t>（</w:t>
      </w:r>
      <w:r>
        <w:rPr>
          <w:rFonts w:hint="eastAsia" w:ascii="楷体_GB2312" w:hAnsi="楷体_GB2312" w:eastAsia="楷体_GB2312" w:cs="楷体_GB2312"/>
          <w:color w:val="000000" w:themeColor="text1"/>
          <w:sz w:val="32"/>
          <w:szCs w:val="32"/>
          <w:highlight w:val="none"/>
          <w:lang w:eastAsia="zh-CN"/>
          <w14:textFill>
            <w14:solidFill>
              <w14:schemeClr w14:val="tx1"/>
            </w14:solidFill>
          </w14:textFill>
        </w:rPr>
        <w:t>二</w:t>
      </w:r>
      <w:r>
        <w:rPr>
          <w:rFonts w:hint="eastAsia" w:ascii="楷体_GB2312" w:hAnsi="楷体_GB2312" w:eastAsia="楷体_GB2312" w:cs="楷体_GB2312"/>
          <w:color w:val="000000" w:themeColor="text1"/>
          <w:sz w:val="32"/>
          <w:szCs w:val="32"/>
          <w:highlight w:val="none"/>
          <w14:textFill>
            <w14:solidFill>
              <w14:schemeClr w14:val="tx1"/>
            </w14:solidFill>
          </w14:textFill>
        </w:rPr>
        <w:t>）</w:t>
      </w:r>
      <w:r>
        <w:rPr>
          <w:rFonts w:hint="eastAsia" w:ascii="楷体_GB2312" w:hAnsi="楷体_GB2312" w:eastAsia="楷体_GB2312" w:cs="楷体_GB2312"/>
          <w:color w:val="000000" w:themeColor="text1"/>
          <w:sz w:val="32"/>
          <w:szCs w:val="32"/>
          <w:highlight w:val="none"/>
          <w:lang w:eastAsia="zh-CN"/>
          <w14:textFill>
            <w14:solidFill>
              <w14:schemeClr w14:val="tx1"/>
            </w14:solidFill>
          </w14:textFill>
        </w:rPr>
        <w:t>加强零售新业态新场景培育</w:t>
      </w:r>
      <w:bookmarkEnd w:id="594"/>
    </w:p>
    <w:p>
      <w:pPr>
        <w:widowControl/>
        <w:spacing w:line="560" w:lineRule="exact"/>
        <w:ind w:firstLine="640" w:firstLineChars="200"/>
        <w:jc w:val="left"/>
        <w:outlineLvl w:val="9"/>
        <w:rPr>
          <w:rFonts w:hint="default" w:ascii="仿宋_GB2312" w:hAnsi="仿宋_GB2312" w:eastAsia="仿宋_GB2312" w:cs="仿宋_GB2312"/>
          <w:color w:val="000000" w:themeColor="text1"/>
          <w:kern w:val="0"/>
          <w:sz w:val="32"/>
          <w:highlight w:val="none"/>
          <w:lang w:val="en-US" w:eastAsia="zh-CN"/>
          <w14:textFill>
            <w14:solidFill>
              <w14:schemeClr w14:val="tx1"/>
            </w14:solidFill>
          </w14:textFill>
        </w:rPr>
      </w:pPr>
      <w:r>
        <w:rPr>
          <w:rFonts w:hint="eastAsia" w:ascii="仿宋_GB2312" w:hAnsi="仿宋_GB2312" w:eastAsia="仿宋_GB2312" w:cs="仿宋_GB2312"/>
          <w:i w:val="0"/>
          <w:iCs w:val="0"/>
          <w:caps w:val="0"/>
          <w:color w:val="000000" w:themeColor="text1"/>
          <w:spacing w:val="0"/>
          <w:kern w:val="0"/>
          <w:sz w:val="32"/>
          <w:szCs w:val="24"/>
          <w:highlight w:val="none"/>
          <w:shd w:val="clear"/>
          <w14:textFill>
            <w14:solidFill>
              <w14:schemeClr w14:val="tx1"/>
            </w14:solidFill>
          </w14:textFill>
        </w:rPr>
        <w:t>落实零售业创新提升工程，支持门店“一店一策”打造特色消费场景。鼓励零售主体由商品经营向多业态综合运营转型，发展深度联营、自采自营、批零兼营、制造型零售等模式</w:t>
      </w:r>
      <w:r>
        <w:rPr>
          <w:rStyle w:val="33"/>
          <w:rFonts w:hint="eastAsia" w:ascii="仿宋_GB2312" w:hAnsi="仿宋_GB2312" w:eastAsia="仿宋_GB2312" w:cs="仿宋_GB2312"/>
          <w:i w:val="0"/>
          <w:iCs w:val="0"/>
          <w:caps w:val="0"/>
          <w:color w:val="000000" w:themeColor="text1"/>
          <w:spacing w:val="0"/>
          <w:kern w:val="0"/>
          <w:sz w:val="32"/>
          <w:szCs w:val="24"/>
          <w:highlight w:val="none"/>
          <w:shd w:val="clear"/>
          <w14:textFill>
            <w14:solidFill>
              <w14:schemeClr w14:val="tx1"/>
            </w14:solidFill>
          </w14:textFill>
        </w:rPr>
        <w:footnoteReference w:id="0"/>
      </w:r>
      <w:r>
        <w:rPr>
          <w:rFonts w:hint="eastAsia" w:ascii="仿宋_GB2312" w:hAnsi="仿宋_GB2312" w:eastAsia="仿宋_GB2312" w:cs="仿宋_GB2312"/>
          <w:i w:val="0"/>
          <w:iCs w:val="0"/>
          <w:caps w:val="0"/>
          <w:color w:val="000000" w:themeColor="text1"/>
          <w:spacing w:val="0"/>
          <w:kern w:val="0"/>
          <w:sz w:val="32"/>
          <w:szCs w:val="24"/>
          <w:highlight w:val="none"/>
          <w:shd w:val="clear"/>
          <w14:textFill>
            <w14:solidFill>
              <w14:schemeClr w14:val="tx1"/>
            </w14:solidFill>
          </w14:textFill>
        </w:rPr>
        <w:t>。加快发展即时零售，加大品牌企业招引力度，优化即时配送网络布局。吸引电商平台企业集聚，</w:t>
      </w:r>
      <w:r>
        <w:rPr>
          <w:rFonts w:hint="eastAsia" w:ascii="仿宋_GB2312" w:hAnsi="仿宋_GB2312" w:eastAsia="仿宋_GB2312" w:cs="仿宋_GB2312"/>
          <w:color w:val="000000" w:themeColor="text1"/>
          <w:kern w:val="0"/>
          <w:sz w:val="32"/>
          <w:highlight w:val="none"/>
          <w:lang w:val="en-US" w:eastAsia="zh-CN"/>
          <w14:textFill>
            <w14:solidFill>
              <w14:schemeClr w14:val="tx1"/>
            </w14:solidFill>
          </w14:textFill>
        </w:rPr>
        <w:t>加强本土</w:t>
      </w:r>
      <w:r>
        <w:rPr>
          <w:rFonts w:hint="eastAsia" w:ascii="仿宋_GB2312" w:hAnsi="仿宋_GB2312" w:eastAsia="仿宋_GB2312" w:cs="仿宋_GB2312"/>
          <w:color w:val="000000" w:themeColor="text1"/>
          <w:kern w:val="0"/>
          <w:sz w:val="32"/>
          <w:highlight w:val="none"/>
          <w14:textFill>
            <w14:solidFill>
              <w14:schemeClr w14:val="tx1"/>
            </w14:solidFill>
          </w14:textFill>
        </w:rPr>
        <w:t>农业电商平台</w:t>
      </w:r>
      <w:r>
        <w:rPr>
          <w:rFonts w:hint="eastAsia" w:ascii="仿宋_GB2312" w:hAnsi="仿宋_GB2312" w:eastAsia="仿宋_GB2312" w:cs="仿宋_GB2312"/>
          <w:color w:val="000000" w:themeColor="text1"/>
          <w:kern w:val="0"/>
          <w:sz w:val="32"/>
          <w:highlight w:val="none"/>
          <w:lang w:eastAsia="zh-CN"/>
          <w14:textFill>
            <w14:solidFill>
              <w14:schemeClr w14:val="tx1"/>
            </w14:solidFill>
          </w14:textFill>
        </w:rPr>
        <w:t>培育，推动</w:t>
      </w:r>
      <w:r>
        <w:rPr>
          <w:rFonts w:hint="eastAsia" w:ascii="仿宋_GB2312" w:hAnsi="仿宋_GB2312" w:eastAsia="仿宋_GB2312" w:cs="仿宋_GB2312"/>
          <w:color w:val="000000" w:themeColor="text1"/>
          <w:kern w:val="0"/>
          <w:sz w:val="32"/>
          <w:highlight w:val="none"/>
          <w14:textFill>
            <w14:solidFill>
              <w14:schemeClr w14:val="tx1"/>
            </w14:solidFill>
          </w14:textFill>
        </w:rPr>
        <w:t>特色直播基地建设</w:t>
      </w:r>
      <w:r>
        <w:rPr>
          <w:rFonts w:hint="eastAsia" w:ascii="仿宋_GB2312" w:hAnsi="仿宋_GB2312" w:eastAsia="仿宋_GB2312" w:cs="仿宋_GB2312"/>
          <w:color w:val="000000" w:themeColor="text1"/>
          <w:kern w:val="0"/>
          <w:sz w:val="32"/>
          <w:highlight w:val="none"/>
          <w:lang w:eastAsia="zh-CN"/>
          <w14:textFill>
            <w14:solidFill>
              <w14:schemeClr w14:val="tx1"/>
            </w14:solidFill>
          </w14:textFill>
        </w:rPr>
        <w:t>。</w:t>
      </w:r>
    </w:p>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Pr>
        <w:spacing w:line="560" w:lineRule="exact"/>
        <w:ind w:firstLine="640" w:firstLineChars="200"/>
        <w:outlineLvl w:val="1"/>
        <w:rPr>
          <w:rFonts w:hint="eastAsia" w:ascii="黑体" w:hAnsi="黑体" w:eastAsia="黑体" w:cs="黑体"/>
          <w:color w:val="000000" w:themeColor="text1"/>
          <w:sz w:val="32"/>
          <w:szCs w:val="32"/>
          <w:highlight w:val="none"/>
          <w14:textFill>
            <w14:solidFill>
              <w14:schemeClr w14:val="tx1"/>
            </w14:solidFill>
          </w14:textFill>
        </w:rPr>
      </w:pPr>
      <w:bookmarkStart w:id="610" w:name="_Toc13926"/>
      <w:bookmarkStart w:id="611" w:name="_Toc5416"/>
      <w:bookmarkStart w:id="612" w:name="_Toc24960"/>
      <w:bookmarkStart w:id="613" w:name="_Toc6105"/>
      <w:bookmarkStart w:id="614" w:name="_Toc30175"/>
      <w:bookmarkStart w:id="615" w:name="_Toc13673"/>
      <w:bookmarkStart w:id="616" w:name="_Toc10454"/>
      <w:bookmarkStart w:id="617" w:name="_Toc19932"/>
      <w:bookmarkStart w:id="618" w:name="_Toc9728"/>
      <w:bookmarkStart w:id="619" w:name="_Toc29984"/>
      <w:bookmarkStart w:id="620" w:name="_Toc10827"/>
      <w:bookmarkStart w:id="621" w:name="_Toc11297"/>
      <w:bookmarkStart w:id="622" w:name="_Toc29266"/>
      <w:bookmarkStart w:id="623" w:name="_Toc20406"/>
      <w:bookmarkStart w:id="624" w:name="_Toc10449"/>
      <w:bookmarkStart w:id="625" w:name="_Toc25445"/>
      <w:r>
        <w:rPr>
          <w:rFonts w:hint="eastAsia" w:ascii="黑体" w:hAnsi="黑体" w:eastAsia="黑体" w:cs="黑体"/>
          <w:color w:val="000000" w:themeColor="text1"/>
          <w:sz w:val="32"/>
          <w:szCs w:val="32"/>
          <w:highlight w:val="none"/>
          <w14:textFill>
            <w14:solidFill>
              <w14:schemeClr w14:val="tx1"/>
            </w14:solidFill>
          </w14:textFill>
        </w:rPr>
        <w:t>二、</w:t>
      </w:r>
      <w:r>
        <w:rPr>
          <w:rFonts w:hint="eastAsia" w:ascii="黑体" w:hAnsi="黑体" w:eastAsia="黑体" w:cs="黑体"/>
          <w:color w:val="000000" w:themeColor="text1"/>
          <w:sz w:val="32"/>
          <w:szCs w:val="32"/>
          <w:highlight w:val="none"/>
          <w:lang w:eastAsia="zh-CN"/>
          <w14:textFill>
            <w14:solidFill>
              <w14:schemeClr w14:val="tx1"/>
            </w14:solidFill>
          </w14:textFill>
        </w:rPr>
        <w:t>培育打造</w:t>
      </w:r>
      <w:r>
        <w:rPr>
          <w:rFonts w:hint="eastAsia" w:ascii="黑体" w:hAnsi="黑体" w:eastAsia="黑体" w:cs="黑体"/>
          <w:color w:val="000000" w:themeColor="text1"/>
          <w:sz w:val="32"/>
          <w:szCs w:val="32"/>
          <w:highlight w:val="none"/>
          <w14:textFill>
            <w14:solidFill>
              <w14:schemeClr w14:val="tx1"/>
            </w14:solidFill>
          </w14:textFill>
        </w:rPr>
        <w:t>京西餐饮品牌</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widowControl/>
        <w:spacing w:line="560" w:lineRule="exact"/>
        <w:ind w:firstLine="640" w:firstLineChars="200"/>
        <w:outlineLvl w:val="1"/>
        <w:rPr>
          <w:rFonts w:hint="eastAsia" w:ascii="楷体_GB2312" w:hAnsi="楷体_GB2312" w:eastAsia="楷体_GB2312" w:cs="楷体_GB2312"/>
          <w:color w:val="000000" w:themeColor="text1"/>
          <w:sz w:val="32"/>
          <w:szCs w:val="32"/>
          <w:highlight w:val="none"/>
          <w14:textFill>
            <w14:solidFill>
              <w14:schemeClr w14:val="tx1"/>
            </w14:solidFill>
          </w14:textFill>
        </w:rPr>
      </w:pPr>
      <w:bookmarkStart w:id="626" w:name="_Toc16743"/>
      <w:bookmarkStart w:id="627" w:name="_Toc5476"/>
      <w:bookmarkStart w:id="628" w:name="_Toc15053"/>
      <w:bookmarkStart w:id="629" w:name="_Toc2119"/>
      <w:bookmarkStart w:id="630" w:name="_Toc31140"/>
      <w:bookmarkStart w:id="631" w:name="_Toc14449"/>
      <w:bookmarkStart w:id="632" w:name="_Toc21853"/>
      <w:bookmarkStart w:id="633" w:name="_Toc32583"/>
      <w:bookmarkStart w:id="634" w:name="_Toc21099"/>
      <w:bookmarkStart w:id="635" w:name="_Toc20594"/>
      <w:bookmarkStart w:id="636" w:name="_Toc160"/>
      <w:bookmarkStart w:id="637" w:name="_Toc14139"/>
      <w:bookmarkStart w:id="638" w:name="_Toc483"/>
      <w:bookmarkStart w:id="639" w:name="_Toc22418"/>
      <w:bookmarkStart w:id="640" w:name="_Toc32579"/>
      <w:bookmarkStart w:id="641" w:name="_Toc7408"/>
      <w:r>
        <w:rPr>
          <w:rFonts w:hint="eastAsia" w:ascii="楷体_GB2312" w:hAnsi="楷体_GB2312" w:eastAsia="楷体_GB2312" w:cs="楷体_GB2312"/>
          <w:color w:val="000000" w:themeColor="text1"/>
          <w:sz w:val="32"/>
          <w:szCs w:val="32"/>
          <w:highlight w:val="none"/>
          <w14:textFill>
            <w14:solidFill>
              <w14:schemeClr w14:val="tx1"/>
            </w14:solidFill>
          </w14:textFill>
        </w:rPr>
        <w:t>（一）深耕“京西好味道”美食品牌</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spacing w:line="560" w:lineRule="exact"/>
        <w:ind w:firstLine="640" w:firstLineChars="200"/>
        <w:rPr>
          <w:rFonts w:hint="eastAsia" w:ascii="楷体_GB2312" w:hAnsi="楷体_GB2312" w:eastAsia="楷体_GB2312" w:cs="楷体_GB2312"/>
          <w:i w:val="0"/>
          <w:iCs w:val="0"/>
          <w:caps w:val="0"/>
          <w:color w:val="000000" w:themeColor="text1"/>
          <w:spacing w:val="0"/>
          <w:sz w:val="32"/>
          <w:szCs w:val="32"/>
          <w:highlight w:val="none"/>
          <w:u w:val="none"/>
          <w:shd w:val="clear"/>
          <w:lang w:eastAsia="zh-CN"/>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highlight w:val="none"/>
          <w:u w:val="none"/>
          <w:shd w:val="clear"/>
          <w14:textFill>
            <w14:solidFill>
              <w14:schemeClr w14:val="tx1"/>
            </w14:solidFill>
          </w14:textFill>
        </w:rPr>
        <w:t>挖掘京西饮食文化脉络，传承推广传统菜谱、烹饪技艺与饮食民俗，丰富品牌内涵。举办美食文化节、技能竞赛、风味品鉴等活动，搭建技艺展示与交流平台，提升京西餐饮文化影响力。深化“餐饮+互联网”融合，发展美食直播、云厨房等新业态，拓宽营销渠道。开发主题美食线路及联名产品，扩大品牌辐射力。</w:t>
      </w:r>
    </w:p>
    <w:p>
      <w:pPr>
        <w:widowControl/>
        <w:spacing w:line="560" w:lineRule="exact"/>
        <w:ind w:firstLine="640" w:firstLineChars="200"/>
        <w:outlineLvl w:val="1"/>
        <w:rPr>
          <w:rFonts w:hint="eastAsia" w:ascii="楷体_GB2312" w:hAnsi="楷体_GB2312" w:eastAsia="楷体_GB2312" w:cs="楷体_GB2312"/>
          <w:color w:val="000000" w:themeColor="text1"/>
          <w:sz w:val="32"/>
          <w:szCs w:val="32"/>
          <w:highlight w:val="none"/>
          <w14:textFill>
            <w14:solidFill>
              <w14:schemeClr w14:val="tx1"/>
            </w14:solidFill>
          </w14:textFill>
        </w:rPr>
      </w:pPr>
      <w:bookmarkStart w:id="642" w:name="_Toc5204"/>
      <w:bookmarkStart w:id="643" w:name="_Toc250"/>
      <w:bookmarkStart w:id="644" w:name="_Toc14218"/>
      <w:bookmarkStart w:id="645" w:name="_Toc12326"/>
      <w:bookmarkStart w:id="646" w:name="_Toc30542"/>
      <w:bookmarkStart w:id="647" w:name="_Toc484"/>
      <w:bookmarkStart w:id="648" w:name="_Toc5743"/>
      <w:bookmarkStart w:id="649" w:name="_Toc23204"/>
      <w:bookmarkStart w:id="650" w:name="_Toc11602"/>
      <w:bookmarkStart w:id="651" w:name="_Toc12889"/>
      <w:bookmarkStart w:id="652" w:name="_Toc5832"/>
      <w:bookmarkStart w:id="653" w:name="_Toc6530"/>
      <w:bookmarkStart w:id="654" w:name="_Toc25420"/>
      <w:bookmarkStart w:id="655" w:name="_Toc29377"/>
      <w:bookmarkStart w:id="656" w:name="_Toc19892"/>
      <w:bookmarkStart w:id="657" w:name="_Toc1106"/>
      <w:r>
        <w:rPr>
          <w:rFonts w:hint="eastAsia" w:ascii="楷体_GB2312" w:hAnsi="楷体_GB2312" w:eastAsia="楷体_GB2312" w:cs="楷体_GB2312"/>
          <w:color w:val="000000" w:themeColor="text1"/>
          <w:sz w:val="32"/>
          <w:szCs w:val="32"/>
          <w:highlight w:val="none"/>
          <w14:textFill>
            <w14:solidFill>
              <w14:schemeClr w14:val="tx1"/>
            </w14:solidFill>
          </w14:textFill>
        </w:rPr>
        <w:t>（</w:t>
      </w:r>
      <w:r>
        <w:rPr>
          <w:rFonts w:hint="eastAsia" w:ascii="楷体_GB2312" w:hAnsi="楷体_GB2312" w:eastAsia="楷体_GB2312" w:cs="楷体_GB2312"/>
          <w:color w:val="000000" w:themeColor="text1"/>
          <w:sz w:val="32"/>
          <w:szCs w:val="32"/>
          <w:highlight w:val="none"/>
          <w:lang w:eastAsia="zh-CN"/>
          <w14:textFill>
            <w14:solidFill>
              <w14:schemeClr w14:val="tx1"/>
            </w14:solidFill>
          </w14:textFill>
        </w:rPr>
        <w:t>二</w:t>
      </w:r>
      <w:r>
        <w:rPr>
          <w:rFonts w:hint="eastAsia" w:ascii="楷体_GB2312" w:hAnsi="楷体_GB2312" w:eastAsia="楷体_GB2312" w:cs="楷体_GB2312"/>
          <w:color w:val="000000" w:themeColor="text1"/>
          <w:sz w:val="32"/>
          <w:szCs w:val="32"/>
          <w:highlight w:val="none"/>
          <w14:textFill>
            <w14:solidFill>
              <w14:schemeClr w14:val="tx1"/>
            </w14:solidFill>
          </w14:textFill>
        </w:rPr>
        <w:t>）提升品质餐饮消费供给能力</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spacing w:line="560" w:lineRule="exact"/>
        <w:ind w:firstLine="640" w:firstLineChars="200"/>
        <w:rPr>
          <w:rFonts w:hint="eastAsia" w:ascii="仿宋_GB2312" w:hAnsi="仿宋_GB2312" w:eastAsia="仿宋_GB2312" w:cs="仿宋_GB2312"/>
          <w:color w:val="000000" w:themeColor="text1"/>
          <w:kern w:val="2"/>
          <w:sz w:val="32"/>
          <w:szCs w:val="32"/>
          <w:highlight w:val="none"/>
          <w:u w:val="single"/>
          <w:lang w:val="en-US" w:eastAsia="zh-CN" w:bidi="ar"/>
          <w14:textFill>
            <w14:solidFill>
              <w14:schemeClr w14:val="tx1"/>
            </w14:solidFill>
          </w14:textFill>
        </w:rPr>
      </w:pPr>
      <w:bookmarkStart w:id="658" w:name="_Toc31627"/>
      <w:bookmarkStart w:id="659" w:name="_Toc6520"/>
      <w:bookmarkStart w:id="660" w:name="_Toc14615"/>
      <w:bookmarkStart w:id="661" w:name="_Toc22312"/>
      <w:bookmarkStart w:id="662" w:name="_Toc16010"/>
      <w:bookmarkStart w:id="663" w:name="_Toc32110"/>
      <w:bookmarkStart w:id="664" w:name="_Toc10263"/>
      <w:bookmarkStart w:id="665" w:name="_Toc30733"/>
      <w:bookmarkStart w:id="666" w:name="_Toc16854"/>
      <w:bookmarkStart w:id="667" w:name="_Toc28593"/>
      <w:bookmarkStart w:id="668" w:name="_Toc9719"/>
      <w:bookmarkStart w:id="669" w:name="_Toc27483"/>
      <w:r>
        <w:rPr>
          <w:rFonts w:hint="eastAsia" w:ascii="仿宋_GB2312" w:hAnsi="仿宋_GB2312" w:eastAsia="仿宋_GB2312" w:cs="仿宋_GB2312"/>
          <w:color w:val="000000" w:themeColor="text1"/>
          <w:sz w:val="32"/>
          <w:szCs w:val="32"/>
          <w:highlight w:val="none"/>
          <w:lang w:bidi="ar"/>
          <w14:textFill>
            <w14:solidFill>
              <w14:schemeClr w14:val="tx1"/>
            </w14:solidFill>
          </w14:textFill>
        </w:rPr>
        <w:t>保障居民基础消费，完善早餐</w:t>
      </w:r>
      <w:r>
        <w:rPr>
          <w:rFonts w:hint="eastAsia" w:ascii="仿宋_GB2312" w:hAnsi="仿宋_GB2312" w:eastAsia="仿宋_GB2312" w:cs="仿宋_GB2312"/>
          <w:color w:val="000000" w:themeColor="text1"/>
          <w:sz w:val="32"/>
          <w:szCs w:val="32"/>
          <w:highlight w:val="none"/>
          <w:lang w:eastAsia="zh-CN" w:bidi="ar"/>
          <w14:textFill>
            <w14:solidFill>
              <w14:schemeClr w14:val="tx1"/>
            </w14:solidFill>
          </w14:textFill>
        </w:rPr>
        <w:t>等</w:t>
      </w:r>
      <w:r>
        <w:rPr>
          <w:rFonts w:hint="eastAsia" w:ascii="仿宋_GB2312" w:hAnsi="仿宋_GB2312" w:eastAsia="仿宋_GB2312" w:cs="仿宋_GB2312"/>
          <w:color w:val="000000" w:themeColor="text1"/>
          <w:sz w:val="32"/>
          <w:szCs w:val="32"/>
          <w:highlight w:val="none"/>
          <w:lang w:bidi="ar"/>
          <w14:textFill>
            <w14:solidFill>
              <w14:schemeClr w14:val="tx1"/>
            </w14:solidFill>
          </w14:textFill>
        </w:rPr>
        <w:t>社区便民餐饮网点，</w:t>
      </w:r>
      <w:r>
        <w:rPr>
          <w:rFonts w:hint="eastAsia" w:ascii="仿宋_GB2312" w:hAnsi="仿宋_GB2312" w:eastAsia="仿宋_GB2312" w:cs="仿宋_GB2312"/>
          <w:color w:val="000000" w:themeColor="text1"/>
          <w:sz w:val="32"/>
          <w:szCs w:val="32"/>
          <w:highlight w:val="none"/>
          <w:lang w:eastAsia="zh-CN" w:bidi="ar"/>
          <w14:textFill>
            <w14:solidFill>
              <w14:schemeClr w14:val="tx1"/>
            </w14:solidFill>
          </w14:textFill>
        </w:rPr>
        <w:t>提</w:t>
      </w:r>
      <w:r>
        <w:rPr>
          <w:rFonts w:hint="eastAsia" w:ascii="仿宋_GB2312" w:hAnsi="仿宋_GB2312" w:eastAsia="仿宋_GB2312" w:cs="仿宋_GB2312"/>
          <w:color w:val="000000" w:themeColor="text1"/>
          <w:sz w:val="32"/>
          <w:szCs w:val="32"/>
          <w:highlight w:val="none"/>
          <w:lang w:bidi="ar"/>
          <w14:textFill>
            <w14:solidFill>
              <w14:schemeClr w14:val="tx1"/>
            </w14:solidFill>
          </w14:textFill>
        </w:rPr>
        <w:t>档升级适老化、家庭化大众餐饮业态</w:t>
      </w:r>
      <w:r>
        <w:rPr>
          <w:rFonts w:hint="eastAsia" w:ascii="仿宋_GB2312" w:hAnsi="仿宋_GB2312" w:eastAsia="仿宋_GB2312" w:cs="仿宋_GB2312"/>
          <w:color w:val="000000" w:themeColor="text1"/>
          <w:kern w:val="2"/>
          <w:sz w:val="32"/>
          <w:szCs w:val="32"/>
          <w:highlight w:val="none"/>
          <w:lang w:val="en-US" w:eastAsia="zh-CN" w:bidi="ar"/>
          <w14:textFill>
            <w14:solidFill>
              <w14:schemeClr w14:val="tx1"/>
            </w14:solidFill>
          </w14:textFill>
        </w:rPr>
        <w:t>。满足</w:t>
      </w:r>
      <w:r>
        <w:rPr>
          <w:rFonts w:hint="eastAsia" w:ascii="仿宋_GB2312" w:hAnsi="仿宋_GB2312" w:eastAsia="仿宋_GB2312" w:cs="仿宋_GB2312"/>
          <w:color w:val="000000" w:themeColor="text1"/>
          <w:sz w:val="32"/>
          <w:szCs w:val="32"/>
          <w:highlight w:val="none"/>
          <w:lang w:bidi="ar"/>
          <w14:textFill>
            <w14:solidFill>
              <w14:schemeClr w14:val="tx1"/>
            </w14:solidFill>
          </w14:textFill>
        </w:rPr>
        <w:t>游客消费需求，</w:t>
      </w:r>
      <w:r>
        <w:rPr>
          <w:rFonts w:hint="eastAsia" w:ascii="仿宋_GB2312" w:hAnsi="仿宋_GB2312" w:eastAsia="仿宋_GB2312" w:cs="仿宋_GB2312"/>
          <w:color w:val="000000" w:themeColor="text1"/>
          <w:sz w:val="32"/>
          <w:szCs w:val="32"/>
          <w:highlight w:val="none"/>
          <w:lang w:eastAsia="zh-CN" w:bidi="ar"/>
          <w14:textFill>
            <w14:solidFill>
              <w14:schemeClr w14:val="tx1"/>
            </w14:solidFill>
          </w14:textFill>
        </w:rPr>
        <w:t>支持</w:t>
      </w:r>
      <w:r>
        <w:rPr>
          <w:rFonts w:hint="eastAsia" w:ascii="仿宋_GB2312" w:hAnsi="仿宋_GB2312" w:eastAsia="仿宋_GB2312" w:cs="仿宋_GB2312"/>
          <w:i w:val="0"/>
          <w:iCs w:val="0"/>
          <w:caps w:val="0"/>
          <w:color w:val="000000" w:themeColor="text1"/>
          <w:spacing w:val="0"/>
          <w:sz w:val="32"/>
          <w:szCs w:val="32"/>
          <w:highlight w:val="none"/>
          <w:shd w:val="clear"/>
          <w:lang w:bidi="ar"/>
          <w14:textFill>
            <w14:solidFill>
              <w14:schemeClr w14:val="tx1"/>
            </w14:solidFill>
          </w14:textFill>
        </w:rPr>
        <w:t>围绕景区、民宿集聚区打造</w:t>
      </w:r>
      <w:r>
        <w:rPr>
          <w:rFonts w:hint="eastAsia" w:ascii="仿宋_GB2312" w:hAnsi="仿宋_GB2312" w:eastAsia="仿宋_GB2312" w:cs="仿宋_GB2312"/>
          <w:i w:val="0"/>
          <w:iCs w:val="0"/>
          <w:caps w:val="0"/>
          <w:color w:val="000000" w:themeColor="text1"/>
          <w:spacing w:val="0"/>
          <w:sz w:val="32"/>
          <w:szCs w:val="32"/>
          <w:highlight w:val="none"/>
          <w:shd w:val="clear"/>
          <w:lang w:eastAsia="zh-CN" w:bidi="ar"/>
          <w14:textFill>
            <w14:solidFill>
              <w14:schemeClr w14:val="tx1"/>
            </w14:solidFill>
          </w14:textFill>
        </w:rPr>
        <w:t>美食</w:t>
      </w:r>
      <w:r>
        <w:rPr>
          <w:rFonts w:hint="eastAsia" w:ascii="仿宋_GB2312" w:hAnsi="仿宋_GB2312" w:eastAsia="仿宋_GB2312" w:cs="仿宋_GB2312"/>
          <w:i w:val="0"/>
          <w:iCs w:val="0"/>
          <w:caps w:val="0"/>
          <w:color w:val="000000" w:themeColor="text1"/>
          <w:spacing w:val="0"/>
          <w:sz w:val="32"/>
          <w:szCs w:val="32"/>
          <w:highlight w:val="none"/>
          <w:shd w:val="clear"/>
          <w:lang w:bidi="ar"/>
          <w14:textFill>
            <w14:solidFill>
              <w14:schemeClr w14:val="tx1"/>
            </w14:solidFill>
          </w14:textFill>
        </w:rPr>
        <w:t>街区</w:t>
      </w:r>
      <w:r>
        <w:rPr>
          <w:rFonts w:hint="eastAsia" w:ascii="仿宋_GB2312" w:hAnsi="仿宋_GB2312" w:eastAsia="仿宋_GB2312" w:cs="仿宋_GB2312"/>
          <w:i w:val="0"/>
          <w:iCs w:val="0"/>
          <w:caps w:val="0"/>
          <w:color w:val="000000" w:themeColor="text1"/>
          <w:spacing w:val="0"/>
          <w:sz w:val="32"/>
          <w:szCs w:val="32"/>
          <w:highlight w:val="none"/>
          <w:shd w:val="clear"/>
          <w:lang w:eastAsia="zh-CN" w:bidi="ar"/>
          <w14:textFill>
            <w14:solidFill>
              <w14:schemeClr w14:val="tx1"/>
            </w14:solidFill>
          </w14:textFill>
        </w:rPr>
        <w:t>，加强特色化品牌化门店布局</w:t>
      </w:r>
      <w:r>
        <w:rPr>
          <w:rFonts w:hint="eastAsia" w:ascii="仿宋_GB2312" w:hAnsi="仿宋_GB2312" w:eastAsia="仿宋_GB2312" w:cs="仿宋_GB2312"/>
          <w:i w:val="0"/>
          <w:iCs w:val="0"/>
          <w:caps w:val="0"/>
          <w:color w:val="000000" w:themeColor="text1"/>
          <w:spacing w:val="0"/>
          <w:sz w:val="32"/>
          <w:szCs w:val="32"/>
          <w:highlight w:val="none"/>
          <w:shd w:val="clear"/>
          <w:lang w:bidi="ar"/>
          <w14:textFill>
            <w14:solidFill>
              <w14:schemeClr w14:val="tx1"/>
            </w14:solidFill>
          </w14:textFill>
        </w:rPr>
        <w:t>，融入京西民俗与非遗元素，增强美食体验</w:t>
      </w:r>
      <w:r>
        <w:rPr>
          <w:rFonts w:hint="eastAsia" w:ascii="仿宋_GB2312" w:hAnsi="仿宋_GB2312" w:eastAsia="仿宋_GB2312" w:cs="仿宋_GB2312"/>
          <w:i w:val="0"/>
          <w:iCs w:val="0"/>
          <w:caps w:val="0"/>
          <w:color w:val="000000" w:themeColor="text1"/>
          <w:spacing w:val="0"/>
          <w:sz w:val="32"/>
          <w:szCs w:val="32"/>
          <w:highlight w:val="none"/>
          <w:shd w:val="clear"/>
          <w:lang w:eastAsia="zh-CN" w:bidi="ar"/>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sz w:val="32"/>
          <w:szCs w:val="32"/>
          <w:highlight w:val="none"/>
          <w:u w:val="none"/>
          <w:shd w:val="clear"/>
          <w:lang w:eastAsia="zh-CN" w:bidi="ar"/>
          <w14:textFill>
            <w14:solidFill>
              <w14:schemeClr w14:val="tx1"/>
            </w14:solidFill>
          </w14:textFill>
        </w:rPr>
        <w:t>完善</w:t>
      </w:r>
      <w:r>
        <w:rPr>
          <w:rFonts w:hint="eastAsia" w:ascii="仿宋_GB2312" w:hAnsi="仿宋_GB2312" w:eastAsia="仿宋_GB2312" w:cs="仿宋_GB2312"/>
          <w:b w:val="0"/>
          <w:bCs w:val="0"/>
          <w:i w:val="0"/>
          <w:iCs w:val="0"/>
          <w:caps w:val="0"/>
          <w:color w:val="000000" w:themeColor="text1"/>
          <w:spacing w:val="0"/>
          <w:sz w:val="32"/>
          <w:szCs w:val="32"/>
          <w:highlight w:val="none"/>
          <w:u w:val="none"/>
          <w:shd w:val="clear"/>
          <w:lang w:bidi="ar"/>
          <w14:textFill>
            <w14:solidFill>
              <w14:schemeClr w14:val="tx1"/>
            </w14:solidFill>
          </w14:textFill>
        </w:rPr>
        <w:t>商务</w:t>
      </w:r>
      <w:r>
        <w:rPr>
          <w:rFonts w:hint="eastAsia" w:ascii="仿宋_GB2312" w:hAnsi="仿宋_GB2312" w:eastAsia="仿宋_GB2312" w:cs="仿宋_GB2312"/>
          <w:b w:val="0"/>
          <w:bCs w:val="0"/>
          <w:i w:val="0"/>
          <w:iCs w:val="0"/>
          <w:caps w:val="0"/>
          <w:color w:val="000000" w:themeColor="text1"/>
          <w:spacing w:val="0"/>
          <w:sz w:val="32"/>
          <w:szCs w:val="32"/>
          <w:highlight w:val="none"/>
          <w:u w:val="none"/>
          <w:shd w:val="clear"/>
          <w:lang w:eastAsia="zh-CN" w:bidi="ar"/>
          <w14:textFill>
            <w14:solidFill>
              <w14:schemeClr w14:val="tx1"/>
            </w14:solidFill>
          </w14:textFill>
        </w:rPr>
        <w:t>餐饮配套</w:t>
      </w:r>
      <w:r>
        <w:rPr>
          <w:rFonts w:hint="eastAsia" w:ascii="仿宋_GB2312" w:hAnsi="仿宋_GB2312" w:eastAsia="仿宋_GB2312" w:cs="仿宋_GB2312"/>
          <w:i w:val="0"/>
          <w:iCs w:val="0"/>
          <w:caps w:val="0"/>
          <w:color w:val="000000" w:themeColor="text1"/>
          <w:spacing w:val="0"/>
          <w:sz w:val="32"/>
          <w:szCs w:val="32"/>
          <w:highlight w:val="none"/>
          <w:u w:val="none"/>
          <w:shd w:val="clear"/>
          <w:lang w:bidi="ar"/>
          <w14:textFill>
            <w14:solidFill>
              <w14:schemeClr w14:val="tx1"/>
            </w14:solidFill>
          </w14:textFill>
        </w:rPr>
        <w:t>，</w:t>
      </w:r>
      <w:r>
        <w:rPr>
          <w:rFonts w:hint="eastAsia" w:ascii="仿宋_GB2312" w:hAnsi="仿宋_GB2312" w:eastAsia="仿宋_GB2312" w:cs="仿宋_GB2312"/>
          <w:color w:val="000000" w:themeColor="text1"/>
          <w:sz w:val="32"/>
          <w:szCs w:val="32"/>
          <w:highlight w:val="none"/>
          <w:u w:val="none"/>
          <w:lang w:bidi="ar"/>
          <w14:textFill>
            <w14:solidFill>
              <w14:schemeClr w14:val="tx1"/>
            </w14:solidFill>
          </w14:textFill>
        </w:rPr>
        <w:t>引进米其林、黑珍珠、北京国钻等</w:t>
      </w:r>
      <w:r>
        <w:rPr>
          <w:rFonts w:hint="eastAsia" w:ascii="仿宋_GB2312" w:hAnsi="仿宋_GB2312" w:eastAsia="仿宋_GB2312" w:cs="仿宋_GB2312"/>
          <w:color w:val="000000" w:themeColor="text1"/>
          <w:sz w:val="32"/>
          <w:szCs w:val="32"/>
          <w:highlight w:val="none"/>
          <w:u w:val="none"/>
          <w:lang w:eastAsia="zh-CN" w:bidi="ar"/>
          <w14:textFill>
            <w14:solidFill>
              <w14:schemeClr w14:val="tx1"/>
            </w14:solidFill>
          </w14:textFill>
        </w:rPr>
        <w:t>餐饮</w:t>
      </w:r>
      <w:r>
        <w:rPr>
          <w:rFonts w:hint="eastAsia" w:ascii="仿宋_GB2312" w:hAnsi="仿宋_GB2312" w:eastAsia="仿宋_GB2312" w:cs="仿宋_GB2312"/>
          <w:color w:val="000000" w:themeColor="text1"/>
          <w:sz w:val="32"/>
          <w:szCs w:val="32"/>
          <w:highlight w:val="none"/>
          <w:u w:val="none"/>
          <w:lang w:bidi="ar"/>
          <w14:textFill>
            <w14:solidFill>
              <w14:schemeClr w14:val="tx1"/>
            </w14:solidFill>
          </w14:textFill>
        </w:rPr>
        <w:t>品牌</w:t>
      </w:r>
      <w:r>
        <w:rPr>
          <w:rFonts w:hint="eastAsia" w:ascii="仿宋_GB2312" w:hAnsi="仿宋_GB2312" w:eastAsia="仿宋_GB2312" w:cs="仿宋_GB2312"/>
          <w:color w:val="000000" w:themeColor="text1"/>
          <w:sz w:val="32"/>
          <w:szCs w:val="32"/>
          <w:highlight w:val="none"/>
          <w:u w:val="none"/>
          <w:lang w:eastAsia="zh-CN" w:bidi="ar"/>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sz w:val="32"/>
          <w:szCs w:val="32"/>
          <w:highlight w:val="none"/>
          <w:u w:val="none"/>
          <w:shd w:val="clear"/>
          <w:lang w:bidi="ar"/>
          <w14:textFill>
            <w14:solidFill>
              <w14:schemeClr w14:val="tx1"/>
            </w14:solidFill>
          </w14:textFill>
        </w:rPr>
        <w:t>满足产业人才及商务洽谈等</w:t>
      </w:r>
      <w:r>
        <w:rPr>
          <w:rFonts w:hint="eastAsia" w:ascii="仿宋_GB2312" w:hAnsi="仿宋_GB2312" w:eastAsia="仿宋_GB2312" w:cs="仿宋_GB2312"/>
          <w:i w:val="0"/>
          <w:iCs w:val="0"/>
          <w:caps w:val="0"/>
          <w:color w:val="000000" w:themeColor="text1"/>
          <w:spacing w:val="0"/>
          <w:sz w:val="32"/>
          <w:szCs w:val="32"/>
          <w:highlight w:val="none"/>
          <w:u w:val="none"/>
          <w:shd w:val="clear"/>
          <w:lang w:eastAsia="zh-CN" w:bidi="ar"/>
          <w14:textFill>
            <w14:solidFill>
              <w14:schemeClr w14:val="tx1"/>
            </w14:solidFill>
          </w14:textFill>
        </w:rPr>
        <w:t>餐饮</w:t>
      </w:r>
      <w:r>
        <w:rPr>
          <w:rFonts w:hint="eastAsia" w:ascii="仿宋_GB2312" w:hAnsi="仿宋_GB2312" w:eastAsia="仿宋_GB2312" w:cs="仿宋_GB2312"/>
          <w:i w:val="0"/>
          <w:iCs w:val="0"/>
          <w:caps w:val="0"/>
          <w:color w:val="000000" w:themeColor="text1"/>
          <w:spacing w:val="0"/>
          <w:sz w:val="32"/>
          <w:szCs w:val="32"/>
          <w:highlight w:val="none"/>
          <w:u w:val="none"/>
          <w:shd w:val="clear"/>
          <w:lang w:bidi="ar"/>
          <w14:textFill>
            <w14:solidFill>
              <w14:schemeClr w14:val="tx1"/>
            </w14:solidFill>
          </w14:textFill>
        </w:rPr>
        <w:t>消费需求。</w:t>
      </w:r>
    </w:p>
    <w:p>
      <w:pPr>
        <w:spacing w:line="560" w:lineRule="exact"/>
        <w:ind w:firstLine="640" w:firstLineChars="200"/>
        <w:outlineLvl w:val="1"/>
        <w:rPr>
          <w:rFonts w:hint="eastAsia" w:ascii="黑体" w:hAnsi="黑体" w:eastAsia="黑体" w:cs="黑体"/>
          <w:color w:val="000000" w:themeColor="text1"/>
          <w:sz w:val="32"/>
          <w:szCs w:val="32"/>
          <w:highlight w:val="none"/>
          <w14:textFill>
            <w14:solidFill>
              <w14:schemeClr w14:val="tx1"/>
            </w14:solidFill>
          </w14:textFill>
        </w:rPr>
      </w:pPr>
      <w:bookmarkStart w:id="670" w:name="_Toc12894"/>
      <w:bookmarkStart w:id="671" w:name="_Toc31815"/>
      <w:bookmarkStart w:id="672" w:name="_Toc29872"/>
      <w:bookmarkStart w:id="673" w:name="_Toc28918"/>
      <w:r>
        <w:rPr>
          <w:rFonts w:hint="eastAsia" w:ascii="黑体" w:hAnsi="黑体" w:eastAsia="黑体" w:cs="黑体"/>
          <w:color w:val="000000" w:themeColor="text1"/>
          <w:sz w:val="32"/>
          <w:szCs w:val="32"/>
          <w:highlight w:val="none"/>
          <w14:textFill>
            <w14:solidFill>
              <w14:schemeClr w14:val="tx1"/>
            </w14:solidFill>
          </w14:textFill>
        </w:rPr>
        <w:t>三、提升便民商业发展品质</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spacing w:line="560" w:lineRule="exact"/>
        <w:ind w:firstLine="640"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t>推进便民生活圈提质升级，梳理形成重点项目及服务</w:t>
      </w:r>
      <w:r>
        <w:rPr>
          <w:rFonts w:hint="eastAsia" w:ascii="仿宋_GB2312" w:hAnsi="仿宋_GB2312" w:eastAsia="仿宋_GB2312" w:cs="仿宋_GB2312"/>
          <w:i w:val="0"/>
          <w:iCs w:val="0"/>
          <w:caps w:val="0"/>
          <w:color w:val="000000" w:themeColor="text1"/>
          <w:spacing w:val="0"/>
          <w:sz w:val="32"/>
          <w:szCs w:val="32"/>
          <w:highlight w:val="none"/>
          <w:shd w:val="clear"/>
          <w:lang w:eastAsia="zh-CN"/>
          <w14:textFill>
            <w14:solidFill>
              <w14:schemeClr w14:val="tx1"/>
            </w14:solidFill>
          </w14:textFill>
        </w:rPr>
        <w:t>库</w:t>
      </w:r>
      <w:r>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t>，完善社区商业网点布局，支持新建社区配建一站式便民商业综合体</w:t>
      </w:r>
      <w:r>
        <w:rPr>
          <w:rFonts w:hint="eastAsia" w:ascii="仿宋_GB2312" w:hAnsi="仿宋_GB2312" w:eastAsia="仿宋_GB2312" w:cs="仿宋_GB2312"/>
          <w:i w:val="0"/>
          <w:iCs w:val="0"/>
          <w:caps w:val="0"/>
          <w:color w:val="000000" w:themeColor="text1"/>
          <w:spacing w:val="0"/>
          <w:sz w:val="32"/>
          <w:szCs w:val="32"/>
          <w:highlight w:val="none"/>
          <w:shd w:val="clear"/>
          <w:lang w:eastAsia="zh-CN"/>
          <w14:textFill>
            <w14:solidFill>
              <w14:schemeClr w14:val="tx1"/>
            </w14:solidFill>
          </w14:textFill>
        </w:rPr>
        <w:t>，打造一批</w:t>
      </w:r>
      <w:r>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t>社区</w:t>
      </w:r>
      <w:r>
        <w:rPr>
          <w:rFonts w:hint="eastAsia" w:ascii="仿宋_GB2312" w:hAnsi="仿宋_GB2312" w:eastAsia="仿宋_GB2312" w:cs="仿宋_GB2312"/>
          <w:i w:val="0"/>
          <w:iCs w:val="0"/>
          <w:caps w:val="0"/>
          <w:color w:val="000000" w:themeColor="text1"/>
          <w:spacing w:val="0"/>
          <w:sz w:val="32"/>
          <w:szCs w:val="32"/>
          <w:highlight w:val="none"/>
          <w:shd w:val="clear"/>
          <w:lang w:eastAsia="zh-CN"/>
          <w14:textFill>
            <w14:solidFill>
              <w14:schemeClr w14:val="tx1"/>
            </w14:solidFill>
          </w14:textFill>
        </w:rPr>
        <w:t>商业微中心</w:t>
      </w:r>
      <w:r>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t>。深化“社区商业+”模式，加强老年助餐、托育托管、零工驿站等功能嵌入，支持发展共享空间、代厨收纳、宠物服务等新兴业态，推动家政与养老、育儿、物业</w:t>
      </w:r>
      <w:r>
        <w:rPr>
          <w:rFonts w:hint="eastAsia" w:ascii="仿宋_GB2312" w:hAnsi="仿宋_GB2312" w:eastAsia="仿宋_GB2312" w:cs="仿宋_GB2312"/>
          <w:i w:val="0"/>
          <w:iCs w:val="0"/>
          <w:caps w:val="0"/>
          <w:color w:val="000000" w:themeColor="text1"/>
          <w:spacing w:val="0"/>
          <w:sz w:val="32"/>
          <w:szCs w:val="32"/>
          <w:highlight w:val="none"/>
          <w:shd w:val="clear"/>
          <w:lang w:eastAsia="zh-CN"/>
          <w14:textFill>
            <w14:solidFill>
              <w14:schemeClr w14:val="tx1"/>
            </w14:solidFill>
          </w14:textFill>
        </w:rPr>
        <w:t>等服务联动</w:t>
      </w:r>
      <w:r>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提高生活性物流服务水平，打造街镇级快递共配中心，优化末端物流网点布局。</w:t>
      </w:r>
    </w:p>
    <w:p>
      <w:pPr>
        <w:spacing w:before="156" w:beforeLines="50" w:after="156" w:afterLines="50" w:line="560" w:lineRule="exact"/>
        <w:jc w:val="center"/>
        <w:outlineLvl w:val="0"/>
        <w:rPr>
          <w:rFonts w:hint="eastAsia" w:ascii="Times New Roman" w:hAnsi="Times New Roman" w:eastAsia="黑体" w:cs="Times New Roman"/>
          <w:color w:val="000000" w:themeColor="text1"/>
          <w:sz w:val="32"/>
          <w:szCs w:val="32"/>
          <w:highlight w:val="none"/>
          <w14:textFill>
            <w14:solidFill>
              <w14:schemeClr w14:val="tx1"/>
            </w14:solidFill>
          </w14:textFill>
        </w:rPr>
      </w:pPr>
      <w:bookmarkStart w:id="674" w:name="_Toc9326"/>
      <w:bookmarkStart w:id="675" w:name="_Toc28305"/>
      <w:bookmarkStart w:id="676" w:name="_Toc25962"/>
      <w:bookmarkStart w:id="677" w:name="_Toc24420"/>
      <w:bookmarkStart w:id="678" w:name="_Toc25864"/>
      <w:bookmarkStart w:id="679" w:name="_Toc15062"/>
      <w:bookmarkStart w:id="680" w:name="_Toc23743"/>
      <w:bookmarkStart w:id="681" w:name="_Toc26930"/>
      <w:bookmarkStart w:id="682" w:name="_Toc20232"/>
      <w:bookmarkStart w:id="683" w:name="_Toc30562"/>
      <w:bookmarkStart w:id="684" w:name="_Toc29107"/>
      <w:bookmarkStart w:id="685" w:name="_Toc28202"/>
      <w:bookmarkStart w:id="686" w:name="_Toc15807"/>
      <w:bookmarkStart w:id="687" w:name="_Toc28331"/>
      <w:bookmarkStart w:id="688" w:name="_Toc19612"/>
      <w:bookmarkStart w:id="689" w:name="_Toc30527"/>
      <w:r>
        <w:rPr>
          <w:rFonts w:hint="eastAsia" w:ascii="Times New Roman" w:hAnsi="Times New Roman" w:eastAsia="黑体" w:cs="Times New Roman"/>
          <w:color w:val="000000" w:themeColor="text1"/>
          <w:sz w:val="32"/>
          <w:szCs w:val="32"/>
          <w:highlight w:val="none"/>
          <w14:textFill>
            <w14:solidFill>
              <w14:schemeClr w14:val="tx1"/>
            </w14:solidFill>
          </w14:textFill>
        </w:rPr>
        <w:t>第</w:t>
      </w:r>
      <w:r>
        <w:rPr>
          <w:rFonts w:hint="eastAsia" w:ascii="Times New Roman" w:hAnsi="Times New Roman" w:eastAsia="黑体" w:cs="Times New Roman"/>
          <w:color w:val="000000" w:themeColor="text1"/>
          <w:sz w:val="32"/>
          <w:szCs w:val="32"/>
          <w:highlight w:val="none"/>
          <w:lang w:eastAsia="zh-CN"/>
          <w14:textFill>
            <w14:solidFill>
              <w14:schemeClr w14:val="tx1"/>
            </w14:solidFill>
          </w14:textFill>
        </w:rPr>
        <w:t>五</w:t>
      </w:r>
      <w:r>
        <w:rPr>
          <w:rFonts w:ascii="Times New Roman" w:hAnsi="Times New Roman" w:eastAsia="黑体" w:cs="Times New Roman"/>
          <w:color w:val="000000" w:themeColor="text1"/>
          <w:sz w:val="32"/>
          <w:szCs w:val="32"/>
          <w:highlight w:val="none"/>
          <w14:textFill>
            <w14:solidFill>
              <w14:schemeClr w14:val="tx1"/>
            </w14:solidFill>
          </w14:textFill>
        </w:rPr>
        <w:t xml:space="preserve">章 </w:t>
      </w:r>
      <w:r>
        <w:rPr>
          <w:rFonts w:hint="eastAsia" w:ascii="Times New Roman" w:hAnsi="Times New Roman" w:eastAsia="黑体" w:cs="Times New Roman"/>
          <w:color w:val="000000" w:themeColor="text1"/>
          <w:sz w:val="32"/>
          <w:szCs w:val="32"/>
          <w:highlight w:val="none"/>
          <w14:textFill>
            <w14:solidFill>
              <w14:schemeClr w14:val="tx1"/>
            </w14:solidFill>
          </w14:textFill>
        </w:rPr>
        <w:t>强服务，增强消费市场发展动能</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widowControl/>
        <w:spacing w:line="560" w:lineRule="exact"/>
        <w:ind w:firstLine="640"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bookmarkStart w:id="690" w:name="_Toc7442"/>
      <w:bookmarkStart w:id="691" w:name="_Toc16210"/>
      <w:bookmarkStart w:id="692" w:name="_Toc27280"/>
      <w:bookmarkStart w:id="693" w:name="_Toc21576"/>
      <w:bookmarkStart w:id="694" w:name="_Toc13900"/>
      <w:bookmarkStart w:id="695" w:name="_Toc15480"/>
      <w:bookmarkStart w:id="696" w:name="_Toc5108"/>
      <w:bookmarkStart w:id="697" w:name="_Toc22457"/>
      <w:r>
        <w:rPr>
          <w:rFonts w:hint="eastAsia" w:ascii="仿宋_GB2312" w:hAnsi="仿宋_GB2312" w:eastAsia="仿宋_GB2312" w:cs="仿宋_GB2312"/>
          <w:color w:val="000000" w:themeColor="text1"/>
          <w:sz w:val="32"/>
          <w:szCs w:val="32"/>
          <w:highlight w:val="none"/>
          <w14:textFill>
            <w14:solidFill>
              <w14:schemeClr w14:val="tx1"/>
            </w14:solidFill>
          </w14:textFill>
        </w:rPr>
        <w:t>按照“强特色、惠民生</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育新兴”的原则，构建以山地骑行、滨水休闲、乡村体验三大特色服务为引领，医疗健康、教育培训、文娱休闲、体育赛事四项普惠服务为支撑，数智、绿色、银发三类新兴消费为动能的“3+4+3”服务消费体系。</w:t>
      </w:r>
    </w:p>
    <w:bookmarkEnd w:id="690"/>
    <w:bookmarkEnd w:id="691"/>
    <w:bookmarkEnd w:id="692"/>
    <w:bookmarkEnd w:id="693"/>
    <w:bookmarkEnd w:id="694"/>
    <w:bookmarkEnd w:id="695"/>
    <w:bookmarkEnd w:id="696"/>
    <w:bookmarkEnd w:id="697"/>
    <w:p>
      <w:pPr>
        <w:spacing w:line="560" w:lineRule="exact"/>
        <w:ind w:firstLine="640" w:firstLineChars="200"/>
        <w:outlineLvl w:val="1"/>
        <w:rPr>
          <w:rFonts w:hint="eastAsia" w:ascii="黑体" w:hAnsi="黑体" w:eastAsia="黑体" w:cs="黑体"/>
          <w:color w:val="000000" w:themeColor="text1"/>
          <w:sz w:val="32"/>
          <w:szCs w:val="32"/>
          <w:highlight w:val="none"/>
          <w14:textFill>
            <w14:solidFill>
              <w14:schemeClr w14:val="tx1"/>
            </w14:solidFill>
          </w14:textFill>
        </w:rPr>
      </w:pPr>
      <w:bookmarkStart w:id="698" w:name="_Toc11094"/>
      <w:bookmarkStart w:id="699" w:name="_Toc684"/>
      <w:bookmarkStart w:id="700" w:name="_Toc4368"/>
      <w:bookmarkStart w:id="701" w:name="_Toc16192"/>
      <w:bookmarkStart w:id="702" w:name="_Toc32758"/>
      <w:bookmarkStart w:id="703" w:name="_Toc14875"/>
      <w:bookmarkStart w:id="704" w:name="_Toc12534"/>
      <w:bookmarkStart w:id="705" w:name="_Toc16260"/>
      <w:bookmarkStart w:id="706" w:name="_Toc3816"/>
      <w:bookmarkStart w:id="707" w:name="_Toc2287"/>
      <w:r>
        <w:rPr>
          <w:rFonts w:hint="eastAsia" w:ascii="黑体" w:hAnsi="黑体" w:eastAsia="黑体" w:cs="黑体"/>
          <w:color w:val="000000" w:themeColor="text1"/>
          <w:sz w:val="32"/>
          <w:szCs w:val="32"/>
          <w:highlight w:val="none"/>
          <w14:textFill>
            <w14:solidFill>
              <w14:schemeClr w14:val="tx1"/>
            </w14:solidFill>
          </w14:textFill>
        </w:rPr>
        <w:t>一、擦亮特色服务消费品牌</w:t>
      </w:r>
      <w:bookmarkEnd w:id="698"/>
      <w:bookmarkEnd w:id="699"/>
      <w:bookmarkEnd w:id="700"/>
      <w:bookmarkEnd w:id="701"/>
      <w:bookmarkEnd w:id="702"/>
      <w:bookmarkEnd w:id="703"/>
      <w:bookmarkEnd w:id="704"/>
      <w:bookmarkEnd w:id="705"/>
    </w:p>
    <w:p>
      <w:pPr>
        <w:spacing w:line="560" w:lineRule="exact"/>
        <w:ind w:firstLine="640" w:firstLineChars="200"/>
        <w:outlineLvl w:val="1"/>
        <w:rPr>
          <w:rFonts w:hint="eastAsia" w:ascii="楷体_GB2312" w:hAnsi="楷体_GB2312" w:eastAsia="楷体_GB2312" w:cs="楷体_GB2312"/>
          <w:color w:val="000000" w:themeColor="text1"/>
          <w:sz w:val="32"/>
          <w:szCs w:val="32"/>
          <w:highlight w:val="none"/>
          <w14:textFill>
            <w14:solidFill>
              <w14:schemeClr w14:val="tx1"/>
            </w14:solidFill>
          </w14:textFill>
        </w:rPr>
      </w:pPr>
      <w:bookmarkStart w:id="708" w:name="_Toc17958"/>
      <w:bookmarkStart w:id="709" w:name="_Toc13324"/>
      <w:bookmarkStart w:id="710" w:name="_Toc18123"/>
      <w:bookmarkStart w:id="711" w:name="_Toc16319"/>
      <w:bookmarkStart w:id="712" w:name="_Toc18483"/>
      <w:bookmarkStart w:id="713" w:name="_Toc20733"/>
      <w:bookmarkStart w:id="714" w:name="_Toc17085"/>
      <w:bookmarkStart w:id="715" w:name="_Toc723"/>
      <w:bookmarkStart w:id="716" w:name="_Toc28581"/>
      <w:bookmarkStart w:id="717" w:name="_Toc28027"/>
      <w:bookmarkStart w:id="718" w:name="_Toc26832"/>
      <w:bookmarkStart w:id="719" w:name="_Toc2848"/>
      <w:bookmarkStart w:id="720" w:name="_Toc31276"/>
      <w:bookmarkStart w:id="721" w:name="_Toc10896"/>
      <w:bookmarkStart w:id="722" w:name="_Toc27873"/>
      <w:bookmarkStart w:id="723" w:name="_Toc20880"/>
      <w:r>
        <w:rPr>
          <w:rFonts w:hint="eastAsia" w:ascii="楷体_GB2312" w:hAnsi="楷体_GB2312" w:eastAsia="楷体_GB2312" w:cs="楷体_GB2312"/>
          <w:color w:val="000000" w:themeColor="text1"/>
          <w:sz w:val="32"/>
          <w:szCs w:val="32"/>
          <w:highlight w:val="none"/>
          <w14:textFill>
            <w14:solidFill>
              <w14:schemeClr w14:val="tx1"/>
            </w14:solidFill>
          </w14:textFill>
        </w:rPr>
        <w:t>（一）释放山地骑行消费潜能</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widowControl/>
        <w:spacing w:line="560" w:lineRule="exact"/>
        <w:ind w:firstLine="640"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highlight w:val="none"/>
          <w:shd w:val="clear"/>
          <w:lang w:eastAsia="zh-CN"/>
          <w14:textFill>
            <w14:solidFill>
              <w14:schemeClr w14:val="tx1"/>
            </w14:solidFill>
          </w14:textFill>
        </w:rPr>
        <w:t>加强山地骑行消费业态布局</w:t>
      </w:r>
      <w:r>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t>，支持打造集装备展销、新品首发、技能培训、行业交流于一体的“一站式”消费场景。围绕骑行线路</w:t>
      </w:r>
      <w:r>
        <w:rPr>
          <w:rFonts w:hint="eastAsia" w:ascii="仿宋_GB2312" w:hAnsi="仿宋_GB2312" w:eastAsia="仿宋_GB2312" w:cs="仿宋_GB2312"/>
          <w:color w:val="000000" w:themeColor="text1"/>
          <w:sz w:val="32"/>
          <w:szCs w:val="32"/>
          <w:highlight w:val="none"/>
          <w14:textFill>
            <w14:solidFill>
              <w14:schemeClr w14:val="tx1"/>
            </w14:solidFill>
          </w14:textFill>
        </w:rPr>
        <w:t>改造提升</w:t>
      </w:r>
      <w:r>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sz w:val="32"/>
          <w:szCs w:val="32"/>
          <w:highlight w:val="none"/>
          <w:shd w:val="clear"/>
          <w:lang w:eastAsia="zh-CN"/>
          <w14:textFill>
            <w14:solidFill>
              <w14:schemeClr w14:val="tx1"/>
            </w14:solidFill>
          </w14:textFill>
        </w:rPr>
        <w:t>推动</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骑聚大本营、金沙驿站等</w:t>
      </w:r>
      <w:r>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t>沿线驿站建设，完善租赁维修、餐饮休闲及应急救援等服务功能。深化“骑行+”融合，打造“骑行+休闲度假”“骑行+文化体验”主题线路</w:t>
      </w:r>
      <w:r>
        <w:rPr>
          <w:rFonts w:hint="eastAsia" w:ascii="仿宋_GB2312" w:hAnsi="仿宋_GB2312" w:eastAsia="仿宋_GB2312" w:cs="仿宋_GB2312"/>
          <w:i w:val="0"/>
          <w:iCs w:val="0"/>
          <w:caps w:val="0"/>
          <w:color w:val="000000" w:themeColor="text1"/>
          <w:spacing w:val="0"/>
          <w:sz w:val="32"/>
          <w:szCs w:val="32"/>
          <w:highlight w:val="none"/>
          <w:shd w:val="clear"/>
          <w:lang w:eastAsia="zh-CN"/>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t>发展“骑行+美拍”</w:t>
      </w:r>
      <w:r>
        <w:rPr>
          <w:rFonts w:hint="eastAsia" w:ascii="仿宋_GB2312" w:hAnsi="仿宋_GB2312" w:eastAsia="仿宋_GB2312" w:cs="仿宋_GB2312"/>
          <w:i w:val="0"/>
          <w:iCs w:val="0"/>
          <w:caps w:val="0"/>
          <w:color w:val="000000" w:themeColor="text1"/>
          <w:spacing w:val="0"/>
          <w:sz w:val="32"/>
          <w:szCs w:val="32"/>
          <w:highlight w:val="none"/>
          <w:shd w:val="clear"/>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设置标志性打卡点</w:t>
      </w:r>
      <w:r>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t>。</w:t>
      </w:r>
    </w:p>
    <w:p>
      <w:pPr>
        <w:spacing w:line="560" w:lineRule="exact"/>
        <w:ind w:firstLine="640" w:firstLineChars="200"/>
        <w:outlineLvl w:val="1"/>
        <w:rPr>
          <w:rFonts w:hint="eastAsia" w:ascii="楷体_GB2312" w:hAnsi="楷体_GB2312" w:eastAsia="楷体_GB2312" w:cs="楷体_GB2312"/>
          <w:color w:val="000000" w:themeColor="text1"/>
          <w:sz w:val="32"/>
          <w:szCs w:val="32"/>
          <w:highlight w:val="none"/>
          <w14:textFill>
            <w14:solidFill>
              <w14:schemeClr w14:val="tx1"/>
            </w14:solidFill>
          </w14:textFill>
        </w:rPr>
      </w:pPr>
      <w:bookmarkStart w:id="724" w:name="_Toc2656"/>
      <w:bookmarkStart w:id="725" w:name="_Toc7727"/>
      <w:bookmarkStart w:id="726" w:name="_Toc6562"/>
      <w:bookmarkStart w:id="727" w:name="_Toc10301"/>
      <w:bookmarkStart w:id="728" w:name="_Toc7954"/>
      <w:bookmarkStart w:id="729" w:name="_Toc32016"/>
      <w:bookmarkStart w:id="730" w:name="_Toc19332"/>
      <w:bookmarkStart w:id="731" w:name="_Toc14783"/>
      <w:bookmarkStart w:id="732" w:name="_Toc31228"/>
      <w:bookmarkStart w:id="733" w:name="_Toc12703"/>
      <w:bookmarkStart w:id="734" w:name="_Toc9066"/>
      <w:bookmarkStart w:id="735" w:name="_Toc24070"/>
      <w:bookmarkStart w:id="736" w:name="_Toc12036"/>
      <w:bookmarkStart w:id="737" w:name="_Toc16877"/>
      <w:bookmarkStart w:id="738" w:name="_Toc18626"/>
      <w:bookmarkStart w:id="739" w:name="_Toc23666"/>
      <w:r>
        <w:rPr>
          <w:rFonts w:hint="eastAsia" w:ascii="楷体_GB2312" w:hAnsi="楷体_GB2312" w:eastAsia="楷体_GB2312" w:cs="楷体_GB2312"/>
          <w:color w:val="000000" w:themeColor="text1"/>
          <w:sz w:val="32"/>
          <w:szCs w:val="32"/>
          <w:highlight w:val="none"/>
          <w14:textFill>
            <w14:solidFill>
              <w14:schemeClr w14:val="tx1"/>
            </w14:solidFill>
          </w14:textFill>
        </w:rPr>
        <w:t>（二）做优滨水休闲消费特色</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widowControl/>
        <w:spacing w:line="560" w:lineRule="exact"/>
        <w:ind w:firstLine="640" w:firstLineChars="200"/>
        <w:jc w:val="left"/>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实施</w:t>
      </w:r>
      <w:r>
        <w:rPr>
          <w:rFonts w:hint="eastAsia" w:ascii="仿宋_GB2312" w:hAnsi="仿宋_GB2312" w:eastAsia="仿宋_GB2312" w:cs="仿宋_GB2312"/>
          <w:color w:val="000000" w:themeColor="text1"/>
          <w:sz w:val="32"/>
          <w:szCs w:val="32"/>
          <w:highlight w:val="none"/>
          <w14:textFill>
            <w14:solidFill>
              <w14:schemeClr w14:val="tx1"/>
            </w14:solidFill>
          </w14:textFill>
        </w:rPr>
        <w:t>永定河堤顶路提升工程</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，加强</w:t>
      </w:r>
      <w:r>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t>沿岸</w:t>
      </w:r>
      <w:r>
        <w:rPr>
          <w:rFonts w:hint="eastAsia" w:ascii="仿宋_GB2312" w:hAnsi="仿宋_GB2312" w:eastAsia="仿宋_GB2312" w:cs="仿宋_GB2312"/>
          <w:i w:val="0"/>
          <w:iCs w:val="0"/>
          <w:caps w:val="0"/>
          <w:color w:val="000000" w:themeColor="text1"/>
          <w:spacing w:val="0"/>
          <w:sz w:val="32"/>
          <w:szCs w:val="32"/>
          <w:highlight w:val="none"/>
          <w:shd w:val="clear"/>
          <w:lang w:eastAsia="zh-CN"/>
          <w14:textFill>
            <w14:solidFill>
              <w14:schemeClr w14:val="tx1"/>
            </w14:solidFill>
          </w14:textFill>
        </w:rPr>
        <w:t>特色</w:t>
      </w:r>
      <w:r>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t>餐饮、</w:t>
      </w:r>
      <w:r>
        <w:rPr>
          <w:rFonts w:hint="eastAsia" w:ascii="仿宋_GB2312" w:hAnsi="仿宋_GB2312" w:eastAsia="仿宋_GB2312" w:cs="仿宋_GB2312"/>
          <w:i w:val="0"/>
          <w:iCs w:val="0"/>
          <w:caps w:val="0"/>
          <w:color w:val="000000" w:themeColor="text1"/>
          <w:spacing w:val="0"/>
          <w:sz w:val="32"/>
          <w:szCs w:val="32"/>
          <w:highlight w:val="none"/>
          <w:shd w:val="clear"/>
          <w:lang w:eastAsia="zh-CN"/>
          <w14:textFill>
            <w14:solidFill>
              <w14:schemeClr w14:val="tx1"/>
            </w14:solidFill>
          </w14:textFill>
        </w:rPr>
        <w:t>文化体验、娱乐</w:t>
      </w:r>
      <w:r>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t>休闲</w:t>
      </w:r>
      <w:r>
        <w:rPr>
          <w:rFonts w:hint="eastAsia" w:ascii="仿宋_GB2312" w:hAnsi="仿宋_GB2312" w:eastAsia="仿宋_GB2312" w:cs="仿宋_GB2312"/>
          <w:i w:val="0"/>
          <w:iCs w:val="0"/>
          <w:caps w:val="0"/>
          <w:color w:val="000000" w:themeColor="text1"/>
          <w:spacing w:val="0"/>
          <w:sz w:val="32"/>
          <w:szCs w:val="32"/>
          <w:highlight w:val="none"/>
          <w:shd w:val="clear"/>
          <w:lang w:eastAsia="zh-CN"/>
          <w14:textFill>
            <w14:solidFill>
              <w14:schemeClr w14:val="tx1"/>
            </w14:solidFill>
          </w14:textFill>
        </w:rPr>
        <w:t>等融合型消费场景打造。</w:t>
      </w:r>
      <w:r>
        <w:rPr>
          <w:rFonts w:hint="eastAsia" w:ascii="仿宋_GB2312" w:hAnsi="仿宋_GB2312" w:eastAsia="仿宋_GB2312" w:cs="仿宋_GB2312"/>
          <w:color w:val="000000" w:themeColor="text1"/>
          <w:sz w:val="32"/>
          <w:szCs w:val="32"/>
          <w:highlight w:val="none"/>
          <w14:textFill>
            <w14:solidFill>
              <w14:schemeClr w14:val="tx1"/>
            </w14:solidFill>
          </w14:textFill>
        </w:rPr>
        <w:t>以赛事娱乐激发水岸经济活力，</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举办</w:t>
      </w:r>
      <w:r>
        <w:rPr>
          <w:rFonts w:hint="eastAsia" w:ascii="仿宋_GB2312" w:hAnsi="仿宋_GB2312" w:eastAsia="仿宋_GB2312" w:cs="仿宋_GB2312"/>
          <w:color w:val="000000" w:themeColor="text1"/>
          <w:sz w:val="32"/>
          <w:szCs w:val="32"/>
          <w:highlight w:val="none"/>
          <w14:textFill>
            <w14:solidFill>
              <w14:schemeClr w14:val="tx1"/>
            </w14:solidFill>
          </w14:textFill>
        </w:rPr>
        <w:t>京西漂流节</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冰雪嘉年华</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等品牌活动，</w:t>
      </w:r>
      <w:r>
        <w:rPr>
          <w:rFonts w:hint="eastAsia" w:ascii="仿宋_GB2312" w:hAnsi="仿宋_GB2312" w:eastAsia="仿宋_GB2312" w:cs="仿宋_GB2312"/>
          <w:color w:val="000000" w:themeColor="text1"/>
          <w:sz w:val="32"/>
          <w:szCs w:val="32"/>
          <w:highlight w:val="none"/>
          <w14:textFill>
            <w14:solidFill>
              <w14:schemeClr w14:val="tx1"/>
            </w14:solidFill>
          </w14:textFill>
        </w:rPr>
        <w:t>打造集赛事观赏、亲水体验、</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主题</w:t>
      </w:r>
      <w:r>
        <w:rPr>
          <w:rFonts w:hint="eastAsia" w:ascii="仿宋_GB2312" w:hAnsi="仿宋_GB2312" w:eastAsia="仿宋_GB2312" w:cs="仿宋_GB2312"/>
          <w:color w:val="000000" w:themeColor="text1"/>
          <w:sz w:val="32"/>
          <w:szCs w:val="32"/>
          <w:highlight w:val="none"/>
          <w14:textFill>
            <w14:solidFill>
              <w14:schemeClr w14:val="tx1"/>
            </w14:solidFill>
          </w14:textFill>
        </w:rPr>
        <w:t>市集于一体的</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消费</w:t>
      </w:r>
      <w:r>
        <w:rPr>
          <w:rFonts w:hint="eastAsia" w:ascii="仿宋_GB2312" w:hAnsi="仿宋_GB2312" w:eastAsia="仿宋_GB2312" w:cs="仿宋_GB2312"/>
          <w:color w:val="000000" w:themeColor="text1"/>
          <w:sz w:val="32"/>
          <w:szCs w:val="32"/>
          <w:highlight w:val="none"/>
          <w14:textFill>
            <w14:solidFill>
              <w14:schemeClr w14:val="tx1"/>
            </w14:solidFill>
          </w14:textFill>
        </w:rPr>
        <w:t>场景。</w:t>
      </w:r>
      <w:r>
        <w:rPr>
          <w:rFonts w:hint="eastAsia" w:ascii="仿宋_GB2312" w:hAnsi="仿宋_GB2312" w:eastAsia="仿宋_GB2312" w:cs="仿宋_GB2312"/>
          <w:i w:val="0"/>
          <w:iCs w:val="0"/>
          <w:caps w:val="0"/>
          <w:color w:val="000000" w:themeColor="text1"/>
          <w:spacing w:val="0"/>
          <w:sz w:val="32"/>
          <w:szCs w:val="32"/>
          <w:highlight w:val="none"/>
          <w:shd w:val="clear"/>
          <w:lang w:eastAsia="zh-CN"/>
          <w14:textFill>
            <w14:solidFill>
              <w14:schemeClr w14:val="tx1"/>
            </w14:solidFill>
          </w14:textFill>
        </w:rPr>
        <w:t>推进</w:t>
      </w:r>
      <w:r>
        <w:rPr>
          <w:rFonts w:hint="eastAsia" w:ascii="仿宋_GB2312" w:hAnsi="仿宋_GB2312" w:eastAsia="仿宋_GB2312" w:cs="仿宋_GB2312"/>
          <w:color w:val="000000" w:themeColor="text1"/>
          <w:sz w:val="32"/>
          <w:szCs w:val="32"/>
          <w:highlight w:val="none"/>
          <w14:textFill>
            <w14:solidFill>
              <w14:schemeClr w14:val="tx1"/>
            </w14:solidFill>
          </w14:textFill>
        </w:rPr>
        <w:t>永定河滨水森林公园改造提升，支持布局骑行、游船、露营</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观鸟、古渠游览等亲水项目，鼓励引入</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特色消费活动</w:t>
      </w:r>
      <w:r>
        <w:rPr>
          <w:rFonts w:hint="eastAsia" w:ascii="仿宋_GB2312" w:hAnsi="仿宋_GB2312" w:eastAsia="仿宋_GB2312" w:cs="仿宋_GB2312"/>
          <w:color w:val="000000" w:themeColor="text1"/>
          <w:sz w:val="32"/>
          <w:szCs w:val="32"/>
          <w:highlight w:val="none"/>
          <w14:textFill>
            <w14:solidFill>
              <w14:schemeClr w14:val="tx1"/>
            </w14:solidFill>
          </w14:textFill>
        </w:rPr>
        <w:t>。</w:t>
      </w:r>
    </w:p>
    <w:p>
      <w:pPr>
        <w:spacing w:line="560" w:lineRule="exact"/>
        <w:ind w:firstLine="640" w:firstLineChars="200"/>
        <w:outlineLvl w:val="1"/>
        <w:rPr>
          <w:rFonts w:hint="eastAsia" w:ascii="楷体_GB2312" w:hAnsi="楷体_GB2312" w:eastAsia="楷体_GB2312" w:cs="楷体_GB2312"/>
          <w:color w:val="000000" w:themeColor="text1"/>
          <w:sz w:val="32"/>
          <w:szCs w:val="32"/>
          <w:highlight w:val="none"/>
          <w14:textFill>
            <w14:solidFill>
              <w14:schemeClr w14:val="tx1"/>
            </w14:solidFill>
          </w14:textFill>
        </w:rPr>
      </w:pPr>
      <w:bookmarkStart w:id="740" w:name="_Toc12383"/>
      <w:bookmarkStart w:id="741" w:name="_Toc8681"/>
      <w:bookmarkStart w:id="742" w:name="_Toc24032"/>
      <w:bookmarkStart w:id="743" w:name="_Toc32283"/>
      <w:bookmarkStart w:id="744" w:name="_Toc24228"/>
      <w:bookmarkStart w:id="745" w:name="_Toc13356"/>
      <w:bookmarkStart w:id="746" w:name="_Toc17871"/>
      <w:bookmarkStart w:id="747" w:name="_Toc20522"/>
      <w:bookmarkStart w:id="748" w:name="_Toc28139"/>
      <w:bookmarkStart w:id="749" w:name="_Toc12503"/>
      <w:bookmarkStart w:id="750" w:name="_Toc18187"/>
      <w:bookmarkStart w:id="751" w:name="_Toc2394"/>
      <w:bookmarkStart w:id="752" w:name="_Toc8888"/>
      <w:bookmarkStart w:id="753" w:name="_Toc11922"/>
      <w:bookmarkStart w:id="754" w:name="_Toc17772"/>
      <w:bookmarkStart w:id="755" w:name="_Toc21410"/>
      <w:r>
        <w:rPr>
          <w:rFonts w:hint="eastAsia" w:ascii="楷体_GB2312" w:hAnsi="楷体_GB2312" w:eastAsia="楷体_GB2312" w:cs="楷体_GB2312"/>
          <w:color w:val="000000" w:themeColor="text1"/>
          <w:sz w:val="32"/>
          <w:szCs w:val="32"/>
          <w:highlight w:val="none"/>
          <w14:textFill>
            <w14:solidFill>
              <w14:schemeClr w14:val="tx1"/>
            </w14:solidFill>
          </w14:textFill>
        </w:rPr>
        <w:t>（三）</w:t>
      </w:r>
      <w:r>
        <w:rPr>
          <w:rFonts w:hint="eastAsia" w:ascii="楷体_GB2312" w:hAnsi="楷体_GB2312" w:eastAsia="楷体_GB2312" w:cs="楷体_GB2312"/>
          <w:color w:val="000000" w:themeColor="text1"/>
          <w:sz w:val="32"/>
          <w:szCs w:val="32"/>
          <w:highlight w:val="none"/>
          <w:lang w:eastAsia="zh-CN"/>
          <w14:textFill>
            <w14:solidFill>
              <w14:schemeClr w14:val="tx1"/>
            </w14:solidFill>
          </w14:textFill>
        </w:rPr>
        <w:t>提升乡村体验消费魅力</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spacing w:line="560" w:lineRule="exact"/>
        <w:ind w:firstLine="640" w:firstLineChars="200"/>
        <w:rPr>
          <w:rFonts w:hint="eastAsia" w:ascii="仿宋_GB2312" w:hAnsi="仿宋_GB2312" w:eastAsia="仿宋_GB2312" w:cs="仿宋_GB2312"/>
          <w:i w:val="0"/>
          <w:iCs w:val="0"/>
          <w:caps w:val="0"/>
          <w:color w:val="000000" w:themeColor="text1"/>
          <w:spacing w:val="0"/>
          <w:sz w:val="32"/>
          <w:szCs w:val="32"/>
          <w:highlight w:val="none"/>
          <w:shd w:val="clear" w:fill="auto"/>
          <w14:textFill>
            <w14:solidFill>
              <w14:schemeClr w14:val="tx1"/>
            </w14:solidFill>
          </w14:textFill>
        </w:rPr>
      </w:pPr>
      <w:bookmarkStart w:id="756" w:name="_Toc23423"/>
      <w:bookmarkStart w:id="757" w:name="_Toc3893"/>
      <w:bookmarkStart w:id="758" w:name="_Toc24438"/>
      <w:bookmarkStart w:id="759" w:name="_Toc26133"/>
      <w:bookmarkStart w:id="760" w:name="_Toc4274"/>
      <w:bookmarkStart w:id="761" w:name="_Toc12870"/>
      <w:bookmarkStart w:id="762" w:name="_Toc30646"/>
      <w:r>
        <w:rPr>
          <w:rFonts w:hint="eastAsia" w:ascii="仿宋_GB2312" w:hAnsi="仿宋_GB2312" w:eastAsia="仿宋_GB2312" w:cs="仿宋_GB2312"/>
          <w:i w:val="0"/>
          <w:iCs w:val="0"/>
          <w:caps w:val="0"/>
          <w:color w:val="000000" w:themeColor="text1"/>
          <w:spacing w:val="0"/>
          <w:sz w:val="32"/>
          <w:szCs w:val="32"/>
          <w:highlight w:val="none"/>
          <w:shd w:val="clear" w:fill="auto"/>
          <w14:textFill>
            <w14:solidFill>
              <w14:schemeClr w14:val="tx1"/>
            </w14:solidFill>
          </w14:textFill>
        </w:rPr>
        <w:t>围绕“诗画乡村”建设，打造集生态观光、文化体验、休闲度假于一体的田园综合体，培育“村咖”网红店、主题市集等消费新场景。</w:t>
      </w:r>
      <w:r>
        <w:rPr>
          <w:rFonts w:hint="eastAsia" w:ascii="仿宋_GB2312" w:hAnsi="仿宋_GB2312" w:eastAsia="仿宋_GB2312" w:cs="仿宋_GB2312"/>
          <w:color w:val="000000" w:themeColor="text1"/>
          <w:sz w:val="32"/>
          <w:szCs w:val="32"/>
          <w:highlight w:val="none"/>
          <w14:textFill>
            <w14:solidFill>
              <w14:schemeClr w14:val="tx1"/>
            </w14:solidFill>
          </w14:textFill>
        </w:rPr>
        <w:t>升级“门头沟小院”精品民宿集群，</w:t>
      </w:r>
      <w:r>
        <w:rPr>
          <w:rFonts w:hint="eastAsia" w:ascii="仿宋_GB2312" w:hAnsi="仿宋_GB2312" w:eastAsia="仿宋_GB2312" w:cs="仿宋_GB2312"/>
          <w:i w:val="0"/>
          <w:iCs w:val="0"/>
          <w:caps w:val="0"/>
          <w:color w:val="000000" w:themeColor="text1"/>
          <w:spacing w:val="0"/>
          <w:sz w:val="32"/>
          <w:szCs w:val="32"/>
          <w:highlight w:val="none"/>
          <w:shd w:val="clear" w:fill="auto"/>
          <w14:textFill>
            <w14:solidFill>
              <w14:schemeClr w14:val="tx1"/>
            </w14:solidFill>
          </w14:textFill>
        </w:rPr>
        <w:t>推动</w:t>
      </w:r>
      <w:r>
        <w:rPr>
          <w:rFonts w:hint="eastAsia" w:ascii="仿宋_GB2312" w:hAnsi="仿宋_GB2312" w:eastAsia="仿宋_GB2312" w:cs="仿宋_GB2312"/>
          <w:i w:val="0"/>
          <w:iCs w:val="0"/>
          <w:caps w:val="0"/>
          <w:color w:val="000000" w:themeColor="text1"/>
          <w:spacing w:val="0"/>
          <w:sz w:val="32"/>
          <w:szCs w:val="32"/>
          <w:highlight w:val="none"/>
          <w:shd w:val="clear" w:fill="auto"/>
          <w:lang w:eastAsia="zh-CN"/>
          <w14:textFill>
            <w14:solidFill>
              <w14:schemeClr w14:val="tx1"/>
            </w14:solidFill>
          </w14:textFill>
        </w:rPr>
        <w:t>民宿拓展</w:t>
      </w:r>
      <w:r>
        <w:rPr>
          <w:rFonts w:hint="eastAsia" w:ascii="仿宋_GB2312" w:hAnsi="仿宋_GB2312" w:eastAsia="仿宋_GB2312" w:cs="仿宋_GB2312"/>
          <w:i w:val="0"/>
          <w:iCs w:val="0"/>
          <w:caps w:val="0"/>
          <w:color w:val="000000" w:themeColor="text1"/>
          <w:spacing w:val="0"/>
          <w:sz w:val="32"/>
          <w:szCs w:val="32"/>
          <w:highlight w:val="none"/>
          <w:shd w:val="clear" w:fill="auto"/>
          <w14:textFill>
            <w14:solidFill>
              <w14:schemeClr w14:val="tx1"/>
            </w14:solidFill>
          </w14:textFill>
        </w:rPr>
        <w:t>研学、</w:t>
      </w:r>
      <w:r>
        <w:rPr>
          <w:rFonts w:hint="eastAsia" w:ascii="仿宋_GB2312" w:hAnsi="仿宋_GB2312" w:eastAsia="仿宋_GB2312" w:cs="仿宋_GB2312"/>
          <w:i w:val="0"/>
          <w:iCs w:val="0"/>
          <w:caps w:val="0"/>
          <w:color w:val="000000" w:themeColor="text1"/>
          <w:spacing w:val="0"/>
          <w:sz w:val="32"/>
          <w:szCs w:val="32"/>
          <w:highlight w:val="none"/>
          <w:shd w:val="clear" w:fill="auto"/>
          <w:lang w:eastAsia="zh-CN"/>
          <w14:textFill>
            <w14:solidFill>
              <w14:schemeClr w14:val="tx1"/>
            </w14:solidFill>
          </w14:textFill>
        </w:rPr>
        <w:t>休闲等体验消费</w:t>
      </w:r>
      <w:r>
        <w:rPr>
          <w:rFonts w:hint="eastAsia" w:ascii="仿宋_GB2312" w:hAnsi="仿宋_GB2312" w:eastAsia="仿宋_GB2312" w:cs="仿宋_GB2312"/>
          <w:i w:val="0"/>
          <w:iCs w:val="0"/>
          <w:caps w:val="0"/>
          <w:color w:val="000000" w:themeColor="text1"/>
          <w:spacing w:val="0"/>
          <w:sz w:val="32"/>
          <w:szCs w:val="32"/>
          <w:highlight w:val="none"/>
          <w:shd w:val="clear" w:fill="auto"/>
          <w14:textFill>
            <w14:solidFill>
              <w14:schemeClr w14:val="tx1"/>
            </w14:solidFill>
          </w14:textFill>
        </w:rPr>
        <w:t>功能</w:t>
      </w:r>
      <w:r>
        <w:rPr>
          <w:rFonts w:hint="eastAsia" w:ascii="仿宋_GB2312" w:hAnsi="仿宋_GB2312" w:eastAsia="仿宋_GB2312" w:cs="仿宋_GB2312"/>
          <w:i w:val="0"/>
          <w:iCs w:val="0"/>
          <w:caps w:val="0"/>
          <w:color w:val="000000" w:themeColor="text1"/>
          <w:spacing w:val="0"/>
          <w:sz w:val="32"/>
          <w:szCs w:val="32"/>
          <w:highlight w:val="none"/>
          <w:shd w:val="clear" w:fill="auto"/>
          <w:lang w:eastAsia="zh-CN"/>
          <w14:textFill>
            <w14:solidFill>
              <w14:schemeClr w14:val="tx1"/>
            </w14:solidFill>
          </w14:textFill>
        </w:rPr>
        <w:t>。依托</w:t>
      </w:r>
      <w:r>
        <w:rPr>
          <w:rFonts w:hint="eastAsia" w:ascii="仿宋_GB2312" w:hAnsi="仿宋_GB2312" w:eastAsia="仿宋_GB2312" w:cs="仿宋_GB2312"/>
          <w:i w:val="0"/>
          <w:iCs w:val="0"/>
          <w:caps w:val="0"/>
          <w:color w:val="000000" w:themeColor="text1"/>
          <w:spacing w:val="0"/>
          <w:sz w:val="32"/>
          <w:szCs w:val="32"/>
          <w:highlight w:val="none"/>
          <w:shd w:val="clear" w:fill="auto"/>
          <w14:textFill>
            <w14:solidFill>
              <w14:schemeClr w14:val="tx1"/>
            </w14:solidFill>
          </w14:textFill>
        </w:rPr>
        <w:t>古村落</w:t>
      </w:r>
      <w:r>
        <w:rPr>
          <w:rFonts w:hint="eastAsia" w:ascii="仿宋_GB2312" w:hAnsi="仿宋_GB2312" w:eastAsia="仿宋_GB2312" w:cs="仿宋_GB2312"/>
          <w:i w:val="0"/>
          <w:iCs w:val="0"/>
          <w:caps w:val="0"/>
          <w:color w:val="000000" w:themeColor="text1"/>
          <w:spacing w:val="0"/>
          <w:sz w:val="32"/>
          <w:szCs w:val="32"/>
          <w:highlight w:val="none"/>
          <w:shd w:val="clear" w:fill="auto"/>
          <w:lang w:eastAsia="zh-CN"/>
          <w14:textFill>
            <w14:solidFill>
              <w14:schemeClr w14:val="tx1"/>
            </w14:solidFill>
          </w14:textFill>
        </w:rPr>
        <w:t>资源</w:t>
      </w:r>
      <w:r>
        <w:rPr>
          <w:rFonts w:hint="eastAsia" w:ascii="仿宋_GB2312" w:hAnsi="仿宋_GB2312" w:eastAsia="仿宋_GB2312" w:cs="仿宋_GB2312"/>
          <w:i w:val="0"/>
          <w:iCs w:val="0"/>
          <w:caps w:val="0"/>
          <w:color w:val="000000" w:themeColor="text1"/>
          <w:spacing w:val="0"/>
          <w:sz w:val="32"/>
          <w:szCs w:val="32"/>
          <w:highlight w:val="none"/>
          <w:shd w:val="clear" w:fill="auto"/>
          <w14:textFill>
            <w14:solidFill>
              <w14:schemeClr w14:val="tx1"/>
            </w14:solidFill>
          </w14:textFill>
        </w:rPr>
        <w:t>打造慢生活体验区，丰富农耕体验与乡野休闲业态。擦亮“京西研途”研学品牌，开发“亲子研学+乡村休闲”主题线路。</w:t>
      </w:r>
    </w:p>
    <w:bookmarkEnd w:id="756"/>
    <w:bookmarkEnd w:id="757"/>
    <w:bookmarkEnd w:id="758"/>
    <w:bookmarkEnd w:id="759"/>
    <w:bookmarkEnd w:id="760"/>
    <w:bookmarkEnd w:id="761"/>
    <w:bookmarkEnd w:id="762"/>
    <w:p>
      <w:pPr>
        <w:spacing w:line="560" w:lineRule="exact"/>
        <w:ind w:firstLine="640" w:firstLineChars="200"/>
        <w:jc w:val="left"/>
        <w:outlineLvl w:val="1"/>
        <w:rPr>
          <w:rFonts w:hint="default" w:ascii="Times New Roman" w:hAnsi="Times New Roman" w:eastAsia="黑体" w:cs="Times New Roman"/>
          <w:color w:val="000000" w:themeColor="text1"/>
          <w:sz w:val="32"/>
          <w:szCs w:val="32"/>
          <w:highlight w:val="none"/>
          <w14:textFill>
            <w14:solidFill>
              <w14:schemeClr w14:val="tx1"/>
            </w14:solidFill>
          </w14:textFill>
        </w:rPr>
      </w:pPr>
      <w:bookmarkStart w:id="763" w:name="_Toc7584"/>
      <w:bookmarkStart w:id="764" w:name="_Toc18782"/>
      <w:bookmarkStart w:id="765" w:name="_Toc32486"/>
      <w:bookmarkStart w:id="766" w:name="_Toc1066"/>
      <w:bookmarkStart w:id="767" w:name="_Toc18555"/>
      <w:bookmarkStart w:id="768" w:name="_Toc30405"/>
      <w:bookmarkStart w:id="769" w:name="_Toc7337"/>
      <w:bookmarkStart w:id="770" w:name="_Toc28986"/>
      <w:bookmarkStart w:id="771" w:name="_Toc30252"/>
      <w:bookmarkStart w:id="772" w:name="_Toc22071"/>
      <w:r>
        <w:rPr>
          <w:rFonts w:hint="eastAsia" w:ascii="Times New Roman" w:hAnsi="Times New Roman" w:eastAsia="黑体" w:cs="Times New Roman"/>
          <w:color w:val="000000" w:themeColor="text1"/>
          <w:sz w:val="32"/>
          <w:szCs w:val="32"/>
          <w:highlight w:val="none"/>
          <w14:textFill>
            <w14:solidFill>
              <w14:schemeClr w14:val="tx1"/>
            </w14:solidFill>
          </w14:textFill>
        </w:rPr>
        <w:t>二</w:t>
      </w:r>
      <w:r>
        <w:rPr>
          <w:rFonts w:ascii="Times New Roman" w:hAnsi="Times New Roman" w:eastAsia="黑体" w:cs="Times New Roman"/>
          <w:color w:val="000000" w:themeColor="text1"/>
          <w:sz w:val="32"/>
          <w:szCs w:val="32"/>
          <w:highlight w:val="none"/>
          <w14:textFill>
            <w14:solidFill>
              <w14:schemeClr w14:val="tx1"/>
            </w14:solidFill>
          </w14:textFill>
        </w:rPr>
        <w:t>、激发改善型</w:t>
      </w:r>
      <w:r>
        <w:rPr>
          <w:rFonts w:hint="eastAsia" w:ascii="Times New Roman" w:hAnsi="Times New Roman" w:eastAsia="黑体" w:cs="Times New Roman"/>
          <w:color w:val="000000" w:themeColor="text1"/>
          <w:sz w:val="32"/>
          <w:szCs w:val="32"/>
          <w:highlight w:val="none"/>
          <w14:textFill>
            <w14:solidFill>
              <w14:schemeClr w14:val="tx1"/>
            </w14:solidFill>
          </w14:textFill>
        </w:rPr>
        <w:t>服务</w:t>
      </w:r>
      <w:r>
        <w:rPr>
          <w:rFonts w:ascii="Times New Roman" w:hAnsi="Times New Roman" w:eastAsia="黑体" w:cs="Times New Roman"/>
          <w:color w:val="000000" w:themeColor="text1"/>
          <w:sz w:val="32"/>
          <w:szCs w:val="32"/>
          <w:highlight w:val="none"/>
          <w14:textFill>
            <w14:solidFill>
              <w14:schemeClr w14:val="tx1"/>
            </w14:solidFill>
          </w14:textFill>
        </w:rPr>
        <w:t>消费活力</w:t>
      </w:r>
      <w:bookmarkEnd w:id="763"/>
      <w:bookmarkEnd w:id="764"/>
      <w:bookmarkEnd w:id="765"/>
      <w:bookmarkEnd w:id="766"/>
      <w:bookmarkEnd w:id="767"/>
      <w:bookmarkEnd w:id="768"/>
      <w:bookmarkEnd w:id="769"/>
      <w:bookmarkEnd w:id="770"/>
      <w:bookmarkEnd w:id="771"/>
      <w:bookmarkEnd w:id="772"/>
    </w:p>
    <w:p>
      <w:pPr>
        <w:spacing w:line="560" w:lineRule="exact"/>
        <w:ind w:firstLine="640" w:firstLineChars="200"/>
        <w:outlineLvl w:val="1"/>
        <w:rPr>
          <w:rFonts w:hint="eastAsia" w:ascii="楷体_GB2312" w:hAnsi="楷体_GB2312" w:eastAsia="楷体_GB2312" w:cs="楷体_GB2312"/>
          <w:color w:val="000000" w:themeColor="text1"/>
          <w:sz w:val="32"/>
          <w:szCs w:val="32"/>
          <w:highlight w:val="none"/>
          <w14:textFill>
            <w14:solidFill>
              <w14:schemeClr w14:val="tx1"/>
            </w14:solidFill>
          </w14:textFill>
        </w:rPr>
      </w:pPr>
      <w:bookmarkStart w:id="773" w:name="_Toc2954"/>
      <w:bookmarkStart w:id="774" w:name="_Toc8095"/>
      <w:bookmarkStart w:id="775" w:name="_Toc21492"/>
      <w:bookmarkStart w:id="776" w:name="_Toc3564"/>
      <w:bookmarkStart w:id="777" w:name="_Toc20789"/>
      <w:bookmarkStart w:id="778" w:name="_Toc11792"/>
      <w:bookmarkStart w:id="779" w:name="_Toc22351"/>
      <w:bookmarkStart w:id="780" w:name="_Toc7216"/>
      <w:bookmarkStart w:id="781" w:name="_Toc27788"/>
      <w:bookmarkStart w:id="782" w:name="_Toc13558"/>
      <w:r>
        <w:rPr>
          <w:rFonts w:hint="eastAsia" w:ascii="楷体_GB2312" w:hAnsi="楷体_GB2312" w:eastAsia="楷体_GB2312" w:cs="楷体_GB2312"/>
          <w:color w:val="000000" w:themeColor="text1"/>
          <w:sz w:val="32"/>
          <w:szCs w:val="32"/>
          <w:highlight w:val="none"/>
          <w14:textFill>
            <w14:solidFill>
              <w14:schemeClr w14:val="tx1"/>
            </w14:solidFill>
          </w14:textFill>
        </w:rPr>
        <w:t>（一）挖掘医疗健康新增长点</w:t>
      </w:r>
      <w:bookmarkEnd w:id="773"/>
      <w:bookmarkEnd w:id="774"/>
      <w:bookmarkEnd w:id="775"/>
      <w:bookmarkEnd w:id="776"/>
      <w:bookmarkEnd w:id="777"/>
      <w:bookmarkEnd w:id="778"/>
      <w:bookmarkEnd w:id="779"/>
      <w:bookmarkEnd w:id="780"/>
      <w:bookmarkEnd w:id="781"/>
      <w:bookmarkEnd w:id="782"/>
    </w:p>
    <w:p>
      <w:pPr>
        <w:shd w:val="clear"/>
        <w:spacing w:line="560" w:lineRule="exact"/>
        <w:ind w:firstLine="640" w:firstLineChars="200"/>
        <w:rPr>
          <w:rFonts w:hint="eastAsia" w:ascii="仿宋_GB2312" w:hAnsi="仿宋_GB2312" w:eastAsia="仿宋_GB2312" w:cs="仿宋_GB2312"/>
          <w:i w:val="0"/>
          <w:iCs w:val="0"/>
          <w:caps w:val="0"/>
          <w:color w:val="000000" w:themeColor="text1"/>
          <w:spacing w:val="0"/>
          <w:sz w:val="32"/>
          <w:szCs w:val="32"/>
          <w:highlight w:val="none"/>
          <w:shd w:val="clear" w:color="auto" w:fill="FFFFFF"/>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highlight w:val="none"/>
          <w:shd w:val="clear" w:color="auto" w:fill="FFFFFF"/>
          <w:lang w:eastAsia="zh-CN"/>
          <w14:textFill>
            <w14:solidFill>
              <w14:schemeClr w14:val="tx1"/>
            </w14:solidFill>
          </w14:textFill>
        </w:rPr>
        <w:t>培育</w:t>
      </w:r>
      <w:r>
        <w:rPr>
          <w:rFonts w:hint="eastAsia" w:ascii="仿宋_GB2312" w:hAnsi="仿宋_GB2312" w:eastAsia="仿宋_GB2312" w:cs="仿宋_GB2312"/>
          <w:i w:val="0"/>
          <w:iCs w:val="0"/>
          <w:caps w:val="0"/>
          <w:color w:val="000000" w:themeColor="text1"/>
          <w:spacing w:val="0"/>
          <w:sz w:val="32"/>
          <w:szCs w:val="32"/>
          <w:highlight w:val="none"/>
          <w:shd w:val="clear" w:color="auto" w:fill="FFFFFF"/>
          <w14:textFill>
            <w14:solidFill>
              <w14:schemeClr w14:val="tx1"/>
            </w14:solidFill>
          </w14:textFill>
        </w:rPr>
        <w:t>康复医疗</w:t>
      </w:r>
      <w:r>
        <w:rPr>
          <w:rFonts w:hint="eastAsia" w:ascii="仿宋_GB2312" w:hAnsi="仿宋_GB2312" w:eastAsia="仿宋_GB2312" w:cs="仿宋_GB2312"/>
          <w:i w:val="0"/>
          <w:iCs w:val="0"/>
          <w:caps w:val="0"/>
          <w:color w:val="000000" w:themeColor="text1"/>
          <w:spacing w:val="0"/>
          <w:sz w:val="32"/>
          <w:szCs w:val="32"/>
          <w:highlight w:val="none"/>
          <w:shd w:val="clear" w:color="auto" w:fill="FFFFFF"/>
          <w:lang w:eastAsia="zh-CN"/>
          <w14:textFill>
            <w14:solidFill>
              <w14:schemeClr w14:val="tx1"/>
            </w14:solidFill>
          </w14:textFill>
        </w:rPr>
        <w:t>消费市场</w:t>
      </w:r>
      <w:r>
        <w:rPr>
          <w:rFonts w:hint="eastAsia" w:ascii="仿宋_GB2312" w:hAnsi="仿宋_GB2312" w:eastAsia="仿宋_GB2312" w:cs="仿宋_GB2312"/>
          <w:i w:val="0"/>
          <w:iCs w:val="0"/>
          <w:caps w:val="0"/>
          <w:color w:val="000000" w:themeColor="text1"/>
          <w:spacing w:val="0"/>
          <w:sz w:val="32"/>
          <w:szCs w:val="32"/>
          <w:highlight w:val="none"/>
          <w:shd w:val="clear" w:color="auto" w:fill="FFFFFF"/>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sz w:val="32"/>
          <w:szCs w:val="32"/>
          <w:highlight w:val="none"/>
          <w:shd w:val="clear" w:color="auto" w:fill="FFFFFF"/>
          <w:lang w:eastAsia="zh-CN"/>
          <w14:textFill>
            <w14:solidFill>
              <w14:schemeClr w14:val="tx1"/>
            </w14:solidFill>
          </w14:textFill>
        </w:rPr>
        <w:t>依托</w:t>
      </w:r>
      <w:r>
        <w:rPr>
          <w:rFonts w:hint="eastAsia" w:ascii="仿宋_GB2312" w:hAnsi="仿宋_GB2312" w:eastAsia="仿宋_GB2312" w:cs="仿宋_GB2312"/>
          <w:i w:val="0"/>
          <w:iCs w:val="0"/>
          <w:caps w:val="0"/>
          <w:color w:val="000000" w:themeColor="text1"/>
          <w:spacing w:val="0"/>
          <w:sz w:val="32"/>
          <w:szCs w:val="32"/>
          <w:highlight w:val="none"/>
          <w:shd w:val="clear" w:color="auto" w:fill="FFFFFF"/>
          <w14:textFill>
            <w14:solidFill>
              <w14:schemeClr w14:val="tx1"/>
            </w14:solidFill>
          </w14:textFill>
        </w:rPr>
        <w:t>“中国心谷”建设</w:t>
      </w:r>
      <w:r>
        <w:rPr>
          <w:rFonts w:hint="eastAsia" w:ascii="仿宋_GB2312" w:hAnsi="仿宋_GB2312" w:eastAsia="仿宋_GB2312" w:cs="仿宋_GB2312"/>
          <w:i w:val="0"/>
          <w:iCs w:val="0"/>
          <w:caps w:val="0"/>
          <w:color w:val="000000" w:themeColor="text1"/>
          <w:spacing w:val="0"/>
          <w:sz w:val="32"/>
          <w:szCs w:val="32"/>
          <w:highlight w:val="none"/>
          <w:shd w:val="clear" w:color="auto" w:fill="FFFFFF"/>
          <w:lang w:eastAsia="zh-CN"/>
          <w14:textFill>
            <w14:solidFill>
              <w14:schemeClr w14:val="tx1"/>
            </w14:solidFill>
          </w14:textFill>
        </w:rPr>
        <w:t>集聚品牌</w:t>
      </w:r>
      <w:r>
        <w:rPr>
          <w:rFonts w:hint="eastAsia" w:ascii="仿宋_GB2312" w:hAnsi="仿宋_GB2312" w:eastAsia="仿宋_GB2312" w:cs="仿宋_GB2312"/>
          <w:i w:val="0"/>
          <w:iCs w:val="0"/>
          <w:caps w:val="0"/>
          <w:color w:val="000000" w:themeColor="text1"/>
          <w:spacing w:val="0"/>
          <w:sz w:val="32"/>
          <w:szCs w:val="32"/>
          <w:highlight w:val="none"/>
          <w:shd w:val="clear" w:color="auto" w:fill="FFFFFF"/>
          <w14:textFill>
            <w14:solidFill>
              <w14:schemeClr w14:val="tx1"/>
            </w14:solidFill>
          </w14:textFill>
        </w:rPr>
        <w:t>康复机构。发展康养旅游，</w:t>
      </w:r>
      <w:r>
        <w:rPr>
          <w:rFonts w:hint="eastAsia" w:ascii="仿宋_GB2312" w:hAnsi="仿宋_GB2312" w:eastAsia="仿宋_GB2312" w:cs="仿宋_GB2312"/>
          <w:i w:val="0"/>
          <w:iCs w:val="0"/>
          <w:caps w:val="0"/>
          <w:color w:val="000000" w:themeColor="text1"/>
          <w:spacing w:val="0"/>
          <w:sz w:val="32"/>
          <w:szCs w:val="32"/>
          <w:highlight w:val="none"/>
          <w:shd w:val="clear" w:color="auto" w:fill="FFFFFF"/>
          <w:lang w:eastAsia="zh-CN"/>
          <w14:textFill>
            <w14:solidFill>
              <w14:schemeClr w14:val="tx1"/>
            </w14:solidFill>
          </w14:textFill>
        </w:rPr>
        <w:t>支持</w:t>
      </w:r>
      <w:r>
        <w:rPr>
          <w:rFonts w:hint="eastAsia" w:ascii="仿宋_GB2312" w:hAnsi="仿宋_GB2312" w:eastAsia="仿宋_GB2312" w:cs="仿宋_GB2312"/>
          <w:i w:val="0"/>
          <w:iCs w:val="0"/>
          <w:caps w:val="0"/>
          <w:color w:val="000000" w:themeColor="text1"/>
          <w:spacing w:val="0"/>
          <w:sz w:val="32"/>
          <w:szCs w:val="32"/>
          <w:highlight w:val="none"/>
          <w:shd w:val="clear" w:color="auto" w:fill="FFFFFF"/>
          <w14:textFill>
            <w14:solidFill>
              <w14:schemeClr w14:val="tx1"/>
            </w14:solidFill>
          </w14:textFill>
        </w:rPr>
        <w:t>潭柘寺镇、妙峰山镇开发静心疗愈、玫瑰康养等特色产品</w:t>
      </w:r>
      <w:r>
        <w:rPr>
          <w:rFonts w:hint="eastAsia" w:ascii="仿宋_GB2312" w:hAnsi="仿宋_GB2312" w:eastAsia="仿宋_GB2312" w:cs="仿宋_GB2312"/>
          <w:i w:val="0"/>
          <w:iCs w:val="0"/>
          <w:caps w:val="0"/>
          <w:color w:val="000000" w:themeColor="text1"/>
          <w:spacing w:val="0"/>
          <w:sz w:val="32"/>
          <w:szCs w:val="32"/>
          <w:highlight w:val="none"/>
          <w:shd w:val="clear" w:color="auto" w:fill="FFFFFF"/>
          <w:lang w:eastAsia="zh-CN"/>
          <w14:textFill>
            <w14:solidFill>
              <w14:schemeClr w14:val="tx1"/>
            </w14:solidFill>
          </w14:textFill>
        </w:rPr>
        <w:t>。促进中医药健康消费，办好</w:t>
      </w:r>
      <w:r>
        <w:rPr>
          <w:rFonts w:hint="eastAsia" w:ascii="仿宋_GB2312" w:hAnsi="仿宋_GB2312" w:eastAsia="仿宋_GB2312" w:cs="仿宋_GB2312"/>
          <w:i w:val="0"/>
          <w:iCs w:val="0"/>
          <w:caps w:val="0"/>
          <w:color w:val="000000" w:themeColor="text1"/>
          <w:spacing w:val="0"/>
          <w:sz w:val="32"/>
          <w:szCs w:val="32"/>
          <w:highlight w:val="none"/>
          <w:shd w:val="clear" w:fill="auto"/>
          <w14:textFill>
            <w14:solidFill>
              <w14:schemeClr w14:val="tx1"/>
            </w14:solidFill>
          </w14:textFill>
        </w:rPr>
        <w:t>中医药文旅融合促消费活动，推动中医药文化和健康咨询服务进商圈。</w:t>
      </w:r>
      <w:r>
        <w:rPr>
          <w:rFonts w:hint="eastAsia" w:ascii="仿宋_GB2312" w:hAnsi="仿宋_GB2312" w:eastAsia="仿宋_GB2312" w:cs="仿宋_GB2312"/>
          <w:b w:val="0"/>
          <w:bCs w:val="0"/>
          <w:i w:val="0"/>
          <w:iCs w:val="0"/>
          <w:caps w:val="0"/>
          <w:color w:val="000000" w:themeColor="text1"/>
          <w:spacing w:val="0"/>
          <w:sz w:val="32"/>
          <w:szCs w:val="32"/>
          <w:highlight w:val="none"/>
          <w:shd w:val="clear" w:color="auto" w:fill="FFFFFF"/>
          <w14:textFill>
            <w14:solidFill>
              <w14:schemeClr w14:val="tx1"/>
            </w14:solidFill>
          </w14:textFill>
        </w:rPr>
        <w:t>推进“互联网+医疗健康”发展</w:t>
      </w:r>
      <w:r>
        <w:rPr>
          <w:rFonts w:hint="eastAsia" w:ascii="仿宋_GB2312" w:hAnsi="仿宋_GB2312" w:eastAsia="仿宋_GB2312" w:cs="仿宋_GB2312"/>
          <w:i w:val="0"/>
          <w:iCs w:val="0"/>
          <w:caps w:val="0"/>
          <w:color w:val="000000" w:themeColor="text1"/>
          <w:spacing w:val="0"/>
          <w:sz w:val="32"/>
          <w:szCs w:val="32"/>
          <w:highlight w:val="none"/>
          <w:shd w:val="clear" w:color="auto" w:fill="FFFFFF"/>
          <w:lang w:eastAsia="zh-CN"/>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sz w:val="32"/>
          <w:szCs w:val="32"/>
          <w:highlight w:val="none"/>
          <w:shd w:val="clear" w:color="auto" w:fill="FFFFFF"/>
          <w14:textFill>
            <w14:solidFill>
              <w14:schemeClr w14:val="tx1"/>
            </w14:solidFill>
          </w14:textFill>
        </w:rPr>
        <w:t>探索发展智能健康监测、大数据健康管理等新业态。</w:t>
      </w:r>
    </w:p>
    <w:p>
      <w:pPr>
        <w:shd w:val="clear"/>
        <w:spacing w:line="560" w:lineRule="exact"/>
        <w:ind w:firstLine="640" w:firstLineChars="200"/>
        <w:outlineLvl w:val="1"/>
        <w:rPr>
          <w:rFonts w:hint="eastAsia" w:ascii="楷体_GB2312" w:hAnsi="楷体_GB2312" w:eastAsia="楷体_GB2312" w:cs="楷体_GB2312"/>
          <w:color w:val="000000" w:themeColor="text1"/>
          <w:sz w:val="32"/>
          <w:szCs w:val="32"/>
          <w:highlight w:val="none"/>
          <w14:textFill>
            <w14:solidFill>
              <w14:schemeClr w14:val="tx1"/>
            </w14:solidFill>
          </w14:textFill>
        </w:rPr>
      </w:pPr>
      <w:bookmarkStart w:id="783" w:name="_Toc26490"/>
      <w:bookmarkStart w:id="784" w:name="_Toc1691"/>
      <w:bookmarkStart w:id="785" w:name="_Toc26582"/>
      <w:bookmarkStart w:id="786" w:name="_Toc28907"/>
      <w:bookmarkStart w:id="787" w:name="_Toc17189"/>
      <w:bookmarkStart w:id="788" w:name="_Toc9648"/>
      <w:bookmarkStart w:id="789" w:name="_Toc504"/>
      <w:bookmarkStart w:id="790" w:name="_Toc20915"/>
      <w:bookmarkStart w:id="791" w:name="_Toc31661"/>
      <w:bookmarkStart w:id="792" w:name="_Toc7468"/>
      <w:r>
        <w:rPr>
          <w:rFonts w:hint="eastAsia" w:ascii="楷体_GB2312" w:hAnsi="楷体_GB2312" w:eastAsia="楷体_GB2312" w:cs="楷体_GB2312"/>
          <w:color w:val="000000" w:themeColor="text1"/>
          <w:sz w:val="32"/>
          <w:szCs w:val="32"/>
          <w:highlight w:val="none"/>
          <w14:textFill>
            <w14:solidFill>
              <w14:schemeClr w14:val="tx1"/>
            </w14:solidFill>
          </w14:textFill>
        </w:rPr>
        <w:t>（二）培育多元教育培训市场</w:t>
      </w:r>
      <w:bookmarkEnd w:id="783"/>
      <w:bookmarkEnd w:id="784"/>
      <w:bookmarkEnd w:id="785"/>
      <w:bookmarkEnd w:id="786"/>
      <w:bookmarkEnd w:id="787"/>
      <w:bookmarkEnd w:id="788"/>
      <w:bookmarkEnd w:id="789"/>
      <w:bookmarkEnd w:id="790"/>
      <w:bookmarkEnd w:id="791"/>
      <w:bookmarkEnd w:id="792"/>
    </w:p>
    <w:p>
      <w:pPr>
        <w:keepNext w:val="0"/>
        <w:keepLines w:val="0"/>
        <w:widowControl/>
        <w:suppressLineNumbers w:val="0"/>
        <w:shd w:val="clear" w:fill="auto"/>
        <w:spacing w:before="0" w:beforeAutospacing="0" w:after="0" w:afterAutospacing="0" w:line="560" w:lineRule="exact"/>
        <w:ind w:left="0" w:right="0" w:firstLine="640" w:firstLineChars="200"/>
        <w:rPr>
          <w:rFonts w:hint="eastAsia" w:ascii="仿宋_GB2312" w:hAnsi="仿宋_GB2312" w:eastAsia="仿宋_GB2312" w:cs="仿宋_GB2312"/>
          <w:color w:val="000000" w:themeColor="text1"/>
          <w:kern w:val="2"/>
          <w:sz w:val="32"/>
          <w:szCs w:val="32"/>
          <w:highlight w:val="none"/>
          <w:shd w:val="clear" w:color="auto" w:fill="FFFFFF"/>
          <w:lang w:val="en-US" w:eastAsia="zh-CN" w:bidi="ar"/>
          <w14:textFill>
            <w14:solidFill>
              <w14:schemeClr w14:val="tx1"/>
            </w14:solidFill>
          </w14:textFill>
        </w:rPr>
      </w:pPr>
      <w:r>
        <w:rPr>
          <w:rFonts w:hint="eastAsia" w:ascii="仿宋_GB2312" w:hAnsi="仿宋_GB2312" w:eastAsia="仿宋_GB2312" w:cs="仿宋_GB2312"/>
          <w:color w:val="000000" w:themeColor="text1"/>
          <w:sz w:val="32"/>
          <w:szCs w:val="32"/>
          <w:highlight w:val="none"/>
          <w:shd w:val="clear" w:color="auto" w:fill="FFFFFF"/>
          <w:lang w:bidi="ar"/>
          <w14:textFill>
            <w14:solidFill>
              <w14:schemeClr w14:val="tx1"/>
            </w14:solidFill>
          </w14:textFill>
        </w:rPr>
        <w:t>构建覆盖</w:t>
      </w:r>
      <w:r>
        <w:rPr>
          <w:rFonts w:hint="eastAsia" w:ascii="仿宋_GB2312" w:hAnsi="仿宋_GB2312" w:eastAsia="仿宋_GB2312" w:cs="仿宋_GB2312"/>
          <w:color w:val="000000" w:themeColor="text1"/>
          <w:sz w:val="32"/>
          <w:szCs w:val="32"/>
          <w:highlight w:val="none"/>
          <w:shd w:val="clear" w:color="auto" w:fill="FFFFFF"/>
          <w:lang w:eastAsia="zh-CN" w:bidi="ar"/>
          <w14:textFill>
            <w14:solidFill>
              <w14:schemeClr w14:val="tx1"/>
            </w14:solidFill>
          </w14:textFill>
        </w:rPr>
        <w:t>儿童、</w:t>
      </w:r>
      <w:r>
        <w:rPr>
          <w:rFonts w:hint="eastAsia" w:ascii="仿宋_GB2312" w:hAnsi="仿宋_GB2312" w:eastAsia="仿宋_GB2312" w:cs="仿宋_GB2312"/>
          <w:color w:val="000000" w:themeColor="text1"/>
          <w:sz w:val="32"/>
          <w:szCs w:val="32"/>
          <w:highlight w:val="none"/>
          <w:shd w:val="clear" w:color="auto" w:fill="FFFFFF"/>
          <w:lang w:bidi="ar"/>
          <w14:textFill>
            <w14:solidFill>
              <w14:schemeClr w14:val="tx1"/>
            </w14:solidFill>
          </w14:textFill>
        </w:rPr>
        <w:t>青少年、职场</w:t>
      </w:r>
      <w:r>
        <w:rPr>
          <w:rFonts w:hint="eastAsia" w:ascii="仿宋_GB2312" w:hAnsi="仿宋_GB2312" w:eastAsia="仿宋_GB2312" w:cs="仿宋_GB2312"/>
          <w:color w:val="000000" w:themeColor="text1"/>
          <w:sz w:val="32"/>
          <w:szCs w:val="32"/>
          <w:highlight w:val="none"/>
          <w:shd w:val="clear" w:color="auto" w:fill="FFFFFF"/>
          <w:lang w:eastAsia="zh-CN" w:bidi="ar"/>
          <w14:textFill>
            <w14:solidFill>
              <w14:schemeClr w14:val="tx1"/>
            </w14:solidFill>
          </w14:textFill>
        </w:rPr>
        <w:t>人士等不同群体的</w:t>
      </w:r>
      <w:r>
        <w:rPr>
          <w:rFonts w:hint="eastAsia" w:ascii="仿宋_GB2312" w:hAnsi="仿宋_GB2312" w:eastAsia="仿宋_GB2312" w:cs="仿宋_GB2312"/>
          <w:color w:val="000000" w:themeColor="text1"/>
          <w:sz w:val="32"/>
          <w:szCs w:val="32"/>
          <w:highlight w:val="none"/>
          <w:shd w:val="clear" w:color="auto" w:fill="FFFFFF"/>
          <w:lang w:bidi="ar"/>
          <w14:textFill>
            <w14:solidFill>
              <w14:schemeClr w14:val="tx1"/>
            </w14:solidFill>
          </w14:textFill>
        </w:rPr>
        <w:t>教培服务体系，规范发展非学科</w:t>
      </w:r>
      <w:r>
        <w:rPr>
          <w:rFonts w:hint="eastAsia" w:ascii="仿宋_GB2312" w:hAnsi="仿宋_GB2312" w:eastAsia="仿宋_GB2312" w:cs="仿宋_GB2312"/>
          <w:color w:val="000000" w:themeColor="text1"/>
          <w:sz w:val="32"/>
          <w:szCs w:val="32"/>
          <w:highlight w:val="none"/>
          <w:shd w:val="clear" w:color="auto" w:fill="FFFFFF"/>
          <w:lang w:eastAsia="zh-CN" w:bidi="ar"/>
          <w14:textFill>
            <w14:solidFill>
              <w14:schemeClr w14:val="tx1"/>
            </w14:solidFill>
          </w14:textFill>
        </w:rPr>
        <w:t>类</w:t>
      </w:r>
      <w:r>
        <w:rPr>
          <w:rFonts w:hint="eastAsia" w:ascii="仿宋_GB2312" w:hAnsi="仿宋_GB2312" w:eastAsia="仿宋_GB2312" w:cs="仿宋_GB2312"/>
          <w:color w:val="000000" w:themeColor="text1"/>
          <w:sz w:val="32"/>
          <w:szCs w:val="32"/>
          <w:highlight w:val="none"/>
          <w:shd w:val="clear" w:color="auto" w:fill="FFFFFF"/>
          <w:lang w:bidi="ar"/>
          <w14:textFill>
            <w14:solidFill>
              <w14:schemeClr w14:val="tx1"/>
            </w14:solidFill>
          </w14:textFill>
        </w:rPr>
        <w:t>素质培训，做强职业技能进阶培训</w:t>
      </w:r>
      <w:r>
        <w:rPr>
          <w:rFonts w:hint="eastAsia" w:ascii="仿宋_GB2312" w:hAnsi="仿宋_GB2312" w:eastAsia="仿宋_GB2312" w:cs="仿宋_GB2312"/>
          <w:color w:val="000000" w:themeColor="text1"/>
          <w:sz w:val="32"/>
          <w:szCs w:val="32"/>
          <w:highlight w:val="none"/>
          <w:shd w:val="clear" w:color="auto" w:fill="FFFFFF"/>
          <w:lang w:eastAsia="zh-CN" w:bidi="ar"/>
          <w14:textFill>
            <w14:solidFill>
              <w14:schemeClr w14:val="tx1"/>
            </w14:solidFill>
          </w14:textFill>
        </w:rPr>
        <w:t>，提升</w:t>
      </w:r>
      <w:r>
        <w:rPr>
          <w:rFonts w:hint="eastAsia" w:ascii="仿宋_GB2312" w:hAnsi="仿宋_GB2312" w:eastAsia="仿宋_GB2312" w:cs="仿宋_GB2312"/>
          <w:i w:val="0"/>
          <w:iCs w:val="0"/>
          <w:caps w:val="0"/>
          <w:color w:val="000000" w:themeColor="text1"/>
          <w:spacing w:val="0"/>
          <w:sz w:val="32"/>
          <w:szCs w:val="32"/>
          <w:highlight w:val="none"/>
          <w:shd w:val="clear" w:color="auto" w:fill="FFFFFF"/>
          <w:lang w:bidi="ar"/>
          <w14:textFill>
            <w14:solidFill>
              <w14:schemeClr w14:val="tx1"/>
            </w14:solidFill>
          </w14:textFill>
        </w:rPr>
        <w:t>“京西青年Yeah校”品牌</w:t>
      </w:r>
      <w:r>
        <w:rPr>
          <w:rFonts w:hint="eastAsia" w:ascii="仿宋_GB2312" w:hAnsi="仿宋_GB2312" w:eastAsia="仿宋_GB2312" w:cs="仿宋_GB2312"/>
          <w:i w:val="0"/>
          <w:iCs w:val="0"/>
          <w:caps w:val="0"/>
          <w:color w:val="000000" w:themeColor="text1"/>
          <w:spacing w:val="0"/>
          <w:sz w:val="32"/>
          <w:szCs w:val="32"/>
          <w:highlight w:val="none"/>
          <w:shd w:val="clear" w:color="auto" w:fill="FFFFFF"/>
          <w:lang w:eastAsia="zh-CN" w:bidi="ar"/>
          <w14:textFill>
            <w14:solidFill>
              <w14:schemeClr w14:val="tx1"/>
            </w14:solidFill>
          </w14:textFill>
        </w:rPr>
        <w:t>影响力</w:t>
      </w:r>
      <w:r>
        <w:rPr>
          <w:rFonts w:hint="eastAsia" w:ascii="仿宋_GB2312" w:hAnsi="仿宋_GB2312" w:eastAsia="仿宋_GB2312" w:cs="仿宋_GB2312"/>
          <w:color w:val="000000" w:themeColor="text1"/>
          <w:sz w:val="32"/>
          <w:szCs w:val="32"/>
          <w:highlight w:val="none"/>
          <w:shd w:val="clear" w:color="auto" w:fill="FFFFFF"/>
          <w:lang w:bidi="ar"/>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sz w:val="32"/>
          <w:szCs w:val="32"/>
          <w:highlight w:val="none"/>
          <w:shd w:val="clear" w:color="auto" w:fill="FFFFFF"/>
          <w:lang w:bidi="ar"/>
          <w14:textFill>
            <w14:solidFill>
              <w14:schemeClr w14:val="tx1"/>
            </w14:solidFill>
          </w14:textFill>
        </w:rPr>
        <w:t>推动教培与文化、科技、生活服务深度融合，</w:t>
      </w:r>
      <w:r>
        <w:rPr>
          <w:rFonts w:hint="eastAsia" w:ascii="仿宋_GB2312" w:hAnsi="仿宋_GB2312" w:eastAsia="仿宋_GB2312" w:cs="仿宋_GB2312"/>
          <w:i w:val="0"/>
          <w:iCs w:val="0"/>
          <w:caps w:val="0"/>
          <w:color w:val="000000" w:themeColor="text1"/>
          <w:spacing w:val="0"/>
          <w:sz w:val="32"/>
          <w:szCs w:val="32"/>
          <w:highlight w:val="none"/>
          <w:shd w:val="clear" w:color="auto" w:fill="FFFFFF"/>
          <w:lang w:eastAsia="zh-CN" w:bidi="ar"/>
          <w14:textFill>
            <w14:solidFill>
              <w14:schemeClr w14:val="tx1"/>
            </w14:solidFill>
          </w14:textFill>
        </w:rPr>
        <w:t>引导教培业态</w:t>
      </w:r>
      <w:r>
        <w:rPr>
          <w:rFonts w:hint="eastAsia" w:ascii="仿宋_GB2312" w:hAnsi="仿宋_GB2312" w:eastAsia="仿宋_GB2312" w:cs="仿宋_GB2312"/>
          <w:i w:val="0"/>
          <w:iCs w:val="0"/>
          <w:caps w:val="0"/>
          <w:color w:val="000000" w:themeColor="text1"/>
          <w:spacing w:val="0"/>
          <w:sz w:val="32"/>
          <w:szCs w:val="32"/>
          <w:highlight w:val="none"/>
          <w:shd w:val="clear" w:color="auto" w:fill="FFFFFF"/>
          <w:lang w:bidi="ar"/>
          <w14:textFill>
            <w14:solidFill>
              <w14:schemeClr w14:val="tx1"/>
            </w14:solidFill>
          </w14:textFill>
        </w:rPr>
        <w:t>嵌入购物中心、社区商业及文旅空间，构建“培训+消费+社交”融合场景。</w:t>
      </w:r>
      <w:r>
        <w:rPr>
          <w:rFonts w:hint="eastAsia" w:ascii="仿宋_GB2312" w:hAnsi="仿宋_GB2312" w:eastAsia="仿宋_GB2312" w:cs="仿宋_GB2312"/>
          <w:b w:val="0"/>
          <w:bCs w:val="0"/>
          <w:color w:val="000000" w:themeColor="text1"/>
          <w:sz w:val="32"/>
          <w:szCs w:val="32"/>
          <w:highlight w:val="none"/>
          <w:shd w:val="clear" w:color="auto" w:fill="FFFFFF"/>
          <w:lang w:val="en-US" w:eastAsia="zh-CN" w:bidi="ar"/>
          <w14:textFill>
            <w14:solidFill>
              <w14:schemeClr w14:val="tx1"/>
            </w14:solidFill>
          </w14:textFill>
        </w:rPr>
        <w:t>促进职业培训提质增效，</w:t>
      </w:r>
      <w:r>
        <w:rPr>
          <w:rFonts w:hint="eastAsia" w:ascii="仿宋_GB2312" w:hAnsi="仿宋_GB2312" w:eastAsia="仿宋_GB2312" w:cs="仿宋_GB2312"/>
          <w:color w:val="000000" w:themeColor="text1"/>
          <w:kern w:val="2"/>
          <w:sz w:val="32"/>
          <w:szCs w:val="32"/>
          <w:highlight w:val="none"/>
          <w:shd w:val="clear" w:color="auto" w:fill="FFFFFF"/>
          <w:lang w:val="en-US" w:eastAsia="zh-CN" w:bidi="ar"/>
          <w14:textFill>
            <w14:solidFill>
              <w14:schemeClr w14:val="tx1"/>
            </w14:solidFill>
          </w14:textFill>
        </w:rPr>
        <w:t>赋能产业人才职业发展。</w:t>
      </w:r>
    </w:p>
    <w:p>
      <w:pPr>
        <w:shd w:val="clear"/>
        <w:spacing w:line="560" w:lineRule="exact"/>
        <w:ind w:firstLine="640" w:firstLineChars="200"/>
        <w:jc w:val="left"/>
        <w:outlineLvl w:val="1"/>
        <w:rPr>
          <w:rFonts w:ascii="Times New Roman" w:hAnsi="Times New Roman" w:eastAsia="楷体_GB2312" w:cs="Times New Roman"/>
          <w:color w:val="000000" w:themeColor="text1"/>
          <w:sz w:val="32"/>
          <w:szCs w:val="32"/>
          <w:highlight w:val="none"/>
          <w14:textFill>
            <w14:solidFill>
              <w14:schemeClr w14:val="tx1"/>
            </w14:solidFill>
          </w14:textFill>
        </w:rPr>
      </w:pPr>
      <w:bookmarkStart w:id="793" w:name="_Toc27458"/>
      <w:bookmarkStart w:id="794" w:name="_Toc14182"/>
      <w:bookmarkStart w:id="795" w:name="_Toc24900"/>
      <w:bookmarkStart w:id="796" w:name="_Toc7485"/>
      <w:bookmarkStart w:id="797" w:name="_Toc17447"/>
      <w:bookmarkStart w:id="798" w:name="_Toc20097"/>
      <w:bookmarkStart w:id="799" w:name="_Toc21559"/>
      <w:bookmarkStart w:id="800" w:name="_Toc11330"/>
      <w:bookmarkStart w:id="801" w:name="_Toc19848"/>
      <w:bookmarkStart w:id="802" w:name="_Toc5230"/>
      <w:r>
        <w:rPr>
          <w:rFonts w:ascii="Times New Roman" w:hAnsi="Times New Roman" w:eastAsia="楷体_GB2312" w:cs="Times New Roman"/>
          <w:color w:val="000000" w:themeColor="text1"/>
          <w:sz w:val="32"/>
          <w:szCs w:val="32"/>
          <w:highlight w:val="none"/>
          <w14:textFill>
            <w14:solidFill>
              <w14:schemeClr w14:val="tx1"/>
            </w14:solidFill>
          </w14:textFill>
        </w:rPr>
        <w:t>（三）</w:t>
      </w:r>
      <w:r>
        <w:rPr>
          <w:rFonts w:hint="eastAsia" w:ascii="Times New Roman" w:hAnsi="Times New Roman" w:eastAsia="楷体_GB2312" w:cs="Times New Roman"/>
          <w:color w:val="000000" w:themeColor="text1"/>
          <w:sz w:val="32"/>
          <w:szCs w:val="32"/>
          <w:highlight w:val="none"/>
          <w14:textFill>
            <w14:solidFill>
              <w14:schemeClr w14:val="tx1"/>
            </w14:solidFill>
          </w14:textFill>
        </w:rPr>
        <w:t>加强文娱</w:t>
      </w:r>
      <w:r>
        <w:rPr>
          <w:rFonts w:ascii="Times New Roman" w:hAnsi="Times New Roman" w:eastAsia="楷体_GB2312" w:cs="Times New Roman"/>
          <w:color w:val="000000" w:themeColor="text1"/>
          <w:sz w:val="32"/>
          <w:szCs w:val="32"/>
          <w:highlight w:val="none"/>
          <w14:textFill>
            <w14:solidFill>
              <w14:schemeClr w14:val="tx1"/>
            </w14:solidFill>
          </w14:textFill>
        </w:rPr>
        <w:t>消费</w:t>
      </w:r>
      <w:r>
        <w:rPr>
          <w:rFonts w:hint="eastAsia" w:ascii="Times New Roman" w:hAnsi="Times New Roman" w:eastAsia="楷体_GB2312" w:cs="Times New Roman"/>
          <w:color w:val="000000" w:themeColor="text1"/>
          <w:sz w:val="32"/>
          <w:szCs w:val="32"/>
          <w:highlight w:val="none"/>
          <w14:textFill>
            <w14:solidFill>
              <w14:schemeClr w14:val="tx1"/>
            </w14:solidFill>
          </w14:textFill>
        </w:rPr>
        <w:t>市场培育</w:t>
      </w:r>
      <w:bookmarkEnd w:id="793"/>
      <w:bookmarkEnd w:id="794"/>
      <w:bookmarkEnd w:id="795"/>
      <w:bookmarkEnd w:id="796"/>
      <w:bookmarkEnd w:id="797"/>
      <w:bookmarkEnd w:id="798"/>
      <w:bookmarkEnd w:id="799"/>
      <w:bookmarkEnd w:id="800"/>
      <w:bookmarkEnd w:id="801"/>
      <w:bookmarkEnd w:id="802"/>
    </w:p>
    <w:p>
      <w:pPr>
        <w:shd w:val="clear"/>
        <w:spacing w:line="560" w:lineRule="exact"/>
        <w:ind w:firstLine="640" w:firstLineChars="200"/>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shd w:val="clear" w:color="auto" w:fill="FFFFFF"/>
          <w:lang w:eastAsia="zh-CN"/>
          <w14:textFill>
            <w14:solidFill>
              <w14:schemeClr w14:val="tx1"/>
            </w14:solidFill>
          </w14:textFill>
        </w:rPr>
        <w:t>围绕“京西剧谷”建设</w:t>
      </w:r>
      <w:r>
        <w:rPr>
          <w:rFonts w:hint="eastAsia" w:ascii="仿宋_GB2312" w:hAnsi="仿宋_GB2312" w:eastAsia="仿宋_GB2312" w:cs="仿宋_GB2312"/>
          <w:color w:val="000000" w:themeColor="text1"/>
          <w:sz w:val="32"/>
          <w:szCs w:val="32"/>
          <w:highlight w:val="none"/>
          <w:shd w:val="clear" w:color="auto" w:fill="FFFFFF"/>
          <w14:textFill>
            <w14:solidFill>
              <w14:schemeClr w14:val="tx1"/>
            </w14:solidFill>
          </w14:textFill>
        </w:rPr>
        <w:t>，</w:t>
      </w:r>
      <w:r>
        <w:rPr>
          <w:rFonts w:hint="eastAsia" w:ascii="仿宋_GB2312" w:hAnsi="仿宋_GB2312" w:eastAsia="仿宋_GB2312" w:cs="仿宋_GB2312"/>
          <w:color w:val="000000" w:themeColor="text1"/>
          <w:sz w:val="32"/>
          <w:szCs w:val="32"/>
          <w:highlight w:val="none"/>
          <w:shd w:val="clear" w:color="auto" w:fill="FFFFFF"/>
          <w:lang w:eastAsia="zh-CN"/>
          <w14:textFill>
            <w14:solidFill>
              <w14:schemeClr w14:val="tx1"/>
            </w14:solidFill>
          </w14:textFill>
        </w:rPr>
        <w:t>吸引文娱</w:t>
      </w:r>
      <w:r>
        <w:rPr>
          <w:rFonts w:hint="eastAsia" w:ascii="仿宋_GB2312" w:hAnsi="仿宋_GB2312" w:eastAsia="仿宋_GB2312" w:cs="仿宋_GB2312"/>
          <w:color w:val="000000" w:themeColor="text1"/>
          <w:sz w:val="32"/>
          <w:szCs w:val="32"/>
          <w:highlight w:val="none"/>
          <w:shd w:val="clear" w:color="auto" w:fill="FFFFFF"/>
          <w14:textFill>
            <w14:solidFill>
              <w14:schemeClr w14:val="tx1"/>
            </w14:solidFill>
          </w14:textFill>
        </w:rPr>
        <w:t>领域企业集聚发展</w:t>
      </w:r>
      <w:r>
        <w:rPr>
          <w:rFonts w:hint="eastAsia" w:ascii="仿宋_GB2312" w:hAnsi="仿宋_GB2312" w:eastAsia="仿宋_GB2312" w:cs="仿宋_GB2312"/>
          <w:color w:val="000000" w:themeColor="text1"/>
          <w:sz w:val="32"/>
          <w:szCs w:val="32"/>
          <w:highlight w:val="none"/>
          <w:shd w:val="clear" w:color="auto" w:fill="FFFFFF"/>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shd w:val="clear" w:color="auto" w:fill="FFFFFF"/>
          <w:lang w:val="en-US" w:eastAsia="zh-CN"/>
          <w14:textFill>
            <w14:solidFill>
              <w14:schemeClr w14:val="tx1"/>
            </w14:solidFill>
          </w14:textFill>
        </w:rPr>
        <w:t>探索“AI+精品微短剧（动漫剧）”“短剧+文旅”发展模式。丰富文娱消费供给，</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扩大“小院有戏”品牌影响力，举办“京西山水艺术+”系列活动。</w:t>
      </w:r>
      <w:r>
        <w:rPr>
          <w:rFonts w:hint="eastAsia" w:ascii="仿宋_GB2312" w:hAnsi="仿宋_GB2312" w:eastAsia="仿宋_GB2312" w:cs="仿宋_GB2312"/>
          <w:color w:val="000000" w:themeColor="text1"/>
          <w:sz w:val="32"/>
          <w:szCs w:val="32"/>
          <w:highlight w:val="none"/>
          <w:shd w:val="clear" w:color="auto" w:fill="FFFFFF"/>
          <w:lang w:val="en-US" w:eastAsia="zh-CN"/>
          <w14:textFill>
            <w14:solidFill>
              <w14:schemeClr w14:val="tx1"/>
            </w14:solidFill>
          </w14:textFill>
        </w:rPr>
        <w:t>深化“文娱+商业”融合，支持</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商圈打造演艺新空间。围绕“书香门头沟”建设，推动品牌书店、书市活动等进商圈。</w:t>
      </w:r>
    </w:p>
    <w:p>
      <w:pPr>
        <w:spacing w:line="560" w:lineRule="exact"/>
        <w:ind w:firstLine="640" w:firstLineChars="200"/>
        <w:jc w:val="left"/>
        <w:outlineLvl w:val="1"/>
        <w:rPr>
          <w:rFonts w:ascii="Times New Roman" w:hAnsi="Times New Roman" w:eastAsia="楷体_GB2312" w:cs="Times New Roman"/>
          <w:color w:val="000000" w:themeColor="text1"/>
          <w:sz w:val="32"/>
          <w:szCs w:val="32"/>
          <w:highlight w:val="none"/>
          <w14:textFill>
            <w14:solidFill>
              <w14:schemeClr w14:val="tx1"/>
            </w14:solidFill>
          </w14:textFill>
        </w:rPr>
      </w:pPr>
      <w:bookmarkStart w:id="803" w:name="_Toc6022"/>
      <w:bookmarkStart w:id="804" w:name="_Toc15739"/>
      <w:bookmarkStart w:id="805" w:name="_Toc546"/>
      <w:bookmarkStart w:id="806" w:name="_Toc32008"/>
      <w:bookmarkStart w:id="807" w:name="_Toc14629"/>
      <w:bookmarkStart w:id="808" w:name="_Toc18068"/>
      <w:bookmarkStart w:id="809" w:name="_Toc9651"/>
      <w:bookmarkStart w:id="810" w:name="_Toc24194"/>
      <w:bookmarkStart w:id="811" w:name="_Toc16981"/>
      <w:bookmarkStart w:id="812" w:name="_Toc26566"/>
      <w:r>
        <w:rPr>
          <w:rFonts w:ascii="Times New Roman" w:hAnsi="Times New Roman" w:eastAsia="楷体_GB2312" w:cs="Times New Roman"/>
          <w:color w:val="000000" w:themeColor="text1"/>
          <w:sz w:val="32"/>
          <w:szCs w:val="32"/>
          <w:highlight w:val="none"/>
          <w14:textFill>
            <w14:solidFill>
              <w14:schemeClr w14:val="tx1"/>
            </w14:solidFill>
          </w14:textFill>
        </w:rPr>
        <w:t>（</w:t>
      </w:r>
      <w:r>
        <w:rPr>
          <w:rFonts w:hint="eastAsia" w:ascii="Times New Roman" w:hAnsi="Times New Roman" w:eastAsia="楷体_GB2312" w:cs="Times New Roman"/>
          <w:color w:val="000000" w:themeColor="text1"/>
          <w:sz w:val="32"/>
          <w:szCs w:val="32"/>
          <w:highlight w:val="none"/>
          <w14:textFill>
            <w14:solidFill>
              <w14:schemeClr w14:val="tx1"/>
            </w14:solidFill>
          </w14:textFill>
        </w:rPr>
        <w:t>四</w:t>
      </w:r>
      <w:r>
        <w:rPr>
          <w:rFonts w:ascii="Times New Roman" w:hAnsi="Times New Roman" w:eastAsia="楷体_GB2312" w:cs="Times New Roman"/>
          <w:color w:val="000000" w:themeColor="text1"/>
          <w:sz w:val="32"/>
          <w:szCs w:val="32"/>
          <w:highlight w:val="none"/>
          <w14:textFill>
            <w14:solidFill>
              <w14:schemeClr w14:val="tx1"/>
            </w14:solidFill>
          </w14:textFill>
        </w:rPr>
        <w:t>）激发体育</w:t>
      </w:r>
      <w:r>
        <w:rPr>
          <w:rFonts w:hint="eastAsia" w:ascii="Times New Roman" w:hAnsi="Times New Roman" w:eastAsia="楷体_GB2312" w:cs="Times New Roman"/>
          <w:color w:val="000000" w:themeColor="text1"/>
          <w:sz w:val="32"/>
          <w:szCs w:val="32"/>
          <w:highlight w:val="none"/>
          <w14:textFill>
            <w14:solidFill>
              <w14:schemeClr w14:val="tx1"/>
            </w14:solidFill>
          </w14:textFill>
        </w:rPr>
        <w:t>赛事</w:t>
      </w:r>
      <w:r>
        <w:rPr>
          <w:rFonts w:ascii="Times New Roman" w:hAnsi="Times New Roman" w:eastAsia="楷体_GB2312" w:cs="Times New Roman"/>
          <w:color w:val="000000" w:themeColor="text1"/>
          <w:sz w:val="32"/>
          <w:szCs w:val="32"/>
          <w:highlight w:val="none"/>
          <w14:textFill>
            <w14:solidFill>
              <w14:schemeClr w14:val="tx1"/>
            </w14:solidFill>
          </w14:textFill>
        </w:rPr>
        <w:t>消费动能</w:t>
      </w:r>
      <w:bookmarkEnd w:id="803"/>
      <w:bookmarkEnd w:id="804"/>
      <w:bookmarkEnd w:id="805"/>
      <w:bookmarkEnd w:id="806"/>
      <w:bookmarkEnd w:id="807"/>
      <w:bookmarkEnd w:id="808"/>
      <w:bookmarkEnd w:id="809"/>
      <w:bookmarkEnd w:id="810"/>
      <w:bookmarkEnd w:id="811"/>
      <w:bookmarkEnd w:id="812"/>
    </w:p>
    <w:p>
      <w:pPr>
        <w:keepNext w:val="0"/>
        <w:keepLines w:val="0"/>
        <w:widowControl/>
        <w:suppressLineNumbers w:val="0"/>
        <w:spacing w:line="560" w:lineRule="exact"/>
        <w:ind w:firstLine="640" w:firstLineChars="200"/>
        <w:jc w:val="both"/>
        <w:rPr>
          <w:rFonts w:hint="eastAsia" w:ascii="仿宋_GB2312" w:hAnsi="仿宋_GB2312" w:eastAsia="仿宋_GB2312" w:cs="仿宋_GB2312"/>
          <w:i w:val="0"/>
          <w:iCs w:val="0"/>
          <w:caps w:val="0"/>
          <w:color w:val="000000" w:themeColor="text1"/>
          <w:spacing w:val="0"/>
          <w:sz w:val="32"/>
          <w:szCs w:val="32"/>
          <w:highlight w:val="none"/>
          <w:shd w:val="clear"/>
          <w:lang w:eastAsia="zh-CN" w:bidi="ar"/>
          <w14:textFill>
            <w14:solidFill>
              <w14:schemeClr w14:val="tx1"/>
            </w14:solidFill>
          </w14:textFill>
        </w:rPr>
      </w:pPr>
      <w:r>
        <w:rPr>
          <w:rFonts w:hint="eastAsia" w:ascii="仿宋_GB2312" w:hAnsi="仿宋_GB2312" w:eastAsia="仿宋_GB2312" w:cs="仿宋_GB2312"/>
          <w:b w:val="0"/>
          <w:bCs w:val="0"/>
          <w:color w:val="000000" w:themeColor="text1"/>
          <w:sz w:val="32"/>
          <w:szCs w:val="32"/>
          <w:highlight w:val="none"/>
          <w:lang w:val="en-US" w:eastAsia="zh-CN" w:bidi="ar"/>
          <w14:textFill>
            <w14:solidFill>
              <w14:schemeClr w14:val="tx1"/>
            </w14:solidFill>
          </w14:textFill>
        </w:rPr>
        <w:t>聚焦骑行、徒步越野、虚拟体育等领域，</w:t>
      </w:r>
      <w:r>
        <w:rPr>
          <w:rFonts w:hint="eastAsia" w:ascii="仿宋_GB2312" w:hAnsi="仿宋_GB2312" w:eastAsia="仿宋_GB2312" w:cs="仿宋_GB2312"/>
          <w:i w:val="0"/>
          <w:iCs w:val="0"/>
          <w:caps w:val="0"/>
          <w:color w:val="000000" w:themeColor="text1"/>
          <w:spacing w:val="0"/>
          <w:sz w:val="32"/>
          <w:szCs w:val="32"/>
          <w:highlight w:val="none"/>
          <w:shd w:val="clear"/>
          <w:lang w:bidi="ar"/>
          <w14:textFill>
            <w14:solidFill>
              <w14:schemeClr w14:val="tx1"/>
            </w14:solidFill>
          </w14:textFill>
        </w:rPr>
        <w:t>引进具有全球知名度与强人流</w:t>
      </w:r>
      <w:r>
        <w:rPr>
          <w:rFonts w:hint="eastAsia" w:ascii="仿宋_GB2312" w:hAnsi="仿宋_GB2312" w:eastAsia="仿宋_GB2312" w:cs="仿宋_GB2312"/>
          <w:i w:val="0"/>
          <w:iCs w:val="0"/>
          <w:caps w:val="0"/>
          <w:color w:val="000000" w:themeColor="text1"/>
          <w:spacing w:val="0"/>
          <w:sz w:val="32"/>
          <w:szCs w:val="32"/>
          <w:highlight w:val="none"/>
          <w:shd w:val="clear"/>
          <w:lang w:eastAsia="zh-CN" w:bidi="ar"/>
          <w14:textFill>
            <w14:solidFill>
              <w14:schemeClr w14:val="tx1"/>
            </w14:solidFill>
          </w14:textFill>
        </w:rPr>
        <w:t>吸引</w:t>
      </w:r>
      <w:r>
        <w:rPr>
          <w:rFonts w:hint="eastAsia" w:ascii="仿宋_GB2312" w:hAnsi="仿宋_GB2312" w:eastAsia="仿宋_GB2312" w:cs="仿宋_GB2312"/>
          <w:i w:val="0"/>
          <w:iCs w:val="0"/>
          <w:caps w:val="0"/>
          <w:color w:val="000000" w:themeColor="text1"/>
          <w:spacing w:val="0"/>
          <w:sz w:val="32"/>
          <w:szCs w:val="32"/>
          <w:highlight w:val="none"/>
          <w:shd w:val="clear"/>
          <w:lang w:bidi="ar"/>
          <w14:textFill>
            <w14:solidFill>
              <w14:schemeClr w14:val="tx1"/>
            </w14:solidFill>
          </w14:textFill>
        </w:rPr>
        <w:t>力的品牌赛事，高水平举办UCI泵道世锦赛总决赛。发展</w:t>
      </w:r>
      <w:r>
        <w:rPr>
          <w:rFonts w:hint="eastAsia" w:ascii="仿宋_GB2312" w:hAnsi="仿宋_GB2312" w:eastAsia="仿宋_GB2312" w:cs="仿宋_GB2312"/>
          <w:i w:val="0"/>
          <w:iCs w:val="0"/>
          <w:caps w:val="0"/>
          <w:color w:val="000000" w:themeColor="text1"/>
          <w:spacing w:val="0"/>
          <w:sz w:val="32"/>
          <w:szCs w:val="32"/>
          <w:highlight w:val="none"/>
          <w:shd w:val="clear"/>
          <w:lang w:eastAsia="zh-CN" w:bidi="ar"/>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sz w:val="32"/>
          <w:szCs w:val="32"/>
          <w:highlight w:val="none"/>
          <w:shd w:val="clear"/>
          <w:lang w:bidi="ar"/>
          <w14:textFill>
            <w14:solidFill>
              <w14:schemeClr w14:val="tx1"/>
            </w14:solidFill>
          </w14:textFill>
        </w:rPr>
        <w:t>赛地经济</w:t>
      </w:r>
      <w:r>
        <w:rPr>
          <w:rFonts w:hint="eastAsia" w:ascii="仿宋_GB2312" w:hAnsi="仿宋_GB2312" w:eastAsia="仿宋_GB2312" w:cs="仿宋_GB2312"/>
          <w:i w:val="0"/>
          <w:iCs w:val="0"/>
          <w:caps w:val="0"/>
          <w:color w:val="000000" w:themeColor="text1"/>
          <w:spacing w:val="0"/>
          <w:sz w:val="32"/>
          <w:szCs w:val="32"/>
          <w:highlight w:val="none"/>
          <w:shd w:val="clear"/>
          <w:lang w:val="en-US" w:eastAsia="zh-CN" w:bidi="ar"/>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sz w:val="32"/>
          <w:szCs w:val="32"/>
          <w:highlight w:val="none"/>
          <w:shd w:val="clear"/>
          <w:lang w:bidi="ar"/>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sz w:val="32"/>
          <w:szCs w:val="32"/>
          <w:highlight w:val="none"/>
          <w:shd w:val="clear"/>
          <w:lang w:eastAsia="zh-CN" w:bidi="ar"/>
          <w14:textFill>
            <w14:solidFill>
              <w14:schemeClr w14:val="tx1"/>
            </w14:solidFill>
          </w14:textFill>
        </w:rPr>
        <w:t>加强与</w:t>
      </w:r>
      <w:r>
        <w:rPr>
          <w:rFonts w:hint="eastAsia" w:ascii="仿宋_GB2312" w:hAnsi="仿宋_GB2312" w:eastAsia="仿宋_GB2312" w:cs="仿宋_GB2312"/>
          <w:color w:val="000000" w:themeColor="text1"/>
          <w:sz w:val="32"/>
          <w:szCs w:val="32"/>
          <w:highlight w:val="none"/>
          <w:lang w:bidi="ar"/>
          <w14:textFill>
            <w14:solidFill>
              <w14:schemeClr w14:val="tx1"/>
            </w14:solidFill>
          </w14:textFill>
        </w:rPr>
        <w:t>文旅农林商</w:t>
      </w:r>
      <w:r>
        <w:rPr>
          <w:rFonts w:hint="eastAsia" w:ascii="仿宋_GB2312" w:hAnsi="仿宋_GB2312" w:eastAsia="仿宋_GB2312" w:cs="仿宋_GB2312"/>
          <w:color w:val="000000" w:themeColor="text1"/>
          <w:sz w:val="32"/>
          <w:szCs w:val="32"/>
          <w:highlight w:val="none"/>
          <w:lang w:eastAsia="zh-CN" w:bidi="ar"/>
          <w14:textFill>
            <w14:solidFill>
              <w14:schemeClr w14:val="tx1"/>
            </w14:solidFill>
          </w14:textFill>
        </w:rPr>
        <w:t>资源联动，打造</w:t>
      </w:r>
      <w:r>
        <w:rPr>
          <w:rFonts w:hint="eastAsia" w:ascii="仿宋_GB2312" w:hAnsi="仿宋_GB2312" w:eastAsia="仿宋_GB2312" w:cs="仿宋_GB2312"/>
          <w:i w:val="0"/>
          <w:iCs w:val="0"/>
          <w:caps w:val="0"/>
          <w:color w:val="000000" w:themeColor="text1"/>
          <w:spacing w:val="0"/>
          <w:sz w:val="32"/>
          <w:szCs w:val="32"/>
          <w:highlight w:val="none"/>
          <w:shd w:val="clear"/>
          <w:lang w:bidi="ar"/>
          <w14:textFill>
            <w14:solidFill>
              <w14:schemeClr w14:val="tx1"/>
            </w14:solidFill>
          </w14:textFill>
        </w:rPr>
        <w:t>“赛事引领、多元联动、业态融合”消费场景。推动赛事活动进商圈，支持商圈设置</w:t>
      </w:r>
      <w:r>
        <w:rPr>
          <w:rFonts w:hint="eastAsia" w:ascii="仿宋_GB2312" w:hAnsi="仿宋_GB2312" w:eastAsia="仿宋_GB2312" w:cs="仿宋_GB2312"/>
          <w:i w:val="0"/>
          <w:iCs w:val="0"/>
          <w:caps w:val="0"/>
          <w:color w:val="000000" w:themeColor="text1"/>
          <w:spacing w:val="0"/>
          <w:sz w:val="32"/>
          <w:szCs w:val="32"/>
          <w:highlight w:val="none"/>
          <w:shd w:val="clear"/>
          <w:lang w:eastAsia="zh-CN" w:bidi="ar"/>
          <w14:textFill>
            <w14:solidFill>
              <w14:schemeClr w14:val="tx1"/>
            </w14:solidFill>
          </w14:textFill>
        </w:rPr>
        <w:t>大型赛事</w:t>
      </w:r>
      <w:r>
        <w:rPr>
          <w:rFonts w:hint="eastAsia" w:ascii="仿宋_GB2312" w:hAnsi="仿宋_GB2312" w:eastAsia="仿宋_GB2312" w:cs="仿宋_GB2312"/>
          <w:i w:val="0"/>
          <w:iCs w:val="0"/>
          <w:caps w:val="0"/>
          <w:color w:val="000000" w:themeColor="text1"/>
          <w:spacing w:val="0"/>
          <w:sz w:val="32"/>
          <w:szCs w:val="32"/>
          <w:highlight w:val="none"/>
          <w:shd w:val="clear"/>
          <w:lang w:bidi="ar"/>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sz w:val="32"/>
          <w:szCs w:val="32"/>
          <w:highlight w:val="none"/>
          <w:shd w:val="clear"/>
          <w:lang w:val="en-US" w:eastAsia="zh-CN" w:bidi="ar"/>
          <w14:textFill>
            <w14:solidFill>
              <w14:schemeClr w14:val="tx1"/>
            </w14:solidFill>
          </w14:textFill>
        </w:rPr>
        <w:t>超</w:t>
      </w:r>
      <w:r>
        <w:rPr>
          <w:rFonts w:hint="eastAsia" w:ascii="仿宋_GB2312" w:hAnsi="仿宋_GB2312" w:eastAsia="仿宋_GB2312" w:cs="仿宋_GB2312"/>
          <w:i w:val="0"/>
          <w:iCs w:val="0"/>
          <w:caps w:val="0"/>
          <w:color w:val="000000" w:themeColor="text1"/>
          <w:spacing w:val="0"/>
          <w:sz w:val="32"/>
          <w:szCs w:val="32"/>
          <w:highlight w:val="none"/>
          <w:shd w:val="clear"/>
          <w:lang w:bidi="ar"/>
          <w14:textFill>
            <w14:solidFill>
              <w14:schemeClr w14:val="tx1"/>
            </w14:solidFill>
          </w14:textFill>
        </w:rPr>
        <w:t>现场”</w:t>
      </w:r>
      <w:r>
        <w:rPr>
          <w:rFonts w:hint="eastAsia" w:ascii="仿宋_GB2312" w:hAnsi="仿宋_GB2312" w:eastAsia="仿宋_GB2312" w:cs="仿宋_GB2312"/>
          <w:i w:val="0"/>
          <w:iCs w:val="0"/>
          <w:caps w:val="0"/>
          <w:color w:val="000000" w:themeColor="text1"/>
          <w:spacing w:val="0"/>
          <w:sz w:val="32"/>
          <w:szCs w:val="32"/>
          <w:highlight w:val="none"/>
          <w:shd w:val="clear"/>
          <w:lang w:eastAsia="zh-CN" w:bidi="ar"/>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sz w:val="32"/>
          <w:szCs w:val="32"/>
          <w:highlight w:val="none"/>
          <w:shd w:val="clear"/>
          <w:lang w:bidi="ar"/>
          <w14:textFill>
            <w14:solidFill>
              <w14:schemeClr w14:val="tx1"/>
            </w14:solidFill>
          </w14:textFill>
        </w:rPr>
        <w:t>鼓励</w:t>
      </w:r>
      <w:r>
        <w:rPr>
          <w:rFonts w:hint="eastAsia" w:ascii="仿宋_GB2312" w:hAnsi="仿宋_GB2312" w:eastAsia="仿宋_GB2312" w:cs="仿宋_GB2312"/>
          <w:i w:val="0"/>
          <w:iCs w:val="0"/>
          <w:caps w:val="0"/>
          <w:color w:val="000000" w:themeColor="text1"/>
          <w:spacing w:val="0"/>
          <w:sz w:val="32"/>
          <w:szCs w:val="32"/>
          <w:highlight w:val="none"/>
          <w:shd w:val="clear"/>
          <w:lang w:eastAsia="zh-CN" w:bidi="ar"/>
          <w14:textFill>
            <w14:solidFill>
              <w14:schemeClr w14:val="tx1"/>
            </w14:solidFill>
          </w14:textFill>
        </w:rPr>
        <w:t>举办特色赛事</w:t>
      </w:r>
      <w:r>
        <w:rPr>
          <w:rFonts w:hint="eastAsia" w:ascii="仿宋_GB2312" w:hAnsi="仿宋_GB2312" w:eastAsia="仿宋_GB2312" w:cs="仿宋_GB2312"/>
          <w:i w:val="0"/>
          <w:iCs w:val="0"/>
          <w:caps w:val="0"/>
          <w:color w:val="000000" w:themeColor="text1"/>
          <w:spacing w:val="0"/>
          <w:sz w:val="32"/>
          <w:szCs w:val="32"/>
          <w:highlight w:val="none"/>
          <w:shd w:val="clear"/>
          <w:lang w:bidi="ar"/>
          <w14:textFill>
            <w14:solidFill>
              <w14:schemeClr w14:val="tx1"/>
            </w14:solidFill>
          </w14:textFill>
        </w:rPr>
        <w:t>活动，以赛事聚人气</w:t>
      </w:r>
      <w:r>
        <w:rPr>
          <w:rFonts w:hint="eastAsia" w:ascii="仿宋_GB2312" w:hAnsi="仿宋_GB2312" w:eastAsia="仿宋_GB2312" w:cs="仿宋_GB2312"/>
          <w:i w:val="0"/>
          <w:iCs w:val="0"/>
          <w:caps w:val="0"/>
          <w:color w:val="000000" w:themeColor="text1"/>
          <w:spacing w:val="0"/>
          <w:sz w:val="32"/>
          <w:szCs w:val="32"/>
          <w:highlight w:val="none"/>
          <w:shd w:val="clear"/>
          <w:lang w:eastAsia="zh-CN" w:bidi="ar"/>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sz w:val="32"/>
          <w:szCs w:val="32"/>
          <w:highlight w:val="none"/>
          <w:shd w:val="clear"/>
          <w:lang w:bidi="ar"/>
          <w14:textFill>
            <w14:solidFill>
              <w14:schemeClr w14:val="tx1"/>
            </w14:solidFill>
          </w14:textFill>
        </w:rPr>
        <w:t>促消费</w:t>
      </w:r>
      <w:r>
        <w:rPr>
          <w:rFonts w:hint="eastAsia" w:ascii="仿宋_GB2312" w:hAnsi="仿宋_GB2312" w:eastAsia="仿宋_GB2312" w:cs="仿宋_GB2312"/>
          <w:i w:val="0"/>
          <w:iCs w:val="0"/>
          <w:caps w:val="0"/>
          <w:color w:val="000000" w:themeColor="text1"/>
          <w:spacing w:val="0"/>
          <w:sz w:val="32"/>
          <w:szCs w:val="32"/>
          <w:highlight w:val="none"/>
          <w:shd w:val="clear"/>
          <w:lang w:eastAsia="zh-CN" w:bidi="ar"/>
          <w14:textFill>
            <w14:solidFill>
              <w14:schemeClr w14:val="tx1"/>
            </w14:solidFill>
          </w14:textFill>
        </w:rPr>
        <w:t>。</w:t>
      </w:r>
    </w:p>
    <w:p>
      <w:pPr>
        <w:spacing w:line="560" w:lineRule="exact"/>
        <w:ind w:firstLine="640" w:firstLineChars="200"/>
        <w:jc w:val="left"/>
        <w:outlineLvl w:val="1"/>
        <w:rPr>
          <w:rFonts w:ascii="Times New Roman" w:hAnsi="Times New Roman" w:eastAsia="黑体" w:cs="Times New Roman"/>
          <w:color w:val="000000" w:themeColor="text1"/>
          <w:sz w:val="32"/>
          <w:szCs w:val="32"/>
          <w:highlight w:val="none"/>
          <w14:textFill>
            <w14:solidFill>
              <w14:schemeClr w14:val="tx1"/>
            </w14:solidFill>
          </w14:textFill>
        </w:rPr>
      </w:pPr>
      <w:bookmarkStart w:id="813" w:name="_Toc29323"/>
      <w:bookmarkStart w:id="814" w:name="_Toc24291"/>
      <w:bookmarkStart w:id="815" w:name="_Toc15475"/>
      <w:bookmarkStart w:id="816" w:name="_Toc1223"/>
      <w:bookmarkStart w:id="817" w:name="_Toc24525"/>
      <w:bookmarkStart w:id="818" w:name="_Toc24554"/>
      <w:bookmarkStart w:id="819" w:name="_Toc16358"/>
      <w:bookmarkStart w:id="820" w:name="_Toc24650"/>
      <w:r>
        <w:rPr>
          <w:rFonts w:hint="eastAsia" w:ascii="Times New Roman" w:hAnsi="Times New Roman" w:eastAsia="黑体" w:cs="Times New Roman"/>
          <w:color w:val="000000" w:themeColor="text1"/>
          <w:sz w:val="32"/>
          <w:szCs w:val="32"/>
          <w:highlight w:val="none"/>
          <w14:textFill>
            <w14:solidFill>
              <w14:schemeClr w14:val="tx1"/>
            </w14:solidFill>
          </w14:textFill>
        </w:rPr>
        <w:t>三</w:t>
      </w:r>
      <w:r>
        <w:rPr>
          <w:rFonts w:ascii="Times New Roman" w:hAnsi="Times New Roman" w:eastAsia="黑体" w:cs="Times New Roman"/>
          <w:color w:val="000000" w:themeColor="text1"/>
          <w:sz w:val="32"/>
          <w:szCs w:val="32"/>
          <w:highlight w:val="none"/>
          <w14:textFill>
            <w14:solidFill>
              <w14:schemeClr w14:val="tx1"/>
            </w14:solidFill>
          </w14:textFill>
        </w:rPr>
        <w:t>、</w:t>
      </w:r>
      <w:r>
        <w:rPr>
          <w:rFonts w:hint="eastAsia" w:ascii="Times New Roman" w:hAnsi="Times New Roman" w:eastAsia="黑体" w:cs="Times New Roman"/>
          <w:color w:val="000000" w:themeColor="text1"/>
          <w:sz w:val="32"/>
          <w:szCs w:val="32"/>
          <w:highlight w:val="none"/>
          <w14:textFill>
            <w14:solidFill>
              <w14:schemeClr w14:val="tx1"/>
            </w14:solidFill>
          </w14:textFill>
        </w:rPr>
        <w:t>积极培育新兴消费市场</w:t>
      </w:r>
      <w:bookmarkEnd w:id="706"/>
      <w:bookmarkEnd w:id="707"/>
      <w:bookmarkEnd w:id="813"/>
      <w:bookmarkEnd w:id="814"/>
      <w:bookmarkEnd w:id="815"/>
      <w:bookmarkEnd w:id="816"/>
      <w:bookmarkEnd w:id="817"/>
      <w:bookmarkEnd w:id="818"/>
      <w:bookmarkEnd w:id="819"/>
      <w:bookmarkEnd w:id="820"/>
    </w:p>
    <w:p>
      <w:pPr>
        <w:widowControl/>
        <w:spacing w:line="560" w:lineRule="exact"/>
        <w:ind w:firstLine="640" w:firstLineChars="200"/>
        <w:outlineLvl w:val="1"/>
        <w:rPr>
          <w:rFonts w:hint="eastAsia" w:ascii="楷体_GB2312" w:hAnsi="楷体_GB2312" w:eastAsia="楷体_GB2312" w:cs="楷体_GB2312"/>
          <w:color w:val="000000" w:themeColor="text1"/>
          <w:sz w:val="32"/>
          <w:szCs w:val="32"/>
          <w:highlight w:val="none"/>
          <w14:textFill>
            <w14:solidFill>
              <w14:schemeClr w14:val="tx1"/>
            </w14:solidFill>
          </w14:textFill>
        </w:rPr>
      </w:pPr>
      <w:bookmarkStart w:id="821" w:name="_Toc1155"/>
      <w:bookmarkStart w:id="822" w:name="_Toc9312"/>
      <w:bookmarkStart w:id="823" w:name="_Toc11293"/>
      <w:bookmarkStart w:id="824" w:name="_Toc10490"/>
      <w:bookmarkStart w:id="825" w:name="_Toc15385"/>
      <w:bookmarkStart w:id="826" w:name="_Toc6793"/>
      <w:bookmarkStart w:id="827" w:name="_Toc28578"/>
      <w:bookmarkStart w:id="828" w:name="_Toc3983"/>
      <w:bookmarkStart w:id="829" w:name="_Toc25961"/>
      <w:bookmarkStart w:id="830" w:name="_Toc9097"/>
      <w:bookmarkStart w:id="831" w:name="_Toc16512"/>
      <w:bookmarkStart w:id="832" w:name="_Toc31081"/>
      <w:bookmarkStart w:id="833" w:name="_Toc1084"/>
      <w:bookmarkStart w:id="834" w:name="_Toc13554"/>
      <w:bookmarkStart w:id="835" w:name="_Toc22550"/>
      <w:bookmarkStart w:id="836" w:name="_Toc377"/>
      <w:r>
        <w:rPr>
          <w:rFonts w:hint="eastAsia" w:ascii="楷体_GB2312" w:hAnsi="楷体_GB2312" w:eastAsia="楷体_GB2312" w:cs="楷体_GB2312"/>
          <w:color w:val="000000" w:themeColor="text1"/>
          <w:sz w:val="32"/>
          <w:szCs w:val="32"/>
          <w:highlight w:val="none"/>
          <w14:textFill>
            <w14:solidFill>
              <w14:schemeClr w14:val="tx1"/>
            </w14:solidFill>
          </w14:textFill>
        </w:rPr>
        <w:t>（一）培育数智消费竞争优势</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spacing w:line="560" w:lineRule="exact"/>
        <w:ind w:firstLine="640" w:firstLineChars="200"/>
        <w:rPr>
          <w:rFonts w:hint="eastAsia" w:ascii="仿宋_GB2312" w:hAnsi="仿宋_GB2312" w:eastAsia="仿宋_GB2312" w:cs="仿宋_GB2312"/>
          <w:i w:val="0"/>
          <w:iCs w:val="0"/>
          <w:caps w:val="0"/>
          <w:color w:val="000000" w:themeColor="text1"/>
          <w:spacing w:val="0"/>
          <w:sz w:val="32"/>
          <w:szCs w:val="24"/>
          <w:highlight w:val="none"/>
          <w:shd w:val="clear"/>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highlight w:val="none"/>
          <w14:textFill>
            <w14:solidFill>
              <w14:schemeClr w14:val="tx1"/>
            </w14:solidFill>
          </w14:textFill>
        </w:rPr>
        <w:t>围绕“京西智谷”建设，推动</w:t>
      </w:r>
      <w:r>
        <w:rPr>
          <w:rFonts w:hint="eastAsia" w:ascii="仿宋_GB2312" w:hAnsi="仿宋_GB2312" w:eastAsia="仿宋_GB2312" w:cs="仿宋_GB2312"/>
          <w:color w:val="000000" w:themeColor="text1"/>
          <w:kern w:val="0"/>
          <w:sz w:val="32"/>
          <w:highlight w:val="none"/>
          <w:lang w:val="en-US" w:eastAsia="zh-CN"/>
          <w14:textFill>
            <w14:solidFill>
              <w14:schemeClr w14:val="tx1"/>
            </w14:solidFill>
          </w14:textFill>
        </w:rPr>
        <w:t>人工智能</w:t>
      </w:r>
      <w:r>
        <w:rPr>
          <w:rFonts w:hint="eastAsia" w:ascii="仿宋_GB2312" w:hAnsi="仿宋_GB2312" w:eastAsia="仿宋_GB2312" w:cs="仿宋_GB2312"/>
          <w:color w:val="000000" w:themeColor="text1"/>
          <w:kern w:val="0"/>
          <w:sz w:val="32"/>
          <w:highlight w:val="none"/>
          <w14:textFill>
            <w14:solidFill>
              <w14:schemeClr w14:val="tx1"/>
            </w14:solidFill>
          </w14:textFill>
        </w:rPr>
        <w:t>新技术新产品开发</w:t>
      </w:r>
      <w:r>
        <w:rPr>
          <w:rFonts w:hint="eastAsia" w:ascii="仿宋_GB2312" w:hAnsi="仿宋_GB2312" w:eastAsia="仿宋_GB2312" w:cs="仿宋_GB2312"/>
          <w:b w:val="0"/>
          <w:bCs w:val="0"/>
          <w:smallCaps w:val="0"/>
          <w:color w:val="000000" w:themeColor="text1"/>
          <w:sz w:val="32"/>
          <w:szCs w:val="32"/>
          <w:highlight w:val="none"/>
          <w:lang w:val="en-US" w:eastAsia="zh-CN"/>
          <w14:textFill>
            <w14:solidFill>
              <w14:schemeClr w14:val="tx1"/>
            </w14:solidFill>
          </w14:textFill>
        </w:rPr>
        <w:t>，</w:t>
      </w:r>
      <w:r>
        <w:rPr>
          <w:rFonts w:hint="eastAsia" w:ascii="仿宋_GB2312" w:hAnsi="仿宋_GB2312" w:eastAsia="仿宋_GB2312" w:cs="仿宋_GB2312"/>
          <w:color w:val="000000" w:themeColor="text1"/>
          <w:sz w:val="32"/>
          <w:highlight w:val="none"/>
          <w:lang w:eastAsia="zh-CN" w:bidi="ar"/>
          <w14:textFill>
            <w14:solidFill>
              <w14:schemeClr w14:val="tx1"/>
            </w14:solidFill>
          </w14:textFill>
        </w:rPr>
        <w:t>拓展</w:t>
      </w:r>
      <w:r>
        <w:rPr>
          <w:rFonts w:hint="eastAsia" w:ascii="仿宋_GB2312" w:hAnsi="仿宋_GB2312" w:eastAsia="仿宋_GB2312" w:cs="仿宋_GB2312"/>
          <w:color w:val="000000" w:themeColor="text1"/>
          <w:sz w:val="32"/>
          <w:highlight w:val="none"/>
          <w:lang w:bidi="ar"/>
          <w14:textFill>
            <w14:solidFill>
              <w14:schemeClr w14:val="tx1"/>
            </w14:solidFill>
          </w14:textFill>
        </w:rPr>
        <w:t>人工智能在教育、医疗、文化、</w:t>
      </w:r>
      <w:r>
        <w:rPr>
          <w:rFonts w:hint="eastAsia" w:ascii="仿宋_GB2312" w:hAnsi="仿宋_GB2312" w:eastAsia="仿宋_GB2312" w:cs="仿宋_GB2312"/>
          <w:color w:val="000000" w:themeColor="text1"/>
          <w:sz w:val="32"/>
          <w:highlight w:val="none"/>
          <w:lang w:eastAsia="zh-CN" w:bidi="ar"/>
          <w14:textFill>
            <w14:solidFill>
              <w14:schemeClr w14:val="tx1"/>
            </w14:solidFill>
          </w14:textFill>
        </w:rPr>
        <w:t>旅游、体育</w:t>
      </w:r>
      <w:r>
        <w:rPr>
          <w:rFonts w:hint="eastAsia" w:ascii="仿宋_GB2312" w:hAnsi="仿宋_GB2312" w:eastAsia="仿宋_GB2312" w:cs="仿宋_GB2312"/>
          <w:color w:val="000000" w:themeColor="text1"/>
          <w:sz w:val="32"/>
          <w:highlight w:val="none"/>
          <w:lang w:bidi="ar"/>
          <w14:textFill>
            <w14:solidFill>
              <w14:schemeClr w14:val="tx1"/>
            </w14:solidFill>
          </w14:textFill>
        </w:rPr>
        <w:t>等领域</w:t>
      </w:r>
      <w:r>
        <w:rPr>
          <w:rFonts w:hint="eastAsia" w:ascii="仿宋_GB2312" w:hAnsi="仿宋_GB2312" w:eastAsia="仿宋_GB2312" w:cs="仿宋_GB2312"/>
          <w:color w:val="000000" w:themeColor="text1"/>
          <w:sz w:val="32"/>
          <w:highlight w:val="none"/>
          <w:lang w:eastAsia="zh-CN" w:bidi="ar"/>
          <w14:textFill>
            <w14:solidFill>
              <w14:schemeClr w14:val="tx1"/>
            </w14:solidFill>
          </w14:textFill>
        </w:rPr>
        <w:t>的应用场景</w:t>
      </w:r>
      <w:r>
        <w:rPr>
          <w:rFonts w:hint="eastAsia" w:ascii="仿宋_GB2312" w:hAnsi="仿宋_GB2312" w:eastAsia="仿宋_GB2312" w:cs="仿宋_GB2312"/>
          <w:color w:val="000000" w:themeColor="text1"/>
          <w:sz w:val="32"/>
          <w:highlight w:val="none"/>
          <w:lang w:bidi="ar"/>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sz w:val="32"/>
          <w:szCs w:val="24"/>
          <w:highlight w:val="none"/>
          <w:shd w:val="clear"/>
          <w:lang w:val="en-US" w:eastAsia="zh-CN"/>
          <w14:textFill>
            <w14:solidFill>
              <w14:schemeClr w14:val="tx1"/>
            </w14:solidFill>
          </w14:textFill>
        </w:rPr>
        <w:t>推动商贸业数智化转型升级，</w:t>
      </w:r>
      <w:r>
        <w:rPr>
          <w:rFonts w:hint="eastAsia" w:ascii="仿宋_GB2312" w:hAnsi="仿宋_GB2312" w:eastAsia="仿宋_GB2312" w:cs="仿宋_GB2312"/>
          <w:i w:val="0"/>
          <w:iCs w:val="0"/>
          <w:caps w:val="0"/>
          <w:color w:val="000000" w:themeColor="text1"/>
          <w:spacing w:val="0"/>
          <w:sz w:val="32"/>
          <w:szCs w:val="24"/>
          <w:highlight w:val="none"/>
          <w:shd w:val="clear"/>
          <w14:textFill>
            <w14:solidFill>
              <w14:schemeClr w14:val="tx1"/>
            </w14:solidFill>
          </w14:textFill>
        </w:rPr>
        <w:t>支持企业</w:t>
      </w:r>
      <w:r>
        <w:rPr>
          <w:rFonts w:hint="eastAsia" w:ascii="仿宋_GB2312" w:hAnsi="仿宋_GB2312" w:eastAsia="仿宋_GB2312" w:cs="仿宋_GB2312"/>
          <w:i w:val="0"/>
          <w:iCs w:val="0"/>
          <w:caps w:val="0"/>
          <w:color w:val="000000" w:themeColor="text1"/>
          <w:spacing w:val="0"/>
          <w:sz w:val="32"/>
          <w:szCs w:val="24"/>
          <w:highlight w:val="none"/>
          <w:shd w:val="clear"/>
          <w:lang w:eastAsia="zh-CN"/>
          <w14:textFill>
            <w14:solidFill>
              <w14:schemeClr w14:val="tx1"/>
            </w14:solidFill>
          </w14:textFill>
        </w:rPr>
        <w:t>提升</w:t>
      </w:r>
      <w:r>
        <w:rPr>
          <w:rFonts w:hint="eastAsia" w:ascii="仿宋_GB2312" w:hAnsi="仿宋_GB2312" w:eastAsia="仿宋_GB2312" w:cs="仿宋_GB2312"/>
          <w:i w:val="0"/>
          <w:iCs w:val="0"/>
          <w:caps w:val="0"/>
          <w:color w:val="000000" w:themeColor="text1"/>
          <w:spacing w:val="0"/>
          <w:sz w:val="32"/>
          <w:szCs w:val="24"/>
          <w:highlight w:val="none"/>
          <w:shd w:val="clear"/>
          <w14:textFill>
            <w14:solidFill>
              <w14:schemeClr w14:val="tx1"/>
            </w14:solidFill>
          </w14:textFill>
        </w:rPr>
        <w:t>数智供应链服务水平，</w:t>
      </w:r>
      <w:r>
        <w:rPr>
          <w:rFonts w:hint="eastAsia" w:ascii="仿宋_GB2312" w:hAnsi="仿宋_GB2312" w:eastAsia="仿宋_GB2312" w:cs="仿宋_GB2312"/>
          <w:i w:val="0"/>
          <w:iCs w:val="0"/>
          <w:caps w:val="0"/>
          <w:color w:val="000000" w:themeColor="text1"/>
          <w:spacing w:val="0"/>
          <w:sz w:val="32"/>
          <w:szCs w:val="24"/>
          <w:highlight w:val="none"/>
          <w:shd w:val="clear"/>
          <w:lang w:val="en-US" w:eastAsia="zh-CN"/>
          <w14:textFill>
            <w14:solidFill>
              <w14:schemeClr w14:val="tx1"/>
            </w14:solidFill>
          </w14:textFill>
        </w:rPr>
        <w:t>运用大数据选品、智能导购、数字营销等手段提升运营效能。推进智慧商圈、智慧门店建设，支持打造</w:t>
      </w:r>
      <w:r>
        <w:rPr>
          <w:rFonts w:hint="eastAsia" w:ascii="仿宋_GB2312" w:hAnsi="仿宋_GB2312" w:eastAsia="仿宋_GB2312" w:cs="仿宋_GB2312"/>
          <w:color w:val="000000" w:themeColor="text1"/>
          <w:sz w:val="32"/>
          <w:szCs w:val="24"/>
          <w:highlight w:val="none"/>
          <w14:textFill>
            <w14:solidFill>
              <w14:schemeClr w14:val="tx1"/>
            </w14:solidFill>
          </w14:textFill>
        </w:rPr>
        <w:t>沉浸式、可感知、可互动</w:t>
      </w:r>
      <w:r>
        <w:rPr>
          <w:rFonts w:hint="eastAsia" w:ascii="仿宋_GB2312" w:hAnsi="仿宋_GB2312" w:eastAsia="仿宋_GB2312" w:cs="仿宋_GB2312"/>
          <w:i w:val="0"/>
          <w:iCs w:val="0"/>
          <w:caps w:val="0"/>
          <w:color w:val="000000" w:themeColor="text1"/>
          <w:spacing w:val="0"/>
          <w:sz w:val="32"/>
          <w:szCs w:val="24"/>
          <w:highlight w:val="none"/>
          <w:shd w:val="clear"/>
          <w:lang w:val="en-US" w:eastAsia="zh-CN"/>
          <w14:textFill>
            <w14:solidFill>
              <w14:schemeClr w14:val="tx1"/>
            </w14:solidFill>
          </w14:textFill>
        </w:rPr>
        <w:t>的数字消费场景。</w:t>
      </w:r>
    </w:p>
    <w:p>
      <w:pPr>
        <w:widowControl/>
        <w:spacing w:line="560" w:lineRule="exact"/>
        <w:ind w:firstLine="640" w:firstLineChars="200"/>
        <w:outlineLvl w:val="1"/>
        <w:rPr>
          <w:rFonts w:hint="eastAsia" w:ascii="楷体_GB2312" w:hAnsi="楷体_GB2312" w:eastAsia="楷体_GB2312" w:cs="楷体_GB2312"/>
          <w:color w:val="000000" w:themeColor="text1"/>
          <w:sz w:val="32"/>
          <w:szCs w:val="32"/>
          <w:highlight w:val="none"/>
          <w14:textFill>
            <w14:solidFill>
              <w14:schemeClr w14:val="tx1"/>
            </w14:solidFill>
          </w14:textFill>
        </w:rPr>
      </w:pPr>
      <w:bookmarkStart w:id="837" w:name="_Toc11281"/>
      <w:bookmarkStart w:id="838" w:name="_Toc29217"/>
      <w:bookmarkStart w:id="839" w:name="_Toc14475"/>
      <w:bookmarkStart w:id="840" w:name="_Toc21764"/>
      <w:bookmarkStart w:id="841" w:name="_Toc2217"/>
      <w:bookmarkStart w:id="842" w:name="_Toc30526"/>
      <w:bookmarkStart w:id="843" w:name="_Toc13604"/>
      <w:bookmarkStart w:id="844" w:name="_Toc16237"/>
      <w:bookmarkStart w:id="845" w:name="_Toc15414"/>
      <w:bookmarkStart w:id="846" w:name="_Toc5602"/>
      <w:bookmarkStart w:id="847" w:name="_Toc29494"/>
      <w:bookmarkStart w:id="848" w:name="_Toc4984"/>
      <w:bookmarkStart w:id="849" w:name="_Toc18335"/>
      <w:bookmarkStart w:id="850" w:name="_Toc22713"/>
      <w:r>
        <w:rPr>
          <w:rFonts w:hint="eastAsia" w:ascii="楷体_GB2312" w:hAnsi="楷体_GB2312" w:eastAsia="楷体_GB2312" w:cs="楷体_GB2312"/>
          <w:color w:val="000000" w:themeColor="text1"/>
          <w:sz w:val="32"/>
          <w:szCs w:val="32"/>
          <w:highlight w:val="none"/>
          <w14:textFill>
            <w14:solidFill>
              <w14:schemeClr w14:val="tx1"/>
            </w14:solidFill>
          </w14:textFill>
        </w:rPr>
        <w:t>（二）促进绿色消费升级发展</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spacing w:line="560" w:lineRule="exact"/>
        <w:ind w:firstLine="640" w:firstLineChars="200"/>
        <w:rPr>
          <w:rFonts w:hint="eastAsia" w:ascii="仿宋_GB2312" w:hAnsi="仿宋_GB2312" w:eastAsia="仿宋_GB2312" w:cs="仿宋_GB2312"/>
          <w:bCs/>
          <w:i w:val="0"/>
          <w:iCs w:val="0"/>
          <w:caps w:val="0"/>
          <w:color w:val="000000" w:themeColor="text1"/>
          <w:spacing w:val="0"/>
          <w:sz w:val="32"/>
          <w:szCs w:val="32"/>
          <w:highlight w:val="none"/>
          <w:shd w:val="clear" w:fill="auto"/>
          <w:lang w:eastAsia="zh-CN"/>
          <w14:textFill>
            <w14:solidFill>
              <w14:schemeClr w14:val="tx1"/>
            </w14:solidFill>
          </w14:textFill>
        </w:rPr>
      </w:pPr>
      <w:r>
        <w:rPr>
          <w:rFonts w:hint="eastAsia" w:ascii="仿宋_GB2312" w:hAnsi="仿宋_GB2312" w:eastAsia="仿宋_GB2312" w:cs="仿宋_GB2312"/>
          <w:bCs/>
          <w:i w:val="0"/>
          <w:iCs w:val="0"/>
          <w:caps w:val="0"/>
          <w:color w:val="000000" w:themeColor="text1"/>
          <w:spacing w:val="0"/>
          <w:sz w:val="32"/>
          <w:szCs w:val="32"/>
          <w:highlight w:val="none"/>
          <w:shd w:val="clear" w:fill="auto"/>
          <w14:textFill>
            <w14:solidFill>
              <w14:schemeClr w14:val="tx1"/>
            </w14:solidFill>
          </w14:textFill>
        </w:rPr>
        <w:t>深入落实消费品以旧换新行动，丰富绿色家电、绿色建材、新能源汽车等产品供给。加大绿色农产品供应，支持商业设施设立绿色农产品销售专区，提升“灵山绿产”品牌影响力。培育绿色流通主体，鼓励企业创建绿色商场、绿色饭店。培育打造一批绿色消费试点，引导绿色低碳生活方式，推动形成绿色消费新风尚。</w:t>
      </w:r>
    </w:p>
    <w:p>
      <w:pPr>
        <w:spacing w:line="560" w:lineRule="exact"/>
        <w:ind w:firstLine="640" w:firstLineChars="200"/>
        <w:outlineLvl w:val="1"/>
        <w:rPr>
          <w:rFonts w:hint="eastAsia" w:ascii="楷体_GB2312" w:hAnsi="楷体_GB2312" w:eastAsia="楷体_GB2312" w:cs="楷体_GB2312"/>
          <w:color w:val="000000" w:themeColor="text1"/>
          <w:sz w:val="32"/>
          <w:szCs w:val="32"/>
          <w:highlight w:val="none"/>
          <w14:textFill>
            <w14:solidFill>
              <w14:schemeClr w14:val="tx1"/>
            </w14:solidFill>
          </w14:textFill>
        </w:rPr>
      </w:pPr>
      <w:bookmarkStart w:id="851" w:name="_Toc13804"/>
      <w:bookmarkStart w:id="852" w:name="_Toc31411"/>
      <w:bookmarkStart w:id="853" w:name="_Toc18895"/>
      <w:bookmarkStart w:id="854" w:name="_Toc31446"/>
      <w:bookmarkStart w:id="855" w:name="_Toc29829"/>
      <w:bookmarkStart w:id="856" w:name="_Toc18625"/>
      <w:bookmarkStart w:id="857" w:name="_Toc4314"/>
      <w:bookmarkStart w:id="858" w:name="_Toc23422"/>
      <w:bookmarkStart w:id="859" w:name="_Toc20750"/>
      <w:bookmarkStart w:id="860" w:name="_Toc18553"/>
      <w:bookmarkStart w:id="861" w:name="_Toc27286"/>
      <w:bookmarkStart w:id="862" w:name="_Toc23449"/>
      <w:bookmarkStart w:id="863" w:name="_Toc23499"/>
      <w:bookmarkStart w:id="864" w:name="_Toc5645"/>
      <w:bookmarkStart w:id="865" w:name="_Toc10521"/>
      <w:bookmarkStart w:id="866" w:name="_Toc16952"/>
      <w:r>
        <w:rPr>
          <w:rFonts w:hint="eastAsia" w:ascii="楷体_GB2312" w:hAnsi="楷体_GB2312" w:eastAsia="楷体_GB2312" w:cs="楷体_GB2312"/>
          <w:color w:val="000000" w:themeColor="text1"/>
          <w:sz w:val="32"/>
          <w:szCs w:val="32"/>
          <w:highlight w:val="none"/>
          <w14:textFill>
            <w14:solidFill>
              <w14:schemeClr w14:val="tx1"/>
            </w14:solidFill>
          </w14:textFill>
        </w:rPr>
        <w:t>（三）精准加强银发消费供给</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spacing w:line="560" w:lineRule="exact"/>
        <w:ind w:firstLine="640" w:firstLineChars="200"/>
        <w:rPr>
          <w:rFonts w:hint="eastAsia" w:ascii="仿宋_GB2312" w:hAnsi="仿宋_GB2312" w:eastAsia="仿宋_GB2312" w:cs="仿宋_GB2312"/>
          <w:bCs/>
          <w:i w:val="0"/>
          <w:iCs w:val="0"/>
          <w:caps w:val="0"/>
          <w:color w:val="000000" w:themeColor="text1"/>
          <w:spacing w:val="0"/>
          <w:sz w:val="32"/>
          <w:szCs w:val="32"/>
          <w:highlight w:val="none"/>
          <w:shd w:val="clear"/>
          <w14:textFill>
            <w14:solidFill>
              <w14:schemeClr w14:val="tx1"/>
            </w14:solidFill>
          </w14:textFill>
        </w:rPr>
      </w:pPr>
      <w:r>
        <w:rPr>
          <w:rFonts w:hint="eastAsia" w:ascii="仿宋_GB2312" w:hAnsi="仿宋_GB2312" w:eastAsia="仿宋_GB2312" w:cs="仿宋_GB2312"/>
          <w:bCs/>
          <w:i w:val="0"/>
          <w:iCs w:val="0"/>
          <w:caps w:val="0"/>
          <w:color w:val="000000" w:themeColor="text1"/>
          <w:spacing w:val="0"/>
          <w:sz w:val="32"/>
          <w:szCs w:val="32"/>
          <w:highlight w:val="none"/>
          <w:shd w:val="clear" w:fill="auto"/>
          <w14:textFill>
            <w14:solidFill>
              <w14:schemeClr w14:val="tx1"/>
            </w14:solidFill>
          </w14:textFill>
        </w:rPr>
        <w:t>优化养老服务供给，推动保健康复、助餐助浴、心理咨询、陪诊助医等服务专业化发展。鼓励社会力量参与普惠养老，</w:t>
      </w:r>
      <w:r>
        <w:rPr>
          <w:rFonts w:hint="eastAsia" w:ascii="仿宋_GB2312" w:hAnsi="仿宋_GB2312" w:eastAsia="仿宋_GB2312" w:cs="仿宋_GB2312"/>
          <w:bCs/>
          <w:i w:val="0"/>
          <w:iCs w:val="0"/>
          <w:caps w:val="0"/>
          <w:color w:val="000000" w:themeColor="text1"/>
          <w:spacing w:val="0"/>
          <w:sz w:val="32"/>
          <w:szCs w:val="32"/>
          <w:highlight w:val="none"/>
          <w:shd w:val="clear" w:fill="auto"/>
          <w:lang w:eastAsia="zh-CN"/>
          <w14:textFill>
            <w14:solidFill>
              <w14:schemeClr w14:val="tx1"/>
            </w14:solidFill>
          </w14:textFill>
        </w:rPr>
        <w:t>引导养老机构通过连锁化运营模式进入社区。</w:t>
      </w:r>
      <w:r>
        <w:rPr>
          <w:rFonts w:hint="eastAsia" w:ascii="仿宋_GB2312" w:hAnsi="仿宋_GB2312" w:eastAsia="仿宋_GB2312" w:cs="仿宋_GB2312"/>
          <w:bCs/>
          <w:i w:val="0"/>
          <w:iCs w:val="0"/>
          <w:caps w:val="0"/>
          <w:color w:val="000000" w:themeColor="text1"/>
          <w:spacing w:val="0"/>
          <w:sz w:val="32"/>
          <w:szCs w:val="32"/>
          <w:highlight w:val="none"/>
          <w:shd w:val="clear" w:fill="auto"/>
          <w14:textFill>
            <w14:solidFill>
              <w14:schemeClr w14:val="tx1"/>
            </w14:solidFill>
          </w14:textFill>
        </w:rPr>
        <w:t>发展银发旅游，</w:t>
      </w:r>
      <w:r>
        <w:rPr>
          <w:rFonts w:hint="eastAsia" w:ascii="仿宋_GB2312" w:hAnsi="仿宋_GB2312" w:eastAsia="仿宋_GB2312" w:cs="仿宋_GB2312"/>
          <w:bCs/>
          <w:i w:val="0"/>
          <w:iCs w:val="0"/>
          <w:caps w:val="0"/>
          <w:color w:val="000000" w:themeColor="text1"/>
          <w:spacing w:val="0"/>
          <w:sz w:val="32"/>
          <w:szCs w:val="32"/>
          <w:highlight w:val="none"/>
          <w:shd w:val="clear" w:fill="auto"/>
          <w:lang w:eastAsia="zh-CN"/>
          <w14:textFill>
            <w14:solidFill>
              <w14:schemeClr w14:val="tx1"/>
            </w14:solidFill>
          </w14:textFill>
        </w:rPr>
        <w:t>支持</w:t>
      </w:r>
      <w:r>
        <w:rPr>
          <w:rFonts w:hint="eastAsia" w:ascii="仿宋_GB2312" w:hAnsi="仿宋_GB2312" w:eastAsia="仿宋_GB2312" w:cs="仿宋_GB2312"/>
          <w:bCs/>
          <w:i w:val="0"/>
          <w:iCs w:val="0"/>
          <w:caps w:val="0"/>
          <w:color w:val="000000" w:themeColor="text1"/>
          <w:spacing w:val="0"/>
          <w:sz w:val="32"/>
          <w:szCs w:val="32"/>
          <w:highlight w:val="none"/>
          <w:shd w:val="clear" w:fill="auto"/>
          <w14:textFill>
            <w14:solidFill>
              <w14:schemeClr w14:val="tx1"/>
            </w14:solidFill>
          </w14:textFill>
        </w:rPr>
        <w:t>开发康养游、定制游等适老型产品，支持“门头沟小院”拓展康养休闲功能。培育“老年兴趣经济”，支持兴办老年大学、开放式学堂及工作坊。</w:t>
      </w:r>
    </w:p>
    <w:p>
      <w:pPr>
        <w:spacing w:before="156" w:beforeLines="50" w:after="156" w:afterLines="50" w:line="560" w:lineRule="exact"/>
        <w:jc w:val="center"/>
        <w:outlineLvl w:val="0"/>
        <w:rPr>
          <w:rFonts w:ascii="Times New Roman" w:hAnsi="Times New Roman" w:eastAsia="黑体" w:cs="Times New Roman"/>
          <w:color w:val="000000" w:themeColor="text1"/>
          <w:sz w:val="32"/>
          <w:szCs w:val="32"/>
          <w:highlight w:val="none"/>
          <w14:textFill>
            <w14:solidFill>
              <w14:schemeClr w14:val="tx1"/>
            </w14:solidFill>
          </w14:textFill>
        </w:rPr>
      </w:pPr>
      <w:bookmarkStart w:id="867" w:name="_Toc1101"/>
      <w:bookmarkStart w:id="868" w:name="_Toc17095"/>
      <w:bookmarkStart w:id="869" w:name="_Toc5844"/>
      <w:bookmarkStart w:id="870" w:name="_Toc23560"/>
      <w:bookmarkStart w:id="871" w:name="_Toc3761"/>
      <w:bookmarkStart w:id="872" w:name="_Toc220"/>
      <w:bookmarkStart w:id="873" w:name="_Toc5393"/>
      <w:bookmarkStart w:id="874" w:name="_Toc7215"/>
      <w:r>
        <w:rPr>
          <w:rFonts w:hint="eastAsia" w:ascii="Times New Roman" w:hAnsi="Times New Roman" w:eastAsia="黑体" w:cs="Times New Roman"/>
          <w:color w:val="000000" w:themeColor="text1"/>
          <w:sz w:val="32"/>
          <w:szCs w:val="32"/>
          <w:highlight w:val="none"/>
          <w14:textFill>
            <w14:solidFill>
              <w14:schemeClr w14:val="tx1"/>
            </w14:solidFill>
          </w14:textFill>
        </w:rPr>
        <w:t>第</w:t>
      </w:r>
      <w:r>
        <w:rPr>
          <w:rFonts w:hint="eastAsia" w:ascii="Times New Roman" w:hAnsi="Times New Roman" w:eastAsia="黑体" w:cs="Times New Roman"/>
          <w:color w:val="000000" w:themeColor="text1"/>
          <w:sz w:val="32"/>
          <w:szCs w:val="32"/>
          <w:highlight w:val="none"/>
          <w:lang w:eastAsia="zh-CN"/>
          <w14:textFill>
            <w14:solidFill>
              <w14:schemeClr w14:val="tx1"/>
            </w14:solidFill>
          </w14:textFill>
        </w:rPr>
        <w:t>六</w:t>
      </w:r>
      <w:r>
        <w:rPr>
          <w:rFonts w:hint="eastAsia" w:ascii="Times New Roman" w:hAnsi="Times New Roman" w:eastAsia="黑体" w:cs="Times New Roman"/>
          <w:color w:val="000000" w:themeColor="text1"/>
          <w:sz w:val="32"/>
          <w:szCs w:val="32"/>
          <w:highlight w:val="none"/>
          <w14:textFill>
            <w14:solidFill>
              <w14:schemeClr w14:val="tx1"/>
            </w14:solidFill>
          </w14:textFill>
        </w:rPr>
        <w:t>章 入大局，</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r>
        <w:rPr>
          <w:rFonts w:hint="eastAsia" w:ascii="Times New Roman" w:hAnsi="Times New Roman" w:eastAsia="黑体" w:cs="Times New Roman"/>
          <w:color w:val="000000" w:themeColor="text1"/>
          <w:sz w:val="32"/>
          <w:szCs w:val="32"/>
          <w:highlight w:val="none"/>
          <w14:textFill>
            <w14:solidFill>
              <w14:schemeClr w14:val="tx1"/>
            </w14:solidFill>
          </w14:textFill>
        </w:rPr>
        <w:t>提升开放经济发展水平</w:t>
      </w:r>
      <w:bookmarkEnd w:id="867"/>
      <w:bookmarkEnd w:id="868"/>
      <w:bookmarkEnd w:id="869"/>
      <w:bookmarkEnd w:id="870"/>
      <w:bookmarkEnd w:id="871"/>
      <w:bookmarkEnd w:id="872"/>
      <w:bookmarkEnd w:id="873"/>
      <w:bookmarkEnd w:id="874"/>
    </w:p>
    <w:p>
      <w:pPr>
        <w:widowControl/>
        <w:spacing w:line="560" w:lineRule="exact"/>
        <w:ind w:firstLine="640" w:firstLineChars="200"/>
        <w:rPr>
          <w:rFonts w:hint="eastAsia" w:ascii="仿宋_GB2312" w:hAnsi="仿宋_GB2312" w:eastAsia="仿宋_GB2312" w:cs="仿宋_GB2312"/>
          <w:bCs/>
          <w:color w:val="auto"/>
          <w:sz w:val="32"/>
          <w:szCs w:val="32"/>
          <w:highlight w:val="none"/>
          <w:shd w:val="clear"/>
        </w:rPr>
      </w:pPr>
      <w:bookmarkStart w:id="875" w:name="_Toc605"/>
      <w:bookmarkStart w:id="876" w:name="_Toc25974"/>
      <w:bookmarkStart w:id="877" w:name="_Toc3336"/>
      <w:bookmarkStart w:id="878" w:name="_Toc17190"/>
      <w:bookmarkStart w:id="879" w:name="_Toc3656"/>
      <w:bookmarkStart w:id="880" w:name="_Toc26871"/>
      <w:bookmarkStart w:id="881" w:name="_Toc30212"/>
      <w:bookmarkStart w:id="882" w:name="_Toc7569"/>
      <w:bookmarkStart w:id="883" w:name="_Toc13770"/>
      <w:bookmarkStart w:id="884" w:name="_Toc14943"/>
      <w:bookmarkStart w:id="885" w:name="_Toc30290"/>
      <w:bookmarkStart w:id="886" w:name="_Toc11651"/>
      <w:bookmarkStart w:id="887" w:name="_Toc11610"/>
      <w:bookmarkStart w:id="888" w:name="_Toc6176"/>
      <w:bookmarkStart w:id="889" w:name="_Toc11259"/>
      <w:r>
        <w:rPr>
          <w:rFonts w:hint="eastAsia" w:ascii="仿宋_GB2312" w:hAnsi="仿宋_GB2312" w:eastAsia="仿宋_GB2312" w:cs="仿宋_GB2312"/>
          <w:bCs/>
          <w:color w:val="auto"/>
          <w:sz w:val="32"/>
          <w:szCs w:val="32"/>
          <w:highlight w:val="none"/>
          <w:shd w:val="clear"/>
        </w:rPr>
        <w:t>紧抓“两区”建设契机，</w:t>
      </w:r>
      <w:r>
        <w:rPr>
          <w:rFonts w:hint="eastAsia" w:ascii="仿宋_GB2312" w:hAnsi="仿宋_GB2312" w:eastAsia="仿宋_GB2312" w:cs="仿宋_GB2312"/>
          <w:bCs/>
          <w:color w:val="auto"/>
          <w:sz w:val="32"/>
          <w:szCs w:val="32"/>
          <w:highlight w:val="none"/>
          <w:shd w:val="clear"/>
          <w:lang w:eastAsia="zh-CN"/>
        </w:rPr>
        <w:t>积极</w:t>
      </w:r>
      <w:r>
        <w:rPr>
          <w:rFonts w:hint="eastAsia" w:ascii="仿宋_GB2312" w:hAnsi="仿宋_GB2312" w:eastAsia="仿宋_GB2312" w:cs="仿宋_GB2312"/>
          <w:bCs/>
          <w:color w:val="auto"/>
          <w:sz w:val="32"/>
          <w:szCs w:val="32"/>
          <w:highlight w:val="none"/>
          <w:shd w:val="clear"/>
        </w:rPr>
        <w:t>融入国家对外开放大局，聚焦跨境贸易、外资利用、入境消费，优化制度环境、畅通要素循环、深化对外合作，全面提升开放型经济发展水平。</w:t>
      </w:r>
    </w:p>
    <w:p>
      <w:pPr>
        <w:spacing w:line="560" w:lineRule="exact"/>
        <w:ind w:firstLine="640" w:firstLineChars="200"/>
        <w:outlineLvl w:val="1"/>
        <w:rPr>
          <w:rFonts w:hint="eastAsia" w:ascii="黑体" w:hAnsi="黑体" w:eastAsia="黑体" w:cs="黑体"/>
          <w:color w:val="000000" w:themeColor="text1"/>
          <w:sz w:val="32"/>
          <w:szCs w:val="32"/>
          <w:highlight w:val="none"/>
          <w14:textFill>
            <w14:solidFill>
              <w14:schemeClr w14:val="tx1"/>
            </w14:solidFill>
          </w14:textFill>
        </w:rPr>
      </w:pPr>
      <w:bookmarkStart w:id="890" w:name="_Toc4851"/>
      <w:bookmarkStart w:id="891" w:name="_Toc12058"/>
      <w:bookmarkStart w:id="892" w:name="_Toc4465"/>
      <w:bookmarkStart w:id="893" w:name="_Toc22006"/>
      <w:bookmarkStart w:id="894" w:name="_Toc3330"/>
      <w:bookmarkStart w:id="895" w:name="_Toc20170"/>
      <w:bookmarkStart w:id="896" w:name="_Toc9078"/>
      <w:bookmarkStart w:id="897" w:name="_Toc8844"/>
      <w:r>
        <w:rPr>
          <w:rFonts w:hint="eastAsia" w:ascii="黑体" w:hAnsi="黑体" w:eastAsia="黑体" w:cs="黑体"/>
          <w:color w:val="000000" w:themeColor="text1"/>
          <w:sz w:val="32"/>
          <w:szCs w:val="32"/>
          <w:highlight w:val="none"/>
          <w14:textFill>
            <w14:solidFill>
              <w14:schemeClr w14:val="tx1"/>
            </w14:solidFill>
          </w14:textFill>
        </w:rPr>
        <w:t>一、</w:t>
      </w:r>
      <w:bookmarkEnd w:id="875"/>
      <w:bookmarkEnd w:id="876"/>
      <w:bookmarkEnd w:id="877"/>
      <w:bookmarkEnd w:id="878"/>
      <w:bookmarkEnd w:id="879"/>
      <w:bookmarkEnd w:id="880"/>
      <w:r>
        <w:rPr>
          <w:rFonts w:hint="eastAsia" w:ascii="黑体" w:hAnsi="黑体" w:eastAsia="黑体" w:cs="黑体"/>
          <w:color w:val="000000" w:themeColor="text1"/>
          <w:sz w:val="32"/>
          <w:szCs w:val="32"/>
          <w:highlight w:val="none"/>
          <w14:textFill>
            <w14:solidFill>
              <w14:schemeClr w14:val="tx1"/>
            </w14:solidFill>
          </w14:textFill>
        </w:rPr>
        <w:t>推动跨境贸易高质量发展</w:t>
      </w:r>
      <w:bookmarkEnd w:id="881"/>
      <w:bookmarkEnd w:id="882"/>
      <w:bookmarkEnd w:id="890"/>
      <w:bookmarkEnd w:id="891"/>
      <w:bookmarkEnd w:id="892"/>
      <w:bookmarkEnd w:id="893"/>
      <w:bookmarkEnd w:id="894"/>
      <w:bookmarkEnd w:id="895"/>
      <w:bookmarkEnd w:id="896"/>
      <w:bookmarkEnd w:id="897"/>
    </w:p>
    <w:p>
      <w:pPr>
        <w:widowControl/>
        <w:spacing w:line="560" w:lineRule="exact"/>
        <w:ind w:firstLine="640" w:firstLineChars="200"/>
        <w:rPr>
          <w:rFonts w:hint="eastAsia" w:ascii="仿宋_GB2312" w:hAnsi="仿宋_GB2312" w:eastAsia="仿宋_GB2312" w:cs="仿宋_GB2312"/>
          <w:bCs/>
          <w:color w:val="auto"/>
          <w:sz w:val="32"/>
          <w:szCs w:val="32"/>
          <w:highlight w:val="none"/>
          <w:shd w:val="clear"/>
          <w:lang w:eastAsia="zh-CN"/>
        </w:rPr>
      </w:pPr>
      <w:r>
        <w:rPr>
          <w:rFonts w:hint="eastAsia" w:ascii="仿宋_GB2312" w:hAnsi="仿宋_GB2312" w:eastAsia="仿宋_GB2312" w:cs="仿宋_GB2312"/>
          <w:bCs/>
          <w:color w:val="auto"/>
          <w:sz w:val="32"/>
          <w:szCs w:val="32"/>
          <w:highlight w:val="none"/>
          <w:shd w:val="clear"/>
        </w:rPr>
        <w:t>紧抓中国（北京）自由贸易试验区门头沟联动发展区建设契机，优化产业创新与开放生态，推动人工智能、心血管创新药械等重点领域产品出口。做强技术贸易，支持人工智能、超高清数字视听等企业开展技术专利许可、专有技术转让及跨境技术解决方案交付。发展文化贸易，推动微短剧规模化出海。鼓励外贸企业提升海关信用等级，培育一批AEO高级认证企业。拓宽出口转内销渠道，加大总部企业引进力度，吸引国内外品牌企业区域总部及功能型总部集聚。</w:t>
      </w:r>
    </w:p>
    <w:p>
      <w:pPr>
        <w:spacing w:line="560" w:lineRule="exact"/>
        <w:ind w:firstLine="640" w:firstLineChars="200"/>
        <w:outlineLvl w:val="1"/>
        <w:rPr>
          <w:rFonts w:hint="eastAsia" w:ascii="黑体" w:hAnsi="黑体" w:eastAsia="黑体" w:cs="黑体"/>
          <w:color w:val="000000" w:themeColor="text1"/>
          <w:sz w:val="32"/>
          <w:szCs w:val="32"/>
          <w:highlight w:val="none"/>
          <w14:textFill>
            <w14:solidFill>
              <w14:schemeClr w14:val="tx1"/>
            </w14:solidFill>
          </w14:textFill>
        </w:rPr>
      </w:pPr>
      <w:bookmarkStart w:id="898" w:name="_Toc8130"/>
      <w:bookmarkStart w:id="899" w:name="_Toc3249"/>
      <w:bookmarkStart w:id="900" w:name="_Toc11169"/>
      <w:bookmarkStart w:id="901" w:name="_Toc5072"/>
      <w:bookmarkStart w:id="902" w:name="_Toc9520"/>
      <w:bookmarkStart w:id="903" w:name="_Toc10233"/>
      <w:bookmarkStart w:id="904" w:name="_Toc18777"/>
      <w:bookmarkStart w:id="905" w:name="_Toc8481"/>
      <w:r>
        <w:rPr>
          <w:rFonts w:hint="eastAsia" w:ascii="黑体" w:hAnsi="黑体" w:eastAsia="黑体" w:cs="黑体"/>
          <w:color w:val="000000" w:themeColor="text1"/>
          <w:sz w:val="32"/>
          <w:szCs w:val="32"/>
          <w:highlight w:val="none"/>
          <w14:textFill>
            <w14:solidFill>
              <w14:schemeClr w14:val="tx1"/>
            </w14:solidFill>
          </w14:textFill>
        </w:rPr>
        <w:t>二、提高实际外资利用水平</w:t>
      </w:r>
      <w:bookmarkEnd w:id="898"/>
      <w:bookmarkEnd w:id="899"/>
      <w:bookmarkEnd w:id="900"/>
      <w:bookmarkEnd w:id="901"/>
      <w:bookmarkEnd w:id="902"/>
      <w:bookmarkEnd w:id="903"/>
      <w:bookmarkEnd w:id="904"/>
      <w:bookmarkEnd w:id="905"/>
    </w:p>
    <w:p>
      <w:pPr>
        <w:spacing w:line="560" w:lineRule="exact"/>
        <w:ind w:firstLine="640"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t>落实服务业扩大开放部署，吸引消费领域外商投资项目落地。拓宽招引渠道，依托国际重大展会平台</w:t>
      </w:r>
      <w:r>
        <w:rPr>
          <w:rFonts w:hint="eastAsia" w:ascii="仿宋_GB2312" w:hAnsi="仿宋_GB2312" w:eastAsia="仿宋_GB2312" w:cs="仿宋_GB2312"/>
          <w:i w:val="0"/>
          <w:iCs w:val="0"/>
          <w:caps w:val="0"/>
          <w:color w:val="000000" w:themeColor="text1"/>
          <w:spacing w:val="0"/>
          <w:sz w:val="32"/>
          <w:szCs w:val="32"/>
          <w:highlight w:val="none"/>
          <w:shd w:val="clear"/>
          <w:lang w:eastAsia="zh-CN"/>
          <w14:textFill>
            <w14:solidFill>
              <w14:schemeClr w14:val="tx1"/>
            </w14:solidFill>
          </w14:textFill>
        </w:rPr>
        <w:t>加强</w:t>
      </w:r>
      <w:r>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t>区域推介，织密全球招商网络，增设海外联络站点，</w:t>
      </w:r>
      <w:r>
        <w:rPr>
          <w:rFonts w:hint="eastAsia" w:ascii="仿宋_GB2312" w:hAnsi="仿宋_GB2312" w:eastAsia="仿宋_GB2312" w:cs="仿宋_GB2312"/>
          <w:i w:val="0"/>
          <w:iCs w:val="0"/>
          <w:caps w:val="0"/>
          <w:color w:val="000000" w:themeColor="text1"/>
          <w:spacing w:val="0"/>
          <w:sz w:val="32"/>
          <w:szCs w:val="32"/>
          <w:highlight w:val="none"/>
          <w:shd w:val="clear"/>
          <w:lang w:eastAsia="zh-CN"/>
          <w14:textFill>
            <w14:solidFill>
              <w14:schemeClr w14:val="tx1"/>
            </w14:solidFill>
          </w14:textFill>
        </w:rPr>
        <w:t>吸引</w:t>
      </w:r>
      <w:r>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t>优质外资企业和项目集聚。用足用好政策措施，支持存量外资扩产增效。健全重大外资项目全生命周期管理机制，完善</w:t>
      </w:r>
      <w:r>
        <w:rPr>
          <w:rFonts w:hint="eastAsia" w:ascii="Times New Roman" w:hAnsi="Times New Roman" w:eastAsia="仿宋_GB2312" w:cs="Times New Roman"/>
          <w:i w:val="0"/>
          <w:iCs w:val="0"/>
          <w:caps w:val="0"/>
          <w:color w:val="000000" w:themeColor="text1"/>
          <w:spacing w:val="0"/>
          <w:sz w:val="32"/>
          <w:szCs w:val="32"/>
          <w:highlight w:val="none"/>
          <w:shd w:val="clear" w:fill="auto"/>
          <w14:textFill>
            <w14:solidFill>
              <w14:schemeClr w14:val="tx1"/>
            </w14:solidFill>
          </w14:textFill>
        </w:rPr>
        <w:t>外资企业</w:t>
      </w:r>
      <w:r>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t>圆桌会议及“服务包”制度，畅通政企沟通渠道，构建诉求收集、研判、反馈、督办闭环响应体系。</w:t>
      </w:r>
    </w:p>
    <w:p>
      <w:pPr>
        <w:spacing w:line="560" w:lineRule="exact"/>
        <w:ind w:firstLine="640" w:firstLineChars="200"/>
        <w:outlineLvl w:val="1"/>
        <w:rPr>
          <w:rFonts w:hint="eastAsia" w:ascii="黑体" w:hAnsi="黑体" w:eastAsia="黑体" w:cs="黑体"/>
          <w:color w:val="000000" w:themeColor="text1"/>
          <w:sz w:val="32"/>
          <w:szCs w:val="32"/>
          <w:highlight w:val="none"/>
          <w14:textFill>
            <w14:solidFill>
              <w14:schemeClr w14:val="tx1"/>
            </w14:solidFill>
          </w14:textFill>
        </w:rPr>
      </w:pPr>
      <w:bookmarkStart w:id="906" w:name="_Toc4904"/>
      <w:bookmarkStart w:id="907" w:name="_Toc17336"/>
      <w:bookmarkStart w:id="908" w:name="_Toc21"/>
      <w:bookmarkStart w:id="909" w:name="_Toc12440"/>
      <w:bookmarkStart w:id="910" w:name="_Toc18836"/>
      <w:bookmarkStart w:id="911" w:name="_Toc3563"/>
      <w:bookmarkStart w:id="912" w:name="_Toc11600"/>
      <w:bookmarkStart w:id="913" w:name="_Toc29116"/>
      <w:bookmarkStart w:id="914" w:name="_Toc13404"/>
      <w:bookmarkStart w:id="915" w:name="_Toc32211"/>
      <w:bookmarkStart w:id="916" w:name="_Toc5234"/>
      <w:bookmarkStart w:id="917" w:name="_Toc961"/>
      <w:bookmarkStart w:id="918" w:name="_Toc18363"/>
      <w:bookmarkStart w:id="919" w:name="_Toc2665"/>
      <w:bookmarkStart w:id="920" w:name="_Toc3242"/>
      <w:bookmarkStart w:id="921" w:name="_Toc27349"/>
      <w:bookmarkStart w:id="922" w:name="_Toc18445"/>
      <w:bookmarkStart w:id="923" w:name="_Toc25645"/>
      <w:bookmarkStart w:id="924" w:name="_Toc3171"/>
      <w:bookmarkStart w:id="925" w:name="_Toc26935"/>
      <w:bookmarkStart w:id="926" w:name="_Toc24659"/>
      <w:bookmarkStart w:id="927" w:name="_Toc10653"/>
      <w:bookmarkStart w:id="928" w:name="_Toc25685"/>
      <w:bookmarkStart w:id="929" w:name="_Toc32108"/>
      <w:r>
        <w:rPr>
          <w:rFonts w:hint="eastAsia" w:ascii="黑体" w:hAnsi="黑体" w:eastAsia="黑体" w:cs="黑体"/>
          <w:color w:val="000000" w:themeColor="text1"/>
          <w:sz w:val="32"/>
          <w:szCs w:val="32"/>
          <w:highlight w:val="none"/>
          <w14:textFill>
            <w14:solidFill>
              <w14:schemeClr w14:val="tx1"/>
            </w14:solidFill>
          </w14:textFill>
        </w:rPr>
        <w:t>三、稳步扩大入境消费规模</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p>
    <w:p>
      <w:pPr>
        <w:spacing w:line="560" w:lineRule="exact"/>
        <w:ind w:firstLine="640"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Times New Roman" w:hAnsi="Times New Roman" w:eastAsia="仿宋_GB2312" w:cs="Times New Roman"/>
          <w:i w:val="0"/>
          <w:iCs w:val="0"/>
          <w:caps w:val="0"/>
          <w:color w:val="000000" w:themeColor="text1"/>
          <w:spacing w:val="0"/>
          <w:sz w:val="32"/>
          <w:szCs w:val="32"/>
          <w:highlight w:val="none"/>
          <w:shd w:val="clear"/>
          <w14:textFill>
            <w14:solidFill>
              <w14:schemeClr w14:val="tx1"/>
            </w14:solidFill>
          </w14:textFill>
        </w:rPr>
        <w:t>加大过境免签政策宣传力度，加强与境内外旅行社及线上平台合作，策划优质入境旅游线路。加快离境退税商店建设，推动商圈、景区、文博场所、酒店等重点区域增设退税商店，扩大覆盖面。引导退税商店丰富老字号、国货潮品、文创产品、名优特产等</w:t>
      </w:r>
      <w:r>
        <w:rPr>
          <w:rFonts w:hint="eastAsia" w:ascii="Times New Roman" w:hAnsi="Times New Roman" w:eastAsia="仿宋_GB2312" w:cs="Times New Roman"/>
          <w:i w:val="0"/>
          <w:iCs w:val="0"/>
          <w:caps w:val="0"/>
          <w:color w:val="000000" w:themeColor="text1"/>
          <w:spacing w:val="0"/>
          <w:sz w:val="32"/>
          <w:szCs w:val="32"/>
          <w:highlight w:val="none"/>
          <w:shd w:val="clear"/>
          <w:lang w:eastAsia="zh-CN"/>
          <w14:textFill>
            <w14:solidFill>
              <w14:schemeClr w14:val="tx1"/>
            </w14:solidFill>
          </w14:textFill>
        </w:rPr>
        <w:t>产品</w:t>
      </w:r>
      <w:r>
        <w:rPr>
          <w:rFonts w:hint="eastAsia" w:ascii="Times New Roman" w:hAnsi="Times New Roman" w:eastAsia="仿宋_GB2312" w:cs="Times New Roman"/>
          <w:i w:val="0"/>
          <w:iCs w:val="0"/>
          <w:caps w:val="0"/>
          <w:color w:val="000000" w:themeColor="text1"/>
          <w:spacing w:val="0"/>
          <w:sz w:val="32"/>
          <w:szCs w:val="32"/>
          <w:highlight w:val="none"/>
          <w:shd w:val="clear"/>
          <w14:textFill>
            <w14:solidFill>
              <w14:schemeClr w14:val="tx1"/>
            </w14:solidFill>
          </w14:textFill>
        </w:rPr>
        <w:t>供给，推广“即买即退”服务。</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加强国际化消费环境建设，</w:t>
      </w:r>
      <w:r>
        <w:rPr>
          <w:rFonts w:hint="eastAsia" w:ascii="Times New Roman" w:hAnsi="Times New Roman" w:eastAsia="仿宋_GB2312" w:cs="Times New Roman"/>
          <w:i w:val="0"/>
          <w:iCs w:val="0"/>
          <w:caps w:val="0"/>
          <w:color w:val="000000" w:themeColor="text1"/>
          <w:spacing w:val="0"/>
          <w:sz w:val="32"/>
          <w:szCs w:val="32"/>
          <w:highlight w:val="none"/>
          <w:shd w:val="clear"/>
          <w14:textFill>
            <w14:solidFill>
              <w14:schemeClr w14:val="tx1"/>
            </w14:solidFill>
          </w14:textFill>
        </w:rPr>
        <w:t>优化支付环境，完善重点消费场所多语种标识及导览设施。</w:t>
      </w:r>
    </w:p>
    <w:bookmarkEnd w:id="883"/>
    <w:bookmarkEnd w:id="884"/>
    <w:bookmarkEnd w:id="885"/>
    <w:bookmarkEnd w:id="886"/>
    <w:bookmarkEnd w:id="887"/>
    <w:bookmarkEnd w:id="888"/>
    <w:bookmarkEnd w:id="889"/>
    <w:bookmarkEnd w:id="922"/>
    <w:bookmarkEnd w:id="923"/>
    <w:bookmarkEnd w:id="924"/>
    <w:bookmarkEnd w:id="925"/>
    <w:bookmarkEnd w:id="926"/>
    <w:bookmarkEnd w:id="927"/>
    <w:bookmarkEnd w:id="928"/>
    <w:bookmarkEnd w:id="929"/>
    <w:p>
      <w:pPr>
        <w:spacing w:before="156" w:beforeLines="50" w:after="156" w:afterLines="50" w:line="560" w:lineRule="exact"/>
        <w:jc w:val="center"/>
        <w:outlineLvl w:val="0"/>
        <w:rPr>
          <w:rFonts w:ascii="Times New Roman" w:hAnsi="Times New Roman" w:eastAsia="黑体" w:cs="Times New Roman"/>
          <w:color w:val="000000" w:themeColor="text1"/>
          <w:sz w:val="32"/>
          <w:szCs w:val="32"/>
          <w:highlight w:val="none"/>
          <w14:textFill>
            <w14:solidFill>
              <w14:schemeClr w14:val="tx1"/>
            </w14:solidFill>
          </w14:textFill>
        </w:rPr>
      </w:pPr>
      <w:bookmarkStart w:id="930" w:name="_Toc11755"/>
      <w:bookmarkStart w:id="931" w:name="_Toc19850"/>
      <w:bookmarkStart w:id="932" w:name="_Toc22630"/>
      <w:bookmarkStart w:id="933" w:name="_Toc27229"/>
      <w:bookmarkStart w:id="934" w:name="_Toc759"/>
      <w:bookmarkStart w:id="935" w:name="_Toc31030"/>
      <w:bookmarkStart w:id="936" w:name="_Toc9721"/>
      <w:bookmarkStart w:id="937" w:name="_Toc7331"/>
      <w:r>
        <w:rPr>
          <w:rFonts w:hint="eastAsia" w:ascii="Times New Roman" w:hAnsi="Times New Roman" w:eastAsia="黑体" w:cs="Times New Roman"/>
          <w:color w:val="000000" w:themeColor="text1"/>
          <w:sz w:val="32"/>
          <w:szCs w:val="32"/>
          <w:highlight w:val="none"/>
          <w14:textFill>
            <w14:solidFill>
              <w14:schemeClr w14:val="tx1"/>
            </w14:solidFill>
          </w14:textFill>
        </w:rPr>
        <w:t>第</w:t>
      </w:r>
      <w:r>
        <w:rPr>
          <w:rFonts w:hint="eastAsia" w:ascii="Times New Roman" w:hAnsi="Times New Roman" w:eastAsia="黑体" w:cs="Times New Roman"/>
          <w:color w:val="000000" w:themeColor="text1"/>
          <w:sz w:val="32"/>
          <w:szCs w:val="32"/>
          <w:highlight w:val="none"/>
          <w:lang w:eastAsia="zh-CN"/>
          <w14:textFill>
            <w14:solidFill>
              <w14:schemeClr w14:val="tx1"/>
            </w14:solidFill>
          </w14:textFill>
        </w:rPr>
        <w:t>七</w:t>
      </w:r>
      <w:r>
        <w:rPr>
          <w:rFonts w:hint="eastAsia" w:ascii="Times New Roman" w:hAnsi="Times New Roman" w:eastAsia="黑体" w:cs="Times New Roman"/>
          <w:color w:val="000000" w:themeColor="text1"/>
          <w:sz w:val="32"/>
          <w:szCs w:val="32"/>
          <w:highlight w:val="none"/>
          <w14:textFill>
            <w14:solidFill>
              <w14:schemeClr w14:val="tx1"/>
            </w14:solidFill>
          </w14:textFill>
        </w:rPr>
        <w:t>章 塑环境，构建区域良好消费生态</w:t>
      </w:r>
      <w:bookmarkEnd w:id="930"/>
      <w:bookmarkEnd w:id="931"/>
      <w:bookmarkEnd w:id="932"/>
      <w:bookmarkEnd w:id="933"/>
      <w:bookmarkEnd w:id="934"/>
      <w:bookmarkEnd w:id="935"/>
      <w:bookmarkEnd w:id="936"/>
      <w:bookmarkEnd w:id="937"/>
    </w:p>
    <w:p>
      <w:pPr>
        <w:spacing w:line="560" w:lineRule="exact"/>
        <w:ind w:firstLine="640" w:firstLineChars="200"/>
        <w:jc w:val="left"/>
        <w:rPr>
          <w:rFonts w:hint="eastAsia" w:ascii="仿宋_GB2312" w:hAnsi="仿宋_GB2312" w:eastAsia="仿宋_GB2312" w:cs="仿宋_GB2312"/>
          <w:color w:val="000000" w:themeColor="text1"/>
          <w:sz w:val="32"/>
          <w:szCs w:val="32"/>
          <w:highlight w:val="none"/>
          <w14:textFill>
            <w14:solidFill>
              <w14:schemeClr w14:val="tx1"/>
            </w14:solidFill>
          </w14:textFill>
        </w:rPr>
      </w:pPr>
      <w:bookmarkStart w:id="938" w:name="_Toc3015"/>
      <w:bookmarkStart w:id="939" w:name="_Toc20221"/>
      <w:bookmarkStart w:id="940" w:name="_Toc7909"/>
      <w:bookmarkStart w:id="941" w:name="_Toc20450"/>
      <w:bookmarkStart w:id="942" w:name="_Toc5437"/>
      <w:bookmarkStart w:id="943" w:name="_Toc7700"/>
      <w:bookmarkStart w:id="944" w:name="_Toc18146"/>
      <w:bookmarkStart w:id="945" w:name="_Toc6463"/>
      <w:bookmarkStart w:id="946" w:name="_Toc25677"/>
      <w:bookmarkStart w:id="947" w:name="_Toc17560"/>
      <w:bookmarkStart w:id="948" w:name="_Toc17233"/>
      <w:r>
        <w:rPr>
          <w:rFonts w:hint="eastAsia" w:ascii="仿宋_GB2312" w:hAnsi="仿宋_GB2312" w:eastAsia="仿宋_GB2312" w:cs="仿宋_GB2312"/>
          <w:color w:val="000000" w:themeColor="text1"/>
          <w:sz w:val="32"/>
          <w:szCs w:val="32"/>
          <w:highlight w:val="none"/>
          <w14:textFill>
            <w14:solidFill>
              <w14:schemeClr w14:val="tx1"/>
            </w14:solidFill>
          </w14:textFill>
        </w:rPr>
        <w:t>聚焦消费者与经营者两端协同发力，</w:t>
      </w:r>
      <w:r>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t>以改革优化营商环境，以品质提升消费体验，构筑市场有效、政府有为、群众满意的消费生态。</w:t>
      </w:r>
    </w:p>
    <w:p>
      <w:pPr>
        <w:shd w:val="clear"/>
        <w:spacing w:line="560" w:lineRule="exact"/>
        <w:ind w:firstLine="640" w:firstLineChars="200"/>
        <w:outlineLvl w:val="1"/>
        <w:rPr>
          <w:rFonts w:hint="eastAsia" w:ascii="黑体" w:hAnsi="黑体" w:eastAsia="黑体" w:cs="黑体"/>
          <w:color w:val="000000" w:themeColor="text1"/>
          <w:sz w:val="32"/>
          <w:szCs w:val="32"/>
          <w:highlight w:val="none"/>
          <w14:textFill>
            <w14:solidFill>
              <w14:schemeClr w14:val="tx1"/>
            </w14:solidFill>
          </w14:textFill>
        </w:rPr>
      </w:pPr>
      <w:bookmarkStart w:id="949" w:name="_Toc21574"/>
      <w:bookmarkStart w:id="950" w:name="_Toc31267"/>
      <w:bookmarkStart w:id="951" w:name="_Toc7054"/>
      <w:bookmarkStart w:id="952" w:name="_Toc17665"/>
      <w:bookmarkStart w:id="953" w:name="_Toc16132"/>
      <w:bookmarkStart w:id="954" w:name="_Toc18730"/>
      <w:bookmarkStart w:id="955" w:name="_Toc22611"/>
      <w:bookmarkStart w:id="956" w:name="_Toc430"/>
      <w:r>
        <w:rPr>
          <w:rFonts w:hint="eastAsia" w:ascii="黑体" w:hAnsi="黑体" w:eastAsia="黑体" w:cs="黑体"/>
          <w:color w:val="000000" w:themeColor="text1"/>
          <w:sz w:val="32"/>
          <w:szCs w:val="32"/>
          <w:highlight w:val="none"/>
          <w14:textFill>
            <w14:solidFill>
              <w14:schemeClr w14:val="tx1"/>
            </w14:solidFill>
          </w14:textFill>
        </w:rPr>
        <w:t>一、营造包容赋能发展环境</w:t>
      </w:r>
      <w:bookmarkEnd w:id="949"/>
      <w:bookmarkEnd w:id="950"/>
      <w:bookmarkEnd w:id="951"/>
      <w:bookmarkEnd w:id="952"/>
      <w:bookmarkEnd w:id="953"/>
      <w:bookmarkEnd w:id="954"/>
      <w:bookmarkEnd w:id="955"/>
      <w:bookmarkEnd w:id="956"/>
    </w:p>
    <w:p>
      <w:pPr>
        <w:shd w:val="clear"/>
        <w:spacing w:line="560" w:lineRule="exact"/>
        <w:ind w:firstLine="640" w:firstLineChars="200"/>
        <w:outlineLvl w:val="1"/>
        <w:rPr>
          <w:rFonts w:hint="eastAsia" w:ascii="楷体_GB2312" w:hAnsi="楷体_GB2312" w:eastAsia="楷体_GB2312" w:cs="楷体_GB2312"/>
          <w:color w:val="000000" w:themeColor="text1"/>
          <w:sz w:val="32"/>
          <w:szCs w:val="32"/>
          <w:highlight w:val="none"/>
          <w14:textFill>
            <w14:solidFill>
              <w14:schemeClr w14:val="tx1"/>
            </w14:solidFill>
          </w14:textFill>
        </w:rPr>
      </w:pPr>
      <w:bookmarkStart w:id="957" w:name="_Toc21277"/>
      <w:bookmarkStart w:id="958" w:name="_Toc28083"/>
      <w:bookmarkStart w:id="959" w:name="_Toc10522"/>
      <w:bookmarkStart w:id="960" w:name="_Toc13350"/>
      <w:bookmarkStart w:id="961" w:name="_Toc19454"/>
      <w:bookmarkStart w:id="962" w:name="_Toc5262"/>
      <w:bookmarkStart w:id="963" w:name="_Toc17506"/>
      <w:bookmarkStart w:id="964" w:name="_Toc27094"/>
      <w:r>
        <w:rPr>
          <w:rFonts w:hint="eastAsia" w:ascii="楷体_GB2312" w:hAnsi="楷体_GB2312" w:eastAsia="楷体_GB2312" w:cs="楷体_GB2312"/>
          <w:color w:val="000000" w:themeColor="text1"/>
          <w:sz w:val="32"/>
          <w:szCs w:val="32"/>
          <w:highlight w:val="none"/>
          <w14:textFill>
            <w14:solidFill>
              <w14:schemeClr w14:val="tx1"/>
            </w14:solidFill>
          </w14:textFill>
        </w:rPr>
        <w:t>（一）优化营商发展环境</w:t>
      </w:r>
      <w:bookmarkEnd w:id="957"/>
      <w:bookmarkEnd w:id="958"/>
      <w:bookmarkEnd w:id="959"/>
      <w:bookmarkEnd w:id="960"/>
      <w:bookmarkEnd w:id="961"/>
      <w:bookmarkEnd w:id="962"/>
      <w:bookmarkEnd w:id="963"/>
      <w:bookmarkEnd w:id="964"/>
    </w:p>
    <w:p>
      <w:pPr>
        <w:spacing w:line="560" w:lineRule="exact"/>
        <w:ind w:firstLine="640" w:firstLineChars="200"/>
        <w:rPr>
          <w:rFonts w:hint="eastAsia" w:ascii="仿宋_GB2312" w:hAnsi="仿宋_GB2312" w:eastAsia="仿宋_GB2312" w:cs="仿宋_GB2312"/>
          <w:i w:val="0"/>
          <w:iCs w:val="0"/>
          <w:caps w:val="0"/>
          <w:color w:val="000000" w:themeColor="text1"/>
          <w:spacing w:val="0"/>
          <w:sz w:val="32"/>
          <w:szCs w:val="32"/>
          <w:highlight w:val="none"/>
          <w:shd w:val="clear" w:fill="FFFFFF"/>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highlight w:val="none"/>
          <w:shd w:val="clear" w:fill="FFFFFF"/>
          <w14:textFill>
            <w14:solidFill>
              <w14:schemeClr w14:val="tx1"/>
            </w14:solidFill>
          </w14:textFill>
        </w:rPr>
        <w:t>放宽服务消费领域市场准入，清理消费领域市场准入隐性壁垒。</w:t>
      </w:r>
      <w:r>
        <w:rPr>
          <w:rFonts w:hint="eastAsia" w:ascii="仿宋_GB2312" w:hAnsi="仿宋_GB2312" w:eastAsia="仿宋_GB2312" w:cs="仿宋_GB2312"/>
          <w:i w:val="0"/>
          <w:iCs w:val="0"/>
          <w:caps w:val="0"/>
          <w:color w:val="000000" w:themeColor="text1"/>
          <w:spacing w:val="0"/>
          <w:sz w:val="32"/>
          <w:szCs w:val="32"/>
          <w:highlight w:val="none"/>
          <w:shd w:val="clear" w:fill="FFFFFF"/>
          <w:lang w:eastAsia="zh-CN"/>
          <w14:textFill>
            <w14:solidFill>
              <w14:schemeClr w14:val="tx1"/>
            </w14:solidFill>
          </w14:textFill>
        </w:rPr>
        <w:t>进一步</w:t>
      </w:r>
      <w:r>
        <w:rPr>
          <w:rFonts w:hint="eastAsia" w:ascii="仿宋_GB2312" w:hAnsi="仿宋_GB2312" w:eastAsia="仿宋_GB2312" w:cs="仿宋_GB2312"/>
          <w:i w:val="0"/>
          <w:iCs w:val="0"/>
          <w:caps w:val="0"/>
          <w:color w:val="000000" w:themeColor="text1"/>
          <w:spacing w:val="0"/>
          <w:sz w:val="32"/>
          <w:szCs w:val="32"/>
          <w:highlight w:val="none"/>
          <w:shd w:val="clear" w:fill="FFFFFF"/>
          <w14:textFill>
            <w14:solidFill>
              <w14:schemeClr w14:val="tx1"/>
            </w14:solidFill>
          </w14:textFill>
        </w:rPr>
        <w:t>优化商圈、景区、公园等场所举办促销、文体、节庆活动的审批管理。深化政务服务改革，推动更多消费领域关联事项“一件事、一次办”。健全消费领域协同监管机制，对</w:t>
      </w:r>
      <w:r>
        <w:rPr>
          <w:rFonts w:hint="eastAsia" w:ascii="仿宋_GB2312" w:hAnsi="仿宋_GB2312" w:eastAsia="仿宋_GB2312" w:cs="仿宋_GB2312"/>
          <w:i w:val="0"/>
          <w:iCs w:val="0"/>
          <w:caps w:val="0"/>
          <w:color w:val="000000" w:themeColor="text1"/>
          <w:spacing w:val="0"/>
          <w:sz w:val="32"/>
          <w:szCs w:val="32"/>
          <w:highlight w:val="none"/>
          <w:shd w:val="clear"/>
          <w:lang w:eastAsia="zh-CN"/>
          <w14:textFill>
            <w14:solidFill>
              <w14:schemeClr w14:val="tx1"/>
            </w14:solidFill>
          </w14:textFill>
        </w:rPr>
        <w:t>消费</w:t>
      </w:r>
      <w:r>
        <w:rPr>
          <w:rFonts w:hint="eastAsia" w:ascii="仿宋_GB2312" w:hAnsi="仿宋_GB2312" w:eastAsia="仿宋_GB2312" w:cs="仿宋_GB2312"/>
          <w:i w:val="0"/>
          <w:iCs w:val="0"/>
          <w:caps w:val="0"/>
          <w:color w:val="000000" w:themeColor="text1"/>
          <w:spacing w:val="0"/>
          <w:sz w:val="32"/>
          <w:szCs w:val="32"/>
          <w:highlight w:val="none"/>
          <w:shd w:val="clear" w:fill="FFFFFF"/>
          <w14:textFill>
            <w14:solidFill>
              <w14:schemeClr w14:val="tx1"/>
            </w14:solidFill>
          </w14:textFill>
        </w:rPr>
        <w:t>新业态、新模式、新场景实施包容审慎监管。</w:t>
      </w:r>
    </w:p>
    <w:p>
      <w:pPr>
        <w:shd w:val="clear"/>
        <w:spacing w:line="560" w:lineRule="exact"/>
        <w:ind w:firstLine="640" w:firstLineChars="200"/>
        <w:outlineLvl w:val="1"/>
        <w:rPr>
          <w:rFonts w:hint="eastAsia" w:ascii="楷体_GB2312" w:hAnsi="楷体_GB2312" w:eastAsia="楷体_GB2312" w:cs="楷体_GB2312"/>
          <w:color w:val="000000" w:themeColor="text1"/>
          <w:sz w:val="32"/>
          <w:szCs w:val="32"/>
          <w:highlight w:val="none"/>
          <w:lang w:eastAsia="zh-CN"/>
          <w14:textFill>
            <w14:solidFill>
              <w14:schemeClr w14:val="tx1"/>
            </w14:solidFill>
          </w14:textFill>
        </w:rPr>
      </w:pPr>
      <w:bookmarkStart w:id="965" w:name="_Toc17337"/>
      <w:bookmarkStart w:id="966" w:name="_Toc5211"/>
      <w:bookmarkStart w:id="967" w:name="_Toc7786"/>
      <w:bookmarkStart w:id="968" w:name="_Toc29832"/>
      <w:bookmarkStart w:id="969" w:name="_Toc16962"/>
      <w:bookmarkStart w:id="970" w:name="_Toc21820"/>
      <w:bookmarkStart w:id="971" w:name="_Toc25747"/>
      <w:bookmarkStart w:id="972" w:name="_Toc14589"/>
      <w:r>
        <w:rPr>
          <w:rFonts w:hint="eastAsia" w:ascii="楷体_GB2312" w:hAnsi="楷体_GB2312" w:eastAsia="楷体_GB2312" w:cs="楷体_GB2312"/>
          <w:color w:val="000000" w:themeColor="text1"/>
          <w:sz w:val="32"/>
          <w:szCs w:val="32"/>
          <w:highlight w:val="none"/>
          <w14:textFill>
            <w14:solidFill>
              <w14:schemeClr w14:val="tx1"/>
            </w14:solidFill>
          </w14:textFill>
        </w:rPr>
        <w:t>（二）</w:t>
      </w:r>
      <w:bookmarkEnd w:id="965"/>
      <w:bookmarkEnd w:id="966"/>
      <w:bookmarkEnd w:id="967"/>
      <w:bookmarkEnd w:id="968"/>
      <w:bookmarkEnd w:id="969"/>
      <w:r>
        <w:rPr>
          <w:rFonts w:hint="eastAsia" w:ascii="楷体_GB2312" w:hAnsi="楷体_GB2312" w:eastAsia="楷体_GB2312" w:cs="楷体_GB2312"/>
          <w:color w:val="000000" w:themeColor="text1"/>
          <w:sz w:val="32"/>
          <w:szCs w:val="32"/>
          <w:highlight w:val="none"/>
          <w:lang w:eastAsia="zh-CN"/>
          <w14:textFill>
            <w14:solidFill>
              <w14:schemeClr w14:val="tx1"/>
            </w14:solidFill>
          </w14:textFill>
        </w:rPr>
        <w:t>完善消费政策体系</w:t>
      </w:r>
      <w:bookmarkEnd w:id="970"/>
      <w:bookmarkEnd w:id="971"/>
      <w:bookmarkEnd w:id="972"/>
    </w:p>
    <w:p>
      <w:pPr>
        <w:pStyle w:val="14"/>
        <w:shd w:val="clear"/>
        <w:spacing w:line="560" w:lineRule="exact"/>
        <w:ind w:firstLine="640" w:firstLineChars="200"/>
        <w:rPr>
          <w:rFonts w:hint="eastAsia" w:ascii="仿宋_GB2312" w:hAnsi="仿宋_GB2312" w:eastAsia="仿宋_GB2312" w:cs="仿宋_GB2312"/>
          <w:i w:val="0"/>
          <w:iCs w:val="0"/>
          <w:caps w:val="0"/>
          <w:color w:val="000000" w:themeColor="text1"/>
          <w:spacing w:val="0"/>
          <w:sz w:val="32"/>
          <w:szCs w:val="32"/>
          <w:highlight w:val="none"/>
          <w:shd w:val="clear"/>
          <w:lang w:bidi="ar"/>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贯彻国家“两重”“两新”部署，强化商业领域重大项目谋划落地</w:t>
      </w:r>
      <w:r>
        <w:rPr>
          <w:rFonts w:hint="eastAsia" w:ascii="仿宋_GB2312" w:hAnsi="仿宋_GB2312" w:eastAsia="仿宋_GB2312" w:cs="仿宋_GB2312"/>
          <w:i w:val="0"/>
          <w:iCs w:val="0"/>
          <w:caps w:val="0"/>
          <w:color w:val="000000" w:themeColor="text1"/>
          <w:spacing w:val="0"/>
          <w:sz w:val="32"/>
          <w:szCs w:val="32"/>
          <w:highlight w:val="none"/>
          <w:shd w:val="clear"/>
          <w:lang w:eastAsia="zh-CN" w:bidi="ar-SA"/>
          <w14:textFill>
            <w14:solidFill>
              <w14:schemeClr w14:val="tx1"/>
            </w14:solidFill>
          </w14:textFill>
        </w:rPr>
        <w:t>，推动</w:t>
      </w: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商业设施设备更新、消费品以旧换新。</w:t>
      </w:r>
      <w:r>
        <w:rPr>
          <w:rFonts w:hint="eastAsia" w:ascii="仿宋_GB2312" w:hAnsi="仿宋_GB2312" w:eastAsia="仿宋_GB2312" w:cs="仿宋_GB2312"/>
          <w:color w:val="000000" w:themeColor="text1"/>
          <w:sz w:val="32"/>
          <w:szCs w:val="32"/>
          <w:highlight w:val="none"/>
          <w14:textFill>
            <w14:solidFill>
              <w14:schemeClr w14:val="tx1"/>
            </w14:solidFill>
          </w14:textFill>
        </w:rPr>
        <w:t>用好城市更新、商贸流通、</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消费新业态新模式新场景</w:t>
      </w:r>
      <w:r>
        <w:rPr>
          <w:rFonts w:hint="eastAsia" w:ascii="仿宋_GB2312" w:hAnsi="仿宋_GB2312" w:eastAsia="仿宋_GB2312" w:cs="仿宋_GB2312"/>
          <w:color w:val="000000" w:themeColor="text1"/>
          <w:sz w:val="32"/>
          <w:szCs w:val="32"/>
          <w:highlight w:val="none"/>
          <w14:textFill>
            <w14:solidFill>
              <w14:schemeClr w14:val="tx1"/>
            </w14:solidFill>
          </w14:textFill>
        </w:rPr>
        <w:t>等领域支持政策，</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研究区级消费领域</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促进措施</w:t>
      </w:r>
      <w:r>
        <w:rPr>
          <w:rFonts w:hint="eastAsia" w:ascii="仿宋_GB2312" w:hAnsi="仿宋_GB2312" w:eastAsia="仿宋_GB2312" w:cs="仿宋_GB2312"/>
          <w:color w:val="000000" w:themeColor="text1"/>
          <w:sz w:val="32"/>
          <w:szCs w:val="32"/>
          <w:highlight w:val="none"/>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t>引导金融机构创新消费金融产品</w:t>
      </w:r>
      <w:r>
        <w:rPr>
          <w:rFonts w:hint="eastAsia" w:ascii="仿宋_GB2312" w:hAnsi="仿宋_GB2312" w:eastAsia="仿宋_GB2312" w:cs="仿宋_GB2312"/>
          <w:color w:val="000000" w:themeColor="text1"/>
          <w:sz w:val="32"/>
          <w:szCs w:val="32"/>
          <w:highlight w:val="none"/>
          <w14:textFill>
            <w14:solidFill>
              <w14:schemeClr w14:val="tx1"/>
            </w14:solidFill>
          </w14:textFill>
        </w:rPr>
        <w:t>。</w:t>
      </w:r>
    </w:p>
    <w:p>
      <w:pPr>
        <w:spacing w:line="560" w:lineRule="exact"/>
        <w:ind w:firstLine="640" w:firstLineChars="200"/>
        <w:outlineLvl w:val="1"/>
        <w:rPr>
          <w:rFonts w:hint="eastAsia" w:ascii="黑体" w:hAnsi="黑体" w:eastAsia="黑体" w:cs="黑体"/>
          <w:color w:val="000000" w:themeColor="text1"/>
          <w:sz w:val="32"/>
          <w:szCs w:val="32"/>
          <w:highlight w:val="none"/>
          <w14:textFill>
            <w14:solidFill>
              <w14:schemeClr w14:val="tx1"/>
            </w14:solidFill>
          </w14:textFill>
        </w:rPr>
      </w:pPr>
      <w:bookmarkStart w:id="973" w:name="_Toc25568"/>
      <w:bookmarkStart w:id="974" w:name="_Toc27561"/>
      <w:bookmarkStart w:id="975" w:name="_Toc10059"/>
      <w:bookmarkStart w:id="976" w:name="_Toc17961"/>
      <w:bookmarkStart w:id="977" w:name="_Toc10443"/>
      <w:bookmarkStart w:id="978" w:name="_Toc17101"/>
      <w:bookmarkStart w:id="979" w:name="_Toc11045"/>
      <w:bookmarkStart w:id="980" w:name="_Toc79"/>
      <w:r>
        <w:rPr>
          <w:rFonts w:hint="eastAsia" w:ascii="黑体" w:hAnsi="黑体" w:eastAsia="黑体" w:cs="黑体"/>
          <w:color w:val="000000" w:themeColor="text1"/>
          <w:sz w:val="32"/>
          <w:szCs w:val="32"/>
          <w:highlight w:val="none"/>
          <w14:textFill>
            <w14:solidFill>
              <w14:schemeClr w14:val="tx1"/>
            </w14:solidFill>
          </w14:textFill>
        </w:rPr>
        <w:t>二、打造安心便捷消费环境</w:t>
      </w:r>
      <w:bookmarkEnd w:id="973"/>
      <w:bookmarkEnd w:id="974"/>
      <w:bookmarkEnd w:id="975"/>
      <w:bookmarkEnd w:id="976"/>
      <w:bookmarkEnd w:id="977"/>
      <w:bookmarkEnd w:id="978"/>
      <w:bookmarkEnd w:id="979"/>
      <w:bookmarkEnd w:id="980"/>
    </w:p>
    <w:p>
      <w:pPr>
        <w:spacing w:line="560" w:lineRule="exact"/>
        <w:ind w:firstLine="640" w:firstLineChars="200"/>
        <w:outlineLvl w:val="1"/>
        <w:rPr>
          <w:rFonts w:hint="eastAsia" w:ascii="楷体_GB2312" w:hAnsi="楷体_GB2312" w:eastAsia="楷体_GB2312" w:cs="楷体_GB2312"/>
          <w:color w:val="000000" w:themeColor="text1"/>
          <w:sz w:val="32"/>
          <w:szCs w:val="32"/>
          <w:highlight w:val="none"/>
          <w14:textFill>
            <w14:solidFill>
              <w14:schemeClr w14:val="tx1"/>
            </w14:solidFill>
          </w14:textFill>
        </w:rPr>
      </w:pPr>
      <w:bookmarkStart w:id="981" w:name="_Toc5184"/>
      <w:bookmarkStart w:id="982" w:name="_Toc30847"/>
      <w:bookmarkStart w:id="983" w:name="_Toc3982"/>
      <w:bookmarkStart w:id="984" w:name="_Toc2076"/>
      <w:bookmarkStart w:id="985" w:name="_Toc1854"/>
      <w:bookmarkStart w:id="986" w:name="_Toc29265"/>
      <w:bookmarkStart w:id="987" w:name="_Toc30305"/>
      <w:bookmarkStart w:id="988" w:name="_Toc7156"/>
      <w:r>
        <w:rPr>
          <w:rFonts w:hint="eastAsia" w:ascii="楷体_GB2312" w:hAnsi="楷体_GB2312" w:eastAsia="楷体_GB2312" w:cs="楷体_GB2312"/>
          <w:color w:val="000000" w:themeColor="text1"/>
          <w:sz w:val="32"/>
          <w:szCs w:val="32"/>
          <w:highlight w:val="none"/>
          <w14:textFill>
            <w14:solidFill>
              <w14:schemeClr w14:val="tx1"/>
            </w14:solidFill>
          </w14:textFill>
        </w:rPr>
        <w:t>（一）规范消费市场发展</w:t>
      </w:r>
      <w:bookmarkEnd w:id="981"/>
      <w:bookmarkEnd w:id="982"/>
      <w:bookmarkEnd w:id="983"/>
      <w:bookmarkEnd w:id="984"/>
      <w:bookmarkEnd w:id="985"/>
      <w:bookmarkEnd w:id="986"/>
      <w:bookmarkEnd w:id="987"/>
      <w:bookmarkEnd w:id="988"/>
    </w:p>
    <w:p>
      <w:pPr>
        <w:spacing w:line="560" w:lineRule="exact"/>
        <w:ind w:firstLine="640" w:firstLineChars="200"/>
        <w:rPr>
          <w:rFonts w:hint="eastAsia" w:ascii="仿宋_GB2312" w:hAnsi="仿宋_GB2312" w:eastAsia="仿宋_GB2312" w:cs="仿宋_GB2312"/>
          <w:i w:val="0"/>
          <w:iCs w:val="0"/>
          <w:caps w:val="0"/>
          <w:color w:val="000000" w:themeColor="text1"/>
          <w:spacing w:val="0"/>
          <w:sz w:val="32"/>
          <w:szCs w:val="32"/>
          <w:highlight w:val="none"/>
          <w:shd w:val="clear" w:fill="auto"/>
          <w:lang w:eastAsia="zh-CN"/>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highlight w:val="none"/>
          <w:shd w:val="clear" w:fill="auto"/>
          <w:lang w:val="en-US" w:eastAsia="zh-CN"/>
          <w14:textFill>
            <w14:solidFill>
              <w14:schemeClr w14:val="tx1"/>
            </w14:solidFill>
          </w14:textFill>
        </w:rPr>
        <w:t>加强食品安全全链条监管，</w:t>
      </w:r>
      <w:r>
        <w:rPr>
          <w:rFonts w:hint="eastAsia" w:ascii="仿宋_GB2312" w:hAnsi="仿宋_GB2312" w:eastAsia="仿宋_GB2312" w:cs="仿宋_GB2312"/>
          <w:i w:val="0"/>
          <w:iCs w:val="0"/>
          <w:caps w:val="0"/>
          <w:color w:val="000000" w:themeColor="text1"/>
          <w:spacing w:val="0"/>
          <w:sz w:val="32"/>
          <w:szCs w:val="32"/>
          <w:highlight w:val="none"/>
          <w:shd w:val="clear" w:fill="auto"/>
          <w14:textFill>
            <w14:solidFill>
              <w14:schemeClr w14:val="tx1"/>
            </w14:solidFill>
          </w14:textFill>
        </w:rPr>
        <w:t>压实生产经营单位安全生产主体责任。深化民生领域“铁拳”行动，健全预付式消费资金监管长效机制。落实全国统一大市场建设要求，强化公平竞争审查刚性约束，整治无序及“内卷式”竞争。支持重点行业成立协会，制定自律公约</w:t>
      </w:r>
      <w:r>
        <w:rPr>
          <w:rFonts w:hint="eastAsia" w:ascii="仿宋_GB2312" w:hAnsi="仿宋_GB2312" w:eastAsia="仿宋_GB2312" w:cs="仿宋_GB2312"/>
          <w:i w:val="0"/>
          <w:iCs w:val="0"/>
          <w:caps w:val="0"/>
          <w:color w:val="000000" w:themeColor="text1"/>
          <w:spacing w:val="0"/>
          <w:sz w:val="32"/>
          <w:szCs w:val="32"/>
          <w:highlight w:val="none"/>
          <w:shd w:val="clear" w:fill="auto"/>
          <w:lang w:eastAsia="zh-CN"/>
          <w14:textFill>
            <w14:solidFill>
              <w14:schemeClr w14:val="tx1"/>
            </w14:solidFill>
          </w14:textFill>
        </w:rPr>
        <w:t>。</w:t>
      </w:r>
    </w:p>
    <w:p>
      <w:pPr>
        <w:spacing w:line="560" w:lineRule="exact"/>
        <w:ind w:firstLine="640" w:firstLineChars="200"/>
        <w:outlineLvl w:val="1"/>
        <w:rPr>
          <w:rFonts w:hint="eastAsia" w:ascii="楷体_GB2312" w:hAnsi="楷体_GB2312" w:eastAsia="楷体_GB2312" w:cs="楷体_GB2312"/>
          <w:color w:val="000000" w:themeColor="text1"/>
          <w:sz w:val="32"/>
          <w:szCs w:val="32"/>
          <w:highlight w:val="none"/>
          <w14:textFill>
            <w14:solidFill>
              <w14:schemeClr w14:val="tx1"/>
            </w14:solidFill>
          </w14:textFill>
        </w:rPr>
      </w:pPr>
      <w:bookmarkStart w:id="989" w:name="_Toc11439"/>
      <w:bookmarkStart w:id="990" w:name="_Toc16832"/>
      <w:bookmarkStart w:id="991" w:name="_Toc12929"/>
      <w:bookmarkStart w:id="992" w:name="_Toc23416"/>
      <w:bookmarkStart w:id="993" w:name="_Toc4747"/>
      <w:bookmarkStart w:id="994" w:name="_Toc63"/>
      <w:bookmarkStart w:id="995" w:name="_Toc17353"/>
      <w:bookmarkStart w:id="996" w:name="_Toc32149"/>
      <w:r>
        <w:rPr>
          <w:rFonts w:hint="eastAsia" w:ascii="楷体_GB2312" w:hAnsi="楷体_GB2312" w:eastAsia="楷体_GB2312" w:cs="楷体_GB2312"/>
          <w:color w:val="000000" w:themeColor="text1"/>
          <w:sz w:val="32"/>
          <w:szCs w:val="32"/>
          <w:highlight w:val="none"/>
          <w14:textFill>
            <w14:solidFill>
              <w14:schemeClr w14:val="tx1"/>
            </w14:solidFill>
          </w14:textFill>
        </w:rPr>
        <w:t>（二）改善消费体验环境</w:t>
      </w:r>
      <w:bookmarkEnd w:id="989"/>
      <w:bookmarkEnd w:id="990"/>
      <w:bookmarkEnd w:id="991"/>
      <w:bookmarkEnd w:id="992"/>
      <w:bookmarkEnd w:id="993"/>
      <w:bookmarkEnd w:id="994"/>
      <w:bookmarkEnd w:id="995"/>
      <w:bookmarkEnd w:id="996"/>
    </w:p>
    <w:p>
      <w:pPr>
        <w:pStyle w:val="14"/>
        <w:spacing w:line="560" w:lineRule="exact"/>
        <w:ind w:firstLine="640" w:firstLineChars="200"/>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highlight w:val="none"/>
          <w:shd w:val="clear" w:fill="auto"/>
          <w14:textFill>
            <w14:solidFill>
              <w14:schemeClr w14:val="tx1"/>
            </w14:solidFill>
          </w14:textFill>
        </w:rPr>
        <w:t>强化消费者权益保护，</w:t>
      </w:r>
      <w:r>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t>畅通和规范消费者投诉举报渠道，</w:t>
      </w:r>
      <w:r>
        <w:rPr>
          <w:rFonts w:hint="eastAsia" w:ascii="仿宋_GB2312" w:hAnsi="仿宋_GB2312" w:eastAsia="仿宋_GB2312" w:cs="仿宋_GB2312"/>
          <w:i w:val="0"/>
          <w:iCs w:val="0"/>
          <w:caps w:val="0"/>
          <w:color w:val="000000" w:themeColor="text1"/>
          <w:spacing w:val="0"/>
          <w:sz w:val="32"/>
          <w:szCs w:val="32"/>
          <w:highlight w:val="none"/>
          <w:shd w:val="clear" w:fill="auto"/>
          <w14:textFill>
            <w14:solidFill>
              <w14:schemeClr w14:val="tx1"/>
            </w14:solidFill>
          </w14:textFill>
        </w:rPr>
        <w:t>提升投诉举报响应与处置效率。支持商圈、文旅景区等消费场所增设便民服务点、咨询中心</w:t>
      </w:r>
      <w:r>
        <w:rPr>
          <w:rFonts w:hint="eastAsia" w:ascii="仿宋_GB2312" w:hAnsi="仿宋_GB2312" w:eastAsia="仿宋_GB2312" w:cs="仿宋_GB2312"/>
          <w:i w:val="0"/>
          <w:iCs w:val="0"/>
          <w:caps w:val="0"/>
          <w:color w:val="000000" w:themeColor="text1"/>
          <w:spacing w:val="0"/>
          <w:sz w:val="32"/>
          <w:szCs w:val="32"/>
          <w:highlight w:val="none"/>
          <w:shd w:val="clear"/>
          <w:lang w:eastAsia="zh-CN"/>
          <w14:textFill>
            <w14:solidFill>
              <w14:schemeClr w14:val="tx1"/>
            </w14:solidFill>
          </w14:textFill>
        </w:rPr>
        <w:t>、母婴休息室等</w:t>
      </w:r>
      <w:r>
        <w:rPr>
          <w:rFonts w:hint="eastAsia" w:ascii="仿宋_GB2312" w:hAnsi="仿宋_GB2312" w:eastAsia="仿宋_GB2312" w:cs="仿宋_GB2312"/>
          <w:i w:val="0"/>
          <w:iCs w:val="0"/>
          <w:caps w:val="0"/>
          <w:color w:val="000000" w:themeColor="text1"/>
          <w:spacing w:val="0"/>
          <w:sz w:val="32"/>
          <w:szCs w:val="32"/>
          <w:highlight w:val="none"/>
          <w:shd w:val="clear" w:fill="auto"/>
          <w14:textFill>
            <w14:solidFill>
              <w14:schemeClr w14:val="tx1"/>
            </w14:solidFill>
          </w14:textFill>
        </w:rPr>
        <w:t>，</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推动</w:t>
      </w:r>
      <w:r>
        <w:rPr>
          <w:rFonts w:hint="eastAsia" w:ascii="仿宋_GB2312" w:hAnsi="仿宋_GB2312" w:eastAsia="仿宋_GB2312" w:cs="仿宋_GB2312"/>
          <w:color w:val="000000" w:themeColor="text1"/>
          <w:sz w:val="32"/>
          <w:szCs w:val="32"/>
          <w:highlight w:val="none"/>
          <w14:textFill>
            <w14:solidFill>
              <w14:schemeClr w14:val="tx1"/>
            </w14:solidFill>
          </w14:textFill>
        </w:rPr>
        <w:t>无障碍设施</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改造和规范</w:t>
      </w:r>
      <w:r>
        <w:rPr>
          <w:rFonts w:hint="eastAsia" w:ascii="仿宋_GB2312" w:hAnsi="仿宋_GB2312" w:eastAsia="仿宋_GB2312" w:cs="仿宋_GB2312"/>
          <w:color w:val="000000" w:themeColor="text1"/>
          <w:sz w:val="32"/>
          <w:szCs w:val="32"/>
          <w:highlight w:val="none"/>
          <w14:textFill>
            <w14:solidFill>
              <w14:schemeClr w14:val="tx1"/>
            </w14:solidFill>
          </w14:textFill>
        </w:rPr>
        <w:t>运维</w:t>
      </w:r>
      <w:r>
        <w:rPr>
          <w:rFonts w:hint="eastAsia" w:ascii="仿宋_GB2312" w:hAnsi="仿宋_GB2312" w:eastAsia="仿宋_GB2312" w:cs="仿宋_GB2312"/>
          <w:i w:val="0"/>
          <w:iCs w:val="0"/>
          <w:caps w:val="0"/>
          <w:color w:val="000000" w:themeColor="text1"/>
          <w:spacing w:val="0"/>
          <w:sz w:val="32"/>
          <w:szCs w:val="32"/>
          <w:highlight w:val="none"/>
          <w:shd w:val="clear" w:fill="auto"/>
          <w14:textFill>
            <w14:solidFill>
              <w14:schemeClr w14:val="tx1"/>
            </w14:solidFill>
          </w14:textFill>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优化交通接驳体系，</w:t>
      </w:r>
      <w:r>
        <w:rPr>
          <w:rFonts w:hint="eastAsia" w:ascii="仿宋_GB2312" w:hAnsi="仿宋_GB2312" w:eastAsia="仿宋_GB2312" w:cs="仿宋_GB2312"/>
          <w:i w:val="0"/>
          <w:iCs w:val="0"/>
          <w:caps w:val="0"/>
          <w:color w:val="000000" w:themeColor="text1"/>
          <w:spacing w:val="0"/>
          <w:sz w:val="32"/>
          <w:szCs w:val="32"/>
          <w:highlight w:val="none"/>
          <w:shd w:val="clear" w:fill="auto"/>
          <w14:textFill>
            <w14:solidFill>
              <w14:schemeClr w14:val="tx1"/>
            </w14:solidFill>
          </w14:textFill>
        </w:rPr>
        <w:t>加强公共交通与</w:t>
      </w:r>
      <w:r>
        <w:rPr>
          <w:rFonts w:hint="eastAsia" w:ascii="仿宋_GB2312" w:hAnsi="仿宋_GB2312" w:eastAsia="仿宋_GB2312" w:cs="仿宋_GB2312"/>
          <w:i w:val="0"/>
          <w:iCs w:val="0"/>
          <w:caps w:val="0"/>
          <w:color w:val="000000" w:themeColor="text1"/>
          <w:spacing w:val="0"/>
          <w:sz w:val="32"/>
          <w:szCs w:val="32"/>
          <w:highlight w:val="none"/>
          <w:shd w:val="clear" w:fill="auto"/>
          <w:lang w:eastAsia="zh-CN"/>
          <w14:textFill>
            <w14:solidFill>
              <w14:schemeClr w14:val="tx1"/>
            </w14:solidFill>
          </w14:textFill>
        </w:rPr>
        <w:t>重点</w:t>
      </w:r>
      <w:r>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t>消费场</w:t>
      </w:r>
      <w:r>
        <w:rPr>
          <w:rFonts w:hint="eastAsia" w:ascii="仿宋_GB2312" w:hAnsi="仿宋_GB2312" w:eastAsia="仿宋_GB2312" w:cs="仿宋_GB2312"/>
          <w:i w:val="0"/>
          <w:iCs w:val="0"/>
          <w:caps w:val="0"/>
          <w:color w:val="000000" w:themeColor="text1"/>
          <w:spacing w:val="0"/>
          <w:sz w:val="32"/>
          <w:szCs w:val="32"/>
          <w:highlight w:val="none"/>
          <w:shd w:val="clear"/>
          <w:lang w:eastAsia="zh-CN"/>
          <w14:textFill>
            <w14:solidFill>
              <w14:schemeClr w14:val="tx1"/>
            </w14:solidFill>
          </w14:textFill>
        </w:rPr>
        <w:t>所的</w:t>
      </w:r>
      <w:r>
        <w:rPr>
          <w:rFonts w:hint="eastAsia" w:ascii="仿宋_GB2312" w:hAnsi="仿宋_GB2312" w:eastAsia="仿宋_GB2312" w:cs="仿宋_GB2312"/>
          <w:i w:val="0"/>
          <w:iCs w:val="0"/>
          <w:caps w:val="0"/>
          <w:color w:val="000000" w:themeColor="text1"/>
          <w:spacing w:val="0"/>
          <w:sz w:val="32"/>
          <w:szCs w:val="32"/>
          <w:highlight w:val="none"/>
          <w:shd w:val="clear" w:fill="auto"/>
          <w14:textFill>
            <w14:solidFill>
              <w14:schemeClr w14:val="tx1"/>
            </w14:solidFill>
          </w14:textFill>
        </w:rPr>
        <w:t>衔接，</w:t>
      </w:r>
      <w:r>
        <w:rPr>
          <w:rFonts w:hint="eastAsia" w:ascii="仿宋_GB2312" w:hAnsi="仿宋_GB2312" w:eastAsia="仿宋_GB2312" w:cs="仿宋_GB2312"/>
          <w:i w:val="0"/>
          <w:iCs w:val="0"/>
          <w:caps w:val="0"/>
          <w:color w:val="000000" w:themeColor="text1"/>
          <w:spacing w:val="0"/>
          <w:sz w:val="32"/>
          <w:szCs w:val="32"/>
          <w:highlight w:val="none"/>
          <w:shd w:val="clear" w:fill="auto"/>
          <w:lang w:eastAsia="zh-CN"/>
          <w14:textFill>
            <w14:solidFill>
              <w14:schemeClr w14:val="tx1"/>
            </w14:solidFill>
          </w14:textFill>
        </w:rPr>
        <w:t>完善</w:t>
      </w:r>
      <w:r>
        <w:rPr>
          <w:rFonts w:hint="eastAsia" w:ascii="仿宋_GB2312" w:hAnsi="仿宋_GB2312" w:eastAsia="仿宋_GB2312" w:cs="仿宋_GB2312"/>
          <w:color w:val="000000" w:themeColor="text1"/>
          <w:sz w:val="32"/>
          <w:szCs w:val="32"/>
          <w:highlight w:val="none"/>
          <w14:textFill>
            <w14:solidFill>
              <w14:schemeClr w14:val="tx1"/>
            </w14:solidFill>
          </w14:textFill>
        </w:rPr>
        <w:t>夜间消费</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出行保障</w:t>
      </w:r>
      <w:r>
        <w:rPr>
          <w:rFonts w:hint="eastAsia" w:ascii="仿宋_GB2312" w:hAnsi="仿宋_GB2312" w:eastAsia="仿宋_GB2312" w:cs="仿宋_GB2312"/>
          <w:color w:val="000000" w:themeColor="text1"/>
          <w:sz w:val="32"/>
          <w:szCs w:val="32"/>
          <w:highlight w:val="none"/>
          <w14:textFill>
            <w14:solidFill>
              <w14:schemeClr w14:val="tx1"/>
            </w14:solidFill>
          </w14:textFill>
        </w:rPr>
        <w:t>。</w:t>
      </w:r>
    </w:p>
    <w:bookmarkEnd w:id="938"/>
    <w:bookmarkEnd w:id="939"/>
    <w:bookmarkEnd w:id="940"/>
    <w:bookmarkEnd w:id="941"/>
    <w:bookmarkEnd w:id="942"/>
    <w:bookmarkEnd w:id="943"/>
    <w:bookmarkEnd w:id="944"/>
    <w:bookmarkEnd w:id="945"/>
    <w:bookmarkEnd w:id="946"/>
    <w:bookmarkEnd w:id="947"/>
    <w:bookmarkEnd w:id="948"/>
    <w:p>
      <w:pPr>
        <w:spacing w:before="156" w:beforeLines="50" w:after="156" w:afterLines="50" w:line="560" w:lineRule="exact"/>
        <w:jc w:val="center"/>
        <w:outlineLvl w:val="0"/>
        <w:rPr>
          <w:rFonts w:ascii="Times New Roman" w:hAnsi="Times New Roman" w:eastAsia="黑体" w:cs="Times New Roman"/>
          <w:color w:val="000000" w:themeColor="text1"/>
          <w:sz w:val="32"/>
          <w:szCs w:val="32"/>
          <w:highlight w:val="none"/>
          <w14:textFill>
            <w14:solidFill>
              <w14:schemeClr w14:val="tx1"/>
            </w14:solidFill>
          </w14:textFill>
        </w:rPr>
      </w:pPr>
      <w:bookmarkStart w:id="997" w:name="_Toc14771"/>
      <w:bookmarkStart w:id="998" w:name="_Toc6157"/>
      <w:bookmarkStart w:id="999" w:name="_Toc28177"/>
      <w:bookmarkStart w:id="1000" w:name="_Toc23338"/>
      <w:bookmarkStart w:id="1001" w:name="_Toc23482"/>
      <w:bookmarkStart w:id="1002" w:name="_Toc28840"/>
      <w:bookmarkStart w:id="1003" w:name="_Toc27410"/>
      <w:bookmarkStart w:id="1004" w:name="_Toc22760"/>
      <w:bookmarkStart w:id="1005" w:name="_Toc22060"/>
      <w:bookmarkStart w:id="1006" w:name="_Toc12751"/>
      <w:bookmarkStart w:id="1007" w:name="_Toc8237"/>
      <w:bookmarkStart w:id="1008" w:name="_Toc21834"/>
      <w:bookmarkStart w:id="1009" w:name="_Toc4836"/>
      <w:bookmarkStart w:id="1010" w:name="_Toc2039"/>
      <w:bookmarkStart w:id="1011" w:name="_Toc25884"/>
      <w:bookmarkStart w:id="1012" w:name="_Toc28215"/>
      <w:bookmarkStart w:id="1013" w:name="_Toc2634"/>
      <w:bookmarkStart w:id="1014" w:name="_Toc31592"/>
      <w:bookmarkStart w:id="1015" w:name="_Toc15650"/>
      <w:r>
        <w:rPr>
          <w:rFonts w:ascii="Times New Roman" w:hAnsi="Times New Roman" w:eastAsia="黑体" w:cs="Times New Roman"/>
          <w:color w:val="000000" w:themeColor="text1"/>
          <w:sz w:val="32"/>
          <w:szCs w:val="32"/>
          <w:highlight w:val="none"/>
          <w14:textFill>
            <w14:solidFill>
              <w14:schemeClr w14:val="tx1"/>
            </w14:solidFill>
          </w14:textFill>
        </w:rPr>
        <w:t>第</w:t>
      </w:r>
      <w:r>
        <w:rPr>
          <w:rFonts w:hint="eastAsia" w:ascii="Times New Roman" w:hAnsi="Times New Roman" w:eastAsia="黑体" w:cs="Times New Roman"/>
          <w:color w:val="000000" w:themeColor="text1"/>
          <w:sz w:val="32"/>
          <w:szCs w:val="32"/>
          <w:highlight w:val="none"/>
          <w:lang w:eastAsia="zh-CN"/>
          <w14:textFill>
            <w14:solidFill>
              <w14:schemeClr w14:val="tx1"/>
            </w14:solidFill>
          </w14:textFill>
        </w:rPr>
        <w:t>八</w:t>
      </w:r>
      <w:r>
        <w:rPr>
          <w:rFonts w:ascii="Times New Roman" w:hAnsi="Times New Roman" w:eastAsia="黑体" w:cs="Times New Roman"/>
          <w:color w:val="000000" w:themeColor="text1"/>
          <w:sz w:val="32"/>
          <w:szCs w:val="32"/>
          <w:highlight w:val="none"/>
          <w14:textFill>
            <w14:solidFill>
              <w14:schemeClr w14:val="tx1"/>
            </w14:solidFill>
          </w14:textFill>
        </w:rPr>
        <w:t xml:space="preserve">章 </w:t>
      </w:r>
      <w:r>
        <w:rPr>
          <w:rFonts w:hint="eastAsia" w:ascii="Times New Roman" w:hAnsi="Times New Roman" w:eastAsia="黑体" w:cs="Times New Roman"/>
          <w:color w:val="000000" w:themeColor="text1"/>
          <w:sz w:val="32"/>
          <w:szCs w:val="32"/>
          <w:highlight w:val="none"/>
          <w:lang w:eastAsia="zh-CN"/>
          <w14:textFill>
            <w14:solidFill>
              <w14:schemeClr w14:val="tx1"/>
            </w14:solidFill>
          </w14:textFill>
        </w:rPr>
        <w:t>规划</w:t>
      </w:r>
      <w:r>
        <w:rPr>
          <w:rFonts w:ascii="Times New Roman" w:hAnsi="Times New Roman" w:eastAsia="黑体" w:cs="Times New Roman"/>
          <w:color w:val="000000" w:themeColor="text1"/>
          <w:sz w:val="32"/>
          <w:szCs w:val="32"/>
          <w:highlight w:val="none"/>
          <w14:textFill>
            <w14:solidFill>
              <w14:schemeClr w14:val="tx1"/>
            </w14:solidFill>
          </w14:textFill>
        </w:rPr>
        <w:t>实施保障</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p>
      <w:pPr>
        <w:spacing w:beforeLines="0" w:afterLines="0" w:line="560" w:lineRule="exact"/>
        <w:ind w:firstLine="640" w:firstLineChars="200"/>
        <w:outlineLvl w:val="1"/>
        <w:rPr>
          <w:rFonts w:ascii="Times New Roman" w:hAnsi="Times New Roman" w:eastAsia="黑体" w:cs="Times New Roman"/>
          <w:color w:val="000000" w:themeColor="text1"/>
          <w:sz w:val="32"/>
          <w:szCs w:val="32"/>
          <w:highlight w:val="none"/>
          <w14:textFill>
            <w14:solidFill>
              <w14:schemeClr w14:val="tx1"/>
            </w14:solidFill>
          </w14:textFill>
        </w:rPr>
      </w:pPr>
      <w:bookmarkStart w:id="1016" w:name="_Toc11437"/>
      <w:bookmarkStart w:id="1017" w:name="_Toc16503"/>
      <w:bookmarkStart w:id="1018" w:name="_Toc19197"/>
      <w:bookmarkStart w:id="1019" w:name="_Toc1827"/>
      <w:bookmarkStart w:id="1020" w:name="_Toc11148"/>
      <w:bookmarkStart w:id="1021" w:name="_Toc24343"/>
      <w:bookmarkStart w:id="1022" w:name="_Toc20219"/>
      <w:bookmarkStart w:id="1023" w:name="_Toc21863"/>
      <w:bookmarkStart w:id="1024" w:name="_Toc10268"/>
      <w:bookmarkStart w:id="1025" w:name="_Toc17344"/>
      <w:bookmarkStart w:id="1026" w:name="_Toc27367"/>
      <w:bookmarkStart w:id="1027" w:name="_Toc16023"/>
      <w:bookmarkStart w:id="1028" w:name="_Toc21785"/>
      <w:bookmarkStart w:id="1029" w:name="_Toc23031"/>
      <w:bookmarkStart w:id="1030" w:name="_Toc24755"/>
      <w:bookmarkStart w:id="1031" w:name="_Toc30837"/>
      <w:bookmarkStart w:id="1032" w:name="_Toc6737"/>
      <w:bookmarkStart w:id="1033" w:name="_Toc27913"/>
      <w:bookmarkStart w:id="1034" w:name="_Toc21602"/>
      <w:bookmarkStart w:id="1035" w:name="_Toc8676"/>
      <w:bookmarkStart w:id="1036" w:name="_Toc14900"/>
      <w:bookmarkStart w:id="1037" w:name="_Toc20635"/>
      <w:bookmarkStart w:id="1038" w:name="_Toc530"/>
      <w:bookmarkStart w:id="1039" w:name="_Toc3979"/>
      <w:bookmarkStart w:id="1040" w:name="_Toc27816"/>
      <w:r>
        <w:rPr>
          <w:rFonts w:hint="eastAsia" w:ascii="Times New Roman" w:hAnsi="Times New Roman" w:eastAsia="黑体" w:cs="Times New Roman"/>
          <w:color w:val="000000" w:themeColor="text1"/>
          <w:sz w:val="32"/>
          <w:szCs w:val="32"/>
          <w:highlight w:val="none"/>
          <w14:textFill>
            <w14:solidFill>
              <w14:schemeClr w14:val="tx1"/>
            </w14:solidFill>
          </w14:textFill>
        </w:rPr>
        <w:t>一、</w:t>
      </w:r>
      <w:r>
        <w:rPr>
          <w:rFonts w:ascii="Times New Roman" w:hAnsi="Times New Roman" w:eastAsia="黑体" w:cs="Times New Roman"/>
          <w:color w:val="000000" w:themeColor="text1"/>
          <w:sz w:val="32"/>
          <w:szCs w:val="32"/>
          <w:highlight w:val="none"/>
          <w14:textFill>
            <w14:solidFill>
              <w14:schemeClr w14:val="tx1"/>
            </w14:solidFill>
          </w14:textFill>
        </w:rPr>
        <w:t>强化组织领导</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p>
    <w:p>
      <w:pPr>
        <w:spacing w:beforeLines="0" w:afterLines="0" w:line="560" w:lineRule="exact"/>
        <w:ind w:firstLine="640" w:firstLineChars="200"/>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依托</w:t>
      </w:r>
      <w:r>
        <w:rPr>
          <w:rFonts w:hint="eastAsia" w:ascii="仿宋_GB2312" w:hAnsi="仿宋_GB2312" w:eastAsia="仿宋_GB2312" w:cs="仿宋_GB2312"/>
          <w:color w:val="000000" w:themeColor="text1"/>
          <w:sz w:val="32"/>
          <w:szCs w:val="32"/>
          <w:highlight w:val="none"/>
          <w14:textFill>
            <w14:solidFill>
              <w14:schemeClr w14:val="tx1"/>
            </w14:solidFill>
          </w14:textFill>
        </w:rPr>
        <w:t>门头沟区加快推进北京国际消费中心城市培育建设领导小组</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工作机制，</w:t>
      </w:r>
      <w:r>
        <w:rPr>
          <w:rStyle w:val="29"/>
          <w:rFonts w:hint="eastAsia" w:ascii="仿宋_GB2312" w:hAnsi="仿宋_GB2312" w:eastAsia="仿宋_GB2312" w:cs="仿宋_GB2312"/>
          <w:color w:val="000000" w:themeColor="text1"/>
          <w:sz w:val="32"/>
          <w:szCs w:val="32"/>
          <w:highlight w:val="none"/>
          <w:shd w:val="clear" w:fill="FFFFFF"/>
          <w14:textFill>
            <w14:solidFill>
              <w14:schemeClr w14:val="tx1"/>
            </w14:solidFill>
          </w14:textFill>
        </w:rPr>
        <w:t>由区领导统筹调度，定期召</w:t>
      </w:r>
      <w:r>
        <w:rPr>
          <w:rFonts w:ascii="仿宋_GB2312" w:hAnsi="仿宋_GB2312" w:eastAsia="仿宋_GB2312" w:cs="仿宋_GB2312"/>
          <w:color w:val="000000" w:themeColor="text1"/>
          <w:sz w:val="32"/>
          <w:szCs w:val="32"/>
          <w:highlight w:val="none"/>
          <w14:textFill>
            <w14:solidFill>
              <w14:schemeClr w14:val="tx1"/>
            </w14:solidFill>
          </w14:textFill>
        </w:rPr>
        <w:t>开专题工作会议，协调</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解决规划实施中难点堵点</w:t>
      </w:r>
      <w:r>
        <w:rPr>
          <w:rFonts w:ascii="仿宋_GB2312" w:hAnsi="仿宋_GB2312" w:eastAsia="仿宋_GB2312" w:cs="仿宋_GB2312"/>
          <w:color w:val="000000" w:themeColor="text1"/>
          <w:sz w:val="32"/>
          <w:szCs w:val="32"/>
          <w:highlight w:val="none"/>
          <w14:textFill>
            <w14:solidFill>
              <w14:schemeClr w14:val="tx1"/>
            </w14:solidFill>
          </w14:textFill>
        </w:rPr>
        <w:t>问题。压实规划实施主体责任，明确部门责任分工</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Fonts w:ascii="仿宋_GB2312" w:hAnsi="仿宋_GB2312" w:eastAsia="仿宋_GB2312" w:cs="仿宋_GB2312"/>
          <w:color w:val="000000" w:themeColor="text1"/>
          <w:sz w:val="32"/>
          <w:szCs w:val="32"/>
          <w:highlight w:val="none"/>
          <w14:textFill>
            <w14:solidFill>
              <w14:schemeClr w14:val="tx1"/>
            </w14:solidFill>
          </w14:textFill>
        </w:rPr>
        <w:t>保障</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规划任务高效</w:t>
      </w:r>
      <w:r>
        <w:rPr>
          <w:rFonts w:ascii="仿宋_GB2312" w:hAnsi="仿宋_GB2312" w:eastAsia="仿宋_GB2312" w:cs="仿宋_GB2312"/>
          <w:color w:val="000000" w:themeColor="text1"/>
          <w:sz w:val="32"/>
          <w:szCs w:val="32"/>
          <w:highlight w:val="none"/>
          <w14:textFill>
            <w14:solidFill>
              <w14:schemeClr w14:val="tx1"/>
            </w14:solidFill>
          </w14:textFill>
        </w:rPr>
        <w:t>落地。</w:t>
      </w:r>
    </w:p>
    <w:p>
      <w:pPr>
        <w:spacing w:beforeLines="0" w:afterLines="0" w:line="560" w:lineRule="exact"/>
        <w:ind w:firstLine="640" w:firstLineChars="200"/>
        <w:outlineLvl w:val="1"/>
        <w:rPr>
          <w:rFonts w:hint="eastAsia" w:ascii="Times New Roman" w:hAnsi="Times New Roman" w:eastAsia="黑体" w:cs="Times New Roman"/>
          <w:color w:val="000000" w:themeColor="text1"/>
          <w:sz w:val="32"/>
          <w:szCs w:val="32"/>
          <w:highlight w:val="none"/>
          <w14:textFill>
            <w14:solidFill>
              <w14:schemeClr w14:val="tx1"/>
            </w14:solidFill>
          </w14:textFill>
        </w:rPr>
      </w:pPr>
      <w:bookmarkStart w:id="1041" w:name="_Toc2831"/>
      <w:bookmarkStart w:id="1042" w:name="_Toc756"/>
      <w:bookmarkStart w:id="1043" w:name="_Toc1496"/>
      <w:bookmarkStart w:id="1044" w:name="_Toc7121"/>
      <w:bookmarkStart w:id="1045" w:name="_Toc13259"/>
      <w:bookmarkStart w:id="1046" w:name="_Toc10641"/>
      <w:bookmarkStart w:id="1047" w:name="_Toc27084"/>
      <w:bookmarkStart w:id="1048" w:name="_Toc20533"/>
      <w:bookmarkStart w:id="1049" w:name="_Toc22200"/>
      <w:bookmarkStart w:id="1050" w:name="_Toc21235"/>
      <w:bookmarkStart w:id="1051" w:name="_Toc31103"/>
      <w:bookmarkStart w:id="1052" w:name="_Toc28252"/>
      <w:bookmarkStart w:id="1053" w:name="_Toc282"/>
      <w:bookmarkStart w:id="1054" w:name="_Toc16894"/>
      <w:bookmarkStart w:id="1055" w:name="_Toc22560"/>
      <w:bookmarkStart w:id="1056" w:name="_Toc22355"/>
      <w:bookmarkStart w:id="1057" w:name="_Toc29962"/>
      <w:bookmarkStart w:id="1058" w:name="_Toc31445"/>
      <w:bookmarkStart w:id="1059" w:name="_Toc5371"/>
      <w:bookmarkStart w:id="1060" w:name="_Toc9258"/>
      <w:bookmarkStart w:id="1061" w:name="_Toc18839"/>
      <w:bookmarkStart w:id="1062" w:name="_Toc13641"/>
      <w:bookmarkStart w:id="1063" w:name="_Toc23208"/>
      <w:bookmarkStart w:id="1064" w:name="_Toc15731"/>
      <w:bookmarkStart w:id="1065" w:name="_Toc5147"/>
      <w:r>
        <w:rPr>
          <w:rFonts w:hint="eastAsia" w:ascii="Times New Roman" w:hAnsi="Times New Roman" w:eastAsia="黑体" w:cs="Times New Roman"/>
          <w:color w:val="000000" w:themeColor="text1"/>
          <w:sz w:val="32"/>
          <w:szCs w:val="32"/>
          <w:highlight w:val="none"/>
          <w14:textFill>
            <w14:solidFill>
              <w14:schemeClr w14:val="tx1"/>
            </w14:solidFill>
          </w14:textFill>
        </w:rPr>
        <w:t>二、</w:t>
      </w:r>
      <w:bookmarkEnd w:id="1041"/>
      <w:bookmarkEnd w:id="1042"/>
      <w:bookmarkEnd w:id="1043"/>
      <w:bookmarkEnd w:id="1044"/>
      <w:bookmarkEnd w:id="1045"/>
      <w:bookmarkEnd w:id="1046"/>
      <w:bookmarkEnd w:id="1047"/>
      <w:r>
        <w:rPr>
          <w:rFonts w:hint="eastAsia" w:ascii="Times New Roman" w:hAnsi="Times New Roman" w:eastAsia="黑体" w:cs="Times New Roman"/>
          <w:color w:val="000000" w:themeColor="text1"/>
          <w:sz w:val="32"/>
          <w:szCs w:val="32"/>
          <w:highlight w:val="none"/>
          <w14:textFill>
            <w14:solidFill>
              <w14:schemeClr w14:val="tx1"/>
            </w14:solidFill>
          </w14:textFill>
        </w:rPr>
        <w:t>夯实人才保障</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spacing w:beforeLines="0" w:afterLines="0" w:line="560" w:lineRule="exact"/>
        <w:ind w:firstLine="640" w:firstLineChars="200"/>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pPr>
      <w:r>
        <w:rPr>
          <w:rStyle w:val="29"/>
          <w:rFonts w:hint="eastAsia" w:ascii="仿宋_GB2312" w:hAnsi="仿宋_GB2312" w:eastAsia="仿宋_GB2312" w:cs="仿宋_GB2312"/>
          <w:b w:val="0"/>
          <w:bCs w:val="0"/>
          <w:i w:val="0"/>
          <w:iCs w:val="0"/>
          <w:caps w:val="0"/>
          <w:color w:val="000000" w:themeColor="text1"/>
          <w:spacing w:val="0"/>
          <w:sz w:val="32"/>
          <w:szCs w:val="32"/>
          <w:highlight w:val="none"/>
          <w:shd w:val="clear" w:fill="FFFFFF"/>
          <w14:textFill>
            <w14:solidFill>
              <w14:schemeClr w14:val="tx1"/>
            </w14:solidFill>
          </w14:textFill>
        </w:rPr>
        <w:t>构建多层次人才引进体系，围绕消费新业态、新模式、新场景发展需求引进一批创新型、专业型紧缺人才</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落实人才安居、子女教育等服务保障。</w:t>
      </w:r>
      <w:r>
        <w:rPr>
          <w:rStyle w:val="29"/>
          <w:rFonts w:hint="eastAsia" w:ascii="仿宋_GB2312" w:hAnsi="仿宋_GB2312" w:eastAsia="仿宋_GB2312" w:cs="仿宋_GB2312"/>
          <w:b w:val="0"/>
          <w:bCs w:val="0"/>
          <w:i w:val="0"/>
          <w:iCs w:val="0"/>
          <w:caps w:val="0"/>
          <w:color w:val="000000" w:themeColor="text1"/>
          <w:spacing w:val="0"/>
          <w:sz w:val="32"/>
          <w:szCs w:val="32"/>
          <w:highlight w:val="none"/>
          <w:shd w:val="clear" w:fill="FFFFFF"/>
          <w14:textFill>
            <w14:solidFill>
              <w14:schemeClr w14:val="tx1"/>
            </w14:solidFill>
          </w14:textFill>
        </w:rPr>
        <w:t>强化职业技能培训，常态化开展专项技能提升行动</w:t>
      </w:r>
      <w:r>
        <w:rPr>
          <w:rStyle w:val="29"/>
          <w:rFonts w:hint="eastAsia" w:ascii="仿宋_GB2312" w:hAnsi="仿宋_GB2312" w:eastAsia="仿宋_GB2312" w:cs="仿宋_GB2312"/>
          <w:b w:val="0"/>
          <w:bCs w:val="0"/>
          <w:i w:val="0"/>
          <w:iCs w:val="0"/>
          <w:caps w:val="0"/>
          <w:color w:val="000000" w:themeColor="text1"/>
          <w:spacing w:val="0"/>
          <w:sz w:val="32"/>
          <w:szCs w:val="32"/>
          <w:highlight w:val="none"/>
          <w:shd w:val="clear" w:fill="FFFFFF"/>
          <w:lang w:eastAsia="zh-CN"/>
          <w14:textFill>
            <w14:solidFill>
              <w14:schemeClr w14:val="tx1"/>
            </w14:solidFill>
          </w14:textFill>
        </w:rPr>
        <w:t>，</w:t>
      </w:r>
      <w:r>
        <w:rPr>
          <w:rStyle w:val="29"/>
          <w:rFonts w:hint="eastAsia" w:ascii="仿宋_GB2312" w:hAnsi="仿宋_GB2312" w:eastAsia="仿宋_GB2312" w:cs="仿宋_GB2312"/>
          <w:b w:val="0"/>
          <w:bCs w:val="0"/>
          <w:i w:val="0"/>
          <w:iCs w:val="0"/>
          <w:caps w:val="0"/>
          <w:color w:val="000000" w:themeColor="text1"/>
          <w:spacing w:val="0"/>
          <w:sz w:val="32"/>
          <w:szCs w:val="32"/>
          <w:highlight w:val="none"/>
          <w:shd w:val="clear" w:fill="FFFFFF"/>
          <w14:textFill>
            <w14:solidFill>
              <w14:schemeClr w14:val="tx1"/>
            </w14:solidFill>
          </w14:textFill>
        </w:rPr>
        <w:t>培养一批复合型人才</w:t>
      </w:r>
      <w:r>
        <w:rPr>
          <w:rFonts w:hint="eastAsia" w:ascii="仿宋_GB2312" w:hAnsi="仿宋_GB2312" w:eastAsia="仿宋_GB2312" w:cs="仿宋_GB2312"/>
          <w:b w:val="0"/>
          <w:bCs w:val="0"/>
          <w:i w:val="0"/>
          <w:iCs w:val="0"/>
          <w:caps w:val="0"/>
          <w:color w:val="000000" w:themeColor="text1"/>
          <w:spacing w:val="0"/>
          <w:sz w:val="32"/>
          <w:szCs w:val="32"/>
          <w:highlight w:val="none"/>
          <w:shd w:val="clear"/>
          <w:lang w:eastAsia="zh-CN"/>
          <w14:textFill>
            <w14:solidFill>
              <w14:schemeClr w14:val="tx1"/>
            </w14:solidFill>
          </w14:textFill>
        </w:rPr>
        <w:t>。</w:t>
      </w:r>
    </w:p>
    <w:p>
      <w:pPr>
        <w:spacing w:beforeLines="0" w:afterLines="0" w:line="560" w:lineRule="exact"/>
        <w:ind w:firstLine="640" w:firstLineChars="200"/>
        <w:outlineLvl w:val="1"/>
        <w:rPr>
          <w:rFonts w:ascii="Times New Roman" w:hAnsi="Times New Roman" w:eastAsia="黑体" w:cs="Times New Roman"/>
          <w:color w:val="000000" w:themeColor="text1"/>
          <w:sz w:val="32"/>
          <w:szCs w:val="32"/>
          <w:highlight w:val="none"/>
          <w14:textFill>
            <w14:solidFill>
              <w14:schemeClr w14:val="tx1"/>
            </w14:solidFill>
          </w14:textFill>
        </w:rPr>
      </w:pPr>
      <w:bookmarkStart w:id="1066" w:name="_Toc25517"/>
      <w:bookmarkStart w:id="1067" w:name="_Toc31093"/>
      <w:bookmarkStart w:id="1068" w:name="_Toc24089"/>
      <w:bookmarkStart w:id="1069" w:name="_Toc25209"/>
      <w:bookmarkStart w:id="1070" w:name="_Toc12823"/>
      <w:bookmarkStart w:id="1071" w:name="_Toc26092"/>
      <w:bookmarkStart w:id="1072" w:name="_Toc30070"/>
      <w:bookmarkStart w:id="1073" w:name="_Toc21675"/>
      <w:bookmarkStart w:id="1074" w:name="_Toc15406"/>
      <w:bookmarkStart w:id="1075" w:name="_Toc15015"/>
      <w:bookmarkStart w:id="1076" w:name="_Toc30607"/>
      <w:bookmarkStart w:id="1077" w:name="_Toc10828"/>
      <w:bookmarkStart w:id="1078" w:name="_Toc7877"/>
      <w:bookmarkStart w:id="1079" w:name="_Toc1512"/>
      <w:bookmarkStart w:id="1080" w:name="_Toc5061"/>
      <w:bookmarkStart w:id="1081" w:name="_Toc23451"/>
      <w:bookmarkStart w:id="1082" w:name="_Toc8945"/>
      <w:bookmarkStart w:id="1083" w:name="_Toc3122"/>
      <w:bookmarkStart w:id="1084" w:name="_Toc12182"/>
      <w:bookmarkStart w:id="1085" w:name="_Toc2049"/>
      <w:bookmarkStart w:id="1086" w:name="_Toc13896"/>
      <w:bookmarkStart w:id="1087" w:name="_Toc20134"/>
      <w:bookmarkStart w:id="1088" w:name="_Toc23883"/>
      <w:r>
        <w:rPr>
          <w:rFonts w:hint="eastAsia" w:ascii="Times New Roman" w:hAnsi="Times New Roman" w:eastAsia="黑体" w:cs="Times New Roman"/>
          <w:color w:val="000000" w:themeColor="text1"/>
          <w:sz w:val="32"/>
          <w:szCs w:val="32"/>
          <w:highlight w:val="none"/>
          <w14:textFill>
            <w14:solidFill>
              <w14:schemeClr w14:val="tx1"/>
            </w14:solidFill>
          </w14:textFill>
        </w:rPr>
        <w:t>三、完善</w:t>
      </w:r>
      <w:r>
        <w:rPr>
          <w:rFonts w:hint="eastAsia" w:ascii="Times New Roman" w:hAnsi="Times New Roman" w:eastAsia="黑体" w:cs="Times New Roman"/>
          <w:color w:val="000000" w:themeColor="text1"/>
          <w:sz w:val="32"/>
          <w:szCs w:val="32"/>
          <w:highlight w:val="none"/>
          <w:lang w:eastAsia="zh-CN"/>
          <w14:textFill>
            <w14:solidFill>
              <w14:schemeClr w14:val="tx1"/>
            </w14:solidFill>
          </w14:textFill>
        </w:rPr>
        <w:t>统计</w:t>
      </w:r>
      <w:r>
        <w:rPr>
          <w:rFonts w:hint="eastAsia" w:ascii="Times New Roman" w:hAnsi="Times New Roman" w:eastAsia="黑体" w:cs="Times New Roman"/>
          <w:color w:val="000000" w:themeColor="text1"/>
          <w:sz w:val="32"/>
          <w:szCs w:val="32"/>
          <w:highlight w:val="none"/>
          <w14:textFill>
            <w14:solidFill>
              <w14:schemeClr w14:val="tx1"/>
            </w14:solidFill>
          </w14:textFill>
        </w:rPr>
        <w:t>评估</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spacing w:beforeLines="0" w:afterLines="0" w:line="560" w:lineRule="exact"/>
        <w:ind w:left="0" w:firstLine="640" w:firstLineChars="200"/>
        <w:outlineLvl w:val="9"/>
        <w:rPr>
          <w:rFonts w:eastAsia="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highlight w:val="none"/>
          <w:shd w:val="clear" w:fill="auto"/>
          <w14:textFill>
            <w14:solidFill>
              <w14:schemeClr w14:val="tx1"/>
            </w14:solidFill>
          </w14:textFill>
        </w:rPr>
        <w:t>健全消费领域统计监测体系。完善规划实施评估机制，</w:t>
      </w:r>
      <w:r>
        <w:rPr>
          <w:rFonts w:hint="eastAsia" w:ascii="仿宋_GB2312" w:hAnsi="仿宋_GB2312" w:eastAsia="仿宋_GB2312" w:cs="仿宋_GB2312"/>
          <w:i w:val="0"/>
          <w:iCs w:val="0"/>
          <w:caps w:val="0"/>
          <w:color w:val="000000" w:themeColor="text1"/>
          <w:spacing w:val="0"/>
          <w:sz w:val="32"/>
          <w:szCs w:val="32"/>
          <w:highlight w:val="none"/>
          <w:shd w:val="clear" w:fill="auto"/>
          <w:lang w:eastAsia="zh-CN"/>
          <w14:textFill>
            <w14:solidFill>
              <w14:schemeClr w14:val="tx1"/>
            </w14:solidFill>
          </w14:textFill>
        </w:rPr>
        <w:t>依规</w:t>
      </w:r>
      <w:r>
        <w:rPr>
          <w:rFonts w:hint="eastAsia" w:ascii="仿宋_GB2312" w:hAnsi="仿宋_GB2312" w:eastAsia="仿宋_GB2312" w:cs="仿宋_GB2312"/>
          <w:i w:val="0"/>
          <w:iCs w:val="0"/>
          <w:caps w:val="0"/>
          <w:color w:val="000000" w:themeColor="text1"/>
          <w:spacing w:val="0"/>
          <w:sz w:val="32"/>
          <w:szCs w:val="32"/>
          <w:highlight w:val="none"/>
          <w:shd w:val="clear" w:fill="auto"/>
          <w14:textFill>
            <w14:solidFill>
              <w14:schemeClr w14:val="tx1"/>
            </w14:solidFill>
          </w14:textFill>
        </w:rPr>
        <w:t>开展中期评估和</w:t>
      </w:r>
      <w:r>
        <w:rPr>
          <w:rFonts w:hint="eastAsia" w:ascii="仿宋_GB2312" w:hAnsi="仿宋_GB2312" w:eastAsia="仿宋_GB2312" w:cs="仿宋_GB2312"/>
          <w:i w:val="0"/>
          <w:iCs w:val="0"/>
          <w:caps w:val="0"/>
          <w:color w:val="000000" w:themeColor="text1"/>
          <w:spacing w:val="0"/>
          <w:sz w:val="32"/>
          <w:szCs w:val="32"/>
          <w:highlight w:val="none"/>
          <w:shd w:val="clear" w:fill="auto"/>
          <w:lang w:eastAsia="zh-CN"/>
          <w14:textFill>
            <w14:solidFill>
              <w14:schemeClr w14:val="tx1"/>
            </w14:solidFill>
          </w14:textFill>
        </w:rPr>
        <w:t>终期</w:t>
      </w:r>
      <w:r>
        <w:rPr>
          <w:rFonts w:hint="eastAsia" w:ascii="仿宋_GB2312" w:hAnsi="仿宋_GB2312" w:eastAsia="仿宋_GB2312" w:cs="仿宋_GB2312"/>
          <w:i w:val="0"/>
          <w:iCs w:val="0"/>
          <w:caps w:val="0"/>
          <w:color w:val="000000" w:themeColor="text1"/>
          <w:spacing w:val="0"/>
          <w:sz w:val="32"/>
          <w:szCs w:val="32"/>
          <w:highlight w:val="none"/>
          <w:shd w:val="clear" w:fill="auto"/>
          <w14:textFill>
            <w14:solidFill>
              <w14:schemeClr w14:val="tx1"/>
            </w14:solidFill>
          </w14:textFill>
        </w:rPr>
        <w:t>总结评估，切实发挥以评促改、以评促建、以评提质的作用。推进规划实施信息公开，畅通社会监督</w:t>
      </w:r>
      <w:r>
        <w:rPr>
          <w:rFonts w:hint="eastAsia" w:ascii="仿宋_GB2312" w:hAnsi="仿宋_GB2312" w:eastAsia="仿宋_GB2312" w:cs="仿宋_GB2312"/>
          <w:i w:val="0"/>
          <w:iCs w:val="0"/>
          <w:caps w:val="0"/>
          <w:color w:val="000000" w:themeColor="text1"/>
          <w:spacing w:val="0"/>
          <w:sz w:val="32"/>
          <w:szCs w:val="32"/>
          <w:highlight w:val="none"/>
          <w:shd w:val="clear" w:fill="auto"/>
          <w:lang w:eastAsia="zh-CN"/>
          <w14:textFill>
            <w14:solidFill>
              <w14:schemeClr w14:val="tx1"/>
            </w14:solidFill>
          </w14:textFill>
        </w:rPr>
        <w:t>、公众</w:t>
      </w:r>
      <w:r>
        <w:rPr>
          <w:rFonts w:hint="eastAsia" w:ascii="仿宋_GB2312" w:hAnsi="仿宋_GB2312" w:eastAsia="仿宋_GB2312" w:cs="仿宋_GB2312"/>
          <w:i w:val="0"/>
          <w:iCs w:val="0"/>
          <w:caps w:val="0"/>
          <w:color w:val="000000" w:themeColor="text1"/>
          <w:spacing w:val="0"/>
          <w:sz w:val="32"/>
          <w:szCs w:val="32"/>
          <w:highlight w:val="none"/>
          <w:shd w:val="clear" w:fill="auto"/>
          <w14:textFill>
            <w14:solidFill>
              <w14:schemeClr w14:val="tx1"/>
            </w14:solidFill>
          </w14:textFill>
        </w:rPr>
        <w:t>意见反馈渠道，保障规划各项任务落地见效。</w:t>
      </w:r>
    </w:p>
    <w:sectPr>
      <w:footerReference r:id="rId6"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5344FAF-051B-4001-B6E5-8FBC9E17748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panose1 w:val="02010609030101010101"/>
    <w:charset w:val="86"/>
    <w:family w:val="modern"/>
    <w:pitch w:val="default"/>
    <w:sig w:usb0="00000001" w:usb1="080E0000" w:usb2="00000000" w:usb3="00000000" w:csb0="00040000" w:csb1="00000000"/>
    <w:embedRegular r:id="rId2" w:fontKey="{E368F581-FF98-40C0-A132-576D272C47B1}"/>
  </w:font>
  <w:font w:name="仿宋_GB2312">
    <w:panose1 w:val="02010609030101010101"/>
    <w:charset w:val="86"/>
    <w:family w:val="modern"/>
    <w:pitch w:val="default"/>
    <w:sig w:usb0="00000001" w:usb1="080E0000" w:usb2="00000000" w:usb3="00000000" w:csb0="00040000" w:csb1="00000000"/>
    <w:embedRegular r:id="rId3" w:fontKey="{7C1FA63B-BD91-4ADF-9E06-8DA02490C034}"/>
  </w:font>
  <w:font w:name="东文宋体">
    <w:altName w:val="宋体"/>
    <w:panose1 w:val="00000000000000000000"/>
    <w:charset w:val="00"/>
    <w:family w:val="roman"/>
    <w:pitch w:val="default"/>
    <w:sig w:usb0="00000000" w:usb1="00000000" w:usb2="00000000" w:usb3="00000000" w:csb0="00040001" w:csb1="00000000"/>
    <w:embedRegular r:id="rId4" w:fontKey="{FDC63630-4CA5-4B73-8E29-99695C341635}"/>
  </w:font>
  <w:font w:name="方正黑体">
    <w:altName w:val="黑体"/>
    <w:panose1 w:val="00000000000000000000"/>
    <w:charset w:val="86"/>
    <w:family w:val="auto"/>
    <w:pitch w:val="default"/>
    <w:sig w:usb0="00000000" w:usb1="00000000" w:usb2="00000000" w:usb3="00000000" w:csb0="00040000" w:csb1="00000000"/>
    <w:embedRegular r:id="rId5" w:fontKey="{072CD431-921F-45EF-8328-7A762FBE0340}"/>
  </w:font>
  <w:font w:name="Cambria">
    <w:panose1 w:val="02040503050406030204"/>
    <w:charset w:val="00"/>
    <w:family w:val="roman"/>
    <w:pitch w:val="default"/>
    <w:sig w:usb0="E00002FF" w:usb1="400004FF" w:usb2="00000000" w:usb3="00000000" w:csb0="2000019F"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pPr>
                      <w:pStyle w:val="15"/>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p>
                </w:txbxContent>
              </v:textbox>
            </v:shape>
          </w:pict>
        </mc:Fallback>
      </mc:AlternateContent>
    </w:r>
    <w:r>
      <w:rPr>
        <w:rFonts w:hint="eastAsia"/>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pPr>
                      <w:pStyle w:val="15"/>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p>
                </w:txbxContent>
              </v:textbox>
            </v:shape>
          </w:pict>
        </mc:Fallback>
      </mc:AlternateContent>
    </w:r>
    <w:r>
      <w:rPr>
        <w:rFonts w:hint="eastAsia"/>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pPr>
        <w:pStyle w:val="21"/>
        <w:snapToGrid w:val="0"/>
      </w:pPr>
      <w:r>
        <w:rPr>
          <w:rStyle w:val="33"/>
        </w:rPr>
        <w:footnoteRef/>
      </w:r>
      <w:r>
        <w:t xml:space="preserve"> </w:t>
      </w:r>
      <w:r>
        <w:rPr>
          <w:rStyle w:val="30"/>
          <w:rFonts w:hint="eastAsia" w:ascii="宋体" w:hAnsi="宋体" w:eastAsia="宋体" w:cs="宋体"/>
          <w:b w:val="0"/>
          <w:bCs/>
          <w:i w:val="0"/>
          <w:iCs w:val="0"/>
          <w:caps w:val="0"/>
          <w:color w:val="000000" w:themeColor="text1"/>
          <w:spacing w:val="0"/>
          <w:sz w:val="21"/>
          <w:szCs w:val="21"/>
          <w:shd w:val="clear" w:fill="FFFFFF"/>
          <w14:textFill>
            <w14:solidFill>
              <w14:schemeClr w14:val="tx1"/>
            </w14:solidFill>
          </w14:textFill>
        </w:rPr>
        <w:t>商务部等9部门关于加快零售业创新发展的意见</w:t>
      </w:r>
      <w:r>
        <w:rPr>
          <w:rFonts w:hint="eastAsia" w:ascii="宋体" w:hAnsi="宋体" w:eastAsia="宋体" w:cs="宋体"/>
          <w:b w:val="0"/>
          <w:bCs/>
          <w:i w:val="0"/>
          <w:iCs w:val="0"/>
          <w:caps w:val="0"/>
          <w:color w:val="000000" w:themeColor="text1"/>
          <w:spacing w:val="0"/>
          <w:sz w:val="21"/>
          <w:szCs w:val="21"/>
          <w:shd w:val="clear" w:fill="FFFFFF"/>
          <w14:textFill>
            <w14:solidFill>
              <w14:schemeClr w14:val="tx1"/>
            </w14:solidFill>
          </w14:textFill>
        </w:rPr>
        <w:t>商流通函〔2026〕306号</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2"/>
    <w:footnote w:id="3"/>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3F15"/>
    <w:rsid w:val="000273CC"/>
    <w:rsid w:val="000758E2"/>
    <w:rsid w:val="000B3832"/>
    <w:rsid w:val="000E08A0"/>
    <w:rsid w:val="00147394"/>
    <w:rsid w:val="001514F8"/>
    <w:rsid w:val="001570FF"/>
    <w:rsid w:val="00172E78"/>
    <w:rsid w:val="0018274C"/>
    <w:rsid w:val="00213CF6"/>
    <w:rsid w:val="00226856"/>
    <w:rsid w:val="00237A6E"/>
    <w:rsid w:val="002630BB"/>
    <w:rsid w:val="00277753"/>
    <w:rsid w:val="002E01C1"/>
    <w:rsid w:val="00311785"/>
    <w:rsid w:val="00351550"/>
    <w:rsid w:val="00377076"/>
    <w:rsid w:val="00382DEE"/>
    <w:rsid w:val="003D2FB7"/>
    <w:rsid w:val="003F0F26"/>
    <w:rsid w:val="003F417C"/>
    <w:rsid w:val="00417EF4"/>
    <w:rsid w:val="004277C9"/>
    <w:rsid w:val="004479E5"/>
    <w:rsid w:val="004672B9"/>
    <w:rsid w:val="0047108C"/>
    <w:rsid w:val="00481283"/>
    <w:rsid w:val="004A3111"/>
    <w:rsid w:val="004C5BB8"/>
    <w:rsid w:val="004D601E"/>
    <w:rsid w:val="005304AB"/>
    <w:rsid w:val="00537C28"/>
    <w:rsid w:val="00561F13"/>
    <w:rsid w:val="005C088A"/>
    <w:rsid w:val="005D6F20"/>
    <w:rsid w:val="005F51F0"/>
    <w:rsid w:val="006360BD"/>
    <w:rsid w:val="00670669"/>
    <w:rsid w:val="006808A2"/>
    <w:rsid w:val="006B31C3"/>
    <w:rsid w:val="006D1ACF"/>
    <w:rsid w:val="006F0783"/>
    <w:rsid w:val="00732078"/>
    <w:rsid w:val="007F0626"/>
    <w:rsid w:val="00802E78"/>
    <w:rsid w:val="00863B59"/>
    <w:rsid w:val="00885B23"/>
    <w:rsid w:val="00895DA6"/>
    <w:rsid w:val="008D313A"/>
    <w:rsid w:val="008D3F15"/>
    <w:rsid w:val="009172EB"/>
    <w:rsid w:val="009224FE"/>
    <w:rsid w:val="00953D9C"/>
    <w:rsid w:val="00956E90"/>
    <w:rsid w:val="009C778D"/>
    <w:rsid w:val="009F2E6D"/>
    <w:rsid w:val="009F4C1B"/>
    <w:rsid w:val="00A1182A"/>
    <w:rsid w:val="00A2302B"/>
    <w:rsid w:val="00B34F6B"/>
    <w:rsid w:val="00B5224C"/>
    <w:rsid w:val="00B701B7"/>
    <w:rsid w:val="00B86C49"/>
    <w:rsid w:val="00BC757B"/>
    <w:rsid w:val="00C11035"/>
    <w:rsid w:val="00C34E54"/>
    <w:rsid w:val="00D12D7E"/>
    <w:rsid w:val="00D26D9F"/>
    <w:rsid w:val="00D5421B"/>
    <w:rsid w:val="00DA5C53"/>
    <w:rsid w:val="00E22F63"/>
    <w:rsid w:val="00E80370"/>
    <w:rsid w:val="00F81A11"/>
    <w:rsid w:val="010361F6"/>
    <w:rsid w:val="0107426B"/>
    <w:rsid w:val="0109515E"/>
    <w:rsid w:val="010C0502"/>
    <w:rsid w:val="01161381"/>
    <w:rsid w:val="01211ECB"/>
    <w:rsid w:val="012401D2"/>
    <w:rsid w:val="01255916"/>
    <w:rsid w:val="012723F3"/>
    <w:rsid w:val="012A0989"/>
    <w:rsid w:val="012B4701"/>
    <w:rsid w:val="012F41F1"/>
    <w:rsid w:val="01333E79"/>
    <w:rsid w:val="01341807"/>
    <w:rsid w:val="013435B5"/>
    <w:rsid w:val="013B61F3"/>
    <w:rsid w:val="014063FE"/>
    <w:rsid w:val="014337F8"/>
    <w:rsid w:val="014F219D"/>
    <w:rsid w:val="01505F15"/>
    <w:rsid w:val="0156177E"/>
    <w:rsid w:val="015772A4"/>
    <w:rsid w:val="0159359C"/>
    <w:rsid w:val="015A677A"/>
    <w:rsid w:val="015C2B0C"/>
    <w:rsid w:val="01637BE0"/>
    <w:rsid w:val="016A1AC8"/>
    <w:rsid w:val="016A37B6"/>
    <w:rsid w:val="018067FB"/>
    <w:rsid w:val="01810306"/>
    <w:rsid w:val="01853E11"/>
    <w:rsid w:val="018B2121"/>
    <w:rsid w:val="01915B67"/>
    <w:rsid w:val="01916C5A"/>
    <w:rsid w:val="01945F0D"/>
    <w:rsid w:val="019E3125"/>
    <w:rsid w:val="01AA7D1B"/>
    <w:rsid w:val="01AC3A93"/>
    <w:rsid w:val="01AC7375"/>
    <w:rsid w:val="01AE15BA"/>
    <w:rsid w:val="01B12E58"/>
    <w:rsid w:val="01B3017A"/>
    <w:rsid w:val="01BB5A85"/>
    <w:rsid w:val="01BC4A5C"/>
    <w:rsid w:val="01BE7323"/>
    <w:rsid w:val="01BF5575"/>
    <w:rsid w:val="01C506B1"/>
    <w:rsid w:val="01CD4D28"/>
    <w:rsid w:val="01CF7782"/>
    <w:rsid w:val="01D66A1A"/>
    <w:rsid w:val="01D95F0B"/>
    <w:rsid w:val="01DE1773"/>
    <w:rsid w:val="01E03FF6"/>
    <w:rsid w:val="01E07299"/>
    <w:rsid w:val="01E33381"/>
    <w:rsid w:val="01E46D89"/>
    <w:rsid w:val="01E542E7"/>
    <w:rsid w:val="01E807C4"/>
    <w:rsid w:val="01EA0118"/>
    <w:rsid w:val="01EC1682"/>
    <w:rsid w:val="01F33470"/>
    <w:rsid w:val="01F62F61"/>
    <w:rsid w:val="01FF2A25"/>
    <w:rsid w:val="020058B7"/>
    <w:rsid w:val="020250A8"/>
    <w:rsid w:val="0204567E"/>
    <w:rsid w:val="02070CCA"/>
    <w:rsid w:val="020D6F0D"/>
    <w:rsid w:val="02111434"/>
    <w:rsid w:val="02184C85"/>
    <w:rsid w:val="021C1810"/>
    <w:rsid w:val="021C29C7"/>
    <w:rsid w:val="02217FDE"/>
    <w:rsid w:val="0227136C"/>
    <w:rsid w:val="022C24DE"/>
    <w:rsid w:val="022F40C5"/>
    <w:rsid w:val="02311A90"/>
    <w:rsid w:val="023121BE"/>
    <w:rsid w:val="023A4BFB"/>
    <w:rsid w:val="023C5046"/>
    <w:rsid w:val="023F0464"/>
    <w:rsid w:val="0241242E"/>
    <w:rsid w:val="02427F54"/>
    <w:rsid w:val="024C492F"/>
    <w:rsid w:val="024E0D4D"/>
    <w:rsid w:val="02597A2D"/>
    <w:rsid w:val="025D08EA"/>
    <w:rsid w:val="025F1A63"/>
    <w:rsid w:val="026779BA"/>
    <w:rsid w:val="02714395"/>
    <w:rsid w:val="027C16B8"/>
    <w:rsid w:val="027C5214"/>
    <w:rsid w:val="02831388"/>
    <w:rsid w:val="028440C8"/>
    <w:rsid w:val="02867E41"/>
    <w:rsid w:val="028C11CF"/>
    <w:rsid w:val="02907D0A"/>
    <w:rsid w:val="0295355F"/>
    <w:rsid w:val="02985DC6"/>
    <w:rsid w:val="029A38EC"/>
    <w:rsid w:val="029B3B3C"/>
    <w:rsid w:val="029C1412"/>
    <w:rsid w:val="029C50D9"/>
    <w:rsid w:val="029E759B"/>
    <w:rsid w:val="029F53A6"/>
    <w:rsid w:val="029F7154"/>
    <w:rsid w:val="02A26487"/>
    <w:rsid w:val="02A52D67"/>
    <w:rsid w:val="02B060E3"/>
    <w:rsid w:val="02BC11D2"/>
    <w:rsid w:val="02BC3862"/>
    <w:rsid w:val="02BF3353"/>
    <w:rsid w:val="02C24BF1"/>
    <w:rsid w:val="02C44E0D"/>
    <w:rsid w:val="02C646E1"/>
    <w:rsid w:val="02C848FD"/>
    <w:rsid w:val="02CB1CF7"/>
    <w:rsid w:val="02CC6425"/>
    <w:rsid w:val="02CF7A3A"/>
    <w:rsid w:val="02D05560"/>
    <w:rsid w:val="02D212D8"/>
    <w:rsid w:val="02D2752A"/>
    <w:rsid w:val="02D45050"/>
    <w:rsid w:val="02D768EE"/>
    <w:rsid w:val="02DC78BE"/>
    <w:rsid w:val="02DF0FD5"/>
    <w:rsid w:val="02EF1E8A"/>
    <w:rsid w:val="02F01533"/>
    <w:rsid w:val="02F0175E"/>
    <w:rsid w:val="02F76F90"/>
    <w:rsid w:val="02F96864"/>
    <w:rsid w:val="02FD0253"/>
    <w:rsid w:val="02FE20CD"/>
    <w:rsid w:val="02FF7BF3"/>
    <w:rsid w:val="030516AD"/>
    <w:rsid w:val="030A0A72"/>
    <w:rsid w:val="030A6AAC"/>
    <w:rsid w:val="030B2A3C"/>
    <w:rsid w:val="031A4A2D"/>
    <w:rsid w:val="031B02C9"/>
    <w:rsid w:val="031B62B7"/>
    <w:rsid w:val="031C69F7"/>
    <w:rsid w:val="031F2043"/>
    <w:rsid w:val="03202C12"/>
    <w:rsid w:val="03215DBB"/>
    <w:rsid w:val="03265180"/>
    <w:rsid w:val="03280EF8"/>
    <w:rsid w:val="032F66C5"/>
    <w:rsid w:val="03304250"/>
    <w:rsid w:val="03321D76"/>
    <w:rsid w:val="033527DD"/>
    <w:rsid w:val="0335348B"/>
    <w:rsid w:val="03361E7B"/>
    <w:rsid w:val="0337738D"/>
    <w:rsid w:val="03393105"/>
    <w:rsid w:val="033C16D0"/>
    <w:rsid w:val="033E696D"/>
    <w:rsid w:val="03404493"/>
    <w:rsid w:val="034440A1"/>
    <w:rsid w:val="03451AAA"/>
    <w:rsid w:val="0348159A"/>
    <w:rsid w:val="03490148"/>
    <w:rsid w:val="0349727F"/>
    <w:rsid w:val="034C108A"/>
    <w:rsid w:val="034D6BB0"/>
    <w:rsid w:val="03550A7E"/>
    <w:rsid w:val="03563CB7"/>
    <w:rsid w:val="035717DD"/>
    <w:rsid w:val="035B751F"/>
    <w:rsid w:val="035E2B6B"/>
    <w:rsid w:val="03634626"/>
    <w:rsid w:val="03653607"/>
    <w:rsid w:val="03661A20"/>
    <w:rsid w:val="036839EA"/>
    <w:rsid w:val="036C34DA"/>
    <w:rsid w:val="036F5FFD"/>
    <w:rsid w:val="037203C5"/>
    <w:rsid w:val="037534D1"/>
    <w:rsid w:val="03771E7F"/>
    <w:rsid w:val="037759DB"/>
    <w:rsid w:val="0377682C"/>
    <w:rsid w:val="037D56E7"/>
    <w:rsid w:val="037F1C41"/>
    <w:rsid w:val="03800D34"/>
    <w:rsid w:val="03800D39"/>
    <w:rsid w:val="0388408C"/>
    <w:rsid w:val="038A7E04"/>
    <w:rsid w:val="038E32E3"/>
    <w:rsid w:val="039447DF"/>
    <w:rsid w:val="0397059C"/>
    <w:rsid w:val="039B3DC0"/>
    <w:rsid w:val="039C7753"/>
    <w:rsid w:val="039F2A8A"/>
    <w:rsid w:val="03A2514E"/>
    <w:rsid w:val="03A74512"/>
    <w:rsid w:val="03A964DC"/>
    <w:rsid w:val="03AA1EF8"/>
    <w:rsid w:val="03AA7192"/>
    <w:rsid w:val="03B2746D"/>
    <w:rsid w:val="03B65EE5"/>
    <w:rsid w:val="03B6671E"/>
    <w:rsid w:val="03C076C5"/>
    <w:rsid w:val="03C2759E"/>
    <w:rsid w:val="03C52BEB"/>
    <w:rsid w:val="03C63C7D"/>
    <w:rsid w:val="03CE5F43"/>
    <w:rsid w:val="03E3098D"/>
    <w:rsid w:val="03E5503B"/>
    <w:rsid w:val="03E80687"/>
    <w:rsid w:val="03EA2651"/>
    <w:rsid w:val="03F37758"/>
    <w:rsid w:val="03F86B1C"/>
    <w:rsid w:val="04025BED"/>
    <w:rsid w:val="0405569A"/>
    <w:rsid w:val="04063ACB"/>
    <w:rsid w:val="040B01C4"/>
    <w:rsid w:val="04117BDE"/>
    <w:rsid w:val="041453FF"/>
    <w:rsid w:val="04194CE4"/>
    <w:rsid w:val="041A1188"/>
    <w:rsid w:val="04206073"/>
    <w:rsid w:val="04261872"/>
    <w:rsid w:val="042711AF"/>
    <w:rsid w:val="04273BC7"/>
    <w:rsid w:val="04275653"/>
    <w:rsid w:val="042825BE"/>
    <w:rsid w:val="04297B18"/>
    <w:rsid w:val="042C4A18"/>
    <w:rsid w:val="042D0B4D"/>
    <w:rsid w:val="0433224A"/>
    <w:rsid w:val="04333FF8"/>
    <w:rsid w:val="04365896"/>
    <w:rsid w:val="04375524"/>
    <w:rsid w:val="04415D9F"/>
    <w:rsid w:val="0442248D"/>
    <w:rsid w:val="04471852"/>
    <w:rsid w:val="044955CA"/>
    <w:rsid w:val="04531FA4"/>
    <w:rsid w:val="04583A5F"/>
    <w:rsid w:val="0458580D"/>
    <w:rsid w:val="045A77CA"/>
    <w:rsid w:val="046250DD"/>
    <w:rsid w:val="04642403"/>
    <w:rsid w:val="046B1F08"/>
    <w:rsid w:val="046E6DBA"/>
    <w:rsid w:val="04702B56"/>
    <w:rsid w:val="04745EB1"/>
    <w:rsid w:val="04787C5D"/>
    <w:rsid w:val="048C0345"/>
    <w:rsid w:val="049169A1"/>
    <w:rsid w:val="04934A97"/>
    <w:rsid w:val="04945913"/>
    <w:rsid w:val="04970029"/>
    <w:rsid w:val="04983022"/>
    <w:rsid w:val="049A7BD3"/>
    <w:rsid w:val="049C1B9D"/>
    <w:rsid w:val="049C7DEF"/>
    <w:rsid w:val="04A1003D"/>
    <w:rsid w:val="04A3589F"/>
    <w:rsid w:val="04A44EF6"/>
    <w:rsid w:val="04A66578"/>
    <w:rsid w:val="04A9250C"/>
    <w:rsid w:val="04AE367F"/>
    <w:rsid w:val="04B969D1"/>
    <w:rsid w:val="04BA2023"/>
    <w:rsid w:val="04BC3FEE"/>
    <w:rsid w:val="04BC5D9C"/>
    <w:rsid w:val="04C03370"/>
    <w:rsid w:val="04D07A99"/>
    <w:rsid w:val="04D34045"/>
    <w:rsid w:val="04D56E5D"/>
    <w:rsid w:val="04DD3F64"/>
    <w:rsid w:val="04DD5D12"/>
    <w:rsid w:val="04E23328"/>
    <w:rsid w:val="04E41EE2"/>
    <w:rsid w:val="04E52A4E"/>
    <w:rsid w:val="04E672BC"/>
    <w:rsid w:val="04E83035"/>
    <w:rsid w:val="04E92909"/>
    <w:rsid w:val="04F55E74"/>
    <w:rsid w:val="04F574FF"/>
    <w:rsid w:val="04F75026"/>
    <w:rsid w:val="04F82B4C"/>
    <w:rsid w:val="04FA4B16"/>
    <w:rsid w:val="04FB38B4"/>
    <w:rsid w:val="05004690"/>
    <w:rsid w:val="05015EA4"/>
    <w:rsid w:val="0504178D"/>
    <w:rsid w:val="05091ABF"/>
    <w:rsid w:val="050B18D6"/>
    <w:rsid w:val="050B287F"/>
    <w:rsid w:val="050B6D23"/>
    <w:rsid w:val="050D05F6"/>
    <w:rsid w:val="050D65F7"/>
    <w:rsid w:val="050E7C32"/>
    <w:rsid w:val="05111DAD"/>
    <w:rsid w:val="05137986"/>
    <w:rsid w:val="05143E2A"/>
    <w:rsid w:val="05145BD8"/>
    <w:rsid w:val="0519537F"/>
    <w:rsid w:val="05216546"/>
    <w:rsid w:val="05290F57"/>
    <w:rsid w:val="05377B18"/>
    <w:rsid w:val="054364BD"/>
    <w:rsid w:val="054C16B2"/>
    <w:rsid w:val="054E40C5"/>
    <w:rsid w:val="05500BDA"/>
    <w:rsid w:val="05542478"/>
    <w:rsid w:val="055764B5"/>
    <w:rsid w:val="055B3806"/>
    <w:rsid w:val="055C033A"/>
    <w:rsid w:val="055C132D"/>
    <w:rsid w:val="0560706F"/>
    <w:rsid w:val="05616943"/>
    <w:rsid w:val="056D52E8"/>
    <w:rsid w:val="05710BE2"/>
    <w:rsid w:val="05794E98"/>
    <w:rsid w:val="057E5747"/>
    <w:rsid w:val="05860158"/>
    <w:rsid w:val="058A7C48"/>
    <w:rsid w:val="05916E53"/>
    <w:rsid w:val="059211F2"/>
    <w:rsid w:val="05A01219"/>
    <w:rsid w:val="05AB5E10"/>
    <w:rsid w:val="05AD264D"/>
    <w:rsid w:val="05AD3936"/>
    <w:rsid w:val="05B32224"/>
    <w:rsid w:val="05B541F9"/>
    <w:rsid w:val="05B81D48"/>
    <w:rsid w:val="05B8311D"/>
    <w:rsid w:val="05B9677F"/>
    <w:rsid w:val="05CD5D86"/>
    <w:rsid w:val="05D1471C"/>
    <w:rsid w:val="05D435B9"/>
    <w:rsid w:val="05D83B97"/>
    <w:rsid w:val="05D9297D"/>
    <w:rsid w:val="05DB61C8"/>
    <w:rsid w:val="05DD246D"/>
    <w:rsid w:val="05DD2634"/>
    <w:rsid w:val="05DE1D42"/>
    <w:rsid w:val="05E66648"/>
    <w:rsid w:val="05EA2DDC"/>
    <w:rsid w:val="05EC26B0"/>
    <w:rsid w:val="05EC3993"/>
    <w:rsid w:val="05EE467B"/>
    <w:rsid w:val="05EF03F3"/>
    <w:rsid w:val="05F11A75"/>
    <w:rsid w:val="05F70FC5"/>
    <w:rsid w:val="05FE689D"/>
    <w:rsid w:val="060379FA"/>
    <w:rsid w:val="06065E8B"/>
    <w:rsid w:val="060911D9"/>
    <w:rsid w:val="06093262"/>
    <w:rsid w:val="060C2D53"/>
    <w:rsid w:val="06113EC5"/>
    <w:rsid w:val="0611790E"/>
    <w:rsid w:val="061340E1"/>
    <w:rsid w:val="06135E8F"/>
    <w:rsid w:val="06145DC8"/>
    <w:rsid w:val="061D0ABC"/>
    <w:rsid w:val="06231E4A"/>
    <w:rsid w:val="06232021"/>
    <w:rsid w:val="062A31D9"/>
    <w:rsid w:val="062C39FE"/>
    <w:rsid w:val="062D71EF"/>
    <w:rsid w:val="062E4A77"/>
    <w:rsid w:val="062F259D"/>
    <w:rsid w:val="06316315"/>
    <w:rsid w:val="0639166E"/>
    <w:rsid w:val="063E43B5"/>
    <w:rsid w:val="063F366F"/>
    <w:rsid w:val="063F7839"/>
    <w:rsid w:val="064222D0"/>
    <w:rsid w:val="06450013"/>
    <w:rsid w:val="06451DC1"/>
    <w:rsid w:val="06473D8B"/>
    <w:rsid w:val="065376B0"/>
    <w:rsid w:val="0656788B"/>
    <w:rsid w:val="065A1D10"/>
    <w:rsid w:val="065B5A88"/>
    <w:rsid w:val="065B7836"/>
    <w:rsid w:val="06620BC5"/>
    <w:rsid w:val="066362A6"/>
    <w:rsid w:val="0669428A"/>
    <w:rsid w:val="066D52A0"/>
    <w:rsid w:val="066F6E3E"/>
    <w:rsid w:val="06732DD2"/>
    <w:rsid w:val="06736DDF"/>
    <w:rsid w:val="067408D2"/>
    <w:rsid w:val="06744454"/>
    <w:rsid w:val="067526A6"/>
    <w:rsid w:val="067D77AC"/>
    <w:rsid w:val="067F3525"/>
    <w:rsid w:val="068A6458"/>
    <w:rsid w:val="068B1EC9"/>
    <w:rsid w:val="068F128E"/>
    <w:rsid w:val="06954AF6"/>
    <w:rsid w:val="06964D1E"/>
    <w:rsid w:val="069A3EBB"/>
    <w:rsid w:val="069D1BFD"/>
    <w:rsid w:val="06A66D03"/>
    <w:rsid w:val="06AE7966"/>
    <w:rsid w:val="06AF3483"/>
    <w:rsid w:val="06B37672"/>
    <w:rsid w:val="06B55198"/>
    <w:rsid w:val="06B64A6C"/>
    <w:rsid w:val="06B84C89"/>
    <w:rsid w:val="06B917F9"/>
    <w:rsid w:val="06C158EB"/>
    <w:rsid w:val="06C453DB"/>
    <w:rsid w:val="06D118A6"/>
    <w:rsid w:val="06D438FD"/>
    <w:rsid w:val="06D870D9"/>
    <w:rsid w:val="06DF2215"/>
    <w:rsid w:val="06E14433"/>
    <w:rsid w:val="06E65352"/>
    <w:rsid w:val="06EA7D87"/>
    <w:rsid w:val="06F07A83"/>
    <w:rsid w:val="06F814E9"/>
    <w:rsid w:val="06FA704F"/>
    <w:rsid w:val="06FD6A9C"/>
    <w:rsid w:val="070659F4"/>
    <w:rsid w:val="070677A2"/>
    <w:rsid w:val="070E2AFA"/>
    <w:rsid w:val="07107C1F"/>
    <w:rsid w:val="07124399"/>
    <w:rsid w:val="0720703D"/>
    <w:rsid w:val="0728596A"/>
    <w:rsid w:val="073267E9"/>
    <w:rsid w:val="07350087"/>
    <w:rsid w:val="073562D9"/>
    <w:rsid w:val="073E6C8B"/>
    <w:rsid w:val="07444348"/>
    <w:rsid w:val="0748600C"/>
    <w:rsid w:val="07487DBA"/>
    <w:rsid w:val="074B16CD"/>
    <w:rsid w:val="074B3407"/>
    <w:rsid w:val="074F739B"/>
    <w:rsid w:val="075065BC"/>
    <w:rsid w:val="075C1AB8"/>
    <w:rsid w:val="075E5F7A"/>
    <w:rsid w:val="0762147F"/>
    <w:rsid w:val="07632E46"/>
    <w:rsid w:val="07654AB5"/>
    <w:rsid w:val="076A3C78"/>
    <w:rsid w:val="076C586C"/>
    <w:rsid w:val="076D08DA"/>
    <w:rsid w:val="07724E37"/>
    <w:rsid w:val="07797F74"/>
    <w:rsid w:val="077B6F81"/>
    <w:rsid w:val="077F1302"/>
    <w:rsid w:val="077F14C3"/>
    <w:rsid w:val="07852DBD"/>
    <w:rsid w:val="078F12F0"/>
    <w:rsid w:val="078F59E9"/>
    <w:rsid w:val="07941F25"/>
    <w:rsid w:val="079A613C"/>
    <w:rsid w:val="079C3C62"/>
    <w:rsid w:val="079F307F"/>
    <w:rsid w:val="07A34FF1"/>
    <w:rsid w:val="07AC2477"/>
    <w:rsid w:val="07AD2313"/>
    <w:rsid w:val="07AD40C1"/>
    <w:rsid w:val="07B026C9"/>
    <w:rsid w:val="07B436A2"/>
    <w:rsid w:val="07BA233A"/>
    <w:rsid w:val="07BB058C"/>
    <w:rsid w:val="07BC4304"/>
    <w:rsid w:val="07C30081"/>
    <w:rsid w:val="07C42416"/>
    <w:rsid w:val="07C80EFB"/>
    <w:rsid w:val="07CE3B6C"/>
    <w:rsid w:val="07D15C84"/>
    <w:rsid w:val="07D275EB"/>
    <w:rsid w:val="07D35B7B"/>
    <w:rsid w:val="07D478A0"/>
    <w:rsid w:val="07D826C8"/>
    <w:rsid w:val="07DB29DD"/>
    <w:rsid w:val="07DD49A7"/>
    <w:rsid w:val="07E06245"/>
    <w:rsid w:val="07E51AAD"/>
    <w:rsid w:val="07E81811"/>
    <w:rsid w:val="07E850FA"/>
    <w:rsid w:val="07EF6336"/>
    <w:rsid w:val="07F43A9E"/>
    <w:rsid w:val="07F70453"/>
    <w:rsid w:val="07FA79DD"/>
    <w:rsid w:val="07FC5B84"/>
    <w:rsid w:val="07FC6E1F"/>
    <w:rsid w:val="07FD41F7"/>
    <w:rsid w:val="07FD6DF7"/>
    <w:rsid w:val="07FF0326"/>
    <w:rsid w:val="08010F28"/>
    <w:rsid w:val="0803797C"/>
    <w:rsid w:val="080C527A"/>
    <w:rsid w:val="080C703A"/>
    <w:rsid w:val="08135F0E"/>
    <w:rsid w:val="08161C67"/>
    <w:rsid w:val="081A1ACF"/>
    <w:rsid w:val="081A2F8B"/>
    <w:rsid w:val="081A48E6"/>
    <w:rsid w:val="081D1247"/>
    <w:rsid w:val="081E0B1B"/>
    <w:rsid w:val="08261FD4"/>
    <w:rsid w:val="082A5712"/>
    <w:rsid w:val="082D2605"/>
    <w:rsid w:val="082D6FB0"/>
    <w:rsid w:val="082E5202"/>
    <w:rsid w:val="082F2519"/>
    <w:rsid w:val="08303A92"/>
    <w:rsid w:val="08335BAA"/>
    <w:rsid w:val="08346563"/>
    <w:rsid w:val="08381BDD"/>
    <w:rsid w:val="08393BA7"/>
    <w:rsid w:val="083D3697"/>
    <w:rsid w:val="08404F36"/>
    <w:rsid w:val="08417776"/>
    <w:rsid w:val="08464306"/>
    <w:rsid w:val="084666B8"/>
    <w:rsid w:val="08484539"/>
    <w:rsid w:val="084A0EA6"/>
    <w:rsid w:val="084C7436"/>
    <w:rsid w:val="084F5179"/>
    <w:rsid w:val="08504DE6"/>
    <w:rsid w:val="085069D8"/>
    <w:rsid w:val="085D1644"/>
    <w:rsid w:val="085D5342"/>
    <w:rsid w:val="085F42F4"/>
    <w:rsid w:val="08624EAC"/>
    <w:rsid w:val="086329D2"/>
    <w:rsid w:val="0865515F"/>
    <w:rsid w:val="08700F1C"/>
    <w:rsid w:val="087115C4"/>
    <w:rsid w:val="08732C15"/>
    <w:rsid w:val="08832677"/>
    <w:rsid w:val="08833430"/>
    <w:rsid w:val="08843074"/>
    <w:rsid w:val="088970C6"/>
    <w:rsid w:val="088A4403"/>
    <w:rsid w:val="088C1F29"/>
    <w:rsid w:val="088E13EE"/>
    <w:rsid w:val="0898267C"/>
    <w:rsid w:val="089C095C"/>
    <w:rsid w:val="08A632D3"/>
    <w:rsid w:val="08AC58F4"/>
    <w:rsid w:val="08AC7F4A"/>
    <w:rsid w:val="08AE02E0"/>
    <w:rsid w:val="08B111EB"/>
    <w:rsid w:val="08B6462D"/>
    <w:rsid w:val="08B651F8"/>
    <w:rsid w:val="08BC20E1"/>
    <w:rsid w:val="08BD6586"/>
    <w:rsid w:val="08C2594B"/>
    <w:rsid w:val="08C351E4"/>
    <w:rsid w:val="08C41889"/>
    <w:rsid w:val="08C43471"/>
    <w:rsid w:val="08C72F61"/>
    <w:rsid w:val="08CB083B"/>
    <w:rsid w:val="08D12032"/>
    <w:rsid w:val="08D37B58"/>
    <w:rsid w:val="08D8516E"/>
    <w:rsid w:val="08E25FED"/>
    <w:rsid w:val="08E73603"/>
    <w:rsid w:val="08E753B1"/>
    <w:rsid w:val="08EB30F3"/>
    <w:rsid w:val="08EF6E2E"/>
    <w:rsid w:val="08F01EFE"/>
    <w:rsid w:val="08F024B8"/>
    <w:rsid w:val="08F04266"/>
    <w:rsid w:val="08F175AB"/>
    <w:rsid w:val="08F655F4"/>
    <w:rsid w:val="08FA50E4"/>
    <w:rsid w:val="08FA6E92"/>
    <w:rsid w:val="08FB2C0B"/>
    <w:rsid w:val="09012917"/>
    <w:rsid w:val="090566FB"/>
    <w:rsid w:val="09077801"/>
    <w:rsid w:val="09095327"/>
    <w:rsid w:val="090B455E"/>
    <w:rsid w:val="09120680"/>
    <w:rsid w:val="09152EA8"/>
    <w:rsid w:val="09167A44"/>
    <w:rsid w:val="091D1F66"/>
    <w:rsid w:val="09246605"/>
    <w:rsid w:val="0926237D"/>
    <w:rsid w:val="09293C1C"/>
    <w:rsid w:val="092E1232"/>
    <w:rsid w:val="09391A25"/>
    <w:rsid w:val="093A3733"/>
    <w:rsid w:val="093F29BE"/>
    <w:rsid w:val="093F5845"/>
    <w:rsid w:val="09420839"/>
    <w:rsid w:val="0943514C"/>
    <w:rsid w:val="094B5940"/>
    <w:rsid w:val="094B7289"/>
    <w:rsid w:val="094E3682"/>
    <w:rsid w:val="095567BF"/>
    <w:rsid w:val="095A2369"/>
    <w:rsid w:val="095D6ACD"/>
    <w:rsid w:val="0964525F"/>
    <w:rsid w:val="09646A02"/>
    <w:rsid w:val="096802A0"/>
    <w:rsid w:val="0968581D"/>
    <w:rsid w:val="096A2333"/>
    <w:rsid w:val="096E7880"/>
    <w:rsid w:val="09722ECD"/>
    <w:rsid w:val="09774987"/>
    <w:rsid w:val="097A0BC6"/>
    <w:rsid w:val="097C01EF"/>
    <w:rsid w:val="097F1A8E"/>
    <w:rsid w:val="098552F6"/>
    <w:rsid w:val="09880942"/>
    <w:rsid w:val="098E3A7F"/>
    <w:rsid w:val="098F1CD1"/>
    <w:rsid w:val="09906B6F"/>
    <w:rsid w:val="099077F7"/>
    <w:rsid w:val="099217C1"/>
    <w:rsid w:val="09945539"/>
    <w:rsid w:val="099472E7"/>
    <w:rsid w:val="09961EF4"/>
    <w:rsid w:val="09992B4F"/>
    <w:rsid w:val="099C0232"/>
    <w:rsid w:val="099E1F14"/>
    <w:rsid w:val="099F178D"/>
    <w:rsid w:val="09A11A04"/>
    <w:rsid w:val="09A2731D"/>
    <w:rsid w:val="09A60DC8"/>
    <w:rsid w:val="09A6526C"/>
    <w:rsid w:val="09A6701A"/>
    <w:rsid w:val="09A84B40"/>
    <w:rsid w:val="09AA6B0A"/>
    <w:rsid w:val="09AD29F2"/>
    <w:rsid w:val="09B01C47"/>
    <w:rsid w:val="09B039F5"/>
    <w:rsid w:val="09B07E99"/>
    <w:rsid w:val="09B103F4"/>
    <w:rsid w:val="09B94F9F"/>
    <w:rsid w:val="09BC05EC"/>
    <w:rsid w:val="09C828C8"/>
    <w:rsid w:val="09C86F91"/>
    <w:rsid w:val="09D30340"/>
    <w:rsid w:val="09D43B87"/>
    <w:rsid w:val="09D516AE"/>
    <w:rsid w:val="09D73678"/>
    <w:rsid w:val="09DB3168"/>
    <w:rsid w:val="09DE4A06"/>
    <w:rsid w:val="09DE75D4"/>
    <w:rsid w:val="09DF2D4F"/>
    <w:rsid w:val="09E0077E"/>
    <w:rsid w:val="09E3201C"/>
    <w:rsid w:val="09E35B78"/>
    <w:rsid w:val="09E43ECA"/>
    <w:rsid w:val="09EC6316"/>
    <w:rsid w:val="09EC7123"/>
    <w:rsid w:val="09EF6A49"/>
    <w:rsid w:val="09F2225F"/>
    <w:rsid w:val="09F71C5D"/>
    <w:rsid w:val="09F8514F"/>
    <w:rsid w:val="09F935EE"/>
    <w:rsid w:val="09FC434C"/>
    <w:rsid w:val="09FD1C71"/>
    <w:rsid w:val="09FD689E"/>
    <w:rsid w:val="0A002BCE"/>
    <w:rsid w:val="0A051F93"/>
    <w:rsid w:val="0A073777"/>
    <w:rsid w:val="0A0D52EB"/>
    <w:rsid w:val="0A165F4E"/>
    <w:rsid w:val="0A173A74"/>
    <w:rsid w:val="0A195A3E"/>
    <w:rsid w:val="0A1B5312"/>
    <w:rsid w:val="0A255EE9"/>
    <w:rsid w:val="0A283ED3"/>
    <w:rsid w:val="0A2C7464"/>
    <w:rsid w:val="0A314B36"/>
    <w:rsid w:val="0A334D52"/>
    <w:rsid w:val="0A342878"/>
    <w:rsid w:val="0A384620"/>
    <w:rsid w:val="0A391C3C"/>
    <w:rsid w:val="0A3B7763"/>
    <w:rsid w:val="0A3E54A5"/>
    <w:rsid w:val="0A3F5589"/>
    <w:rsid w:val="0A402FCB"/>
    <w:rsid w:val="0A424C17"/>
    <w:rsid w:val="0A432B17"/>
    <w:rsid w:val="0A4826D3"/>
    <w:rsid w:val="0A4A209B"/>
    <w:rsid w:val="0A4C5E14"/>
    <w:rsid w:val="0A4F7D5E"/>
    <w:rsid w:val="0A522CFE"/>
    <w:rsid w:val="0A52600B"/>
    <w:rsid w:val="0A546A76"/>
    <w:rsid w:val="0A5B1BB3"/>
    <w:rsid w:val="0A5C592B"/>
    <w:rsid w:val="0A607318"/>
    <w:rsid w:val="0A613AA8"/>
    <w:rsid w:val="0A617F01"/>
    <w:rsid w:val="0A622F41"/>
    <w:rsid w:val="0A6273E5"/>
    <w:rsid w:val="0A64315D"/>
    <w:rsid w:val="0A645115"/>
    <w:rsid w:val="0A6D18E6"/>
    <w:rsid w:val="0A6D7B38"/>
    <w:rsid w:val="0A6F1B02"/>
    <w:rsid w:val="0A747118"/>
    <w:rsid w:val="0A7B2255"/>
    <w:rsid w:val="0A81411C"/>
    <w:rsid w:val="0A8215A2"/>
    <w:rsid w:val="0A8235E3"/>
    <w:rsid w:val="0A82564E"/>
    <w:rsid w:val="0A8455AD"/>
    <w:rsid w:val="0A872525"/>
    <w:rsid w:val="0A917CCA"/>
    <w:rsid w:val="0A981059"/>
    <w:rsid w:val="0A9D21CB"/>
    <w:rsid w:val="0A9F2113"/>
    <w:rsid w:val="0AA71B5F"/>
    <w:rsid w:val="0AAB0D8C"/>
    <w:rsid w:val="0AAE3149"/>
    <w:rsid w:val="0AB1211B"/>
    <w:rsid w:val="0AB15C77"/>
    <w:rsid w:val="0ABB6AF5"/>
    <w:rsid w:val="0ABF0394"/>
    <w:rsid w:val="0AC91212"/>
    <w:rsid w:val="0AC92FC0"/>
    <w:rsid w:val="0AC955F7"/>
    <w:rsid w:val="0ACE05D7"/>
    <w:rsid w:val="0AD025FD"/>
    <w:rsid w:val="0AD61B81"/>
    <w:rsid w:val="0ADB0F46"/>
    <w:rsid w:val="0ADD081A"/>
    <w:rsid w:val="0AE778EA"/>
    <w:rsid w:val="0AEB73DB"/>
    <w:rsid w:val="0AEC6CAF"/>
    <w:rsid w:val="0AEE6ECB"/>
    <w:rsid w:val="0AF22349"/>
    <w:rsid w:val="0AF3003D"/>
    <w:rsid w:val="0AF344E1"/>
    <w:rsid w:val="0AF81AF7"/>
    <w:rsid w:val="0AFD0EBC"/>
    <w:rsid w:val="0B015E43"/>
    <w:rsid w:val="0B071CAC"/>
    <w:rsid w:val="0B085689"/>
    <w:rsid w:val="0B085BAA"/>
    <w:rsid w:val="0B0B3A5A"/>
    <w:rsid w:val="0B0D02DE"/>
    <w:rsid w:val="0B0E2460"/>
    <w:rsid w:val="0B106E41"/>
    <w:rsid w:val="0B12527D"/>
    <w:rsid w:val="0B1526A9"/>
    <w:rsid w:val="0B1570F5"/>
    <w:rsid w:val="0B165B61"/>
    <w:rsid w:val="0B1F4B2B"/>
    <w:rsid w:val="0B1F7084"/>
    <w:rsid w:val="0B24469B"/>
    <w:rsid w:val="0B266665"/>
    <w:rsid w:val="0B293A5F"/>
    <w:rsid w:val="0B297F03"/>
    <w:rsid w:val="0B2F3CC0"/>
    <w:rsid w:val="0B3001AC"/>
    <w:rsid w:val="0B393321"/>
    <w:rsid w:val="0B3D750A"/>
    <w:rsid w:val="0B40795D"/>
    <w:rsid w:val="0B41524D"/>
    <w:rsid w:val="0B4A355A"/>
    <w:rsid w:val="0B4C6A12"/>
    <w:rsid w:val="0B4D54FF"/>
    <w:rsid w:val="0B5C5BE2"/>
    <w:rsid w:val="0B5E5DFE"/>
    <w:rsid w:val="0B61144B"/>
    <w:rsid w:val="0B61201C"/>
    <w:rsid w:val="0B6158EF"/>
    <w:rsid w:val="0B662F05"/>
    <w:rsid w:val="0B6902FF"/>
    <w:rsid w:val="0B6E5911"/>
    <w:rsid w:val="0B707539"/>
    <w:rsid w:val="0B7373D0"/>
    <w:rsid w:val="0B7A250D"/>
    <w:rsid w:val="0B7A69B0"/>
    <w:rsid w:val="0B7D5414"/>
    <w:rsid w:val="0B8415DD"/>
    <w:rsid w:val="0B84283C"/>
    <w:rsid w:val="0B845139"/>
    <w:rsid w:val="0B8548A9"/>
    <w:rsid w:val="0B884C29"/>
    <w:rsid w:val="0B8D2240"/>
    <w:rsid w:val="0B8E7D66"/>
    <w:rsid w:val="0B907F82"/>
    <w:rsid w:val="0B9510F4"/>
    <w:rsid w:val="0B980BE5"/>
    <w:rsid w:val="0B990FEB"/>
    <w:rsid w:val="0B9A208B"/>
    <w:rsid w:val="0B9E5B06"/>
    <w:rsid w:val="0B9F1F73"/>
    <w:rsid w:val="0B9F3D21"/>
    <w:rsid w:val="0BA63302"/>
    <w:rsid w:val="0BA650B0"/>
    <w:rsid w:val="0BA92DF2"/>
    <w:rsid w:val="0BAD5BBF"/>
    <w:rsid w:val="0BAD643E"/>
    <w:rsid w:val="0BAE21B6"/>
    <w:rsid w:val="0BB05F2E"/>
    <w:rsid w:val="0BB93035"/>
    <w:rsid w:val="0BBC61B3"/>
    <w:rsid w:val="0BC72462"/>
    <w:rsid w:val="0BCC37C1"/>
    <w:rsid w:val="0BD0037E"/>
    <w:rsid w:val="0BD22349"/>
    <w:rsid w:val="0BD46270"/>
    <w:rsid w:val="0BDC08CF"/>
    <w:rsid w:val="0BE65DF4"/>
    <w:rsid w:val="0BE91440"/>
    <w:rsid w:val="0BEF6A57"/>
    <w:rsid w:val="0BF4406D"/>
    <w:rsid w:val="0BF96599"/>
    <w:rsid w:val="0BFA364D"/>
    <w:rsid w:val="0C0019C2"/>
    <w:rsid w:val="0C006EB6"/>
    <w:rsid w:val="0C030754"/>
    <w:rsid w:val="0C0A1AE2"/>
    <w:rsid w:val="0C0A2E46"/>
    <w:rsid w:val="0C1069CD"/>
    <w:rsid w:val="0C191D25"/>
    <w:rsid w:val="0C1A784C"/>
    <w:rsid w:val="0C1E10EA"/>
    <w:rsid w:val="0C22507E"/>
    <w:rsid w:val="0C2A7A8F"/>
    <w:rsid w:val="0C2B3071"/>
    <w:rsid w:val="0C34090D"/>
    <w:rsid w:val="0C344DB1"/>
    <w:rsid w:val="0C396D85"/>
    <w:rsid w:val="0C3B1C9C"/>
    <w:rsid w:val="0C3E178C"/>
    <w:rsid w:val="0C403756"/>
    <w:rsid w:val="0C406E70"/>
    <w:rsid w:val="0C452038"/>
    <w:rsid w:val="0C460641"/>
    <w:rsid w:val="0C4619EE"/>
    <w:rsid w:val="0C474AE5"/>
    <w:rsid w:val="0C4F1BEB"/>
    <w:rsid w:val="0C536EF3"/>
    <w:rsid w:val="0C5E3BDC"/>
    <w:rsid w:val="0C685335"/>
    <w:rsid w:val="0C6A07D3"/>
    <w:rsid w:val="0C74229A"/>
    <w:rsid w:val="0C781676"/>
    <w:rsid w:val="0C7927C4"/>
    <w:rsid w:val="0C7A3C79"/>
    <w:rsid w:val="0C7B653C"/>
    <w:rsid w:val="0C7C4062"/>
    <w:rsid w:val="0C8130FE"/>
    <w:rsid w:val="0C8F1FE8"/>
    <w:rsid w:val="0C970E9C"/>
    <w:rsid w:val="0C9722B8"/>
    <w:rsid w:val="0C9C16AE"/>
    <w:rsid w:val="0C9E222B"/>
    <w:rsid w:val="0CA159D4"/>
    <w:rsid w:val="0CA27F6D"/>
    <w:rsid w:val="0CA43CE5"/>
    <w:rsid w:val="0CAA5073"/>
    <w:rsid w:val="0CAB7B69"/>
    <w:rsid w:val="0CB47CA0"/>
    <w:rsid w:val="0CBB42BD"/>
    <w:rsid w:val="0CBC6CBD"/>
    <w:rsid w:val="0CBE5160"/>
    <w:rsid w:val="0CCA1272"/>
    <w:rsid w:val="0CCC383D"/>
    <w:rsid w:val="0CCD3E11"/>
    <w:rsid w:val="0CCE7C82"/>
    <w:rsid w:val="0CD43AAF"/>
    <w:rsid w:val="0CD97582"/>
    <w:rsid w:val="0CE75980"/>
    <w:rsid w:val="0CEC568C"/>
    <w:rsid w:val="0CEE6D0E"/>
    <w:rsid w:val="0CF053C7"/>
    <w:rsid w:val="0CF4009D"/>
    <w:rsid w:val="0CFB58CF"/>
    <w:rsid w:val="0CFB5BFC"/>
    <w:rsid w:val="0CFB78C5"/>
    <w:rsid w:val="0CFC4C59"/>
    <w:rsid w:val="0D0414C3"/>
    <w:rsid w:val="0D0958D0"/>
    <w:rsid w:val="0D0B179C"/>
    <w:rsid w:val="0D0E115E"/>
    <w:rsid w:val="0D102D74"/>
    <w:rsid w:val="0D1424ED"/>
    <w:rsid w:val="0D162709"/>
    <w:rsid w:val="0D1A20AC"/>
    <w:rsid w:val="0D270472"/>
    <w:rsid w:val="0D2845E3"/>
    <w:rsid w:val="0D2B7F62"/>
    <w:rsid w:val="0D2D0D5B"/>
    <w:rsid w:val="0D2E1801"/>
    <w:rsid w:val="0D3037CB"/>
    <w:rsid w:val="0D305579"/>
    <w:rsid w:val="0D3112F1"/>
    <w:rsid w:val="0D322C8D"/>
    <w:rsid w:val="0D3A1F53"/>
    <w:rsid w:val="0D3C4B60"/>
    <w:rsid w:val="0D3E4744"/>
    <w:rsid w:val="0D3F57BC"/>
    <w:rsid w:val="0D411534"/>
    <w:rsid w:val="0D4266B1"/>
    <w:rsid w:val="0D447276"/>
    <w:rsid w:val="0D46511A"/>
    <w:rsid w:val="0D474670"/>
    <w:rsid w:val="0D584ACF"/>
    <w:rsid w:val="0D5A43A4"/>
    <w:rsid w:val="0D5D6CF8"/>
    <w:rsid w:val="0D63594E"/>
    <w:rsid w:val="0D660F9A"/>
    <w:rsid w:val="0D6E00B0"/>
    <w:rsid w:val="0D7407EE"/>
    <w:rsid w:val="0D784697"/>
    <w:rsid w:val="0D796E2B"/>
    <w:rsid w:val="0D7A11E1"/>
    <w:rsid w:val="0D7C6A10"/>
    <w:rsid w:val="0D7C75AA"/>
    <w:rsid w:val="0D7F205C"/>
    <w:rsid w:val="0D8853B5"/>
    <w:rsid w:val="0D894C89"/>
    <w:rsid w:val="0D8F09CA"/>
    <w:rsid w:val="0D906017"/>
    <w:rsid w:val="0D910225"/>
    <w:rsid w:val="0D921D8F"/>
    <w:rsid w:val="0D925F68"/>
    <w:rsid w:val="0D95362E"/>
    <w:rsid w:val="0D98311E"/>
    <w:rsid w:val="0D9F44AC"/>
    <w:rsid w:val="0D9F6A58"/>
    <w:rsid w:val="0DA16476"/>
    <w:rsid w:val="0DA25D4B"/>
    <w:rsid w:val="0DA33F9D"/>
    <w:rsid w:val="0DA41AC3"/>
    <w:rsid w:val="0DA47D15"/>
    <w:rsid w:val="0DB461AA"/>
    <w:rsid w:val="0DBA3094"/>
    <w:rsid w:val="0DBB613E"/>
    <w:rsid w:val="0DBE0DD6"/>
    <w:rsid w:val="0DC04601"/>
    <w:rsid w:val="0DC42E35"/>
    <w:rsid w:val="0DC932D7"/>
    <w:rsid w:val="0DCD1F19"/>
    <w:rsid w:val="0DCF4D92"/>
    <w:rsid w:val="0DD00B0A"/>
    <w:rsid w:val="0DD26630"/>
    <w:rsid w:val="0DD979BE"/>
    <w:rsid w:val="0DDA1988"/>
    <w:rsid w:val="0DDC74AE"/>
    <w:rsid w:val="0DDF6F9F"/>
    <w:rsid w:val="0DE6283A"/>
    <w:rsid w:val="0DE819AF"/>
    <w:rsid w:val="0DEB36E1"/>
    <w:rsid w:val="0DEE2D3E"/>
    <w:rsid w:val="0DEE72AB"/>
    <w:rsid w:val="0DF04D08"/>
    <w:rsid w:val="0DF06AB6"/>
    <w:rsid w:val="0DF465A6"/>
    <w:rsid w:val="0DF762E4"/>
    <w:rsid w:val="0DFA16E3"/>
    <w:rsid w:val="0E124C7E"/>
    <w:rsid w:val="0E130CC3"/>
    <w:rsid w:val="0E146C48"/>
    <w:rsid w:val="0E193CCF"/>
    <w:rsid w:val="0E197DBB"/>
    <w:rsid w:val="0E20133D"/>
    <w:rsid w:val="0E2039AC"/>
    <w:rsid w:val="0E211365"/>
    <w:rsid w:val="0E2449B2"/>
    <w:rsid w:val="0E303356"/>
    <w:rsid w:val="0E343C97"/>
    <w:rsid w:val="0E35283A"/>
    <w:rsid w:val="0E356BBF"/>
    <w:rsid w:val="0E3B770C"/>
    <w:rsid w:val="0E4017EB"/>
    <w:rsid w:val="0E462B7A"/>
    <w:rsid w:val="0E4806A0"/>
    <w:rsid w:val="0E4868F2"/>
    <w:rsid w:val="0E4B63E2"/>
    <w:rsid w:val="0E561443"/>
    <w:rsid w:val="0E6059EA"/>
    <w:rsid w:val="0E6165A5"/>
    <w:rsid w:val="0E6F0323"/>
    <w:rsid w:val="0E71409B"/>
    <w:rsid w:val="0E715E49"/>
    <w:rsid w:val="0E763DDE"/>
    <w:rsid w:val="0E7E40C2"/>
    <w:rsid w:val="0E7F476E"/>
    <w:rsid w:val="0E833A9B"/>
    <w:rsid w:val="0E8536A2"/>
    <w:rsid w:val="0E8548DB"/>
    <w:rsid w:val="0E8B4B26"/>
    <w:rsid w:val="0E9B4C74"/>
    <w:rsid w:val="0E9C09EC"/>
    <w:rsid w:val="0EA004DC"/>
    <w:rsid w:val="0EA00C07"/>
    <w:rsid w:val="0EA53D44"/>
    <w:rsid w:val="0EAC6E81"/>
    <w:rsid w:val="0EAE38A8"/>
    <w:rsid w:val="0EB07C3C"/>
    <w:rsid w:val="0EB67D00"/>
    <w:rsid w:val="0EBD0B30"/>
    <w:rsid w:val="0EC27869"/>
    <w:rsid w:val="0EC35F79"/>
    <w:rsid w:val="0EC56155"/>
    <w:rsid w:val="0EC95C85"/>
    <w:rsid w:val="0ECC307F"/>
    <w:rsid w:val="0ECE5823"/>
    <w:rsid w:val="0ED308B1"/>
    <w:rsid w:val="0ED713A0"/>
    <w:rsid w:val="0ED87C76"/>
    <w:rsid w:val="0ED91C40"/>
    <w:rsid w:val="0EDB5BA5"/>
    <w:rsid w:val="0EE06F4E"/>
    <w:rsid w:val="0EE157B8"/>
    <w:rsid w:val="0EE3661B"/>
    <w:rsid w:val="0EEC54CF"/>
    <w:rsid w:val="0EEC61DF"/>
    <w:rsid w:val="0F022F45"/>
    <w:rsid w:val="0F027F50"/>
    <w:rsid w:val="0F040A6B"/>
    <w:rsid w:val="0F072309"/>
    <w:rsid w:val="0F0A6D3C"/>
    <w:rsid w:val="0F0B5FC4"/>
    <w:rsid w:val="0F124148"/>
    <w:rsid w:val="0F1A028E"/>
    <w:rsid w:val="0F1A64E0"/>
    <w:rsid w:val="0F20161D"/>
    <w:rsid w:val="0F20786F"/>
    <w:rsid w:val="0F264E85"/>
    <w:rsid w:val="0F2A1E48"/>
    <w:rsid w:val="0F2B249C"/>
    <w:rsid w:val="0F331350"/>
    <w:rsid w:val="0F365690"/>
    <w:rsid w:val="0F3876C0"/>
    <w:rsid w:val="0F3F1AA3"/>
    <w:rsid w:val="0F405D45"/>
    <w:rsid w:val="0F451083"/>
    <w:rsid w:val="0F476BAA"/>
    <w:rsid w:val="0F486366"/>
    <w:rsid w:val="0F4B48EC"/>
    <w:rsid w:val="0F4C2412"/>
    <w:rsid w:val="0F4E1CE6"/>
    <w:rsid w:val="0F4E7F38"/>
    <w:rsid w:val="0F551ABF"/>
    <w:rsid w:val="0F563291"/>
    <w:rsid w:val="0F57427D"/>
    <w:rsid w:val="0F59068B"/>
    <w:rsid w:val="0F5A59EB"/>
    <w:rsid w:val="0F5B4403"/>
    <w:rsid w:val="0F5B4FA9"/>
    <w:rsid w:val="0F5F2227"/>
    <w:rsid w:val="0F5F3EF3"/>
    <w:rsid w:val="0F5F6D2F"/>
    <w:rsid w:val="0F6366D9"/>
    <w:rsid w:val="0F696B20"/>
    <w:rsid w:val="0F73463A"/>
    <w:rsid w:val="0F775DBF"/>
    <w:rsid w:val="0F7D081D"/>
    <w:rsid w:val="0F8039AE"/>
    <w:rsid w:val="0F8751F8"/>
    <w:rsid w:val="0F8B4CE8"/>
    <w:rsid w:val="0F8E6586"/>
    <w:rsid w:val="0F9A13CF"/>
    <w:rsid w:val="0F9E6010"/>
    <w:rsid w:val="0FA4224E"/>
    <w:rsid w:val="0FA43FFC"/>
    <w:rsid w:val="0FB0474F"/>
    <w:rsid w:val="0FB26719"/>
    <w:rsid w:val="0FB71F81"/>
    <w:rsid w:val="0FB81855"/>
    <w:rsid w:val="0FBB2797"/>
    <w:rsid w:val="0FBC1F38"/>
    <w:rsid w:val="0FBD4A35"/>
    <w:rsid w:val="0FBF0E36"/>
    <w:rsid w:val="0FBF4992"/>
    <w:rsid w:val="0FCC70AF"/>
    <w:rsid w:val="0FCF68E2"/>
    <w:rsid w:val="0FD50659"/>
    <w:rsid w:val="0FD85A54"/>
    <w:rsid w:val="0FDB30F5"/>
    <w:rsid w:val="0FDD306A"/>
    <w:rsid w:val="0FDF5034"/>
    <w:rsid w:val="0FE16FFE"/>
    <w:rsid w:val="0FE20680"/>
    <w:rsid w:val="0FE443F8"/>
    <w:rsid w:val="0FF02D9D"/>
    <w:rsid w:val="0FF0396C"/>
    <w:rsid w:val="0FF860F6"/>
    <w:rsid w:val="0FFA00C0"/>
    <w:rsid w:val="0FFA6CF7"/>
    <w:rsid w:val="0FFC5BE6"/>
    <w:rsid w:val="0FFE1DA9"/>
    <w:rsid w:val="0FFE370C"/>
    <w:rsid w:val="0FFE6303"/>
    <w:rsid w:val="100134BA"/>
    <w:rsid w:val="10014FAA"/>
    <w:rsid w:val="100868F0"/>
    <w:rsid w:val="100920B1"/>
    <w:rsid w:val="100B5E29"/>
    <w:rsid w:val="100D1BA1"/>
    <w:rsid w:val="10173DF5"/>
    <w:rsid w:val="1019073C"/>
    <w:rsid w:val="101E3237"/>
    <w:rsid w:val="102029C4"/>
    <w:rsid w:val="102B279D"/>
    <w:rsid w:val="102B64CB"/>
    <w:rsid w:val="102D273E"/>
    <w:rsid w:val="10341E1C"/>
    <w:rsid w:val="103A670E"/>
    <w:rsid w:val="103C5FE2"/>
    <w:rsid w:val="10476CAF"/>
    <w:rsid w:val="104D01F0"/>
    <w:rsid w:val="10507CE0"/>
    <w:rsid w:val="10521CAA"/>
    <w:rsid w:val="10563548"/>
    <w:rsid w:val="10625DF6"/>
    <w:rsid w:val="1065378B"/>
    <w:rsid w:val="106B4B1A"/>
    <w:rsid w:val="106D12B3"/>
    <w:rsid w:val="106E2803"/>
    <w:rsid w:val="106F0166"/>
    <w:rsid w:val="106F1A56"/>
    <w:rsid w:val="10741C20"/>
    <w:rsid w:val="107439CE"/>
    <w:rsid w:val="107711B2"/>
    <w:rsid w:val="107E484D"/>
    <w:rsid w:val="107F4121"/>
    <w:rsid w:val="10887D80"/>
    <w:rsid w:val="108A1444"/>
    <w:rsid w:val="108D2A4C"/>
    <w:rsid w:val="108D4A90"/>
    <w:rsid w:val="109F39AC"/>
    <w:rsid w:val="10A1053B"/>
    <w:rsid w:val="10A371FE"/>
    <w:rsid w:val="10A87B1C"/>
    <w:rsid w:val="10AA1E71"/>
    <w:rsid w:val="10AA5642"/>
    <w:rsid w:val="10B04931"/>
    <w:rsid w:val="10B62239"/>
    <w:rsid w:val="10BE733F"/>
    <w:rsid w:val="10BF1855"/>
    <w:rsid w:val="10C0060A"/>
    <w:rsid w:val="10C04E65"/>
    <w:rsid w:val="10C06C14"/>
    <w:rsid w:val="10C61D50"/>
    <w:rsid w:val="10C7696C"/>
    <w:rsid w:val="10CF50A9"/>
    <w:rsid w:val="10D07D40"/>
    <w:rsid w:val="10D17073"/>
    <w:rsid w:val="10D47672"/>
    <w:rsid w:val="10D510E7"/>
    <w:rsid w:val="10DD5A17"/>
    <w:rsid w:val="10DE353E"/>
    <w:rsid w:val="10E43559"/>
    <w:rsid w:val="10E4370F"/>
    <w:rsid w:val="10E5667A"/>
    <w:rsid w:val="10E86566"/>
    <w:rsid w:val="10EE1A19"/>
    <w:rsid w:val="10F209A1"/>
    <w:rsid w:val="10F20D97"/>
    <w:rsid w:val="10F40FC1"/>
    <w:rsid w:val="10F70978"/>
    <w:rsid w:val="10F93ED3"/>
    <w:rsid w:val="10FE14EA"/>
    <w:rsid w:val="11052878"/>
    <w:rsid w:val="110805BA"/>
    <w:rsid w:val="1114617F"/>
    <w:rsid w:val="11146F5F"/>
    <w:rsid w:val="11160F29"/>
    <w:rsid w:val="11205904"/>
    <w:rsid w:val="112076B2"/>
    <w:rsid w:val="112371A2"/>
    <w:rsid w:val="11252F1A"/>
    <w:rsid w:val="112C42A9"/>
    <w:rsid w:val="11302AA6"/>
    <w:rsid w:val="11305B15"/>
    <w:rsid w:val="1134315E"/>
    <w:rsid w:val="113849FC"/>
    <w:rsid w:val="113A4C18"/>
    <w:rsid w:val="1145536B"/>
    <w:rsid w:val="114A2981"/>
    <w:rsid w:val="114C04A7"/>
    <w:rsid w:val="114C73CD"/>
    <w:rsid w:val="114E06C3"/>
    <w:rsid w:val="11557AE1"/>
    <w:rsid w:val="11567CCE"/>
    <w:rsid w:val="11571DD5"/>
    <w:rsid w:val="115832F0"/>
    <w:rsid w:val="1158509E"/>
    <w:rsid w:val="115B3035"/>
    <w:rsid w:val="115F467E"/>
    <w:rsid w:val="116003F7"/>
    <w:rsid w:val="116E7447"/>
    <w:rsid w:val="116F4196"/>
    <w:rsid w:val="11716160"/>
    <w:rsid w:val="11731ED8"/>
    <w:rsid w:val="11733C86"/>
    <w:rsid w:val="1175378F"/>
    <w:rsid w:val="11785740"/>
    <w:rsid w:val="11800809"/>
    <w:rsid w:val="11805965"/>
    <w:rsid w:val="11816503"/>
    <w:rsid w:val="118236E8"/>
    <w:rsid w:val="118877EE"/>
    <w:rsid w:val="118C11EC"/>
    <w:rsid w:val="11901201"/>
    <w:rsid w:val="119105B0"/>
    <w:rsid w:val="11943BFC"/>
    <w:rsid w:val="11967974"/>
    <w:rsid w:val="1198193E"/>
    <w:rsid w:val="119A56B6"/>
    <w:rsid w:val="119B4F8B"/>
    <w:rsid w:val="119F4A7B"/>
    <w:rsid w:val="11A46535"/>
    <w:rsid w:val="11AE5A53"/>
    <w:rsid w:val="11B85B3D"/>
    <w:rsid w:val="11BD75F7"/>
    <w:rsid w:val="11BF1FC5"/>
    <w:rsid w:val="11BF549A"/>
    <w:rsid w:val="11C05ADA"/>
    <w:rsid w:val="11C95F9C"/>
    <w:rsid w:val="11CD0504"/>
    <w:rsid w:val="11D87C1A"/>
    <w:rsid w:val="11E608FC"/>
    <w:rsid w:val="11E64458"/>
    <w:rsid w:val="11F1609B"/>
    <w:rsid w:val="11F614F6"/>
    <w:rsid w:val="11F748B7"/>
    <w:rsid w:val="11FD199C"/>
    <w:rsid w:val="11FD5EA6"/>
    <w:rsid w:val="12080B7A"/>
    <w:rsid w:val="120A45D5"/>
    <w:rsid w:val="120D40DA"/>
    <w:rsid w:val="121216F1"/>
    <w:rsid w:val="1212349F"/>
    <w:rsid w:val="12130FC5"/>
    <w:rsid w:val="12174F59"/>
    <w:rsid w:val="12192A7F"/>
    <w:rsid w:val="121C60CC"/>
    <w:rsid w:val="12201E00"/>
    <w:rsid w:val="12203A6B"/>
    <w:rsid w:val="122359BE"/>
    <w:rsid w:val="1226519C"/>
    <w:rsid w:val="122907E8"/>
    <w:rsid w:val="1235718D"/>
    <w:rsid w:val="12371157"/>
    <w:rsid w:val="123A29F6"/>
    <w:rsid w:val="12456396"/>
    <w:rsid w:val="124675EC"/>
    <w:rsid w:val="12492C39"/>
    <w:rsid w:val="124B7F3C"/>
    <w:rsid w:val="124F46F3"/>
    <w:rsid w:val="124F62EA"/>
    <w:rsid w:val="125D034A"/>
    <w:rsid w:val="12627BF5"/>
    <w:rsid w:val="12655CC4"/>
    <w:rsid w:val="126747A2"/>
    <w:rsid w:val="12695089"/>
    <w:rsid w:val="126B7053"/>
    <w:rsid w:val="126F08F1"/>
    <w:rsid w:val="1272218F"/>
    <w:rsid w:val="12741842"/>
    <w:rsid w:val="1277438A"/>
    <w:rsid w:val="12780EEF"/>
    <w:rsid w:val="12796EE1"/>
    <w:rsid w:val="127F48AC"/>
    <w:rsid w:val="12877DBB"/>
    <w:rsid w:val="129B2851"/>
    <w:rsid w:val="129E11D6"/>
    <w:rsid w:val="129F5B83"/>
    <w:rsid w:val="12A04F4F"/>
    <w:rsid w:val="12A54313"/>
    <w:rsid w:val="12AE2D66"/>
    <w:rsid w:val="12AF5192"/>
    <w:rsid w:val="12AF6F40"/>
    <w:rsid w:val="12B171D2"/>
    <w:rsid w:val="12BE3627"/>
    <w:rsid w:val="12C0739F"/>
    <w:rsid w:val="12D152D7"/>
    <w:rsid w:val="12D20E80"/>
    <w:rsid w:val="12D645DB"/>
    <w:rsid w:val="12E806A4"/>
    <w:rsid w:val="12ED7A68"/>
    <w:rsid w:val="12FE3A23"/>
    <w:rsid w:val="130059ED"/>
    <w:rsid w:val="130066B5"/>
    <w:rsid w:val="130234F3"/>
    <w:rsid w:val="13053004"/>
    <w:rsid w:val="13056333"/>
    <w:rsid w:val="13082AF4"/>
    <w:rsid w:val="130848A2"/>
    <w:rsid w:val="130C6140"/>
    <w:rsid w:val="130D377A"/>
    <w:rsid w:val="13143247"/>
    <w:rsid w:val="13173742"/>
    <w:rsid w:val="1319085D"/>
    <w:rsid w:val="13223BB5"/>
    <w:rsid w:val="132F1E2E"/>
    <w:rsid w:val="13313DF9"/>
    <w:rsid w:val="133631BD"/>
    <w:rsid w:val="133826F0"/>
    <w:rsid w:val="133833D9"/>
    <w:rsid w:val="13385187"/>
    <w:rsid w:val="133C40E3"/>
    <w:rsid w:val="133D454B"/>
    <w:rsid w:val="133D79DF"/>
    <w:rsid w:val="13427DB4"/>
    <w:rsid w:val="13452E04"/>
    <w:rsid w:val="1347267B"/>
    <w:rsid w:val="1347361C"/>
    <w:rsid w:val="13491142"/>
    <w:rsid w:val="134C29E0"/>
    <w:rsid w:val="134C3DB0"/>
    <w:rsid w:val="1352499F"/>
    <w:rsid w:val="13547AE7"/>
    <w:rsid w:val="13577E6B"/>
    <w:rsid w:val="135B0E75"/>
    <w:rsid w:val="135C149F"/>
    <w:rsid w:val="136046DE"/>
    <w:rsid w:val="136441CE"/>
    <w:rsid w:val="13655C5B"/>
    <w:rsid w:val="136917E4"/>
    <w:rsid w:val="136C4E31"/>
    <w:rsid w:val="136E0BA9"/>
    <w:rsid w:val="136F1506"/>
    <w:rsid w:val="13790052"/>
    <w:rsid w:val="138228A6"/>
    <w:rsid w:val="13822EA1"/>
    <w:rsid w:val="1384217A"/>
    <w:rsid w:val="13843E5B"/>
    <w:rsid w:val="138610BF"/>
    <w:rsid w:val="138665E7"/>
    <w:rsid w:val="13871C6A"/>
    <w:rsid w:val="138E2FF9"/>
    <w:rsid w:val="138E55AE"/>
    <w:rsid w:val="138F0B1F"/>
    <w:rsid w:val="138F28CD"/>
    <w:rsid w:val="139029BB"/>
    <w:rsid w:val="13914897"/>
    <w:rsid w:val="13916645"/>
    <w:rsid w:val="139B74C4"/>
    <w:rsid w:val="13A16E84"/>
    <w:rsid w:val="13A4281C"/>
    <w:rsid w:val="13A46379"/>
    <w:rsid w:val="13A80608"/>
    <w:rsid w:val="13BB36C2"/>
    <w:rsid w:val="13C24A51"/>
    <w:rsid w:val="13CE7899"/>
    <w:rsid w:val="13D03611"/>
    <w:rsid w:val="13D078E9"/>
    <w:rsid w:val="13D1738A"/>
    <w:rsid w:val="13D34EB0"/>
    <w:rsid w:val="13D6674E"/>
    <w:rsid w:val="13DD5D2E"/>
    <w:rsid w:val="13DF3855"/>
    <w:rsid w:val="13E64BE3"/>
    <w:rsid w:val="13E8060B"/>
    <w:rsid w:val="13E9607A"/>
    <w:rsid w:val="13EB044B"/>
    <w:rsid w:val="13EC5F71"/>
    <w:rsid w:val="13F015BE"/>
    <w:rsid w:val="13F84916"/>
    <w:rsid w:val="13FB7F63"/>
    <w:rsid w:val="14003866"/>
    <w:rsid w:val="140432BB"/>
    <w:rsid w:val="1404348D"/>
    <w:rsid w:val="140A074E"/>
    <w:rsid w:val="140A62D0"/>
    <w:rsid w:val="140E5EE8"/>
    <w:rsid w:val="14123C2A"/>
    <w:rsid w:val="14214E0F"/>
    <w:rsid w:val="14221ABC"/>
    <w:rsid w:val="1426049F"/>
    <w:rsid w:val="142851FC"/>
    <w:rsid w:val="142D66D1"/>
    <w:rsid w:val="143040B0"/>
    <w:rsid w:val="143130D1"/>
    <w:rsid w:val="14314CE9"/>
    <w:rsid w:val="1433594E"/>
    <w:rsid w:val="143516C6"/>
    <w:rsid w:val="143811B7"/>
    <w:rsid w:val="143A5D34"/>
    <w:rsid w:val="143E4A1F"/>
    <w:rsid w:val="143F0958"/>
    <w:rsid w:val="1444190A"/>
    <w:rsid w:val="14447F93"/>
    <w:rsid w:val="14465682"/>
    <w:rsid w:val="144E4536"/>
    <w:rsid w:val="14593607"/>
    <w:rsid w:val="145E5B2E"/>
    <w:rsid w:val="145F4995"/>
    <w:rsid w:val="1460560D"/>
    <w:rsid w:val="14643D5A"/>
    <w:rsid w:val="14667AD2"/>
    <w:rsid w:val="146C1F41"/>
    <w:rsid w:val="147026FF"/>
    <w:rsid w:val="14767376"/>
    <w:rsid w:val="14793946"/>
    <w:rsid w:val="1481490C"/>
    <w:rsid w:val="14861FBB"/>
    <w:rsid w:val="14887A48"/>
    <w:rsid w:val="148B12E6"/>
    <w:rsid w:val="148D505F"/>
    <w:rsid w:val="14922675"/>
    <w:rsid w:val="14930823"/>
    <w:rsid w:val="149363ED"/>
    <w:rsid w:val="14961874"/>
    <w:rsid w:val="149856C6"/>
    <w:rsid w:val="149C1746"/>
    <w:rsid w:val="149C34F4"/>
    <w:rsid w:val="149F4D92"/>
    <w:rsid w:val="14A01236"/>
    <w:rsid w:val="14A34882"/>
    <w:rsid w:val="14A66120"/>
    <w:rsid w:val="14A86176"/>
    <w:rsid w:val="14AC7808"/>
    <w:rsid w:val="14B22D62"/>
    <w:rsid w:val="14B44CE1"/>
    <w:rsid w:val="14BC3B96"/>
    <w:rsid w:val="14BF5434"/>
    <w:rsid w:val="14C34F24"/>
    <w:rsid w:val="14C60571"/>
    <w:rsid w:val="14C90EE6"/>
    <w:rsid w:val="14CA62B3"/>
    <w:rsid w:val="14CD5DA3"/>
    <w:rsid w:val="14CF3DFF"/>
    <w:rsid w:val="14CF5102"/>
    <w:rsid w:val="14CF76EB"/>
    <w:rsid w:val="14D0319D"/>
    <w:rsid w:val="14D4066C"/>
    <w:rsid w:val="14E1184E"/>
    <w:rsid w:val="14E46C49"/>
    <w:rsid w:val="14E7013D"/>
    <w:rsid w:val="14E82BDD"/>
    <w:rsid w:val="14EA0703"/>
    <w:rsid w:val="14EA0F06"/>
    <w:rsid w:val="14EB6229"/>
    <w:rsid w:val="14ED7840"/>
    <w:rsid w:val="14EF43C5"/>
    <w:rsid w:val="14F028F4"/>
    <w:rsid w:val="14F25809"/>
    <w:rsid w:val="14FA3491"/>
    <w:rsid w:val="14FC21E4"/>
    <w:rsid w:val="150177FB"/>
    <w:rsid w:val="1505553D"/>
    <w:rsid w:val="150572EB"/>
    <w:rsid w:val="15086DDB"/>
    <w:rsid w:val="150B2427"/>
    <w:rsid w:val="15145780"/>
    <w:rsid w:val="151C4634"/>
    <w:rsid w:val="151C63E2"/>
    <w:rsid w:val="15293A30"/>
    <w:rsid w:val="153449D3"/>
    <w:rsid w:val="1537146E"/>
    <w:rsid w:val="15400AE4"/>
    <w:rsid w:val="1542409B"/>
    <w:rsid w:val="15444E49"/>
    <w:rsid w:val="15455939"/>
    <w:rsid w:val="1546345F"/>
    <w:rsid w:val="15472CB0"/>
    <w:rsid w:val="15506CB5"/>
    <w:rsid w:val="155838BF"/>
    <w:rsid w:val="155913E5"/>
    <w:rsid w:val="15597C10"/>
    <w:rsid w:val="156264EB"/>
    <w:rsid w:val="156875D3"/>
    <w:rsid w:val="15695ACC"/>
    <w:rsid w:val="156D6C3E"/>
    <w:rsid w:val="157A0988"/>
    <w:rsid w:val="157B1E18"/>
    <w:rsid w:val="157B4C15"/>
    <w:rsid w:val="157E709D"/>
    <w:rsid w:val="158521DA"/>
    <w:rsid w:val="15875F52"/>
    <w:rsid w:val="15897F1C"/>
    <w:rsid w:val="158C3170"/>
    <w:rsid w:val="158D0FFB"/>
    <w:rsid w:val="158D108E"/>
    <w:rsid w:val="159E329B"/>
    <w:rsid w:val="159F14ED"/>
    <w:rsid w:val="15AA1C40"/>
    <w:rsid w:val="15B34F99"/>
    <w:rsid w:val="15B970B2"/>
    <w:rsid w:val="15BD1974"/>
    <w:rsid w:val="15C061BC"/>
    <w:rsid w:val="15C34653"/>
    <w:rsid w:val="15C471A6"/>
    <w:rsid w:val="15C50828"/>
    <w:rsid w:val="15C54CCC"/>
    <w:rsid w:val="15CA5E3E"/>
    <w:rsid w:val="15CC605B"/>
    <w:rsid w:val="15CD29B4"/>
    <w:rsid w:val="15D078F9"/>
    <w:rsid w:val="15D1541F"/>
    <w:rsid w:val="15DB629E"/>
    <w:rsid w:val="15DD2016"/>
    <w:rsid w:val="15DD5B72"/>
    <w:rsid w:val="15E01E4D"/>
    <w:rsid w:val="15E46F00"/>
    <w:rsid w:val="15E92769"/>
    <w:rsid w:val="15EA64E1"/>
    <w:rsid w:val="15EB4733"/>
    <w:rsid w:val="15EF3AF7"/>
    <w:rsid w:val="15F10E88"/>
    <w:rsid w:val="15F5735F"/>
    <w:rsid w:val="15F86E50"/>
    <w:rsid w:val="15FA38A4"/>
    <w:rsid w:val="15FE5D25"/>
    <w:rsid w:val="16070E41"/>
    <w:rsid w:val="16082DF9"/>
    <w:rsid w:val="1615355E"/>
    <w:rsid w:val="16157687"/>
    <w:rsid w:val="161925F1"/>
    <w:rsid w:val="162503E3"/>
    <w:rsid w:val="16290DB7"/>
    <w:rsid w:val="162C3809"/>
    <w:rsid w:val="163360DA"/>
    <w:rsid w:val="163403A6"/>
    <w:rsid w:val="163A6D9A"/>
    <w:rsid w:val="163B6FFF"/>
    <w:rsid w:val="163C3B51"/>
    <w:rsid w:val="163D0D06"/>
    <w:rsid w:val="16481B85"/>
    <w:rsid w:val="164A7771"/>
    <w:rsid w:val="16541B17"/>
    <w:rsid w:val="16551BAC"/>
    <w:rsid w:val="16557DFE"/>
    <w:rsid w:val="165878EE"/>
    <w:rsid w:val="165B2F3A"/>
    <w:rsid w:val="16646050"/>
    <w:rsid w:val="16685D83"/>
    <w:rsid w:val="16704C38"/>
    <w:rsid w:val="16775FC6"/>
    <w:rsid w:val="167C04F3"/>
    <w:rsid w:val="168006B6"/>
    <w:rsid w:val="16855FCC"/>
    <w:rsid w:val="168B1A72"/>
    <w:rsid w:val="168B7CC4"/>
    <w:rsid w:val="168D57EA"/>
    <w:rsid w:val="16933481"/>
    <w:rsid w:val="16964248"/>
    <w:rsid w:val="1698269D"/>
    <w:rsid w:val="169A1CB5"/>
    <w:rsid w:val="169F72CB"/>
    <w:rsid w:val="16A13043"/>
    <w:rsid w:val="16A9014A"/>
    <w:rsid w:val="16AA7153"/>
    <w:rsid w:val="16AB5C70"/>
    <w:rsid w:val="16AD3796"/>
    <w:rsid w:val="16B40FC8"/>
    <w:rsid w:val="16B70AB9"/>
    <w:rsid w:val="16BA4105"/>
    <w:rsid w:val="16BC60CF"/>
    <w:rsid w:val="16BE59A3"/>
    <w:rsid w:val="16CD5BE6"/>
    <w:rsid w:val="16CF7BB0"/>
    <w:rsid w:val="16D51901"/>
    <w:rsid w:val="16D770B6"/>
    <w:rsid w:val="16D9538A"/>
    <w:rsid w:val="16E15B36"/>
    <w:rsid w:val="16E66022"/>
    <w:rsid w:val="16EE12EF"/>
    <w:rsid w:val="16F1497B"/>
    <w:rsid w:val="16F2389F"/>
    <w:rsid w:val="16F5513D"/>
    <w:rsid w:val="16F701E1"/>
    <w:rsid w:val="16FC296F"/>
    <w:rsid w:val="16FC471D"/>
    <w:rsid w:val="17011D34"/>
    <w:rsid w:val="17051824"/>
    <w:rsid w:val="17054FD1"/>
    <w:rsid w:val="17286E95"/>
    <w:rsid w:val="172B2F47"/>
    <w:rsid w:val="172C16FE"/>
    <w:rsid w:val="172D2B29"/>
    <w:rsid w:val="173B3498"/>
    <w:rsid w:val="17400AAE"/>
    <w:rsid w:val="174340FA"/>
    <w:rsid w:val="174F2A9F"/>
    <w:rsid w:val="17562080"/>
    <w:rsid w:val="175750AB"/>
    <w:rsid w:val="175956CC"/>
    <w:rsid w:val="175E7D00"/>
    <w:rsid w:val="175F1B80"/>
    <w:rsid w:val="175F1DF0"/>
    <w:rsid w:val="17650515"/>
    <w:rsid w:val="1767428D"/>
    <w:rsid w:val="176B5D24"/>
    <w:rsid w:val="17715A5A"/>
    <w:rsid w:val="177443DB"/>
    <w:rsid w:val="177644D0"/>
    <w:rsid w:val="177B3894"/>
    <w:rsid w:val="177C4A0A"/>
    <w:rsid w:val="17842D50"/>
    <w:rsid w:val="17854713"/>
    <w:rsid w:val="17872239"/>
    <w:rsid w:val="178C7B30"/>
    <w:rsid w:val="17946704"/>
    <w:rsid w:val="17984446"/>
    <w:rsid w:val="179B3F36"/>
    <w:rsid w:val="179D4B3A"/>
    <w:rsid w:val="17A26167"/>
    <w:rsid w:val="17A32DEB"/>
    <w:rsid w:val="17A93021"/>
    <w:rsid w:val="17AC050B"/>
    <w:rsid w:val="17AD77C6"/>
    <w:rsid w:val="17B1375A"/>
    <w:rsid w:val="17B528C0"/>
    <w:rsid w:val="17B86896"/>
    <w:rsid w:val="17BA0860"/>
    <w:rsid w:val="17C074F9"/>
    <w:rsid w:val="17C84600"/>
    <w:rsid w:val="17CD26C4"/>
    <w:rsid w:val="17CE0CD4"/>
    <w:rsid w:val="17D411F6"/>
    <w:rsid w:val="17DB07D7"/>
    <w:rsid w:val="17DF1E94"/>
    <w:rsid w:val="17E10BD4"/>
    <w:rsid w:val="17E4609E"/>
    <w:rsid w:val="17E7717C"/>
    <w:rsid w:val="17E958DC"/>
    <w:rsid w:val="17F11DA8"/>
    <w:rsid w:val="17F3167D"/>
    <w:rsid w:val="17F37DC8"/>
    <w:rsid w:val="17F61621"/>
    <w:rsid w:val="17FB6783"/>
    <w:rsid w:val="17FE5302"/>
    <w:rsid w:val="17FE5B8E"/>
    <w:rsid w:val="17FF4C2C"/>
    <w:rsid w:val="17FF6273"/>
    <w:rsid w:val="18003D99"/>
    <w:rsid w:val="18057602"/>
    <w:rsid w:val="180A2E6A"/>
    <w:rsid w:val="180C0A42"/>
    <w:rsid w:val="180C6BE2"/>
    <w:rsid w:val="180F417F"/>
    <w:rsid w:val="181635BD"/>
    <w:rsid w:val="18167A61"/>
    <w:rsid w:val="1817135F"/>
    <w:rsid w:val="181A30AD"/>
    <w:rsid w:val="181B5077"/>
    <w:rsid w:val="181D2B9D"/>
    <w:rsid w:val="18221F62"/>
    <w:rsid w:val="18273A1C"/>
    <w:rsid w:val="182C1032"/>
    <w:rsid w:val="18316649"/>
    <w:rsid w:val="183323C1"/>
    <w:rsid w:val="18351C95"/>
    <w:rsid w:val="18356139"/>
    <w:rsid w:val="18363C5F"/>
    <w:rsid w:val="183939D4"/>
    <w:rsid w:val="183F0D66"/>
    <w:rsid w:val="18452800"/>
    <w:rsid w:val="18455C50"/>
    <w:rsid w:val="18497E5A"/>
    <w:rsid w:val="184A42DA"/>
    <w:rsid w:val="18506ACF"/>
    <w:rsid w:val="18581E27"/>
    <w:rsid w:val="185A794E"/>
    <w:rsid w:val="185D2F9A"/>
    <w:rsid w:val="18641B32"/>
    <w:rsid w:val="1864558B"/>
    <w:rsid w:val="186D4A88"/>
    <w:rsid w:val="186D58D3"/>
    <w:rsid w:val="18700F1F"/>
    <w:rsid w:val="18707171"/>
    <w:rsid w:val="18736C61"/>
    <w:rsid w:val="18737B00"/>
    <w:rsid w:val="1876268A"/>
    <w:rsid w:val="1876405C"/>
    <w:rsid w:val="187D60B5"/>
    <w:rsid w:val="18814EDA"/>
    <w:rsid w:val="18826EA4"/>
    <w:rsid w:val="188B5D59"/>
    <w:rsid w:val="188D1AD1"/>
    <w:rsid w:val="189015C1"/>
    <w:rsid w:val="18903F75"/>
    <w:rsid w:val="1890413B"/>
    <w:rsid w:val="189A5F9C"/>
    <w:rsid w:val="189F7A56"/>
    <w:rsid w:val="18A40BC9"/>
    <w:rsid w:val="18B03A11"/>
    <w:rsid w:val="18B3705E"/>
    <w:rsid w:val="18B52DD6"/>
    <w:rsid w:val="18B54B84"/>
    <w:rsid w:val="18B84674"/>
    <w:rsid w:val="18BA4B90"/>
    <w:rsid w:val="18C06744"/>
    <w:rsid w:val="18C23BC4"/>
    <w:rsid w:val="18C66D91"/>
    <w:rsid w:val="18CD45C3"/>
    <w:rsid w:val="18CE4512"/>
    <w:rsid w:val="18D650F0"/>
    <w:rsid w:val="18E24C39"/>
    <w:rsid w:val="18E65685"/>
    <w:rsid w:val="18E92A80"/>
    <w:rsid w:val="18EC75A9"/>
    <w:rsid w:val="18ED07C2"/>
    <w:rsid w:val="18F30969"/>
    <w:rsid w:val="18F46278"/>
    <w:rsid w:val="18FA4C8D"/>
    <w:rsid w:val="18FD6740"/>
    <w:rsid w:val="18FE29CF"/>
    <w:rsid w:val="1902223E"/>
    <w:rsid w:val="190653E0"/>
    <w:rsid w:val="19080281"/>
    <w:rsid w:val="19094ED0"/>
    <w:rsid w:val="190A3122"/>
    <w:rsid w:val="190B0C48"/>
    <w:rsid w:val="19153875"/>
    <w:rsid w:val="19185113"/>
    <w:rsid w:val="191B36C8"/>
    <w:rsid w:val="19212219"/>
    <w:rsid w:val="19241D0A"/>
    <w:rsid w:val="19286BA2"/>
    <w:rsid w:val="192B401B"/>
    <w:rsid w:val="19341F4D"/>
    <w:rsid w:val="1934680E"/>
    <w:rsid w:val="19394EDE"/>
    <w:rsid w:val="193B0DC3"/>
    <w:rsid w:val="193C607B"/>
    <w:rsid w:val="19445F08"/>
    <w:rsid w:val="194A5C14"/>
    <w:rsid w:val="194A79C2"/>
    <w:rsid w:val="194B45AF"/>
    <w:rsid w:val="194F32E1"/>
    <w:rsid w:val="195425EF"/>
    <w:rsid w:val="1954439D"/>
    <w:rsid w:val="195500E4"/>
    <w:rsid w:val="195511EC"/>
    <w:rsid w:val="19571390"/>
    <w:rsid w:val="19573E8D"/>
    <w:rsid w:val="195A6CD5"/>
    <w:rsid w:val="195C5947"/>
    <w:rsid w:val="195E521C"/>
    <w:rsid w:val="19611B0B"/>
    <w:rsid w:val="19630A84"/>
    <w:rsid w:val="196C64F0"/>
    <w:rsid w:val="19762565"/>
    <w:rsid w:val="197651E3"/>
    <w:rsid w:val="19772C2F"/>
    <w:rsid w:val="197B401F"/>
    <w:rsid w:val="19810F0A"/>
    <w:rsid w:val="198509FA"/>
    <w:rsid w:val="19874772"/>
    <w:rsid w:val="198A6011"/>
    <w:rsid w:val="198A7DBF"/>
    <w:rsid w:val="198B3B37"/>
    <w:rsid w:val="198F7ACB"/>
    <w:rsid w:val="1994263F"/>
    <w:rsid w:val="1998028D"/>
    <w:rsid w:val="199944A6"/>
    <w:rsid w:val="199C7AF2"/>
    <w:rsid w:val="19A05834"/>
    <w:rsid w:val="19A075E2"/>
    <w:rsid w:val="19A157D0"/>
    <w:rsid w:val="19A215AC"/>
    <w:rsid w:val="19A40C85"/>
    <w:rsid w:val="19A54BF8"/>
    <w:rsid w:val="19A74E14"/>
    <w:rsid w:val="19AA66B3"/>
    <w:rsid w:val="19AC3AEF"/>
    <w:rsid w:val="19B65058"/>
    <w:rsid w:val="19B80DD0"/>
    <w:rsid w:val="19BB5F8A"/>
    <w:rsid w:val="19BC6F4C"/>
    <w:rsid w:val="19C857A0"/>
    <w:rsid w:val="19C92FDD"/>
    <w:rsid w:val="19CA2AFA"/>
    <w:rsid w:val="19CB46F4"/>
    <w:rsid w:val="19CC6629"/>
    <w:rsid w:val="19CE3B32"/>
    <w:rsid w:val="19CF1C75"/>
    <w:rsid w:val="19CF7EC7"/>
    <w:rsid w:val="19D13C3F"/>
    <w:rsid w:val="19D35C0A"/>
    <w:rsid w:val="19D674A8"/>
    <w:rsid w:val="19D76D7C"/>
    <w:rsid w:val="19D808AB"/>
    <w:rsid w:val="19E5593D"/>
    <w:rsid w:val="19E651DB"/>
    <w:rsid w:val="19E72882"/>
    <w:rsid w:val="19E75211"/>
    <w:rsid w:val="19EF24A3"/>
    <w:rsid w:val="19F17E3E"/>
    <w:rsid w:val="19F45B80"/>
    <w:rsid w:val="19F66F6A"/>
    <w:rsid w:val="19FC59D3"/>
    <w:rsid w:val="19FD2C86"/>
    <w:rsid w:val="1A016A8C"/>
    <w:rsid w:val="1A041DA9"/>
    <w:rsid w:val="1A07140F"/>
    <w:rsid w:val="1A077661"/>
    <w:rsid w:val="1A0933D9"/>
    <w:rsid w:val="1A0C592D"/>
    <w:rsid w:val="1A0F4768"/>
    <w:rsid w:val="1A125238"/>
    <w:rsid w:val="1A1324AA"/>
    <w:rsid w:val="1A18361C"/>
    <w:rsid w:val="1A1A55E6"/>
    <w:rsid w:val="1A1B4433"/>
    <w:rsid w:val="1A1D0C33"/>
    <w:rsid w:val="1A1D50D7"/>
    <w:rsid w:val="1A1D7D16"/>
    <w:rsid w:val="1A202F96"/>
    <w:rsid w:val="1A206975"/>
    <w:rsid w:val="1A22449B"/>
    <w:rsid w:val="1A2521DD"/>
    <w:rsid w:val="1A283DE9"/>
    <w:rsid w:val="1A29706A"/>
    <w:rsid w:val="1A2A3350"/>
    <w:rsid w:val="1A2A7659"/>
    <w:rsid w:val="1A2C531A"/>
    <w:rsid w:val="1A2E1092"/>
    <w:rsid w:val="1A2E4BEE"/>
    <w:rsid w:val="1A3366A8"/>
    <w:rsid w:val="1A345F7C"/>
    <w:rsid w:val="1A3A1846"/>
    <w:rsid w:val="1A3F504D"/>
    <w:rsid w:val="1A420223"/>
    <w:rsid w:val="1A562397"/>
    <w:rsid w:val="1A584361"/>
    <w:rsid w:val="1A5A1E87"/>
    <w:rsid w:val="1A5D54D3"/>
    <w:rsid w:val="1A642D06"/>
    <w:rsid w:val="1A7647E7"/>
    <w:rsid w:val="1A780937"/>
    <w:rsid w:val="1A7828FB"/>
    <w:rsid w:val="1A7D5B75"/>
    <w:rsid w:val="1A846F04"/>
    <w:rsid w:val="1A8B2040"/>
    <w:rsid w:val="1A8E0B92"/>
    <w:rsid w:val="1A903AFB"/>
    <w:rsid w:val="1A9609E5"/>
    <w:rsid w:val="1A974E89"/>
    <w:rsid w:val="1A9A2283"/>
    <w:rsid w:val="1A9B4088"/>
    <w:rsid w:val="1AA44EB0"/>
    <w:rsid w:val="1AA650CC"/>
    <w:rsid w:val="1AA73C74"/>
    <w:rsid w:val="1AA94BBC"/>
    <w:rsid w:val="1AAF0857"/>
    <w:rsid w:val="1AB23A71"/>
    <w:rsid w:val="1AB53561"/>
    <w:rsid w:val="1ABD4D9C"/>
    <w:rsid w:val="1ABD5F72"/>
    <w:rsid w:val="1AC2026E"/>
    <w:rsid w:val="1AD1007D"/>
    <w:rsid w:val="1AD43080"/>
    <w:rsid w:val="1AD45630"/>
    <w:rsid w:val="1AD75285"/>
    <w:rsid w:val="1ADD6614"/>
    <w:rsid w:val="1AE03EC5"/>
    <w:rsid w:val="1AE45BF4"/>
    <w:rsid w:val="1AEC56B8"/>
    <w:rsid w:val="1AEE368E"/>
    <w:rsid w:val="1AF16E44"/>
    <w:rsid w:val="1AF5395E"/>
    <w:rsid w:val="1AF5570C"/>
    <w:rsid w:val="1AF61E20"/>
    <w:rsid w:val="1AF75928"/>
    <w:rsid w:val="1AFC2F3E"/>
    <w:rsid w:val="1B0302E1"/>
    <w:rsid w:val="1B056B32"/>
    <w:rsid w:val="1B074E76"/>
    <w:rsid w:val="1B0A5F4A"/>
    <w:rsid w:val="1B1069E9"/>
    <w:rsid w:val="1B171B26"/>
    <w:rsid w:val="1B193AF0"/>
    <w:rsid w:val="1B1E2EB4"/>
    <w:rsid w:val="1B28788F"/>
    <w:rsid w:val="1B2D759B"/>
    <w:rsid w:val="1B34018B"/>
    <w:rsid w:val="1B346557"/>
    <w:rsid w:val="1B3A3A66"/>
    <w:rsid w:val="1B4072CF"/>
    <w:rsid w:val="1B414DF5"/>
    <w:rsid w:val="1B4262FD"/>
    <w:rsid w:val="1B46240B"/>
    <w:rsid w:val="1B4A1EFB"/>
    <w:rsid w:val="1B4D72F6"/>
    <w:rsid w:val="1B4F159B"/>
    <w:rsid w:val="1B4F7512"/>
    <w:rsid w:val="1B5170AA"/>
    <w:rsid w:val="1B593EEC"/>
    <w:rsid w:val="1B5E076F"/>
    <w:rsid w:val="1B6A60FA"/>
    <w:rsid w:val="1B6B4507"/>
    <w:rsid w:val="1B725CA8"/>
    <w:rsid w:val="1B746F78"/>
    <w:rsid w:val="1B7E3953"/>
    <w:rsid w:val="1B8078AA"/>
    <w:rsid w:val="1B882A24"/>
    <w:rsid w:val="1B9118D8"/>
    <w:rsid w:val="1B9A62B3"/>
    <w:rsid w:val="1B9B090D"/>
    <w:rsid w:val="1B9B2CC5"/>
    <w:rsid w:val="1B9F38C9"/>
    <w:rsid w:val="1BA01B1B"/>
    <w:rsid w:val="1BA07D6D"/>
    <w:rsid w:val="1BA524C2"/>
    <w:rsid w:val="1BA535D6"/>
    <w:rsid w:val="1BA61BEF"/>
    <w:rsid w:val="1BA62EAA"/>
    <w:rsid w:val="1BA86C22"/>
    <w:rsid w:val="1BAF7FB0"/>
    <w:rsid w:val="1BB47375"/>
    <w:rsid w:val="1BB6437A"/>
    <w:rsid w:val="1BB71F1D"/>
    <w:rsid w:val="1BB92BDD"/>
    <w:rsid w:val="1BBB45BA"/>
    <w:rsid w:val="1BBB6955"/>
    <w:rsid w:val="1BBE01F3"/>
    <w:rsid w:val="1BBE168B"/>
    <w:rsid w:val="1BBE4697"/>
    <w:rsid w:val="1BBE5191"/>
    <w:rsid w:val="1BC021BE"/>
    <w:rsid w:val="1BC111D7"/>
    <w:rsid w:val="1BC11A92"/>
    <w:rsid w:val="1BC21702"/>
    <w:rsid w:val="1BCC17F9"/>
    <w:rsid w:val="1BCD0437"/>
    <w:rsid w:val="1BCD0AF8"/>
    <w:rsid w:val="1BCF3911"/>
    <w:rsid w:val="1BD17F27"/>
    <w:rsid w:val="1BD616FA"/>
    <w:rsid w:val="1BD6378F"/>
    <w:rsid w:val="1BDA43ED"/>
    <w:rsid w:val="1BEC2F63"/>
    <w:rsid w:val="1BEE705C"/>
    <w:rsid w:val="1BF65BDF"/>
    <w:rsid w:val="1BF8028F"/>
    <w:rsid w:val="1C085539"/>
    <w:rsid w:val="1C116575"/>
    <w:rsid w:val="1C1A6466"/>
    <w:rsid w:val="1C1B05E2"/>
    <w:rsid w:val="1C1E0C92"/>
    <w:rsid w:val="1C204A0A"/>
    <w:rsid w:val="1C297D63"/>
    <w:rsid w:val="1C2A5889"/>
    <w:rsid w:val="1C2A7637"/>
    <w:rsid w:val="1C327CE6"/>
    <w:rsid w:val="1C33473D"/>
    <w:rsid w:val="1C335B7D"/>
    <w:rsid w:val="1C381D54"/>
    <w:rsid w:val="1C3E30E2"/>
    <w:rsid w:val="1C3F7586"/>
    <w:rsid w:val="1C424981"/>
    <w:rsid w:val="1C45786A"/>
    <w:rsid w:val="1C47643B"/>
    <w:rsid w:val="1C477EB3"/>
    <w:rsid w:val="1C4814E4"/>
    <w:rsid w:val="1C4C3A51"/>
    <w:rsid w:val="1C4C493F"/>
    <w:rsid w:val="1C4E77C9"/>
    <w:rsid w:val="1C4F3541"/>
    <w:rsid w:val="1C654B13"/>
    <w:rsid w:val="1C676ADD"/>
    <w:rsid w:val="1C6A3ED7"/>
    <w:rsid w:val="1C6C40F3"/>
    <w:rsid w:val="1C6E5776"/>
    <w:rsid w:val="1C730F5E"/>
    <w:rsid w:val="1C737230"/>
    <w:rsid w:val="1C7B2C32"/>
    <w:rsid w:val="1C7C3066"/>
    <w:rsid w:val="1C8054A9"/>
    <w:rsid w:val="1C817B9F"/>
    <w:rsid w:val="1C823FD5"/>
    <w:rsid w:val="1C864A54"/>
    <w:rsid w:val="1C872CDB"/>
    <w:rsid w:val="1C8A6F02"/>
    <w:rsid w:val="1C8E406A"/>
    <w:rsid w:val="1C984EE8"/>
    <w:rsid w:val="1C987B51"/>
    <w:rsid w:val="1C9D439A"/>
    <w:rsid w:val="1C9F0025"/>
    <w:rsid w:val="1CA44BBC"/>
    <w:rsid w:val="1CA64FD4"/>
    <w:rsid w:val="1CA85D26"/>
    <w:rsid w:val="1CAA1E02"/>
    <w:rsid w:val="1CAB69CA"/>
    <w:rsid w:val="1CAE0268"/>
    <w:rsid w:val="1CB52DC3"/>
    <w:rsid w:val="1CB67927"/>
    <w:rsid w:val="1CB81744"/>
    <w:rsid w:val="1CB87339"/>
    <w:rsid w:val="1CBB4733"/>
    <w:rsid w:val="1CBD6963"/>
    <w:rsid w:val="1CC16D7D"/>
    <w:rsid w:val="1CC35A2E"/>
    <w:rsid w:val="1CC87CB2"/>
    <w:rsid w:val="1CD001DE"/>
    <w:rsid w:val="1CD5780C"/>
    <w:rsid w:val="1CDA105D"/>
    <w:rsid w:val="1CDC1A13"/>
    <w:rsid w:val="1CDF6673"/>
    <w:rsid w:val="1CED1570"/>
    <w:rsid w:val="1CEE2D5A"/>
    <w:rsid w:val="1CF33ECD"/>
    <w:rsid w:val="1CF83155"/>
    <w:rsid w:val="1CF87735"/>
    <w:rsid w:val="1CFB0451"/>
    <w:rsid w:val="1CFF1C48"/>
    <w:rsid w:val="1CFF5215"/>
    <w:rsid w:val="1D022362"/>
    <w:rsid w:val="1D063C00"/>
    <w:rsid w:val="1D102CD1"/>
    <w:rsid w:val="1D1327C1"/>
    <w:rsid w:val="1D1639EB"/>
    <w:rsid w:val="1D1722B1"/>
    <w:rsid w:val="1D172476"/>
    <w:rsid w:val="1D180A91"/>
    <w:rsid w:val="1D24052A"/>
    <w:rsid w:val="1D267083"/>
    <w:rsid w:val="1D300C7D"/>
    <w:rsid w:val="1D305121"/>
    <w:rsid w:val="1D342403"/>
    <w:rsid w:val="1D37025D"/>
    <w:rsid w:val="1D440BCC"/>
    <w:rsid w:val="1D445EF1"/>
    <w:rsid w:val="1D4B1F5B"/>
    <w:rsid w:val="1D4C396F"/>
    <w:rsid w:val="1D4E37F9"/>
    <w:rsid w:val="1D556936"/>
    <w:rsid w:val="1D562D94"/>
    <w:rsid w:val="1D5F5A06"/>
    <w:rsid w:val="1D632E00"/>
    <w:rsid w:val="1D652049"/>
    <w:rsid w:val="1D6F5C49"/>
    <w:rsid w:val="1D743260"/>
    <w:rsid w:val="1D7768AC"/>
    <w:rsid w:val="1D7B2AF4"/>
    <w:rsid w:val="1D7F39B2"/>
    <w:rsid w:val="1D814F0E"/>
    <w:rsid w:val="1D880AB9"/>
    <w:rsid w:val="1D8A4831"/>
    <w:rsid w:val="1D8B0DEF"/>
    <w:rsid w:val="1D8D2292"/>
    <w:rsid w:val="1D954F84"/>
    <w:rsid w:val="1D981F93"/>
    <w:rsid w:val="1D992CC6"/>
    <w:rsid w:val="1DA12B47"/>
    <w:rsid w:val="1DA376A1"/>
    <w:rsid w:val="1DA578BD"/>
    <w:rsid w:val="1DA8115B"/>
    <w:rsid w:val="1DAD013B"/>
    <w:rsid w:val="1DB1168D"/>
    <w:rsid w:val="1DBC4C07"/>
    <w:rsid w:val="1DBE097F"/>
    <w:rsid w:val="1DBE44DB"/>
    <w:rsid w:val="1DC064A5"/>
    <w:rsid w:val="1DC1161A"/>
    <w:rsid w:val="1DC67833"/>
    <w:rsid w:val="1DC70482"/>
    <w:rsid w:val="1DCA7182"/>
    <w:rsid w:val="1DD12460"/>
    <w:rsid w:val="1DD41F50"/>
    <w:rsid w:val="1DD71A40"/>
    <w:rsid w:val="1DD737EE"/>
    <w:rsid w:val="1DD97567"/>
    <w:rsid w:val="1DE2466D"/>
    <w:rsid w:val="1DE33F41"/>
    <w:rsid w:val="1DE50360"/>
    <w:rsid w:val="1DE859FC"/>
    <w:rsid w:val="1DEA1774"/>
    <w:rsid w:val="1DF15646"/>
    <w:rsid w:val="1DF919B7"/>
    <w:rsid w:val="1E012619"/>
    <w:rsid w:val="1E0C0204"/>
    <w:rsid w:val="1E0D69C1"/>
    <w:rsid w:val="1E0F11DA"/>
    <w:rsid w:val="1E0F2F88"/>
    <w:rsid w:val="1E165906"/>
    <w:rsid w:val="1E1B192D"/>
    <w:rsid w:val="1E2054E1"/>
    <w:rsid w:val="1E285DF8"/>
    <w:rsid w:val="1E2A37A3"/>
    <w:rsid w:val="1E2D4A7D"/>
    <w:rsid w:val="1E2F53D8"/>
    <w:rsid w:val="1E317D6F"/>
    <w:rsid w:val="1E3D18A3"/>
    <w:rsid w:val="1E426EBA"/>
    <w:rsid w:val="1E4F7C5B"/>
    <w:rsid w:val="1E5176F8"/>
    <w:rsid w:val="1E560BB7"/>
    <w:rsid w:val="1E562965"/>
    <w:rsid w:val="1E5933F2"/>
    <w:rsid w:val="1E6037E4"/>
    <w:rsid w:val="1E6432D4"/>
    <w:rsid w:val="1E6960C9"/>
    <w:rsid w:val="1E6A4663"/>
    <w:rsid w:val="1E6C03DB"/>
    <w:rsid w:val="1E733517"/>
    <w:rsid w:val="1E7828DC"/>
    <w:rsid w:val="1E7B6870"/>
    <w:rsid w:val="1E7E6480"/>
    <w:rsid w:val="1E7F010E"/>
    <w:rsid w:val="1E805C34"/>
    <w:rsid w:val="1E813D13"/>
    <w:rsid w:val="1E86760A"/>
    <w:rsid w:val="1E8E65A3"/>
    <w:rsid w:val="1E911BEF"/>
    <w:rsid w:val="1E957931"/>
    <w:rsid w:val="1E9B481C"/>
    <w:rsid w:val="1EA00084"/>
    <w:rsid w:val="1EAA4A5F"/>
    <w:rsid w:val="1EAC1325"/>
    <w:rsid w:val="1EB15DEE"/>
    <w:rsid w:val="1EB53B18"/>
    <w:rsid w:val="1EB53B30"/>
    <w:rsid w:val="1EB853CE"/>
    <w:rsid w:val="1EBA7CEE"/>
    <w:rsid w:val="1EBC3110"/>
    <w:rsid w:val="1EBD29E4"/>
    <w:rsid w:val="1EBD4792"/>
    <w:rsid w:val="1EBF295B"/>
    <w:rsid w:val="1EBF779B"/>
    <w:rsid w:val="1EC02C39"/>
    <w:rsid w:val="1EC14EF2"/>
    <w:rsid w:val="1EC45B21"/>
    <w:rsid w:val="1ED02718"/>
    <w:rsid w:val="1ED229B5"/>
    <w:rsid w:val="1ED32208"/>
    <w:rsid w:val="1ED336BB"/>
    <w:rsid w:val="1EDF6DFF"/>
    <w:rsid w:val="1EE31865"/>
    <w:rsid w:val="1EE7180F"/>
    <w:rsid w:val="1EE77A61"/>
    <w:rsid w:val="1EF74148"/>
    <w:rsid w:val="1F046865"/>
    <w:rsid w:val="1F0979D8"/>
    <w:rsid w:val="1F0B7BF4"/>
    <w:rsid w:val="1F0C74C8"/>
    <w:rsid w:val="1F10520A"/>
    <w:rsid w:val="1F170346"/>
    <w:rsid w:val="1F197E3C"/>
    <w:rsid w:val="1F1F369F"/>
    <w:rsid w:val="1F211733"/>
    <w:rsid w:val="1F234F3D"/>
    <w:rsid w:val="1F264A2D"/>
    <w:rsid w:val="1F2760B0"/>
    <w:rsid w:val="1F33681F"/>
    <w:rsid w:val="1F3507CD"/>
    <w:rsid w:val="1F394761"/>
    <w:rsid w:val="1F3E1F2E"/>
    <w:rsid w:val="1F3F7172"/>
    <w:rsid w:val="1F411361"/>
    <w:rsid w:val="1F426D64"/>
    <w:rsid w:val="1F443106"/>
    <w:rsid w:val="1F4C56A4"/>
    <w:rsid w:val="1F500A28"/>
    <w:rsid w:val="1F5E41C7"/>
    <w:rsid w:val="1F60301D"/>
    <w:rsid w:val="1F62533A"/>
    <w:rsid w:val="1F680BA2"/>
    <w:rsid w:val="1F691D3E"/>
    <w:rsid w:val="1F6966C8"/>
    <w:rsid w:val="1F6A2B6C"/>
    <w:rsid w:val="1F703EFB"/>
    <w:rsid w:val="1F7069AC"/>
    <w:rsid w:val="1F7D3F22"/>
    <w:rsid w:val="1F7F7C9A"/>
    <w:rsid w:val="1F817EB6"/>
    <w:rsid w:val="1F8316CE"/>
    <w:rsid w:val="1F841754"/>
    <w:rsid w:val="1F857EDB"/>
    <w:rsid w:val="1F8B4890"/>
    <w:rsid w:val="1F8D1E7C"/>
    <w:rsid w:val="1F8D685B"/>
    <w:rsid w:val="1F8F4381"/>
    <w:rsid w:val="1F994C45"/>
    <w:rsid w:val="1F9A5402"/>
    <w:rsid w:val="1FA53E7F"/>
    <w:rsid w:val="1FA71066"/>
    <w:rsid w:val="1FAA6760"/>
    <w:rsid w:val="1FAB284B"/>
    <w:rsid w:val="1FAF67D1"/>
    <w:rsid w:val="1FC102B2"/>
    <w:rsid w:val="1FC16504"/>
    <w:rsid w:val="1FC359E2"/>
    <w:rsid w:val="1FC80BFA"/>
    <w:rsid w:val="1FCD30FB"/>
    <w:rsid w:val="1FD20711"/>
    <w:rsid w:val="1FD44489"/>
    <w:rsid w:val="1FD46E59"/>
    <w:rsid w:val="1FD47FE6"/>
    <w:rsid w:val="1FD71884"/>
    <w:rsid w:val="1FDC50EC"/>
    <w:rsid w:val="1FDC6E9A"/>
    <w:rsid w:val="1FDF698A"/>
    <w:rsid w:val="1FE12702"/>
    <w:rsid w:val="1FE3647B"/>
    <w:rsid w:val="1FE43291"/>
    <w:rsid w:val="1FE8583F"/>
    <w:rsid w:val="1FEA15B7"/>
    <w:rsid w:val="1FEF4E1F"/>
    <w:rsid w:val="1FF35968"/>
    <w:rsid w:val="1FF468DA"/>
    <w:rsid w:val="1FF64400"/>
    <w:rsid w:val="1FFA45A3"/>
    <w:rsid w:val="1FFE1506"/>
    <w:rsid w:val="20014B53"/>
    <w:rsid w:val="20052895"/>
    <w:rsid w:val="20054643"/>
    <w:rsid w:val="2007262B"/>
    <w:rsid w:val="20087C8F"/>
    <w:rsid w:val="20196340"/>
    <w:rsid w:val="201C7BDE"/>
    <w:rsid w:val="201E5705"/>
    <w:rsid w:val="202168AF"/>
    <w:rsid w:val="202545A7"/>
    <w:rsid w:val="202A40A9"/>
    <w:rsid w:val="202B5EBB"/>
    <w:rsid w:val="2039253E"/>
    <w:rsid w:val="203A0BD7"/>
    <w:rsid w:val="203D202F"/>
    <w:rsid w:val="204C04C4"/>
    <w:rsid w:val="204C4020"/>
    <w:rsid w:val="204F58BE"/>
    <w:rsid w:val="20517888"/>
    <w:rsid w:val="20534118"/>
    <w:rsid w:val="20557E65"/>
    <w:rsid w:val="205630F0"/>
    <w:rsid w:val="2057409C"/>
    <w:rsid w:val="205904EB"/>
    <w:rsid w:val="2059673D"/>
    <w:rsid w:val="20743577"/>
    <w:rsid w:val="20790B8D"/>
    <w:rsid w:val="20796DDF"/>
    <w:rsid w:val="207B4905"/>
    <w:rsid w:val="207E43F5"/>
    <w:rsid w:val="20850BCE"/>
    <w:rsid w:val="20887022"/>
    <w:rsid w:val="208D1F9C"/>
    <w:rsid w:val="208D63E6"/>
    <w:rsid w:val="208D7D77"/>
    <w:rsid w:val="20924B6F"/>
    <w:rsid w:val="2095281F"/>
    <w:rsid w:val="20983709"/>
    <w:rsid w:val="209E23A2"/>
    <w:rsid w:val="20A17A40"/>
    <w:rsid w:val="20A35C0A"/>
    <w:rsid w:val="20A7394C"/>
    <w:rsid w:val="20AA51EA"/>
    <w:rsid w:val="20B120D5"/>
    <w:rsid w:val="20BA6CB0"/>
    <w:rsid w:val="20BB11A5"/>
    <w:rsid w:val="20BC7DCC"/>
    <w:rsid w:val="20C0056A"/>
    <w:rsid w:val="20C53DD2"/>
    <w:rsid w:val="20C91B14"/>
    <w:rsid w:val="20C96FDB"/>
    <w:rsid w:val="20D13616"/>
    <w:rsid w:val="20D65FDF"/>
    <w:rsid w:val="20D81D57"/>
    <w:rsid w:val="20E043CC"/>
    <w:rsid w:val="20E35BD4"/>
    <w:rsid w:val="20E41CDC"/>
    <w:rsid w:val="20E424AA"/>
    <w:rsid w:val="20E6220C"/>
    <w:rsid w:val="20EB7B1C"/>
    <w:rsid w:val="20EE157B"/>
    <w:rsid w:val="20F621DE"/>
    <w:rsid w:val="20FA3A7C"/>
    <w:rsid w:val="21042B4C"/>
    <w:rsid w:val="210668C5"/>
    <w:rsid w:val="210E39CB"/>
    <w:rsid w:val="210E7F88"/>
    <w:rsid w:val="210F504D"/>
    <w:rsid w:val="21134B3E"/>
    <w:rsid w:val="2115184E"/>
    <w:rsid w:val="21156B08"/>
    <w:rsid w:val="211803A6"/>
    <w:rsid w:val="211E6341"/>
    <w:rsid w:val="21240AF9"/>
    <w:rsid w:val="21257950"/>
    <w:rsid w:val="212925B3"/>
    <w:rsid w:val="21354AB4"/>
    <w:rsid w:val="213845A4"/>
    <w:rsid w:val="213B5E42"/>
    <w:rsid w:val="213D1BBA"/>
    <w:rsid w:val="213E20BD"/>
    <w:rsid w:val="21442F49"/>
    <w:rsid w:val="21470C8B"/>
    <w:rsid w:val="214747E7"/>
    <w:rsid w:val="21486EDD"/>
    <w:rsid w:val="21521B0A"/>
    <w:rsid w:val="21553BAC"/>
    <w:rsid w:val="21555156"/>
    <w:rsid w:val="21562C7C"/>
    <w:rsid w:val="21584C46"/>
    <w:rsid w:val="215C688C"/>
    <w:rsid w:val="215E24DC"/>
    <w:rsid w:val="21621621"/>
    <w:rsid w:val="21690C01"/>
    <w:rsid w:val="2169341D"/>
    <w:rsid w:val="216B588D"/>
    <w:rsid w:val="216E53E7"/>
    <w:rsid w:val="21701F90"/>
    <w:rsid w:val="21751354"/>
    <w:rsid w:val="217A4BBD"/>
    <w:rsid w:val="217A5C86"/>
    <w:rsid w:val="217C6B87"/>
    <w:rsid w:val="217D46AD"/>
    <w:rsid w:val="21823A71"/>
    <w:rsid w:val="21837F15"/>
    <w:rsid w:val="218C669E"/>
    <w:rsid w:val="218D48F0"/>
    <w:rsid w:val="218E2416"/>
    <w:rsid w:val="218F19F5"/>
    <w:rsid w:val="2191122E"/>
    <w:rsid w:val="21943C57"/>
    <w:rsid w:val="2197751D"/>
    <w:rsid w:val="219C2D85"/>
    <w:rsid w:val="219C3838"/>
    <w:rsid w:val="219D08AB"/>
    <w:rsid w:val="219F4623"/>
    <w:rsid w:val="21A02DB6"/>
    <w:rsid w:val="21A21776"/>
    <w:rsid w:val="21A47E8B"/>
    <w:rsid w:val="21A848CF"/>
    <w:rsid w:val="21AB7064"/>
    <w:rsid w:val="21AE532C"/>
    <w:rsid w:val="21B04A82"/>
    <w:rsid w:val="21B554D7"/>
    <w:rsid w:val="21B77BBF"/>
    <w:rsid w:val="21BE2CFB"/>
    <w:rsid w:val="21C06CC2"/>
    <w:rsid w:val="21C1459A"/>
    <w:rsid w:val="21C30312"/>
    <w:rsid w:val="21C36564"/>
    <w:rsid w:val="21C4408A"/>
    <w:rsid w:val="21C448E5"/>
    <w:rsid w:val="21C66054"/>
    <w:rsid w:val="21C67E02"/>
    <w:rsid w:val="21C72A3E"/>
    <w:rsid w:val="21C81DCC"/>
    <w:rsid w:val="21CB366A"/>
    <w:rsid w:val="21D00C81"/>
    <w:rsid w:val="21D4251F"/>
    <w:rsid w:val="21E022E1"/>
    <w:rsid w:val="21E169EA"/>
    <w:rsid w:val="21E80021"/>
    <w:rsid w:val="21EE5C66"/>
    <w:rsid w:val="21F305CB"/>
    <w:rsid w:val="21F7445F"/>
    <w:rsid w:val="21F77FBB"/>
    <w:rsid w:val="21F93EDC"/>
    <w:rsid w:val="21F94D1F"/>
    <w:rsid w:val="21FB3F4F"/>
    <w:rsid w:val="21FC3824"/>
    <w:rsid w:val="21FE2141"/>
    <w:rsid w:val="2205092A"/>
    <w:rsid w:val="22056B7C"/>
    <w:rsid w:val="22104BF0"/>
    <w:rsid w:val="22123047"/>
    <w:rsid w:val="22160D89"/>
    <w:rsid w:val="221768AF"/>
    <w:rsid w:val="22183599"/>
    <w:rsid w:val="221A35F2"/>
    <w:rsid w:val="221B4C06"/>
    <w:rsid w:val="221B63A0"/>
    <w:rsid w:val="2221772E"/>
    <w:rsid w:val="22244B28"/>
    <w:rsid w:val="222C235B"/>
    <w:rsid w:val="222D7E81"/>
    <w:rsid w:val="2230171F"/>
    <w:rsid w:val="2232386E"/>
    <w:rsid w:val="22331EE8"/>
    <w:rsid w:val="22350AE4"/>
    <w:rsid w:val="22356D36"/>
    <w:rsid w:val="223905D4"/>
    <w:rsid w:val="223C00C4"/>
    <w:rsid w:val="223C1E72"/>
    <w:rsid w:val="223E1B2B"/>
    <w:rsid w:val="223E3B10"/>
    <w:rsid w:val="224C6559"/>
    <w:rsid w:val="225673D8"/>
    <w:rsid w:val="2258626C"/>
    <w:rsid w:val="22590C76"/>
    <w:rsid w:val="226518E5"/>
    <w:rsid w:val="22660DA8"/>
    <w:rsid w:val="226A2E83"/>
    <w:rsid w:val="226F2247"/>
    <w:rsid w:val="22715FC0"/>
    <w:rsid w:val="2274785E"/>
    <w:rsid w:val="22761828"/>
    <w:rsid w:val="22771FA7"/>
    <w:rsid w:val="22796DB5"/>
    <w:rsid w:val="227D6B74"/>
    <w:rsid w:val="22807322"/>
    <w:rsid w:val="22851A6B"/>
    <w:rsid w:val="22857CBD"/>
    <w:rsid w:val="228A4F19"/>
    <w:rsid w:val="228D068F"/>
    <w:rsid w:val="228E4DC3"/>
    <w:rsid w:val="228F5682"/>
    <w:rsid w:val="22993768"/>
    <w:rsid w:val="22A04AF7"/>
    <w:rsid w:val="22A243CB"/>
    <w:rsid w:val="22A55C69"/>
    <w:rsid w:val="22AA14D2"/>
    <w:rsid w:val="22AA1C2F"/>
    <w:rsid w:val="22B12860"/>
    <w:rsid w:val="22B81E40"/>
    <w:rsid w:val="22C02AA3"/>
    <w:rsid w:val="22C2681B"/>
    <w:rsid w:val="22C32593"/>
    <w:rsid w:val="22C500B9"/>
    <w:rsid w:val="22C65C90"/>
    <w:rsid w:val="22C9728B"/>
    <w:rsid w:val="22CE51C0"/>
    <w:rsid w:val="22D14CB0"/>
    <w:rsid w:val="22D95913"/>
    <w:rsid w:val="22DA1DB7"/>
    <w:rsid w:val="22E03145"/>
    <w:rsid w:val="22E04EF3"/>
    <w:rsid w:val="22F34C27"/>
    <w:rsid w:val="22FB1D2D"/>
    <w:rsid w:val="22FC0A35"/>
    <w:rsid w:val="22FC74F1"/>
    <w:rsid w:val="230063DC"/>
    <w:rsid w:val="230670B0"/>
    <w:rsid w:val="23076924"/>
    <w:rsid w:val="230963FA"/>
    <w:rsid w:val="23113671"/>
    <w:rsid w:val="231B23CF"/>
    <w:rsid w:val="231B5F2B"/>
    <w:rsid w:val="231D1CA3"/>
    <w:rsid w:val="23203542"/>
    <w:rsid w:val="23272B22"/>
    <w:rsid w:val="232748D0"/>
    <w:rsid w:val="232A5A95"/>
    <w:rsid w:val="232B230E"/>
    <w:rsid w:val="232C638A"/>
    <w:rsid w:val="232E4E04"/>
    <w:rsid w:val="23383F4A"/>
    <w:rsid w:val="233A0AA7"/>
    <w:rsid w:val="233A2855"/>
    <w:rsid w:val="233B65CE"/>
    <w:rsid w:val="233D2B25"/>
    <w:rsid w:val="23450DBB"/>
    <w:rsid w:val="23492A98"/>
    <w:rsid w:val="234B5230"/>
    <w:rsid w:val="234C4337"/>
    <w:rsid w:val="234D2214"/>
    <w:rsid w:val="234F7AFB"/>
    <w:rsid w:val="2358620C"/>
    <w:rsid w:val="2358717F"/>
    <w:rsid w:val="235A2EF8"/>
    <w:rsid w:val="235A3A47"/>
    <w:rsid w:val="235A5ED6"/>
    <w:rsid w:val="235A6A54"/>
    <w:rsid w:val="235D2C72"/>
    <w:rsid w:val="235D6544"/>
    <w:rsid w:val="236B6EB3"/>
    <w:rsid w:val="2378512C"/>
    <w:rsid w:val="237C10C0"/>
    <w:rsid w:val="237C7D5E"/>
    <w:rsid w:val="23812232"/>
    <w:rsid w:val="238241FC"/>
    <w:rsid w:val="23827D58"/>
    <w:rsid w:val="238479F7"/>
    <w:rsid w:val="23867849"/>
    <w:rsid w:val="2387194A"/>
    <w:rsid w:val="238735C1"/>
    <w:rsid w:val="2389558B"/>
    <w:rsid w:val="238A5F5C"/>
    <w:rsid w:val="238B4E5F"/>
    <w:rsid w:val="23955CDE"/>
    <w:rsid w:val="239D1036"/>
    <w:rsid w:val="239D2DE4"/>
    <w:rsid w:val="23A423C5"/>
    <w:rsid w:val="23A44173"/>
    <w:rsid w:val="23A53AF3"/>
    <w:rsid w:val="23A83C63"/>
    <w:rsid w:val="23A979DB"/>
    <w:rsid w:val="23AD74CB"/>
    <w:rsid w:val="23AE4FF1"/>
    <w:rsid w:val="23B109AB"/>
    <w:rsid w:val="23B24AE2"/>
    <w:rsid w:val="23B45347"/>
    <w:rsid w:val="23B4588A"/>
    <w:rsid w:val="23B56380"/>
    <w:rsid w:val="23B720F8"/>
    <w:rsid w:val="23BC14BC"/>
    <w:rsid w:val="23BF03B6"/>
    <w:rsid w:val="23BF0FAD"/>
    <w:rsid w:val="23C2284B"/>
    <w:rsid w:val="23C40371"/>
    <w:rsid w:val="23CA3258"/>
    <w:rsid w:val="23CE11F0"/>
    <w:rsid w:val="23D507D0"/>
    <w:rsid w:val="23D700A4"/>
    <w:rsid w:val="23DA1943"/>
    <w:rsid w:val="23DF164F"/>
    <w:rsid w:val="23E35AF9"/>
    <w:rsid w:val="23EE3C9D"/>
    <w:rsid w:val="23EE53EE"/>
    <w:rsid w:val="23F0560A"/>
    <w:rsid w:val="23F46EA8"/>
    <w:rsid w:val="23F724F4"/>
    <w:rsid w:val="23F8626D"/>
    <w:rsid w:val="23FA0237"/>
    <w:rsid w:val="23FA3D93"/>
    <w:rsid w:val="23FE46B0"/>
    <w:rsid w:val="24062738"/>
    <w:rsid w:val="240E783E"/>
    <w:rsid w:val="24173240"/>
    <w:rsid w:val="24194B61"/>
    <w:rsid w:val="2419690F"/>
    <w:rsid w:val="241E3F25"/>
    <w:rsid w:val="24215D43"/>
    <w:rsid w:val="24223C67"/>
    <w:rsid w:val="242249FE"/>
    <w:rsid w:val="2426102C"/>
    <w:rsid w:val="24266E66"/>
    <w:rsid w:val="242D0B7E"/>
    <w:rsid w:val="242F1596"/>
    <w:rsid w:val="24305A06"/>
    <w:rsid w:val="243279D1"/>
    <w:rsid w:val="243C6BCF"/>
    <w:rsid w:val="244237E5"/>
    <w:rsid w:val="2446522A"/>
    <w:rsid w:val="24477E2B"/>
    <w:rsid w:val="24480FA2"/>
    <w:rsid w:val="24503617"/>
    <w:rsid w:val="245A2A83"/>
    <w:rsid w:val="245E4322"/>
    <w:rsid w:val="24631F3E"/>
    <w:rsid w:val="246359B8"/>
    <w:rsid w:val="2466767A"/>
    <w:rsid w:val="246A0F18"/>
    <w:rsid w:val="246B0CC9"/>
    <w:rsid w:val="246D6C5B"/>
    <w:rsid w:val="24741D97"/>
    <w:rsid w:val="24765B0F"/>
    <w:rsid w:val="247A75E9"/>
    <w:rsid w:val="247C0C4C"/>
    <w:rsid w:val="247C7366"/>
    <w:rsid w:val="2480073C"/>
    <w:rsid w:val="2480698E"/>
    <w:rsid w:val="248143BA"/>
    <w:rsid w:val="248D10AB"/>
    <w:rsid w:val="249064A5"/>
    <w:rsid w:val="24912949"/>
    <w:rsid w:val="2492046F"/>
    <w:rsid w:val="249415ED"/>
    <w:rsid w:val="24973CD7"/>
    <w:rsid w:val="249B5576"/>
    <w:rsid w:val="24A65CC9"/>
    <w:rsid w:val="24A73F1B"/>
    <w:rsid w:val="24AC7783"/>
    <w:rsid w:val="24AF2DCF"/>
    <w:rsid w:val="24B403E6"/>
    <w:rsid w:val="24B623B0"/>
    <w:rsid w:val="24B93C4E"/>
    <w:rsid w:val="24C107A6"/>
    <w:rsid w:val="24C20D54"/>
    <w:rsid w:val="24C22B02"/>
    <w:rsid w:val="24C70119"/>
    <w:rsid w:val="24D26ABE"/>
    <w:rsid w:val="24DB1E16"/>
    <w:rsid w:val="24E10004"/>
    <w:rsid w:val="24E147A5"/>
    <w:rsid w:val="24E16D01"/>
    <w:rsid w:val="24E261BD"/>
    <w:rsid w:val="24E72569"/>
    <w:rsid w:val="24E862E1"/>
    <w:rsid w:val="24EE1B49"/>
    <w:rsid w:val="24F133E8"/>
    <w:rsid w:val="25007ACF"/>
    <w:rsid w:val="2504136D"/>
    <w:rsid w:val="250749B9"/>
    <w:rsid w:val="250B3EE1"/>
    <w:rsid w:val="250F4166"/>
    <w:rsid w:val="25100D20"/>
    <w:rsid w:val="251175E6"/>
    <w:rsid w:val="25126EF0"/>
    <w:rsid w:val="2513335E"/>
    <w:rsid w:val="25140E84"/>
    <w:rsid w:val="251D41DD"/>
    <w:rsid w:val="251D5F8B"/>
    <w:rsid w:val="251F61A7"/>
    <w:rsid w:val="25205A7B"/>
    <w:rsid w:val="25205A9D"/>
    <w:rsid w:val="25216535"/>
    <w:rsid w:val="252437BD"/>
    <w:rsid w:val="252613FB"/>
    <w:rsid w:val="2527505B"/>
    <w:rsid w:val="25284930"/>
    <w:rsid w:val="252B3E91"/>
    <w:rsid w:val="252F6C54"/>
    <w:rsid w:val="25333A00"/>
    <w:rsid w:val="25377454"/>
    <w:rsid w:val="253911C5"/>
    <w:rsid w:val="253A2EBB"/>
    <w:rsid w:val="253B28B5"/>
    <w:rsid w:val="253D1389"/>
    <w:rsid w:val="253F73D1"/>
    <w:rsid w:val="25453733"/>
    <w:rsid w:val="25455A77"/>
    <w:rsid w:val="254774AC"/>
    <w:rsid w:val="25494FD2"/>
    <w:rsid w:val="254B6F9C"/>
    <w:rsid w:val="254C6870"/>
    <w:rsid w:val="254F010E"/>
    <w:rsid w:val="254F43B4"/>
    <w:rsid w:val="2562633E"/>
    <w:rsid w:val="256A520F"/>
    <w:rsid w:val="25777D91"/>
    <w:rsid w:val="257815F1"/>
    <w:rsid w:val="257A2FFA"/>
    <w:rsid w:val="257B02C4"/>
    <w:rsid w:val="258129BE"/>
    <w:rsid w:val="25826736"/>
    <w:rsid w:val="25845C69"/>
    <w:rsid w:val="25891872"/>
    <w:rsid w:val="258B55EA"/>
    <w:rsid w:val="258C4EBE"/>
    <w:rsid w:val="258E184E"/>
    <w:rsid w:val="259326F1"/>
    <w:rsid w:val="2593449F"/>
    <w:rsid w:val="25956469"/>
    <w:rsid w:val="25983863"/>
    <w:rsid w:val="259D531E"/>
    <w:rsid w:val="25A04B22"/>
    <w:rsid w:val="25A81776"/>
    <w:rsid w:val="25A8619C"/>
    <w:rsid w:val="25AC1652"/>
    <w:rsid w:val="25AC2049"/>
    <w:rsid w:val="25AD710F"/>
    <w:rsid w:val="25B20DC9"/>
    <w:rsid w:val="25B3069D"/>
    <w:rsid w:val="25B34B41"/>
    <w:rsid w:val="25B47E41"/>
    <w:rsid w:val="25B61F3B"/>
    <w:rsid w:val="25B763DF"/>
    <w:rsid w:val="25B83F05"/>
    <w:rsid w:val="25B85CB3"/>
    <w:rsid w:val="25C24D84"/>
    <w:rsid w:val="25C32FD6"/>
    <w:rsid w:val="25C5767A"/>
    <w:rsid w:val="25C7239A"/>
    <w:rsid w:val="25CB59E7"/>
    <w:rsid w:val="25CD79B1"/>
    <w:rsid w:val="25CE0F22"/>
    <w:rsid w:val="25CE5F30"/>
    <w:rsid w:val="25D75364"/>
    <w:rsid w:val="25D845A8"/>
    <w:rsid w:val="25DA3E7C"/>
    <w:rsid w:val="25E35426"/>
    <w:rsid w:val="25E73CB3"/>
    <w:rsid w:val="25E8185F"/>
    <w:rsid w:val="25EF3DCB"/>
    <w:rsid w:val="25F16507"/>
    <w:rsid w:val="25FD3163"/>
    <w:rsid w:val="25FD5DBC"/>
    <w:rsid w:val="25FF7D86"/>
    <w:rsid w:val="26013AFE"/>
    <w:rsid w:val="26044F26"/>
    <w:rsid w:val="26061CE1"/>
    <w:rsid w:val="260638ED"/>
    <w:rsid w:val="260838DD"/>
    <w:rsid w:val="260929B3"/>
    <w:rsid w:val="260D24A3"/>
    <w:rsid w:val="26100073"/>
    <w:rsid w:val="26121868"/>
    <w:rsid w:val="261E645E"/>
    <w:rsid w:val="261F21D6"/>
    <w:rsid w:val="2624159B"/>
    <w:rsid w:val="2625221D"/>
    <w:rsid w:val="262D0D77"/>
    <w:rsid w:val="263317DE"/>
    <w:rsid w:val="26355556"/>
    <w:rsid w:val="26396DF4"/>
    <w:rsid w:val="264A1001"/>
    <w:rsid w:val="264B2FCC"/>
    <w:rsid w:val="264B4D7A"/>
    <w:rsid w:val="2650413E"/>
    <w:rsid w:val="26567140"/>
    <w:rsid w:val="265B0500"/>
    <w:rsid w:val="265C6F87"/>
    <w:rsid w:val="265E2CFF"/>
    <w:rsid w:val="265E4AAD"/>
    <w:rsid w:val="2661634B"/>
    <w:rsid w:val="26626426"/>
    <w:rsid w:val="26633A17"/>
    <w:rsid w:val="26647BE9"/>
    <w:rsid w:val="266535C6"/>
    <w:rsid w:val="266A16A4"/>
    <w:rsid w:val="267231D6"/>
    <w:rsid w:val="2675590C"/>
    <w:rsid w:val="26797B41"/>
    <w:rsid w:val="2685028B"/>
    <w:rsid w:val="268661F7"/>
    <w:rsid w:val="268D0EEE"/>
    <w:rsid w:val="268D5392"/>
    <w:rsid w:val="268D6A4A"/>
    <w:rsid w:val="268F6B3B"/>
    <w:rsid w:val="2691592D"/>
    <w:rsid w:val="26992656"/>
    <w:rsid w:val="269C55D5"/>
    <w:rsid w:val="26A024D9"/>
    <w:rsid w:val="26A76454"/>
    <w:rsid w:val="26AA7CF2"/>
    <w:rsid w:val="26AF313E"/>
    <w:rsid w:val="26AF355A"/>
    <w:rsid w:val="26AF3F18"/>
    <w:rsid w:val="26B7748F"/>
    <w:rsid w:val="26B80661"/>
    <w:rsid w:val="26BC17D3"/>
    <w:rsid w:val="26C37006"/>
    <w:rsid w:val="26C40F4A"/>
    <w:rsid w:val="26C713AC"/>
    <w:rsid w:val="26C863CA"/>
    <w:rsid w:val="26CD578F"/>
    <w:rsid w:val="26CF7759"/>
    <w:rsid w:val="26D055EC"/>
    <w:rsid w:val="26D8159F"/>
    <w:rsid w:val="26DC3C24"/>
    <w:rsid w:val="26EA00EF"/>
    <w:rsid w:val="26EA6341"/>
    <w:rsid w:val="26F31699"/>
    <w:rsid w:val="26F60889"/>
    <w:rsid w:val="26FA635D"/>
    <w:rsid w:val="26FB054E"/>
    <w:rsid w:val="26FE3B9A"/>
    <w:rsid w:val="27012F1F"/>
    <w:rsid w:val="270218DC"/>
    <w:rsid w:val="27076EF2"/>
    <w:rsid w:val="270C275B"/>
    <w:rsid w:val="270F711F"/>
    <w:rsid w:val="27103293"/>
    <w:rsid w:val="27194E78"/>
    <w:rsid w:val="271B0BF0"/>
    <w:rsid w:val="271B20BE"/>
    <w:rsid w:val="271B6840"/>
    <w:rsid w:val="271E248E"/>
    <w:rsid w:val="27206206"/>
    <w:rsid w:val="27235079"/>
    <w:rsid w:val="2725381D"/>
    <w:rsid w:val="272F6449"/>
    <w:rsid w:val="2736332A"/>
    <w:rsid w:val="273677D8"/>
    <w:rsid w:val="27376A42"/>
    <w:rsid w:val="27383550"/>
    <w:rsid w:val="27392E24"/>
    <w:rsid w:val="273A5E7E"/>
    <w:rsid w:val="273A72C8"/>
    <w:rsid w:val="273B6B9C"/>
    <w:rsid w:val="273E043A"/>
    <w:rsid w:val="27400656"/>
    <w:rsid w:val="27417288"/>
    <w:rsid w:val="27427B52"/>
    <w:rsid w:val="274742E6"/>
    <w:rsid w:val="274B5CB3"/>
    <w:rsid w:val="274C2762"/>
    <w:rsid w:val="274D0A38"/>
    <w:rsid w:val="274F2647"/>
    <w:rsid w:val="2751016E"/>
    <w:rsid w:val="275131CB"/>
    <w:rsid w:val="2756664D"/>
    <w:rsid w:val="27585757"/>
    <w:rsid w:val="275D6BA3"/>
    <w:rsid w:val="275E288B"/>
    <w:rsid w:val="27630C0D"/>
    <w:rsid w:val="27654CB3"/>
    <w:rsid w:val="27704950"/>
    <w:rsid w:val="277327DA"/>
    <w:rsid w:val="27736336"/>
    <w:rsid w:val="277B168E"/>
    <w:rsid w:val="277B343D"/>
    <w:rsid w:val="277C2603"/>
    <w:rsid w:val="2785472E"/>
    <w:rsid w:val="27870CB7"/>
    <w:rsid w:val="27871DE1"/>
    <w:rsid w:val="278E09B2"/>
    <w:rsid w:val="27960276"/>
    <w:rsid w:val="27982240"/>
    <w:rsid w:val="279D1605"/>
    <w:rsid w:val="27A22F05"/>
    <w:rsid w:val="27A35E74"/>
    <w:rsid w:val="27A6670B"/>
    <w:rsid w:val="27A82008"/>
    <w:rsid w:val="27AC54F6"/>
    <w:rsid w:val="27AE5C46"/>
    <w:rsid w:val="27B23302"/>
    <w:rsid w:val="27BD1CA7"/>
    <w:rsid w:val="27BE3243"/>
    <w:rsid w:val="27BF157B"/>
    <w:rsid w:val="27C272BD"/>
    <w:rsid w:val="27C529FF"/>
    <w:rsid w:val="27C84332"/>
    <w:rsid w:val="27CE7C21"/>
    <w:rsid w:val="27D03788"/>
    <w:rsid w:val="27D35027"/>
    <w:rsid w:val="27D654C7"/>
    <w:rsid w:val="27D94D34"/>
    <w:rsid w:val="27E17743"/>
    <w:rsid w:val="27E51A2C"/>
    <w:rsid w:val="27EC5A7D"/>
    <w:rsid w:val="27F02473"/>
    <w:rsid w:val="27F07987"/>
    <w:rsid w:val="28096C9A"/>
    <w:rsid w:val="280D7BAD"/>
    <w:rsid w:val="28100029"/>
    <w:rsid w:val="281178FD"/>
    <w:rsid w:val="2817646A"/>
    <w:rsid w:val="28215D92"/>
    <w:rsid w:val="28237D5C"/>
    <w:rsid w:val="28243AD4"/>
    <w:rsid w:val="282615FA"/>
    <w:rsid w:val="28292E99"/>
    <w:rsid w:val="283006CB"/>
    <w:rsid w:val="28302479"/>
    <w:rsid w:val="28341F69"/>
    <w:rsid w:val="2835183D"/>
    <w:rsid w:val="283C2041"/>
    <w:rsid w:val="283D6944"/>
    <w:rsid w:val="28412B7B"/>
    <w:rsid w:val="28416802"/>
    <w:rsid w:val="284303FE"/>
    <w:rsid w:val="284952E9"/>
    <w:rsid w:val="28520641"/>
    <w:rsid w:val="285B196C"/>
    <w:rsid w:val="285C14C0"/>
    <w:rsid w:val="286D43E2"/>
    <w:rsid w:val="286F11F3"/>
    <w:rsid w:val="28706D19"/>
    <w:rsid w:val="28732366"/>
    <w:rsid w:val="28793E20"/>
    <w:rsid w:val="287C746C"/>
    <w:rsid w:val="287E31E4"/>
    <w:rsid w:val="287F0D0A"/>
    <w:rsid w:val="28856A5B"/>
    <w:rsid w:val="288602EB"/>
    <w:rsid w:val="288A1B89"/>
    <w:rsid w:val="28942A08"/>
    <w:rsid w:val="28956780"/>
    <w:rsid w:val="28997434"/>
    <w:rsid w:val="289F583D"/>
    <w:rsid w:val="28A013AD"/>
    <w:rsid w:val="28A03282"/>
    <w:rsid w:val="28A10C81"/>
    <w:rsid w:val="28A6273B"/>
    <w:rsid w:val="28A812C0"/>
    <w:rsid w:val="28A8200F"/>
    <w:rsid w:val="28B07116"/>
    <w:rsid w:val="28B44E58"/>
    <w:rsid w:val="28B54FA1"/>
    <w:rsid w:val="28B60BD0"/>
    <w:rsid w:val="28BA3E25"/>
    <w:rsid w:val="28BC3D0D"/>
    <w:rsid w:val="28BC585B"/>
    <w:rsid w:val="28BE5CD7"/>
    <w:rsid w:val="28C623C8"/>
    <w:rsid w:val="28CB3F50"/>
    <w:rsid w:val="28D472A8"/>
    <w:rsid w:val="28D64DCE"/>
    <w:rsid w:val="28DD7E7C"/>
    <w:rsid w:val="28E53263"/>
    <w:rsid w:val="28E82D54"/>
    <w:rsid w:val="28EA087A"/>
    <w:rsid w:val="28F25980"/>
    <w:rsid w:val="28F2772E"/>
    <w:rsid w:val="28FC05AD"/>
    <w:rsid w:val="28FD3D48"/>
    <w:rsid w:val="28FD67FF"/>
    <w:rsid w:val="29051210"/>
    <w:rsid w:val="29121B7F"/>
    <w:rsid w:val="291335A0"/>
    <w:rsid w:val="2916341D"/>
    <w:rsid w:val="291825B6"/>
    <w:rsid w:val="291B4ED7"/>
    <w:rsid w:val="29211DC2"/>
    <w:rsid w:val="292214A3"/>
    <w:rsid w:val="292518B2"/>
    <w:rsid w:val="29253660"/>
    <w:rsid w:val="292673D8"/>
    <w:rsid w:val="292E76BE"/>
    <w:rsid w:val="29325D7D"/>
    <w:rsid w:val="293458C6"/>
    <w:rsid w:val="29352A4D"/>
    <w:rsid w:val="29385A89"/>
    <w:rsid w:val="2938676C"/>
    <w:rsid w:val="29387837"/>
    <w:rsid w:val="293E0BC6"/>
    <w:rsid w:val="2940493E"/>
    <w:rsid w:val="29424212"/>
    <w:rsid w:val="29451F54"/>
    <w:rsid w:val="29471828"/>
    <w:rsid w:val="294837F2"/>
    <w:rsid w:val="294855A0"/>
    <w:rsid w:val="294C32E2"/>
    <w:rsid w:val="294C5B13"/>
    <w:rsid w:val="29532D6A"/>
    <w:rsid w:val="2953641F"/>
    <w:rsid w:val="2955626D"/>
    <w:rsid w:val="29567CBD"/>
    <w:rsid w:val="295C002D"/>
    <w:rsid w:val="29606D8E"/>
    <w:rsid w:val="2964687E"/>
    <w:rsid w:val="29654FE6"/>
    <w:rsid w:val="29663093"/>
    <w:rsid w:val="296D5007"/>
    <w:rsid w:val="296F5223"/>
    <w:rsid w:val="297122EA"/>
    <w:rsid w:val="29736AC1"/>
    <w:rsid w:val="297445E7"/>
    <w:rsid w:val="29793228"/>
    <w:rsid w:val="297C64FE"/>
    <w:rsid w:val="297D16EE"/>
    <w:rsid w:val="298505A2"/>
    <w:rsid w:val="29852351"/>
    <w:rsid w:val="298C4BF2"/>
    <w:rsid w:val="298F2BAF"/>
    <w:rsid w:val="29915199"/>
    <w:rsid w:val="299627B0"/>
    <w:rsid w:val="299A1C85"/>
    <w:rsid w:val="299F4469"/>
    <w:rsid w:val="29A053DC"/>
    <w:rsid w:val="29A44051"/>
    <w:rsid w:val="29A44ECD"/>
    <w:rsid w:val="29AB2B70"/>
    <w:rsid w:val="29B6075C"/>
    <w:rsid w:val="29B64C00"/>
    <w:rsid w:val="29B9024C"/>
    <w:rsid w:val="29BA649E"/>
    <w:rsid w:val="29C15A7E"/>
    <w:rsid w:val="29C56BF1"/>
    <w:rsid w:val="29C63095"/>
    <w:rsid w:val="29C76E0D"/>
    <w:rsid w:val="29CB06AB"/>
    <w:rsid w:val="29CD2270"/>
    <w:rsid w:val="29CE3CF8"/>
    <w:rsid w:val="29D07A70"/>
    <w:rsid w:val="29D303B0"/>
    <w:rsid w:val="29D46E34"/>
    <w:rsid w:val="29D55C79"/>
    <w:rsid w:val="29D67050"/>
    <w:rsid w:val="29D939AF"/>
    <w:rsid w:val="29D954B6"/>
    <w:rsid w:val="29DB6414"/>
    <w:rsid w:val="29E277A3"/>
    <w:rsid w:val="29E33A1F"/>
    <w:rsid w:val="29E36B3C"/>
    <w:rsid w:val="29E90B31"/>
    <w:rsid w:val="29E928DF"/>
    <w:rsid w:val="29EB2AFB"/>
    <w:rsid w:val="29EB48A9"/>
    <w:rsid w:val="29F12E9A"/>
    <w:rsid w:val="29F64FFC"/>
    <w:rsid w:val="29FA2D3E"/>
    <w:rsid w:val="29FF2103"/>
    <w:rsid w:val="2A021BF3"/>
    <w:rsid w:val="2A046A04"/>
    <w:rsid w:val="2A0A5FF9"/>
    <w:rsid w:val="2A0D1C4E"/>
    <w:rsid w:val="2A0F1517"/>
    <w:rsid w:val="2A1A1A96"/>
    <w:rsid w:val="2A1D4C7F"/>
    <w:rsid w:val="2A1D6A2D"/>
    <w:rsid w:val="2A240333"/>
    <w:rsid w:val="2A377AEF"/>
    <w:rsid w:val="2A4553E2"/>
    <w:rsid w:val="2A45595C"/>
    <w:rsid w:val="2A4D7312"/>
    <w:rsid w:val="2A4F6D47"/>
    <w:rsid w:val="2A51566C"/>
    <w:rsid w:val="2A5306A1"/>
    <w:rsid w:val="2A573CED"/>
    <w:rsid w:val="2A5D507B"/>
    <w:rsid w:val="2A6355E4"/>
    <w:rsid w:val="2A6963CA"/>
    <w:rsid w:val="2A6E7289"/>
    <w:rsid w:val="2A6F342B"/>
    <w:rsid w:val="2A732242"/>
    <w:rsid w:val="2A742AF1"/>
    <w:rsid w:val="2A7C19A5"/>
    <w:rsid w:val="2A7F3244"/>
    <w:rsid w:val="2A810D6A"/>
    <w:rsid w:val="2A8D2396"/>
    <w:rsid w:val="2A8D3BB3"/>
    <w:rsid w:val="2A8D770F"/>
    <w:rsid w:val="2A946CEF"/>
    <w:rsid w:val="2A9767DF"/>
    <w:rsid w:val="2A9A1E2C"/>
    <w:rsid w:val="2A9A62D0"/>
    <w:rsid w:val="2A9C1D07"/>
    <w:rsid w:val="2A9D13E6"/>
    <w:rsid w:val="2A9F7442"/>
    <w:rsid w:val="2AA809EC"/>
    <w:rsid w:val="2AAB5DE7"/>
    <w:rsid w:val="2AAF1C1B"/>
    <w:rsid w:val="2AAF56F4"/>
    <w:rsid w:val="2AB06293"/>
    <w:rsid w:val="2AB4113F"/>
    <w:rsid w:val="2AB47391"/>
    <w:rsid w:val="2AB949A8"/>
    <w:rsid w:val="2ABC7FF4"/>
    <w:rsid w:val="2ABD7CC6"/>
    <w:rsid w:val="2AC62C21"/>
    <w:rsid w:val="2AC82E3D"/>
    <w:rsid w:val="2ACB46DB"/>
    <w:rsid w:val="2ACB7D39"/>
    <w:rsid w:val="2ACC5B00"/>
    <w:rsid w:val="2ACF41CB"/>
    <w:rsid w:val="2AD0584D"/>
    <w:rsid w:val="2AD25A69"/>
    <w:rsid w:val="2ADE61BC"/>
    <w:rsid w:val="2AE35581"/>
    <w:rsid w:val="2AE80DE9"/>
    <w:rsid w:val="2AE90B77"/>
    <w:rsid w:val="2AE91EF8"/>
    <w:rsid w:val="2AE9690F"/>
    <w:rsid w:val="2AED28A3"/>
    <w:rsid w:val="2AED4651"/>
    <w:rsid w:val="2AF14141"/>
    <w:rsid w:val="2AF91248"/>
    <w:rsid w:val="2B05199B"/>
    <w:rsid w:val="2B064EE8"/>
    <w:rsid w:val="2B084612"/>
    <w:rsid w:val="2B0A6FB1"/>
    <w:rsid w:val="2B0C0F7B"/>
    <w:rsid w:val="2B125E66"/>
    <w:rsid w:val="2B14295E"/>
    <w:rsid w:val="2B1716CE"/>
    <w:rsid w:val="2B1E480B"/>
    <w:rsid w:val="2B201FFC"/>
    <w:rsid w:val="2B2D7144"/>
    <w:rsid w:val="2B2F6A18"/>
    <w:rsid w:val="2B3202B6"/>
    <w:rsid w:val="2B3D7387"/>
    <w:rsid w:val="2B413313"/>
    <w:rsid w:val="2B457FE9"/>
    <w:rsid w:val="2B4645B4"/>
    <w:rsid w:val="2B465CF5"/>
    <w:rsid w:val="2B481888"/>
    <w:rsid w:val="2B485B80"/>
    <w:rsid w:val="2B4D3342"/>
    <w:rsid w:val="2B4F70BA"/>
    <w:rsid w:val="2B512E32"/>
    <w:rsid w:val="2B51698E"/>
    <w:rsid w:val="2B522706"/>
    <w:rsid w:val="2B527DD3"/>
    <w:rsid w:val="2B5446D0"/>
    <w:rsid w:val="2B551A76"/>
    <w:rsid w:val="2B5557E5"/>
    <w:rsid w:val="2B5841C1"/>
    <w:rsid w:val="2B5B3D53"/>
    <w:rsid w:val="2B5B5A5F"/>
    <w:rsid w:val="2B6568DD"/>
    <w:rsid w:val="2B6A14A8"/>
    <w:rsid w:val="2B703976"/>
    <w:rsid w:val="2B746142"/>
    <w:rsid w:val="2B7663F5"/>
    <w:rsid w:val="2B795EE5"/>
    <w:rsid w:val="2B7977F9"/>
    <w:rsid w:val="2B7B0420"/>
    <w:rsid w:val="2B7B3A0B"/>
    <w:rsid w:val="2B7F68C6"/>
    <w:rsid w:val="2B824D9A"/>
    <w:rsid w:val="2B876854"/>
    <w:rsid w:val="2B885EE9"/>
    <w:rsid w:val="2B886128"/>
    <w:rsid w:val="2B8A093F"/>
    <w:rsid w:val="2B8A2F99"/>
    <w:rsid w:val="2B936FA7"/>
    <w:rsid w:val="2B97636B"/>
    <w:rsid w:val="2B9D6077"/>
    <w:rsid w:val="2BA56CDA"/>
    <w:rsid w:val="2BAA42F0"/>
    <w:rsid w:val="2BAB22D1"/>
    <w:rsid w:val="2BAB7996"/>
    <w:rsid w:val="2BAC62BA"/>
    <w:rsid w:val="2BAF1907"/>
    <w:rsid w:val="2BAF3823"/>
    <w:rsid w:val="2BB24766"/>
    <w:rsid w:val="2BB62C95"/>
    <w:rsid w:val="2BBC3256"/>
    <w:rsid w:val="2BBD04C8"/>
    <w:rsid w:val="2BC006B5"/>
    <w:rsid w:val="2BC06C2C"/>
    <w:rsid w:val="2BD001FB"/>
    <w:rsid w:val="2BD61589"/>
    <w:rsid w:val="2BD87BB5"/>
    <w:rsid w:val="2BDE3F9A"/>
    <w:rsid w:val="2BE6244E"/>
    <w:rsid w:val="2BE94E19"/>
    <w:rsid w:val="2BEA704B"/>
    <w:rsid w:val="2BEE68D3"/>
    <w:rsid w:val="2BF35C97"/>
    <w:rsid w:val="2BF47386"/>
    <w:rsid w:val="2BF6672C"/>
    <w:rsid w:val="2BFB2D9E"/>
    <w:rsid w:val="2C0C4FAB"/>
    <w:rsid w:val="2C155C0E"/>
    <w:rsid w:val="2C1A4173"/>
    <w:rsid w:val="2C207AE4"/>
    <w:rsid w:val="2C2220D9"/>
    <w:rsid w:val="2C252F76"/>
    <w:rsid w:val="2C271DE5"/>
    <w:rsid w:val="2C287C60"/>
    <w:rsid w:val="2C2A58A7"/>
    <w:rsid w:val="2C2E0A7D"/>
    <w:rsid w:val="2C3342E6"/>
    <w:rsid w:val="2C3C763E"/>
    <w:rsid w:val="2C3D5164"/>
    <w:rsid w:val="2C41519A"/>
    <w:rsid w:val="2C416A03"/>
    <w:rsid w:val="2C424529"/>
    <w:rsid w:val="2C491D5B"/>
    <w:rsid w:val="2C493B09"/>
    <w:rsid w:val="2C4C35F9"/>
    <w:rsid w:val="2C4D184B"/>
    <w:rsid w:val="2C4D7652"/>
    <w:rsid w:val="2C532BDA"/>
    <w:rsid w:val="2C5A5D16"/>
    <w:rsid w:val="2C5D65F6"/>
    <w:rsid w:val="2C610E53"/>
    <w:rsid w:val="2C680433"/>
    <w:rsid w:val="2C695E1E"/>
    <w:rsid w:val="2C6E531E"/>
    <w:rsid w:val="2C772424"/>
    <w:rsid w:val="2C7963E8"/>
    <w:rsid w:val="2C7A3CC3"/>
    <w:rsid w:val="2C7D0E82"/>
    <w:rsid w:val="2C8132A3"/>
    <w:rsid w:val="2C8A69B1"/>
    <w:rsid w:val="2C90767E"/>
    <w:rsid w:val="2C970D19"/>
    <w:rsid w:val="2C994A91"/>
    <w:rsid w:val="2C995B10"/>
    <w:rsid w:val="2C9B4CBA"/>
    <w:rsid w:val="2C9F3A56"/>
    <w:rsid w:val="2CA23A72"/>
    <w:rsid w:val="2CA46F92"/>
    <w:rsid w:val="2CA501B3"/>
    <w:rsid w:val="2CAB0320"/>
    <w:rsid w:val="2CAB6572"/>
    <w:rsid w:val="2CD07D87"/>
    <w:rsid w:val="2CD20350"/>
    <w:rsid w:val="2CD92C56"/>
    <w:rsid w:val="2CDA39DA"/>
    <w:rsid w:val="2CDA613C"/>
    <w:rsid w:val="2CDE24A4"/>
    <w:rsid w:val="2CE13D42"/>
    <w:rsid w:val="2CE43832"/>
    <w:rsid w:val="2CE657FC"/>
    <w:rsid w:val="2CE90E48"/>
    <w:rsid w:val="2CEB696E"/>
    <w:rsid w:val="2CF445D2"/>
    <w:rsid w:val="2CF96FB4"/>
    <w:rsid w:val="2CFB09AC"/>
    <w:rsid w:val="2CFB12A7"/>
    <w:rsid w:val="2D012636"/>
    <w:rsid w:val="2D0619FA"/>
    <w:rsid w:val="2D0839C4"/>
    <w:rsid w:val="2D0D2D89"/>
    <w:rsid w:val="2D186AF9"/>
    <w:rsid w:val="2D1F486A"/>
    <w:rsid w:val="2D2C76B3"/>
    <w:rsid w:val="2D2F0F51"/>
    <w:rsid w:val="2D314CC9"/>
    <w:rsid w:val="2D3A16A4"/>
    <w:rsid w:val="2D426903"/>
    <w:rsid w:val="2D430559"/>
    <w:rsid w:val="2D485B6F"/>
    <w:rsid w:val="2D4A5D8B"/>
    <w:rsid w:val="2D652BC5"/>
    <w:rsid w:val="2D665F73"/>
    <w:rsid w:val="2D67693D"/>
    <w:rsid w:val="2D6A3D37"/>
    <w:rsid w:val="2D742E08"/>
    <w:rsid w:val="2D76092E"/>
    <w:rsid w:val="2D773D38"/>
    <w:rsid w:val="2D7828F8"/>
    <w:rsid w:val="2D7C1CBC"/>
    <w:rsid w:val="2D7E3C87"/>
    <w:rsid w:val="2D81473F"/>
    <w:rsid w:val="2D825A0A"/>
    <w:rsid w:val="2D853CD4"/>
    <w:rsid w:val="2D8B00C8"/>
    <w:rsid w:val="2D8C0151"/>
    <w:rsid w:val="2D8F7C42"/>
    <w:rsid w:val="2D945258"/>
    <w:rsid w:val="2D960FD0"/>
    <w:rsid w:val="2D974984"/>
    <w:rsid w:val="2D990AC0"/>
    <w:rsid w:val="2D9B2143"/>
    <w:rsid w:val="2DAA4A7C"/>
    <w:rsid w:val="2DAC25A2"/>
    <w:rsid w:val="2DB31B82"/>
    <w:rsid w:val="2DB33930"/>
    <w:rsid w:val="2DB63420"/>
    <w:rsid w:val="2DB77B57"/>
    <w:rsid w:val="2DBE22D5"/>
    <w:rsid w:val="2DBE6295"/>
    <w:rsid w:val="2DBF02C5"/>
    <w:rsid w:val="2DC518B5"/>
    <w:rsid w:val="2DC608CB"/>
    <w:rsid w:val="2DCD42C6"/>
    <w:rsid w:val="2DCE2518"/>
    <w:rsid w:val="2DCF003E"/>
    <w:rsid w:val="2DD029D5"/>
    <w:rsid w:val="2DD65871"/>
    <w:rsid w:val="2DD678F6"/>
    <w:rsid w:val="2DD83397"/>
    <w:rsid w:val="2DE0224B"/>
    <w:rsid w:val="2DED4667"/>
    <w:rsid w:val="2DF2069D"/>
    <w:rsid w:val="2DF67A69"/>
    <w:rsid w:val="2DF7019E"/>
    <w:rsid w:val="2DFB01CE"/>
    <w:rsid w:val="2DFB7675"/>
    <w:rsid w:val="2E053A60"/>
    <w:rsid w:val="2E0E6A8A"/>
    <w:rsid w:val="2E165C6D"/>
    <w:rsid w:val="2E19750B"/>
    <w:rsid w:val="2E1B49C8"/>
    <w:rsid w:val="2E1C43F4"/>
    <w:rsid w:val="2E1D6FFC"/>
    <w:rsid w:val="2E24038A"/>
    <w:rsid w:val="2E251B3C"/>
    <w:rsid w:val="2E2B796A"/>
    <w:rsid w:val="2E2C723F"/>
    <w:rsid w:val="2E310CF9"/>
    <w:rsid w:val="2E351396"/>
    <w:rsid w:val="2E3C1B78"/>
    <w:rsid w:val="2E3F3416"/>
    <w:rsid w:val="2E402CEA"/>
    <w:rsid w:val="2E41718E"/>
    <w:rsid w:val="2E424CB4"/>
    <w:rsid w:val="2E424E40"/>
    <w:rsid w:val="2E4647A4"/>
    <w:rsid w:val="2E4846B2"/>
    <w:rsid w:val="2E4B2366"/>
    <w:rsid w:val="2E5642BC"/>
    <w:rsid w:val="2E571B1E"/>
    <w:rsid w:val="2E586286"/>
    <w:rsid w:val="2E5A3DAC"/>
    <w:rsid w:val="2E5D1E96"/>
    <w:rsid w:val="2E60513A"/>
    <w:rsid w:val="2E666BF4"/>
    <w:rsid w:val="2E6764C9"/>
    <w:rsid w:val="2E6966E5"/>
    <w:rsid w:val="2E6C1D31"/>
    <w:rsid w:val="2E6E7857"/>
    <w:rsid w:val="2E72315C"/>
    <w:rsid w:val="2E783F54"/>
    <w:rsid w:val="2E7A444E"/>
    <w:rsid w:val="2E8157DC"/>
    <w:rsid w:val="2E817F0D"/>
    <w:rsid w:val="2E870919"/>
    <w:rsid w:val="2E8C093F"/>
    <w:rsid w:val="2E9077CD"/>
    <w:rsid w:val="2E933762"/>
    <w:rsid w:val="2E953036"/>
    <w:rsid w:val="2EA8720D"/>
    <w:rsid w:val="2EA96F98"/>
    <w:rsid w:val="2EB01C1E"/>
    <w:rsid w:val="2EB536D8"/>
    <w:rsid w:val="2EB56348"/>
    <w:rsid w:val="2EBE2575"/>
    <w:rsid w:val="2EC1207D"/>
    <w:rsid w:val="2EC25066"/>
    <w:rsid w:val="2EC456C9"/>
    <w:rsid w:val="2EC523EE"/>
    <w:rsid w:val="2EC851B9"/>
    <w:rsid w:val="2EC97183"/>
    <w:rsid w:val="2ECB10C2"/>
    <w:rsid w:val="2ECC21FB"/>
    <w:rsid w:val="2ECE6063"/>
    <w:rsid w:val="2ED31DB0"/>
    <w:rsid w:val="2ED33B5E"/>
    <w:rsid w:val="2ED651E0"/>
    <w:rsid w:val="2ED7364E"/>
    <w:rsid w:val="2EDE2C2F"/>
    <w:rsid w:val="2EDE3746"/>
    <w:rsid w:val="2EE02AB8"/>
    <w:rsid w:val="2EE23DA1"/>
    <w:rsid w:val="2EE3493B"/>
    <w:rsid w:val="2EE364A4"/>
    <w:rsid w:val="2EE95130"/>
    <w:rsid w:val="2EF44200"/>
    <w:rsid w:val="2EFE7809"/>
    <w:rsid w:val="2F000DF7"/>
    <w:rsid w:val="2F0106CB"/>
    <w:rsid w:val="2F012176"/>
    <w:rsid w:val="2F0361F1"/>
    <w:rsid w:val="2F0B5753"/>
    <w:rsid w:val="2F10090E"/>
    <w:rsid w:val="2F167482"/>
    <w:rsid w:val="2F177EEF"/>
    <w:rsid w:val="2F1C72B3"/>
    <w:rsid w:val="2F1D6F37"/>
    <w:rsid w:val="2F1E22C8"/>
    <w:rsid w:val="2F2148C9"/>
    <w:rsid w:val="2F234AE5"/>
    <w:rsid w:val="2F2820FC"/>
    <w:rsid w:val="2F2F5238"/>
    <w:rsid w:val="2F307202"/>
    <w:rsid w:val="2F356E8B"/>
    <w:rsid w:val="2F3B560E"/>
    <w:rsid w:val="2F3C144B"/>
    <w:rsid w:val="2F3D4BEE"/>
    <w:rsid w:val="2F434AC3"/>
    <w:rsid w:val="2F45680A"/>
    <w:rsid w:val="2F49765F"/>
    <w:rsid w:val="2F4A3E20"/>
    <w:rsid w:val="2F4B1824"/>
    <w:rsid w:val="2F4F1437"/>
    <w:rsid w:val="2F505567"/>
    <w:rsid w:val="2F577967"/>
    <w:rsid w:val="2F5B427F"/>
    <w:rsid w:val="2F5E167A"/>
    <w:rsid w:val="2F5E5B1E"/>
    <w:rsid w:val="2F5E7ADC"/>
    <w:rsid w:val="2F63075A"/>
    <w:rsid w:val="2F631386"/>
    <w:rsid w:val="2F656B05"/>
    <w:rsid w:val="2F672DE6"/>
    <w:rsid w:val="2F68074A"/>
    <w:rsid w:val="2F6D7B0F"/>
    <w:rsid w:val="2F6F6D61"/>
    <w:rsid w:val="2F762675"/>
    <w:rsid w:val="2F786600"/>
    <w:rsid w:val="2F7926E1"/>
    <w:rsid w:val="2F7B4FA2"/>
    <w:rsid w:val="2F7D70BA"/>
    <w:rsid w:val="2F7E1D1C"/>
    <w:rsid w:val="2F803CE6"/>
    <w:rsid w:val="2F854E58"/>
    <w:rsid w:val="2F8B61E7"/>
    <w:rsid w:val="2F8F3F29"/>
    <w:rsid w:val="2F932010"/>
    <w:rsid w:val="2FA15A0A"/>
    <w:rsid w:val="2FA379D4"/>
    <w:rsid w:val="2FA554FB"/>
    <w:rsid w:val="2FAC4ADB"/>
    <w:rsid w:val="2FAF6379"/>
    <w:rsid w:val="2FB3473C"/>
    <w:rsid w:val="2FB67D5C"/>
    <w:rsid w:val="2FC02334"/>
    <w:rsid w:val="2FC040E2"/>
    <w:rsid w:val="2FC40BB7"/>
    <w:rsid w:val="2FC55B9D"/>
    <w:rsid w:val="2FC82F97"/>
    <w:rsid w:val="2FC8743B"/>
    <w:rsid w:val="2FCA6D0F"/>
    <w:rsid w:val="2FCD4A51"/>
    <w:rsid w:val="2FD129E5"/>
    <w:rsid w:val="2FDB2CCA"/>
    <w:rsid w:val="2FDD4C94"/>
    <w:rsid w:val="2FDE0A0C"/>
    <w:rsid w:val="2FE13898"/>
    <w:rsid w:val="2FE1490C"/>
    <w:rsid w:val="2FE55E34"/>
    <w:rsid w:val="2FE87CD4"/>
    <w:rsid w:val="2FEB3E48"/>
    <w:rsid w:val="2FEE6EA1"/>
    <w:rsid w:val="2FF7387C"/>
    <w:rsid w:val="2FF81ACE"/>
    <w:rsid w:val="2FFC12D0"/>
    <w:rsid w:val="30051BDD"/>
    <w:rsid w:val="30082A03"/>
    <w:rsid w:val="300A7A53"/>
    <w:rsid w:val="300C300F"/>
    <w:rsid w:val="301A5EE8"/>
    <w:rsid w:val="301D4C03"/>
    <w:rsid w:val="30243226"/>
    <w:rsid w:val="302503E9"/>
    <w:rsid w:val="3025488D"/>
    <w:rsid w:val="302D685B"/>
    <w:rsid w:val="302F2452"/>
    <w:rsid w:val="302F6FF8"/>
    <w:rsid w:val="30313232"/>
    <w:rsid w:val="303625F7"/>
    <w:rsid w:val="303643A5"/>
    <w:rsid w:val="303A20E7"/>
    <w:rsid w:val="303D1BD7"/>
    <w:rsid w:val="30405223"/>
    <w:rsid w:val="304271ED"/>
    <w:rsid w:val="30434688"/>
    <w:rsid w:val="30444D13"/>
    <w:rsid w:val="30446AC1"/>
    <w:rsid w:val="304732AA"/>
    <w:rsid w:val="30476E97"/>
    <w:rsid w:val="304940D8"/>
    <w:rsid w:val="304A2860"/>
    <w:rsid w:val="304A7E50"/>
    <w:rsid w:val="304E0B54"/>
    <w:rsid w:val="304E1AC4"/>
    <w:rsid w:val="304F36B8"/>
    <w:rsid w:val="305111DE"/>
    <w:rsid w:val="305F1EED"/>
    <w:rsid w:val="306233EC"/>
    <w:rsid w:val="30696528"/>
    <w:rsid w:val="306C7DC6"/>
    <w:rsid w:val="307B44AD"/>
    <w:rsid w:val="308248CB"/>
    <w:rsid w:val="308B2942"/>
    <w:rsid w:val="308B3827"/>
    <w:rsid w:val="30915A7F"/>
    <w:rsid w:val="30980BBB"/>
    <w:rsid w:val="309A5723"/>
    <w:rsid w:val="309C4B4F"/>
    <w:rsid w:val="309D40A4"/>
    <w:rsid w:val="30A4764F"/>
    <w:rsid w:val="30AB6B41"/>
    <w:rsid w:val="30AB70F6"/>
    <w:rsid w:val="30AC28B9"/>
    <w:rsid w:val="30B31E99"/>
    <w:rsid w:val="30B44B89"/>
    <w:rsid w:val="30B55C11"/>
    <w:rsid w:val="30B579BF"/>
    <w:rsid w:val="30BF75F7"/>
    <w:rsid w:val="30C16531"/>
    <w:rsid w:val="30C23E8A"/>
    <w:rsid w:val="30C916BD"/>
    <w:rsid w:val="30CC6AB7"/>
    <w:rsid w:val="30D047F9"/>
    <w:rsid w:val="30D2231F"/>
    <w:rsid w:val="30E43E01"/>
    <w:rsid w:val="30E958BB"/>
    <w:rsid w:val="30ED4D1A"/>
    <w:rsid w:val="30F2476F"/>
    <w:rsid w:val="30F524B2"/>
    <w:rsid w:val="30FA3624"/>
    <w:rsid w:val="30FF6E8C"/>
    <w:rsid w:val="310414A3"/>
    <w:rsid w:val="31087E7F"/>
    <w:rsid w:val="31093867"/>
    <w:rsid w:val="310B330B"/>
    <w:rsid w:val="310D3357"/>
    <w:rsid w:val="3112096E"/>
    <w:rsid w:val="3114202C"/>
    <w:rsid w:val="311B7998"/>
    <w:rsid w:val="311F12DD"/>
    <w:rsid w:val="311F752F"/>
    <w:rsid w:val="31232B7B"/>
    <w:rsid w:val="31264419"/>
    <w:rsid w:val="312B7C81"/>
    <w:rsid w:val="31342FDA"/>
    <w:rsid w:val="31343594"/>
    <w:rsid w:val="3135465C"/>
    <w:rsid w:val="31385A89"/>
    <w:rsid w:val="313861B6"/>
    <w:rsid w:val="313F4FE0"/>
    <w:rsid w:val="314471F5"/>
    <w:rsid w:val="31457A4F"/>
    <w:rsid w:val="31462D0D"/>
    <w:rsid w:val="31464ABB"/>
    <w:rsid w:val="31501496"/>
    <w:rsid w:val="315177DF"/>
    <w:rsid w:val="315216B2"/>
    <w:rsid w:val="3154509A"/>
    <w:rsid w:val="315620B8"/>
    <w:rsid w:val="31576CC8"/>
    <w:rsid w:val="31592A40"/>
    <w:rsid w:val="316311C9"/>
    <w:rsid w:val="31644F41"/>
    <w:rsid w:val="316F4012"/>
    <w:rsid w:val="31734EAD"/>
    <w:rsid w:val="31774C75"/>
    <w:rsid w:val="317A6513"/>
    <w:rsid w:val="317E4255"/>
    <w:rsid w:val="317F3B29"/>
    <w:rsid w:val="31833619"/>
    <w:rsid w:val="318854CB"/>
    <w:rsid w:val="318B6972"/>
    <w:rsid w:val="31950990"/>
    <w:rsid w:val="31975DF7"/>
    <w:rsid w:val="319C292D"/>
    <w:rsid w:val="319C6612"/>
    <w:rsid w:val="319E0453"/>
    <w:rsid w:val="31A130EC"/>
    <w:rsid w:val="31A33AA5"/>
    <w:rsid w:val="31A33CBC"/>
    <w:rsid w:val="31A57A34"/>
    <w:rsid w:val="31AF440F"/>
    <w:rsid w:val="31B94F9F"/>
    <w:rsid w:val="31BC4D7D"/>
    <w:rsid w:val="31BD2FCF"/>
    <w:rsid w:val="31C51E84"/>
    <w:rsid w:val="31C53C32"/>
    <w:rsid w:val="31D46332"/>
    <w:rsid w:val="31D65E3F"/>
    <w:rsid w:val="31D879C6"/>
    <w:rsid w:val="31E1035F"/>
    <w:rsid w:val="31E57E30"/>
    <w:rsid w:val="31E7004C"/>
    <w:rsid w:val="31EC5663"/>
    <w:rsid w:val="31F12C79"/>
    <w:rsid w:val="31F6203D"/>
    <w:rsid w:val="31F91B2E"/>
    <w:rsid w:val="32002EBC"/>
    <w:rsid w:val="32004A5E"/>
    <w:rsid w:val="32157CE1"/>
    <w:rsid w:val="321E1594"/>
    <w:rsid w:val="322272D6"/>
    <w:rsid w:val="322748ED"/>
    <w:rsid w:val="322A7F39"/>
    <w:rsid w:val="322D4ED2"/>
    <w:rsid w:val="32333292"/>
    <w:rsid w:val="32335040"/>
    <w:rsid w:val="323671B1"/>
    <w:rsid w:val="323808A8"/>
    <w:rsid w:val="323A3D66"/>
    <w:rsid w:val="323A57AE"/>
    <w:rsid w:val="323D1A1A"/>
    <w:rsid w:val="323D431C"/>
    <w:rsid w:val="32492712"/>
    <w:rsid w:val="324E3C27"/>
    <w:rsid w:val="32544532"/>
    <w:rsid w:val="32566F80"/>
    <w:rsid w:val="32586854"/>
    <w:rsid w:val="325A3905"/>
    <w:rsid w:val="325B00F2"/>
    <w:rsid w:val="32607CD9"/>
    <w:rsid w:val="3267118D"/>
    <w:rsid w:val="32674CE9"/>
    <w:rsid w:val="32676A97"/>
    <w:rsid w:val="326A2A2B"/>
    <w:rsid w:val="326B2A50"/>
    <w:rsid w:val="327613D0"/>
    <w:rsid w:val="32764F2C"/>
    <w:rsid w:val="3282410A"/>
    <w:rsid w:val="32861E23"/>
    <w:rsid w:val="32877139"/>
    <w:rsid w:val="328C0183"/>
    <w:rsid w:val="329448A6"/>
    <w:rsid w:val="329655CE"/>
    <w:rsid w:val="329D4BAF"/>
    <w:rsid w:val="32A001FB"/>
    <w:rsid w:val="32A0644D"/>
    <w:rsid w:val="32A62361"/>
    <w:rsid w:val="32A65457"/>
    <w:rsid w:val="32A73338"/>
    <w:rsid w:val="32A93554"/>
    <w:rsid w:val="32AC4DF2"/>
    <w:rsid w:val="32AE05C3"/>
    <w:rsid w:val="32B329A9"/>
    <w:rsid w:val="32B35B90"/>
    <w:rsid w:val="32BA0C51"/>
    <w:rsid w:val="32BC3287"/>
    <w:rsid w:val="32BF0681"/>
    <w:rsid w:val="32BF68D3"/>
    <w:rsid w:val="32C0264B"/>
    <w:rsid w:val="32C21624"/>
    <w:rsid w:val="32C263C3"/>
    <w:rsid w:val="32CB5278"/>
    <w:rsid w:val="32D14858"/>
    <w:rsid w:val="32D16607"/>
    <w:rsid w:val="32D3514C"/>
    <w:rsid w:val="32D61E6F"/>
    <w:rsid w:val="32E12CEE"/>
    <w:rsid w:val="32E53E60"/>
    <w:rsid w:val="32E71723"/>
    <w:rsid w:val="32E75E2A"/>
    <w:rsid w:val="32EA719F"/>
    <w:rsid w:val="32EB591A"/>
    <w:rsid w:val="32F3136D"/>
    <w:rsid w:val="32F36EE6"/>
    <w:rsid w:val="32F56799"/>
    <w:rsid w:val="32FC18D5"/>
    <w:rsid w:val="32FC7B27"/>
    <w:rsid w:val="32FF4F22"/>
    <w:rsid w:val="3306372A"/>
    <w:rsid w:val="33092244"/>
    <w:rsid w:val="330C71F7"/>
    <w:rsid w:val="330D3AE3"/>
    <w:rsid w:val="330E1609"/>
    <w:rsid w:val="331179E0"/>
    <w:rsid w:val="331210F9"/>
    <w:rsid w:val="33136C1F"/>
    <w:rsid w:val="33152997"/>
    <w:rsid w:val="33182487"/>
    <w:rsid w:val="331C1F78"/>
    <w:rsid w:val="331C5AD4"/>
    <w:rsid w:val="331D7A9E"/>
    <w:rsid w:val="33260700"/>
    <w:rsid w:val="33264BA4"/>
    <w:rsid w:val="332652C2"/>
    <w:rsid w:val="33305A23"/>
    <w:rsid w:val="33323549"/>
    <w:rsid w:val="33380434"/>
    <w:rsid w:val="333C43C8"/>
    <w:rsid w:val="333C7F24"/>
    <w:rsid w:val="33435756"/>
    <w:rsid w:val="33466FF4"/>
    <w:rsid w:val="33484B1B"/>
    <w:rsid w:val="334B0167"/>
    <w:rsid w:val="334B63B9"/>
    <w:rsid w:val="33501C21"/>
    <w:rsid w:val="33521DBE"/>
    <w:rsid w:val="335334BF"/>
    <w:rsid w:val="33550FE6"/>
    <w:rsid w:val="3359115D"/>
    <w:rsid w:val="335C05C6"/>
    <w:rsid w:val="335F3C12"/>
    <w:rsid w:val="336B51E2"/>
    <w:rsid w:val="336B6A5B"/>
    <w:rsid w:val="336D1AD6"/>
    <w:rsid w:val="336D4581"/>
    <w:rsid w:val="3376367E"/>
    <w:rsid w:val="33783A4B"/>
    <w:rsid w:val="337B4EF0"/>
    <w:rsid w:val="337C1C26"/>
    <w:rsid w:val="338418CB"/>
    <w:rsid w:val="33863895"/>
    <w:rsid w:val="338B0EAB"/>
    <w:rsid w:val="338B4A07"/>
    <w:rsid w:val="338F274A"/>
    <w:rsid w:val="3392223A"/>
    <w:rsid w:val="33935E9B"/>
    <w:rsid w:val="33953AD8"/>
    <w:rsid w:val="339E6ED8"/>
    <w:rsid w:val="33A53D1B"/>
    <w:rsid w:val="33AD2BD0"/>
    <w:rsid w:val="33AD497E"/>
    <w:rsid w:val="33AF6E4B"/>
    <w:rsid w:val="33B026C0"/>
    <w:rsid w:val="33B04DF4"/>
    <w:rsid w:val="33B26438"/>
    <w:rsid w:val="33B45D0C"/>
    <w:rsid w:val="33B57CD6"/>
    <w:rsid w:val="33B66B8B"/>
    <w:rsid w:val="33BC72B7"/>
    <w:rsid w:val="33BF2903"/>
    <w:rsid w:val="33C323F3"/>
    <w:rsid w:val="33C65509"/>
    <w:rsid w:val="33CD76DB"/>
    <w:rsid w:val="33D4015C"/>
    <w:rsid w:val="33D94143"/>
    <w:rsid w:val="33DC34B5"/>
    <w:rsid w:val="33E365F1"/>
    <w:rsid w:val="33E81E5A"/>
    <w:rsid w:val="33EF31E8"/>
    <w:rsid w:val="33F22CD8"/>
    <w:rsid w:val="33F94067"/>
    <w:rsid w:val="33FB393B"/>
    <w:rsid w:val="33FE167D"/>
    <w:rsid w:val="340053F5"/>
    <w:rsid w:val="34086058"/>
    <w:rsid w:val="340D5612"/>
    <w:rsid w:val="341113B0"/>
    <w:rsid w:val="34164C19"/>
    <w:rsid w:val="3417273F"/>
    <w:rsid w:val="34180991"/>
    <w:rsid w:val="341D3752"/>
    <w:rsid w:val="342D105E"/>
    <w:rsid w:val="342E1F62"/>
    <w:rsid w:val="34302089"/>
    <w:rsid w:val="34367E3A"/>
    <w:rsid w:val="34394463"/>
    <w:rsid w:val="34466815"/>
    <w:rsid w:val="344A6066"/>
    <w:rsid w:val="34545741"/>
    <w:rsid w:val="345D2848"/>
    <w:rsid w:val="345D63A4"/>
    <w:rsid w:val="345E211C"/>
    <w:rsid w:val="34684D49"/>
    <w:rsid w:val="34696A9F"/>
    <w:rsid w:val="346C7CD4"/>
    <w:rsid w:val="347100A1"/>
    <w:rsid w:val="347A51A8"/>
    <w:rsid w:val="347F3440"/>
    <w:rsid w:val="348377BD"/>
    <w:rsid w:val="3489363D"/>
    <w:rsid w:val="34930017"/>
    <w:rsid w:val="34990237"/>
    <w:rsid w:val="34993154"/>
    <w:rsid w:val="349A13A6"/>
    <w:rsid w:val="349B2A17"/>
    <w:rsid w:val="349D0E96"/>
    <w:rsid w:val="349E076A"/>
    <w:rsid w:val="34A2025B"/>
    <w:rsid w:val="34A35D81"/>
    <w:rsid w:val="34A43FD3"/>
    <w:rsid w:val="34A54CD2"/>
    <w:rsid w:val="34A55F9D"/>
    <w:rsid w:val="34A747AB"/>
    <w:rsid w:val="34A9783B"/>
    <w:rsid w:val="34AC10D9"/>
    <w:rsid w:val="34AE46F6"/>
    <w:rsid w:val="34B32468"/>
    <w:rsid w:val="34B34216"/>
    <w:rsid w:val="34B561E0"/>
    <w:rsid w:val="34B8182C"/>
    <w:rsid w:val="34BF1717"/>
    <w:rsid w:val="34C151EF"/>
    <w:rsid w:val="34C208FD"/>
    <w:rsid w:val="34C24459"/>
    <w:rsid w:val="34C603ED"/>
    <w:rsid w:val="34C74165"/>
    <w:rsid w:val="34C86506"/>
    <w:rsid w:val="34D50630"/>
    <w:rsid w:val="34E268A9"/>
    <w:rsid w:val="34E42D09"/>
    <w:rsid w:val="34E547B5"/>
    <w:rsid w:val="34E56399"/>
    <w:rsid w:val="34E73EBF"/>
    <w:rsid w:val="34EB1C02"/>
    <w:rsid w:val="34F12F90"/>
    <w:rsid w:val="34F5482E"/>
    <w:rsid w:val="34FC3E0F"/>
    <w:rsid w:val="35072585"/>
    <w:rsid w:val="35084F5B"/>
    <w:rsid w:val="351C625F"/>
    <w:rsid w:val="351D0FBD"/>
    <w:rsid w:val="35225A22"/>
    <w:rsid w:val="352670DE"/>
    <w:rsid w:val="352929B7"/>
    <w:rsid w:val="352944D8"/>
    <w:rsid w:val="352E7D40"/>
    <w:rsid w:val="35301D0A"/>
    <w:rsid w:val="35327830"/>
    <w:rsid w:val="35335357"/>
    <w:rsid w:val="3538471B"/>
    <w:rsid w:val="353924AC"/>
    <w:rsid w:val="353A4937"/>
    <w:rsid w:val="353E4427"/>
    <w:rsid w:val="354041AE"/>
    <w:rsid w:val="35404B73"/>
    <w:rsid w:val="35446D54"/>
    <w:rsid w:val="354955A1"/>
    <w:rsid w:val="354D466A"/>
    <w:rsid w:val="35521C81"/>
    <w:rsid w:val="35524967"/>
    <w:rsid w:val="355754E9"/>
    <w:rsid w:val="35586B6B"/>
    <w:rsid w:val="355A28E3"/>
    <w:rsid w:val="355B0222"/>
    <w:rsid w:val="355C665B"/>
    <w:rsid w:val="355E0625"/>
    <w:rsid w:val="355E6877"/>
    <w:rsid w:val="35611EC4"/>
    <w:rsid w:val="356279EA"/>
    <w:rsid w:val="35654A08"/>
    <w:rsid w:val="3566572C"/>
    <w:rsid w:val="35683252"/>
    <w:rsid w:val="35696FCA"/>
    <w:rsid w:val="356A5221"/>
    <w:rsid w:val="356D0868"/>
    <w:rsid w:val="357065AB"/>
    <w:rsid w:val="35731BF7"/>
    <w:rsid w:val="3575386E"/>
    <w:rsid w:val="3575771D"/>
    <w:rsid w:val="35777939"/>
    <w:rsid w:val="357850C8"/>
    <w:rsid w:val="357853FC"/>
    <w:rsid w:val="35794D6E"/>
    <w:rsid w:val="357A11D7"/>
    <w:rsid w:val="357F67EE"/>
    <w:rsid w:val="35887450"/>
    <w:rsid w:val="3589578A"/>
    <w:rsid w:val="358D4674"/>
    <w:rsid w:val="358F4C83"/>
    <w:rsid w:val="359009FB"/>
    <w:rsid w:val="35926521"/>
    <w:rsid w:val="35935DF5"/>
    <w:rsid w:val="35944047"/>
    <w:rsid w:val="359978AF"/>
    <w:rsid w:val="35A324DC"/>
    <w:rsid w:val="35A36B00"/>
    <w:rsid w:val="35A63D7A"/>
    <w:rsid w:val="35B30245"/>
    <w:rsid w:val="35B35B18"/>
    <w:rsid w:val="35B525F1"/>
    <w:rsid w:val="35B75F88"/>
    <w:rsid w:val="35B91D00"/>
    <w:rsid w:val="35BB6AA8"/>
    <w:rsid w:val="35BC4A99"/>
    <w:rsid w:val="35C3663A"/>
    <w:rsid w:val="35C42453"/>
    <w:rsid w:val="35CA5D57"/>
    <w:rsid w:val="35CB37E1"/>
    <w:rsid w:val="35CD7559"/>
    <w:rsid w:val="35CF5C80"/>
    <w:rsid w:val="35CF7F34"/>
    <w:rsid w:val="35D119BA"/>
    <w:rsid w:val="35D95EFE"/>
    <w:rsid w:val="35E054DE"/>
    <w:rsid w:val="35E52AF5"/>
    <w:rsid w:val="35E548A3"/>
    <w:rsid w:val="35EA4467"/>
    <w:rsid w:val="35F74058"/>
    <w:rsid w:val="35F83386"/>
    <w:rsid w:val="360016DD"/>
    <w:rsid w:val="36054F45"/>
    <w:rsid w:val="360A60B7"/>
    <w:rsid w:val="360D204B"/>
    <w:rsid w:val="360D2423"/>
    <w:rsid w:val="36141546"/>
    <w:rsid w:val="36154A5C"/>
    <w:rsid w:val="361B02C4"/>
    <w:rsid w:val="3623361D"/>
    <w:rsid w:val="3624433A"/>
    <w:rsid w:val="36270212"/>
    <w:rsid w:val="362829E1"/>
    <w:rsid w:val="36286772"/>
    <w:rsid w:val="3629174A"/>
    <w:rsid w:val="362B4280"/>
    <w:rsid w:val="36321AB2"/>
    <w:rsid w:val="3636283A"/>
    <w:rsid w:val="3638029F"/>
    <w:rsid w:val="3638231A"/>
    <w:rsid w:val="36435A6D"/>
    <w:rsid w:val="3644497F"/>
    <w:rsid w:val="364A6DFC"/>
    <w:rsid w:val="364F6D4C"/>
    <w:rsid w:val="36527A5E"/>
    <w:rsid w:val="36546371"/>
    <w:rsid w:val="365A0A03"/>
    <w:rsid w:val="36621745"/>
    <w:rsid w:val="36631C6B"/>
    <w:rsid w:val="366C0B20"/>
    <w:rsid w:val="366C6D72"/>
    <w:rsid w:val="367274F2"/>
    <w:rsid w:val="36785717"/>
    <w:rsid w:val="3679148F"/>
    <w:rsid w:val="367B6FB5"/>
    <w:rsid w:val="367E2601"/>
    <w:rsid w:val="3684230E"/>
    <w:rsid w:val="368D56DE"/>
    <w:rsid w:val="368D6CE8"/>
    <w:rsid w:val="368E7538"/>
    <w:rsid w:val="36935731"/>
    <w:rsid w:val="369462C9"/>
    <w:rsid w:val="36957906"/>
    <w:rsid w:val="36987B67"/>
    <w:rsid w:val="369B31B3"/>
    <w:rsid w:val="36A257A0"/>
    <w:rsid w:val="36AA33F6"/>
    <w:rsid w:val="36AA6330"/>
    <w:rsid w:val="36AC53C0"/>
    <w:rsid w:val="36AE738B"/>
    <w:rsid w:val="36B3674F"/>
    <w:rsid w:val="36B424C7"/>
    <w:rsid w:val="36B43691"/>
    <w:rsid w:val="36B86B92"/>
    <w:rsid w:val="36BA5D2F"/>
    <w:rsid w:val="36C22E36"/>
    <w:rsid w:val="36C46BAE"/>
    <w:rsid w:val="36C62C57"/>
    <w:rsid w:val="36C721FA"/>
    <w:rsid w:val="36C95F72"/>
    <w:rsid w:val="36CC15BF"/>
    <w:rsid w:val="36D05553"/>
    <w:rsid w:val="36D30B9F"/>
    <w:rsid w:val="36D52B69"/>
    <w:rsid w:val="36D827FC"/>
    <w:rsid w:val="36DB3A64"/>
    <w:rsid w:val="36DB6B94"/>
    <w:rsid w:val="36DD37CC"/>
    <w:rsid w:val="36E27034"/>
    <w:rsid w:val="36EC7EB3"/>
    <w:rsid w:val="36F00D16"/>
    <w:rsid w:val="36F34D9D"/>
    <w:rsid w:val="36F57F2B"/>
    <w:rsid w:val="36FF3742"/>
    <w:rsid w:val="37015761"/>
    <w:rsid w:val="37021484"/>
    <w:rsid w:val="37046FAB"/>
    <w:rsid w:val="370C2303"/>
    <w:rsid w:val="370C40B1"/>
    <w:rsid w:val="370C5E5F"/>
    <w:rsid w:val="370D35A3"/>
    <w:rsid w:val="371371EE"/>
    <w:rsid w:val="3715740A"/>
    <w:rsid w:val="37184804"/>
    <w:rsid w:val="3720265B"/>
    <w:rsid w:val="372413FB"/>
    <w:rsid w:val="3724764D"/>
    <w:rsid w:val="372523CC"/>
    <w:rsid w:val="37272C99"/>
    <w:rsid w:val="37294C63"/>
    <w:rsid w:val="372F1B4E"/>
    <w:rsid w:val="37304977"/>
    <w:rsid w:val="37353608"/>
    <w:rsid w:val="37357164"/>
    <w:rsid w:val="373673AB"/>
    <w:rsid w:val="37371E7B"/>
    <w:rsid w:val="37377380"/>
    <w:rsid w:val="373B4954"/>
    <w:rsid w:val="373B6744"/>
    <w:rsid w:val="373F4487"/>
    <w:rsid w:val="37441A9D"/>
    <w:rsid w:val="374E6F28"/>
    <w:rsid w:val="37517D16"/>
    <w:rsid w:val="37585548"/>
    <w:rsid w:val="37590ECC"/>
    <w:rsid w:val="375A1543"/>
    <w:rsid w:val="375B0AE1"/>
    <w:rsid w:val="37645C9B"/>
    <w:rsid w:val="37667C65"/>
    <w:rsid w:val="37682591"/>
    <w:rsid w:val="376E6B1A"/>
    <w:rsid w:val="377054AA"/>
    <w:rsid w:val="37732382"/>
    <w:rsid w:val="37757EA8"/>
    <w:rsid w:val="37781747"/>
    <w:rsid w:val="377B1B24"/>
    <w:rsid w:val="377F4883"/>
    <w:rsid w:val="378123A9"/>
    <w:rsid w:val="37824373"/>
    <w:rsid w:val="378400EB"/>
    <w:rsid w:val="3787198A"/>
    <w:rsid w:val="37873738"/>
    <w:rsid w:val="378B147A"/>
    <w:rsid w:val="378C2AA9"/>
    <w:rsid w:val="378D51F2"/>
    <w:rsid w:val="378E4AC6"/>
    <w:rsid w:val="37920A5A"/>
    <w:rsid w:val="37936580"/>
    <w:rsid w:val="379E3BB9"/>
    <w:rsid w:val="379E73FF"/>
    <w:rsid w:val="37A03524"/>
    <w:rsid w:val="37A61E10"/>
    <w:rsid w:val="37B0004E"/>
    <w:rsid w:val="37B524B7"/>
    <w:rsid w:val="37B54749"/>
    <w:rsid w:val="37B564F7"/>
    <w:rsid w:val="37B7226F"/>
    <w:rsid w:val="37BC1633"/>
    <w:rsid w:val="37C25637"/>
    <w:rsid w:val="37C30C14"/>
    <w:rsid w:val="37C52BDE"/>
    <w:rsid w:val="37C731DD"/>
    <w:rsid w:val="37D25293"/>
    <w:rsid w:val="37DE70C6"/>
    <w:rsid w:val="37DF17C6"/>
    <w:rsid w:val="37DF6BF0"/>
    <w:rsid w:val="37E1109A"/>
    <w:rsid w:val="37E75D2B"/>
    <w:rsid w:val="37EB2D52"/>
    <w:rsid w:val="37EE37B7"/>
    <w:rsid w:val="37F4701F"/>
    <w:rsid w:val="37F83D4F"/>
    <w:rsid w:val="37FA215C"/>
    <w:rsid w:val="37FB65FF"/>
    <w:rsid w:val="37FD1508"/>
    <w:rsid w:val="37FE1C4C"/>
    <w:rsid w:val="380354B4"/>
    <w:rsid w:val="380533D6"/>
    <w:rsid w:val="381476C1"/>
    <w:rsid w:val="3818577D"/>
    <w:rsid w:val="38194CD8"/>
    <w:rsid w:val="381A45AC"/>
    <w:rsid w:val="381D4C13"/>
    <w:rsid w:val="381F1BC2"/>
    <w:rsid w:val="38207E14"/>
    <w:rsid w:val="382365DD"/>
    <w:rsid w:val="382658D3"/>
    <w:rsid w:val="38276C57"/>
    <w:rsid w:val="382A0C93"/>
    <w:rsid w:val="382B0567"/>
    <w:rsid w:val="382B67B9"/>
    <w:rsid w:val="38312021"/>
    <w:rsid w:val="383438BF"/>
    <w:rsid w:val="383529C2"/>
    <w:rsid w:val="3837515E"/>
    <w:rsid w:val="38397128"/>
    <w:rsid w:val="383A69FC"/>
    <w:rsid w:val="383B271A"/>
    <w:rsid w:val="383E029A"/>
    <w:rsid w:val="38416703"/>
    <w:rsid w:val="38455ACD"/>
    <w:rsid w:val="3848736B"/>
    <w:rsid w:val="38495371"/>
    <w:rsid w:val="38514471"/>
    <w:rsid w:val="3851592F"/>
    <w:rsid w:val="38593326"/>
    <w:rsid w:val="385B709E"/>
    <w:rsid w:val="386046B4"/>
    <w:rsid w:val="38621C25"/>
    <w:rsid w:val="3862667F"/>
    <w:rsid w:val="386341A5"/>
    <w:rsid w:val="38637D01"/>
    <w:rsid w:val="386677F1"/>
    <w:rsid w:val="38675A43"/>
    <w:rsid w:val="38683569"/>
    <w:rsid w:val="386A3992"/>
    <w:rsid w:val="387719FE"/>
    <w:rsid w:val="38797524"/>
    <w:rsid w:val="38806B05"/>
    <w:rsid w:val="3885411B"/>
    <w:rsid w:val="388760E5"/>
    <w:rsid w:val="388F4F9A"/>
    <w:rsid w:val="3894610C"/>
    <w:rsid w:val="38991974"/>
    <w:rsid w:val="389A78DA"/>
    <w:rsid w:val="389D1465"/>
    <w:rsid w:val="389D76B7"/>
    <w:rsid w:val="38A05EBA"/>
    <w:rsid w:val="38A70F43"/>
    <w:rsid w:val="38A9636E"/>
    <w:rsid w:val="38AB27C3"/>
    <w:rsid w:val="38AB76D3"/>
    <w:rsid w:val="38AF73EA"/>
    <w:rsid w:val="38B7793A"/>
    <w:rsid w:val="38B810AA"/>
    <w:rsid w:val="38B844F1"/>
    <w:rsid w:val="38B93DC5"/>
    <w:rsid w:val="38BA6BB2"/>
    <w:rsid w:val="38C06F01"/>
    <w:rsid w:val="38C2711D"/>
    <w:rsid w:val="38CD161E"/>
    <w:rsid w:val="38CD7870"/>
    <w:rsid w:val="38D1110E"/>
    <w:rsid w:val="38D155B2"/>
    <w:rsid w:val="38D379A5"/>
    <w:rsid w:val="38D429AD"/>
    <w:rsid w:val="38D65B11"/>
    <w:rsid w:val="38D66725"/>
    <w:rsid w:val="38DB01DF"/>
    <w:rsid w:val="38DD3F57"/>
    <w:rsid w:val="38E2156D"/>
    <w:rsid w:val="38E2331B"/>
    <w:rsid w:val="38E3083D"/>
    <w:rsid w:val="38E3340E"/>
    <w:rsid w:val="38E76B84"/>
    <w:rsid w:val="38E946AA"/>
    <w:rsid w:val="38EA0422"/>
    <w:rsid w:val="38EB6C68"/>
    <w:rsid w:val="38ED6136"/>
    <w:rsid w:val="38EF77E6"/>
    <w:rsid w:val="38F17A02"/>
    <w:rsid w:val="38F82B3F"/>
    <w:rsid w:val="39033292"/>
    <w:rsid w:val="390521DA"/>
    <w:rsid w:val="39072D82"/>
    <w:rsid w:val="390E7106"/>
    <w:rsid w:val="39134A17"/>
    <w:rsid w:val="391D4354"/>
    <w:rsid w:val="39225E0E"/>
    <w:rsid w:val="39290F4A"/>
    <w:rsid w:val="39297161"/>
    <w:rsid w:val="392E6561"/>
    <w:rsid w:val="393578EF"/>
    <w:rsid w:val="393669B3"/>
    <w:rsid w:val="394967A2"/>
    <w:rsid w:val="394E09B1"/>
    <w:rsid w:val="39543CC5"/>
    <w:rsid w:val="39570A5F"/>
    <w:rsid w:val="395C1CA2"/>
    <w:rsid w:val="395D2841"/>
    <w:rsid w:val="395D6E46"/>
    <w:rsid w:val="3962620A"/>
    <w:rsid w:val="396401D4"/>
    <w:rsid w:val="39643D30"/>
    <w:rsid w:val="396C7089"/>
    <w:rsid w:val="39700927"/>
    <w:rsid w:val="397877DC"/>
    <w:rsid w:val="397C6780"/>
    <w:rsid w:val="3986014B"/>
    <w:rsid w:val="3987227C"/>
    <w:rsid w:val="398F1A1A"/>
    <w:rsid w:val="39942D82"/>
    <w:rsid w:val="39981DA2"/>
    <w:rsid w:val="399B5C30"/>
    <w:rsid w:val="399B64B4"/>
    <w:rsid w:val="399F745E"/>
    <w:rsid w:val="39A04403"/>
    <w:rsid w:val="39B337F4"/>
    <w:rsid w:val="39B5736D"/>
    <w:rsid w:val="39B747A8"/>
    <w:rsid w:val="39B76556"/>
    <w:rsid w:val="39BA4298"/>
    <w:rsid w:val="39BB2CAB"/>
    <w:rsid w:val="39C05E1D"/>
    <w:rsid w:val="39CC4B07"/>
    <w:rsid w:val="39CD5D7A"/>
    <w:rsid w:val="39D67F7F"/>
    <w:rsid w:val="39DA2245"/>
    <w:rsid w:val="39DE7F87"/>
    <w:rsid w:val="39EB6200"/>
    <w:rsid w:val="39F03816"/>
    <w:rsid w:val="39F257E0"/>
    <w:rsid w:val="39F552D0"/>
    <w:rsid w:val="39FD7407"/>
    <w:rsid w:val="3A001A71"/>
    <w:rsid w:val="3A045513"/>
    <w:rsid w:val="3A090870"/>
    <w:rsid w:val="3A0915BB"/>
    <w:rsid w:val="3A0B0650"/>
    <w:rsid w:val="3A0D43C8"/>
    <w:rsid w:val="3A120D2D"/>
    <w:rsid w:val="3A125640"/>
    <w:rsid w:val="3A1273C6"/>
    <w:rsid w:val="3A137505"/>
    <w:rsid w:val="3A140AA6"/>
    <w:rsid w:val="3A1725C8"/>
    <w:rsid w:val="3A1E1F86"/>
    <w:rsid w:val="3A1F234D"/>
    <w:rsid w:val="3A2B6F44"/>
    <w:rsid w:val="3A2F2590"/>
    <w:rsid w:val="3A2F5E57"/>
    <w:rsid w:val="3A306308"/>
    <w:rsid w:val="3A394687"/>
    <w:rsid w:val="3A3A2CE3"/>
    <w:rsid w:val="3A3F28BE"/>
    <w:rsid w:val="3A414072"/>
    <w:rsid w:val="3A43603C"/>
    <w:rsid w:val="3A461688"/>
    <w:rsid w:val="3A4818A4"/>
    <w:rsid w:val="3A4A73CA"/>
    <w:rsid w:val="3A4B20C9"/>
    <w:rsid w:val="3A502507"/>
    <w:rsid w:val="3A5244D1"/>
    <w:rsid w:val="3A577D39"/>
    <w:rsid w:val="3A5D55A1"/>
    <w:rsid w:val="3A612EBD"/>
    <w:rsid w:val="3A671DF2"/>
    <w:rsid w:val="3A6B10EF"/>
    <w:rsid w:val="3A744447"/>
    <w:rsid w:val="3A7830B2"/>
    <w:rsid w:val="3A797CAF"/>
    <w:rsid w:val="3A7B3A28"/>
    <w:rsid w:val="3A7C1983"/>
    <w:rsid w:val="3A7F3B9C"/>
    <w:rsid w:val="3A8005E0"/>
    <w:rsid w:val="3A80103E"/>
    <w:rsid w:val="3A802DEC"/>
    <w:rsid w:val="3A810912"/>
    <w:rsid w:val="3A8B7E0A"/>
    <w:rsid w:val="3A8C79E3"/>
    <w:rsid w:val="3A914FF9"/>
    <w:rsid w:val="3A940645"/>
    <w:rsid w:val="3A95616C"/>
    <w:rsid w:val="3A9D0689"/>
    <w:rsid w:val="3AA0523C"/>
    <w:rsid w:val="3AA20FB4"/>
    <w:rsid w:val="3AA840F1"/>
    <w:rsid w:val="3AA85CCA"/>
    <w:rsid w:val="3AAA1DCE"/>
    <w:rsid w:val="3AAC3A38"/>
    <w:rsid w:val="3AAD2378"/>
    <w:rsid w:val="3AAD7C6D"/>
    <w:rsid w:val="3AAE2954"/>
    <w:rsid w:val="3AB24F6F"/>
    <w:rsid w:val="3AB331C1"/>
    <w:rsid w:val="3ABA6A54"/>
    <w:rsid w:val="3ABC5B6D"/>
    <w:rsid w:val="3AC0143A"/>
    <w:rsid w:val="3AC353E8"/>
    <w:rsid w:val="3ACF5B21"/>
    <w:rsid w:val="3ACF67B9"/>
    <w:rsid w:val="3AD2032C"/>
    <w:rsid w:val="3AD46C94"/>
    <w:rsid w:val="3AD924FC"/>
    <w:rsid w:val="3ADB54AF"/>
    <w:rsid w:val="3ADE3FB6"/>
    <w:rsid w:val="3AE0224D"/>
    <w:rsid w:val="3AE16AEE"/>
    <w:rsid w:val="3AE55345"/>
    <w:rsid w:val="3AE72995"/>
    <w:rsid w:val="3AEA4709"/>
    <w:rsid w:val="3AEE41FA"/>
    <w:rsid w:val="3AF31810"/>
    <w:rsid w:val="3AF563BC"/>
    <w:rsid w:val="3AFB06C4"/>
    <w:rsid w:val="3B050B60"/>
    <w:rsid w:val="3B051221"/>
    <w:rsid w:val="3B057795"/>
    <w:rsid w:val="3B0A733E"/>
    <w:rsid w:val="3B0F23C2"/>
    <w:rsid w:val="3B102C79"/>
    <w:rsid w:val="3B1128CB"/>
    <w:rsid w:val="3B133C60"/>
    <w:rsid w:val="3B170BE2"/>
    <w:rsid w:val="3B181276"/>
    <w:rsid w:val="3B1A1138"/>
    <w:rsid w:val="3B20637D"/>
    <w:rsid w:val="3B3025C3"/>
    <w:rsid w:val="3B31058A"/>
    <w:rsid w:val="3B312338"/>
    <w:rsid w:val="3B345984"/>
    <w:rsid w:val="3B4200A1"/>
    <w:rsid w:val="3B423B12"/>
    <w:rsid w:val="3B424545"/>
    <w:rsid w:val="3B474FFB"/>
    <w:rsid w:val="3B4B3061"/>
    <w:rsid w:val="3B4E2EEA"/>
    <w:rsid w:val="3B53405D"/>
    <w:rsid w:val="3B583D69"/>
    <w:rsid w:val="3B5C1CBD"/>
    <w:rsid w:val="3B5F6EA5"/>
    <w:rsid w:val="3B616116"/>
    <w:rsid w:val="3B6251B3"/>
    <w:rsid w:val="3B653D90"/>
    <w:rsid w:val="3B673668"/>
    <w:rsid w:val="3B673FAC"/>
    <w:rsid w:val="3B6A75F8"/>
    <w:rsid w:val="3B6C1E93"/>
    <w:rsid w:val="3B713388"/>
    <w:rsid w:val="3B714E2B"/>
    <w:rsid w:val="3B742225"/>
    <w:rsid w:val="3B762441"/>
    <w:rsid w:val="3B7641EF"/>
    <w:rsid w:val="3B7F12F6"/>
    <w:rsid w:val="3B807FDF"/>
    <w:rsid w:val="3B854432"/>
    <w:rsid w:val="3B85633F"/>
    <w:rsid w:val="3B8775E7"/>
    <w:rsid w:val="3B8A37F6"/>
    <w:rsid w:val="3B8B7064"/>
    <w:rsid w:val="3B8E32E7"/>
    <w:rsid w:val="3B920A92"/>
    <w:rsid w:val="3B9528C7"/>
    <w:rsid w:val="3B9A612F"/>
    <w:rsid w:val="3B9D2638"/>
    <w:rsid w:val="3B9D5C20"/>
    <w:rsid w:val="3B9D79CE"/>
    <w:rsid w:val="3BA527DC"/>
    <w:rsid w:val="3BA945C4"/>
    <w:rsid w:val="3BAA5C47"/>
    <w:rsid w:val="3BAC7C11"/>
    <w:rsid w:val="3BAD60C9"/>
    <w:rsid w:val="3BB15227"/>
    <w:rsid w:val="3BB84807"/>
    <w:rsid w:val="3BB95489"/>
    <w:rsid w:val="3BB96F01"/>
    <w:rsid w:val="3BBA4649"/>
    <w:rsid w:val="3BD01B51"/>
    <w:rsid w:val="3BD553B9"/>
    <w:rsid w:val="3BD55DE1"/>
    <w:rsid w:val="3BD80A06"/>
    <w:rsid w:val="3BD818BB"/>
    <w:rsid w:val="3BD827B4"/>
    <w:rsid w:val="3BDD4620"/>
    <w:rsid w:val="3BDE7BEB"/>
    <w:rsid w:val="3BDF1D94"/>
    <w:rsid w:val="3BE1671C"/>
    <w:rsid w:val="3BE321CE"/>
    <w:rsid w:val="3BEB0C9D"/>
    <w:rsid w:val="3BED44B1"/>
    <w:rsid w:val="3BEE14D2"/>
    <w:rsid w:val="3BF01677"/>
    <w:rsid w:val="3BF05D4F"/>
    <w:rsid w:val="3BF93D9A"/>
    <w:rsid w:val="3BFC68D7"/>
    <w:rsid w:val="3C0161AE"/>
    <w:rsid w:val="3C096E11"/>
    <w:rsid w:val="3C12216A"/>
    <w:rsid w:val="3C123F18"/>
    <w:rsid w:val="3C12795D"/>
    <w:rsid w:val="3C21415B"/>
    <w:rsid w:val="3C32105B"/>
    <w:rsid w:val="3C3A063E"/>
    <w:rsid w:val="3C3F0A85"/>
    <w:rsid w:val="3C4340D1"/>
    <w:rsid w:val="3C461E13"/>
    <w:rsid w:val="3C4C723E"/>
    <w:rsid w:val="3C5270FA"/>
    <w:rsid w:val="3C562EF0"/>
    <w:rsid w:val="3C5A59E2"/>
    <w:rsid w:val="3C5E53AF"/>
    <w:rsid w:val="3C6047FC"/>
    <w:rsid w:val="3C616C4D"/>
    <w:rsid w:val="3C687FDC"/>
    <w:rsid w:val="3C6978B0"/>
    <w:rsid w:val="3C6E4EC6"/>
    <w:rsid w:val="3C720E5A"/>
    <w:rsid w:val="3C7D7DD6"/>
    <w:rsid w:val="3C7F761D"/>
    <w:rsid w:val="3C812E4B"/>
    <w:rsid w:val="3C830972"/>
    <w:rsid w:val="3C8364EF"/>
    <w:rsid w:val="3C836BC3"/>
    <w:rsid w:val="3C8446EA"/>
    <w:rsid w:val="3C862C4F"/>
    <w:rsid w:val="3C885F88"/>
    <w:rsid w:val="3C9031B9"/>
    <w:rsid w:val="3C925059"/>
    <w:rsid w:val="3C983CE2"/>
    <w:rsid w:val="3C9963E7"/>
    <w:rsid w:val="3CA17E22"/>
    <w:rsid w:val="3CA408E8"/>
    <w:rsid w:val="3CA60B04"/>
    <w:rsid w:val="3CA61F81"/>
    <w:rsid w:val="3CA8662A"/>
    <w:rsid w:val="3CAB1C76"/>
    <w:rsid w:val="3CB3794A"/>
    <w:rsid w:val="3CC01BC6"/>
    <w:rsid w:val="3CC95387"/>
    <w:rsid w:val="3CCD37A4"/>
    <w:rsid w:val="3CD039E2"/>
    <w:rsid w:val="3CD13DD3"/>
    <w:rsid w:val="3CD236A7"/>
    <w:rsid w:val="3CD70CBD"/>
    <w:rsid w:val="3CD76F0F"/>
    <w:rsid w:val="3CDB69FF"/>
    <w:rsid w:val="3CDE204C"/>
    <w:rsid w:val="3CE04016"/>
    <w:rsid w:val="3CE31410"/>
    <w:rsid w:val="3CE358B4"/>
    <w:rsid w:val="3CE5162C"/>
    <w:rsid w:val="3CE87D61"/>
    <w:rsid w:val="3CEE08E4"/>
    <w:rsid w:val="3CF33D49"/>
    <w:rsid w:val="3CF36418"/>
    <w:rsid w:val="3CF47AC1"/>
    <w:rsid w:val="3CF75B8E"/>
    <w:rsid w:val="3CFE26EE"/>
    <w:rsid w:val="3D0221DE"/>
    <w:rsid w:val="3D042809"/>
    <w:rsid w:val="3D073351"/>
    <w:rsid w:val="3D09356D"/>
    <w:rsid w:val="3D0F0457"/>
    <w:rsid w:val="3D124D7F"/>
    <w:rsid w:val="3D181B4D"/>
    <w:rsid w:val="3D1B6DFC"/>
    <w:rsid w:val="3D1E504B"/>
    <w:rsid w:val="3D271C45"/>
    <w:rsid w:val="3D2959BD"/>
    <w:rsid w:val="3D2A703F"/>
    <w:rsid w:val="3D3F17B4"/>
    <w:rsid w:val="3D427DDA"/>
    <w:rsid w:val="3D4F6AA6"/>
    <w:rsid w:val="3D550DAB"/>
    <w:rsid w:val="3D5B18EE"/>
    <w:rsid w:val="3D5D5666"/>
    <w:rsid w:val="3D622C7D"/>
    <w:rsid w:val="3D686160"/>
    <w:rsid w:val="3D7678B4"/>
    <w:rsid w:val="3D7A18AF"/>
    <w:rsid w:val="3D804EB1"/>
    <w:rsid w:val="3D814136"/>
    <w:rsid w:val="3D891FB8"/>
    <w:rsid w:val="3D8A3F82"/>
    <w:rsid w:val="3D931088"/>
    <w:rsid w:val="3D956BAE"/>
    <w:rsid w:val="3D962926"/>
    <w:rsid w:val="3D9A2417"/>
    <w:rsid w:val="3D9B1CEB"/>
    <w:rsid w:val="3DA54918"/>
    <w:rsid w:val="3DAB4624"/>
    <w:rsid w:val="3DAD5D58"/>
    <w:rsid w:val="3DB80517"/>
    <w:rsid w:val="3DBB7014"/>
    <w:rsid w:val="3DBD4357"/>
    <w:rsid w:val="3DC2196D"/>
    <w:rsid w:val="3DC254CA"/>
    <w:rsid w:val="3DCB0822"/>
    <w:rsid w:val="3DCB25D0"/>
    <w:rsid w:val="3DCC6348"/>
    <w:rsid w:val="3DD0505D"/>
    <w:rsid w:val="3DD1570D"/>
    <w:rsid w:val="3DD32B60"/>
    <w:rsid w:val="3DD45655"/>
    <w:rsid w:val="3DD75419"/>
    <w:rsid w:val="3DDC7CA1"/>
    <w:rsid w:val="3DE23DBE"/>
    <w:rsid w:val="3DE47702"/>
    <w:rsid w:val="3DE96EFA"/>
    <w:rsid w:val="3DEF1A76"/>
    <w:rsid w:val="3DEF7CA9"/>
    <w:rsid w:val="3DF8538F"/>
    <w:rsid w:val="3DFD4B45"/>
    <w:rsid w:val="3E0155AD"/>
    <w:rsid w:val="3E067AAC"/>
    <w:rsid w:val="3E0930F8"/>
    <w:rsid w:val="3E09759C"/>
    <w:rsid w:val="3E133F77"/>
    <w:rsid w:val="3E150BEB"/>
    <w:rsid w:val="3E155F41"/>
    <w:rsid w:val="3E18158D"/>
    <w:rsid w:val="3E1D39DC"/>
    <w:rsid w:val="3E1F0B6E"/>
    <w:rsid w:val="3E247F32"/>
    <w:rsid w:val="3E2E064A"/>
    <w:rsid w:val="3E2E7003"/>
    <w:rsid w:val="3E2F1ADA"/>
    <w:rsid w:val="3E300B3D"/>
    <w:rsid w:val="3E30337E"/>
    <w:rsid w:val="3E35213F"/>
    <w:rsid w:val="3E3A1504"/>
    <w:rsid w:val="3E412892"/>
    <w:rsid w:val="3E481E73"/>
    <w:rsid w:val="3E4E2A88"/>
    <w:rsid w:val="3E4E4FAF"/>
    <w:rsid w:val="3E5500EC"/>
    <w:rsid w:val="3E566A68"/>
    <w:rsid w:val="3E594080"/>
    <w:rsid w:val="3E5E4B58"/>
    <w:rsid w:val="3E6121FC"/>
    <w:rsid w:val="3E636CAD"/>
    <w:rsid w:val="3E642A25"/>
    <w:rsid w:val="3E66679D"/>
    <w:rsid w:val="3E7762B4"/>
    <w:rsid w:val="3E854E75"/>
    <w:rsid w:val="3E9055C8"/>
    <w:rsid w:val="3E907376"/>
    <w:rsid w:val="3E915EBE"/>
    <w:rsid w:val="3E934025"/>
    <w:rsid w:val="3E95498C"/>
    <w:rsid w:val="3E974BA8"/>
    <w:rsid w:val="3E9A1FA2"/>
    <w:rsid w:val="3EA03A5D"/>
    <w:rsid w:val="3EA51073"/>
    <w:rsid w:val="3EA80B63"/>
    <w:rsid w:val="3EAA6689"/>
    <w:rsid w:val="3EAF1EF2"/>
    <w:rsid w:val="3EAF3CA0"/>
    <w:rsid w:val="3EB017C6"/>
    <w:rsid w:val="3EB11714"/>
    <w:rsid w:val="3EB63280"/>
    <w:rsid w:val="3EB76FF8"/>
    <w:rsid w:val="3EBB04A4"/>
    <w:rsid w:val="3EBC460F"/>
    <w:rsid w:val="3EBE4C76"/>
    <w:rsid w:val="3EC01CEB"/>
    <w:rsid w:val="3EC15781"/>
    <w:rsid w:val="3EC82FB3"/>
    <w:rsid w:val="3ECC2AA4"/>
    <w:rsid w:val="3ECE06BD"/>
    <w:rsid w:val="3ED01E68"/>
    <w:rsid w:val="3ED26CF3"/>
    <w:rsid w:val="3ED70A3A"/>
    <w:rsid w:val="3ED92ACB"/>
    <w:rsid w:val="3EDB2CE7"/>
    <w:rsid w:val="3EE002FD"/>
    <w:rsid w:val="3EE6168C"/>
    <w:rsid w:val="3EEA2F2A"/>
    <w:rsid w:val="3EEC4EF4"/>
    <w:rsid w:val="3EEF0540"/>
    <w:rsid w:val="3EF55A52"/>
    <w:rsid w:val="3EF618CF"/>
    <w:rsid w:val="3F023326"/>
    <w:rsid w:val="3F0552A9"/>
    <w:rsid w:val="3F086863"/>
    <w:rsid w:val="3F0C10F2"/>
    <w:rsid w:val="3F0F2990"/>
    <w:rsid w:val="3F125FDD"/>
    <w:rsid w:val="3F160C14"/>
    <w:rsid w:val="3F197705"/>
    <w:rsid w:val="3F1C4E5C"/>
    <w:rsid w:val="3F1C50AD"/>
    <w:rsid w:val="3F1E0E25"/>
    <w:rsid w:val="3F201B78"/>
    <w:rsid w:val="3F232A58"/>
    <w:rsid w:val="3F23643C"/>
    <w:rsid w:val="3F320925"/>
    <w:rsid w:val="3F32667F"/>
    <w:rsid w:val="3F3643C1"/>
    <w:rsid w:val="3F3B6040"/>
    <w:rsid w:val="3F3C12AC"/>
    <w:rsid w:val="3F3E5024"/>
    <w:rsid w:val="3F422D66"/>
    <w:rsid w:val="3F424B14"/>
    <w:rsid w:val="3F43088C"/>
    <w:rsid w:val="3F4A5777"/>
    <w:rsid w:val="3F4C585B"/>
    <w:rsid w:val="3F4E259C"/>
    <w:rsid w:val="3F516B05"/>
    <w:rsid w:val="3F5860E5"/>
    <w:rsid w:val="3F5A676C"/>
    <w:rsid w:val="3F5B5BD6"/>
    <w:rsid w:val="3F610607"/>
    <w:rsid w:val="3F6176C7"/>
    <w:rsid w:val="3F632CDC"/>
    <w:rsid w:val="3F633541"/>
    <w:rsid w:val="3F6A406B"/>
    <w:rsid w:val="3F6E3B5B"/>
    <w:rsid w:val="3F7041B8"/>
    <w:rsid w:val="3F715893"/>
    <w:rsid w:val="3F7D7576"/>
    <w:rsid w:val="3F823162"/>
    <w:rsid w:val="3F852C53"/>
    <w:rsid w:val="3F85470B"/>
    <w:rsid w:val="3F8844F1"/>
    <w:rsid w:val="3F8A0269"/>
    <w:rsid w:val="3F8B3151"/>
    <w:rsid w:val="3F8E5FAB"/>
    <w:rsid w:val="3F8F3AD1"/>
    <w:rsid w:val="3F9410E8"/>
    <w:rsid w:val="3F9444D8"/>
    <w:rsid w:val="3F986AD0"/>
    <w:rsid w:val="3F9A107E"/>
    <w:rsid w:val="3F9A4950"/>
    <w:rsid w:val="3F9B5FD2"/>
    <w:rsid w:val="3F9C7D6C"/>
    <w:rsid w:val="3F9D1D4A"/>
    <w:rsid w:val="3FA23805"/>
    <w:rsid w:val="3FA255B3"/>
    <w:rsid w:val="3FA93460"/>
    <w:rsid w:val="3FAA6A24"/>
    <w:rsid w:val="3FB05F21"/>
    <w:rsid w:val="3FBD063E"/>
    <w:rsid w:val="3FC34D9A"/>
    <w:rsid w:val="3FC77967"/>
    <w:rsid w:val="3FC80C47"/>
    <w:rsid w:val="3FCA1583"/>
    <w:rsid w:val="3FCC0881"/>
    <w:rsid w:val="3FD0221C"/>
    <w:rsid w:val="3FD31C10"/>
    <w:rsid w:val="3FD634AE"/>
    <w:rsid w:val="3FD87226"/>
    <w:rsid w:val="3FDA2F9E"/>
    <w:rsid w:val="3FDB0AC5"/>
    <w:rsid w:val="3FDB2873"/>
    <w:rsid w:val="3FDD2A8F"/>
    <w:rsid w:val="3FE1257F"/>
    <w:rsid w:val="3FE452B3"/>
    <w:rsid w:val="3FE9521D"/>
    <w:rsid w:val="3FEA1002"/>
    <w:rsid w:val="3FEB51AC"/>
    <w:rsid w:val="3FEE07F8"/>
    <w:rsid w:val="3FF57DD8"/>
    <w:rsid w:val="3FFF2A05"/>
    <w:rsid w:val="40040099"/>
    <w:rsid w:val="40055B41"/>
    <w:rsid w:val="40061C4C"/>
    <w:rsid w:val="40061FE5"/>
    <w:rsid w:val="400718BA"/>
    <w:rsid w:val="400A3F23"/>
    <w:rsid w:val="400B542E"/>
    <w:rsid w:val="400B7036"/>
    <w:rsid w:val="401069C0"/>
    <w:rsid w:val="40112738"/>
    <w:rsid w:val="40161AFD"/>
    <w:rsid w:val="40185875"/>
    <w:rsid w:val="401B7113"/>
    <w:rsid w:val="401C5BDF"/>
    <w:rsid w:val="4024246B"/>
    <w:rsid w:val="402601E5"/>
    <w:rsid w:val="402661E4"/>
    <w:rsid w:val="40271248"/>
    <w:rsid w:val="40297A82"/>
    <w:rsid w:val="402A018E"/>
    <w:rsid w:val="402D7572"/>
    <w:rsid w:val="4032514F"/>
    <w:rsid w:val="403501D5"/>
    <w:rsid w:val="40363F4D"/>
    <w:rsid w:val="40380F6A"/>
    <w:rsid w:val="403D352D"/>
    <w:rsid w:val="40436D96"/>
    <w:rsid w:val="40477F08"/>
    <w:rsid w:val="40491F39"/>
    <w:rsid w:val="404A4D49"/>
    <w:rsid w:val="404C3770"/>
    <w:rsid w:val="4050500F"/>
    <w:rsid w:val="40526FD9"/>
    <w:rsid w:val="40531FA6"/>
    <w:rsid w:val="40550877"/>
    <w:rsid w:val="40580367"/>
    <w:rsid w:val="405D772B"/>
    <w:rsid w:val="405F16F6"/>
    <w:rsid w:val="4061277B"/>
    <w:rsid w:val="40662A84"/>
    <w:rsid w:val="406E7B8B"/>
    <w:rsid w:val="407133FF"/>
    <w:rsid w:val="407325AD"/>
    <w:rsid w:val="407334C3"/>
    <w:rsid w:val="407707ED"/>
    <w:rsid w:val="4081341A"/>
    <w:rsid w:val="408178BE"/>
    <w:rsid w:val="408733C1"/>
    <w:rsid w:val="408809A3"/>
    <w:rsid w:val="408829FA"/>
    <w:rsid w:val="408847A8"/>
    <w:rsid w:val="408B24EB"/>
    <w:rsid w:val="408E3D89"/>
    <w:rsid w:val="408E5B37"/>
    <w:rsid w:val="40923B29"/>
    <w:rsid w:val="40980764"/>
    <w:rsid w:val="40996ECE"/>
    <w:rsid w:val="409F14E8"/>
    <w:rsid w:val="40A23390"/>
    <w:rsid w:val="40A315E2"/>
    <w:rsid w:val="40A35A86"/>
    <w:rsid w:val="40A47108"/>
    <w:rsid w:val="40A62E81"/>
    <w:rsid w:val="40B300F5"/>
    <w:rsid w:val="40B90226"/>
    <w:rsid w:val="40B9742F"/>
    <w:rsid w:val="40BB5800"/>
    <w:rsid w:val="40BE466E"/>
    <w:rsid w:val="40BF2194"/>
    <w:rsid w:val="40BF5D5D"/>
    <w:rsid w:val="40C61775"/>
    <w:rsid w:val="40C91192"/>
    <w:rsid w:val="40C95EF4"/>
    <w:rsid w:val="40CC194D"/>
    <w:rsid w:val="40CD48B1"/>
    <w:rsid w:val="40D20119"/>
    <w:rsid w:val="40D23C76"/>
    <w:rsid w:val="40D25979"/>
    <w:rsid w:val="40D559E0"/>
    <w:rsid w:val="40D7128C"/>
    <w:rsid w:val="40D74A71"/>
    <w:rsid w:val="40D82635"/>
    <w:rsid w:val="40ED6D01"/>
    <w:rsid w:val="40F66298"/>
    <w:rsid w:val="40F737B6"/>
    <w:rsid w:val="40F77B80"/>
    <w:rsid w:val="40F86085"/>
    <w:rsid w:val="40FA31CC"/>
    <w:rsid w:val="40FA7D05"/>
    <w:rsid w:val="40FE2CBD"/>
    <w:rsid w:val="41003E64"/>
    <w:rsid w:val="410127AD"/>
    <w:rsid w:val="41061B71"/>
    <w:rsid w:val="410A1661"/>
    <w:rsid w:val="410A78B3"/>
    <w:rsid w:val="410D4CAE"/>
    <w:rsid w:val="411249BA"/>
    <w:rsid w:val="41144250"/>
    <w:rsid w:val="411C68DD"/>
    <w:rsid w:val="41250249"/>
    <w:rsid w:val="4125452D"/>
    <w:rsid w:val="41281AE7"/>
    <w:rsid w:val="41287D39"/>
    <w:rsid w:val="412F0DC7"/>
    <w:rsid w:val="412F7F33"/>
    <w:rsid w:val="41313092"/>
    <w:rsid w:val="41324B38"/>
    <w:rsid w:val="41327B1D"/>
    <w:rsid w:val="413A50CC"/>
    <w:rsid w:val="413B2406"/>
    <w:rsid w:val="41410DFB"/>
    <w:rsid w:val="41422591"/>
    <w:rsid w:val="41450CF0"/>
    <w:rsid w:val="414B5C63"/>
    <w:rsid w:val="414F52C6"/>
    <w:rsid w:val="415154E2"/>
    <w:rsid w:val="41516E70"/>
    <w:rsid w:val="41546D80"/>
    <w:rsid w:val="41576D4F"/>
    <w:rsid w:val="415B010F"/>
    <w:rsid w:val="415B1EBD"/>
    <w:rsid w:val="416615F2"/>
    <w:rsid w:val="416A0352"/>
    <w:rsid w:val="416E7E42"/>
    <w:rsid w:val="4171141F"/>
    <w:rsid w:val="417E5BAB"/>
    <w:rsid w:val="4185518C"/>
    <w:rsid w:val="41866D93"/>
    <w:rsid w:val="41874A60"/>
    <w:rsid w:val="4193384A"/>
    <w:rsid w:val="419D0727"/>
    <w:rsid w:val="419D4283"/>
    <w:rsid w:val="41A2189A"/>
    <w:rsid w:val="41A25D3E"/>
    <w:rsid w:val="41A53138"/>
    <w:rsid w:val="41AC096A"/>
    <w:rsid w:val="41B50A70"/>
    <w:rsid w:val="41BD66D4"/>
    <w:rsid w:val="41C07F72"/>
    <w:rsid w:val="41C757A4"/>
    <w:rsid w:val="41CC6917"/>
    <w:rsid w:val="41CD07B6"/>
    <w:rsid w:val="41CF2AA3"/>
    <w:rsid w:val="41D852BC"/>
    <w:rsid w:val="41DB4DAC"/>
    <w:rsid w:val="41DE42F4"/>
    <w:rsid w:val="41E45ADD"/>
    <w:rsid w:val="41E579D9"/>
    <w:rsid w:val="41EA1493"/>
    <w:rsid w:val="41EE2085"/>
    <w:rsid w:val="41EE2342"/>
    <w:rsid w:val="41F145CF"/>
    <w:rsid w:val="41F30A12"/>
    <w:rsid w:val="41F4395E"/>
    <w:rsid w:val="41FB36A0"/>
    <w:rsid w:val="41FB544E"/>
    <w:rsid w:val="41FC1E34"/>
    <w:rsid w:val="41FF4DFA"/>
    <w:rsid w:val="420312AB"/>
    <w:rsid w:val="420B35AD"/>
    <w:rsid w:val="420D71AC"/>
    <w:rsid w:val="421309EA"/>
    <w:rsid w:val="42132798"/>
    <w:rsid w:val="42134546"/>
    <w:rsid w:val="42154762"/>
    <w:rsid w:val="421A58D4"/>
    <w:rsid w:val="42213A3F"/>
    <w:rsid w:val="42226EC9"/>
    <w:rsid w:val="422619BB"/>
    <w:rsid w:val="42293DFC"/>
    <w:rsid w:val="422C1AAB"/>
    <w:rsid w:val="42323BE4"/>
    <w:rsid w:val="42332E3A"/>
    <w:rsid w:val="42366486"/>
    <w:rsid w:val="424010B3"/>
    <w:rsid w:val="4251797B"/>
    <w:rsid w:val="425863FC"/>
    <w:rsid w:val="425A2175"/>
    <w:rsid w:val="425A6618"/>
    <w:rsid w:val="425B01F2"/>
    <w:rsid w:val="425C2C62"/>
    <w:rsid w:val="426D5897"/>
    <w:rsid w:val="42813BA5"/>
    <w:rsid w:val="42884F34"/>
    <w:rsid w:val="428C0621"/>
    <w:rsid w:val="4292190E"/>
    <w:rsid w:val="42957651"/>
    <w:rsid w:val="42975177"/>
    <w:rsid w:val="42A33DD4"/>
    <w:rsid w:val="42A47894"/>
    <w:rsid w:val="42A572AD"/>
    <w:rsid w:val="42A87384"/>
    <w:rsid w:val="42B016BA"/>
    <w:rsid w:val="42B0448A"/>
    <w:rsid w:val="42B21FB1"/>
    <w:rsid w:val="42B262B4"/>
    <w:rsid w:val="42B53B48"/>
    <w:rsid w:val="42B64416"/>
    <w:rsid w:val="42B70124"/>
    <w:rsid w:val="42BC2E2F"/>
    <w:rsid w:val="42C122DB"/>
    <w:rsid w:val="42C22711"/>
    <w:rsid w:val="42C60C9A"/>
    <w:rsid w:val="42C615B8"/>
    <w:rsid w:val="42C66FBF"/>
    <w:rsid w:val="42CB675D"/>
    <w:rsid w:val="42CD172C"/>
    <w:rsid w:val="42D33CD5"/>
    <w:rsid w:val="42D35B20"/>
    <w:rsid w:val="42D873C3"/>
    <w:rsid w:val="42DE0FF8"/>
    <w:rsid w:val="42DE4B54"/>
    <w:rsid w:val="42E55985"/>
    <w:rsid w:val="42E859D2"/>
    <w:rsid w:val="42EC2C6D"/>
    <w:rsid w:val="42EC2E22"/>
    <w:rsid w:val="42EF1829"/>
    <w:rsid w:val="42F36125"/>
    <w:rsid w:val="42F439BA"/>
    <w:rsid w:val="42F56468"/>
    <w:rsid w:val="42F75C15"/>
    <w:rsid w:val="42F8373B"/>
    <w:rsid w:val="42F9050D"/>
    <w:rsid w:val="42F9518F"/>
    <w:rsid w:val="42FA5B31"/>
    <w:rsid w:val="42FE5101"/>
    <w:rsid w:val="42FF4ACA"/>
    <w:rsid w:val="43030A5E"/>
    <w:rsid w:val="4303280C"/>
    <w:rsid w:val="43036368"/>
    <w:rsid w:val="430420E0"/>
    <w:rsid w:val="43056AA1"/>
    <w:rsid w:val="4308730B"/>
    <w:rsid w:val="430E5D85"/>
    <w:rsid w:val="430F7403"/>
    <w:rsid w:val="43105186"/>
    <w:rsid w:val="431247FD"/>
    <w:rsid w:val="431467C7"/>
    <w:rsid w:val="43193DDE"/>
    <w:rsid w:val="431B6011"/>
    <w:rsid w:val="43234C5C"/>
    <w:rsid w:val="43282777"/>
    <w:rsid w:val="43284021"/>
    <w:rsid w:val="432D727E"/>
    <w:rsid w:val="43301127"/>
    <w:rsid w:val="433429C6"/>
    <w:rsid w:val="43421586"/>
    <w:rsid w:val="4342784A"/>
    <w:rsid w:val="43431737"/>
    <w:rsid w:val="43455072"/>
    <w:rsid w:val="4346094B"/>
    <w:rsid w:val="434A3F97"/>
    <w:rsid w:val="43505326"/>
    <w:rsid w:val="43521101"/>
    <w:rsid w:val="43523A1F"/>
    <w:rsid w:val="4359067E"/>
    <w:rsid w:val="43596BE5"/>
    <w:rsid w:val="436112E1"/>
    <w:rsid w:val="43641F1E"/>
    <w:rsid w:val="43650DD1"/>
    <w:rsid w:val="43670FED"/>
    <w:rsid w:val="437A0663"/>
    <w:rsid w:val="437A4C06"/>
    <w:rsid w:val="4382122C"/>
    <w:rsid w:val="43866F99"/>
    <w:rsid w:val="43963680"/>
    <w:rsid w:val="43964300"/>
    <w:rsid w:val="439E0787"/>
    <w:rsid w:val="43A044FF"/>
    <w:rsid w:val="43AD2778"/>
    <w:rsid w:val="43AD4526"/>
    <w:rsid w:val="43B4188C"/>
    <w:rsid w:val="43BE6733"/>
    <w:rsid w:val="43C024AB"/>
    <w:rsid w:val="43C05449"/>
    <w:rsid w:val="43C20D20"/>
    <w:rsid w:val="43C2371A"/>
    <w:rsid w:val="43C33D49"/>
    <w:rsid w:val="43C36D68"/>
    <w:rsid w:val="43CC2A82"/>
    <w:rsid w:val="43CE2E1A"/>
    <w:rsid w:val="43D146B8"/>
    <w:rsid w:val="43D2785E"/>
    <w:rsid w:val="43D63A7D"/>
    <w:rsid w:val="43D66130"/>
    <w:rsid w:val="43D917BF"/>
    <w:rsid w:val="43E048FB"/>
    <w:rsid w:val="43E3619A"/>
    <w:rsid w:val="43E610B7"/>
    <w:rsid w:val="43EA39CC"/>
    <w:rsid w:val="43ED1097"/>
    <w:rsid w:val="43F16B09"/>
    <w:rsid w:val="43F6411F"/>
    <w:rsid w:val="43FE2FD4"/>
    <w:rsid w:val="44022AC4"/>
    <w:rsid w:val="440240D9"/>
    <w:rsid w:val="44095C00"/>
    <w:rsid w:val="440A655F"/>
    <w:rsid w:val="440A68DE"/>
    <w:rsid w:val="440B5E1C"/>
    <w:rsid w:val="440C322F"/>
    <w:rsid w:val="440E7AB1"/>
    <w:rsid w:val="4413072B"/>
    <w:rsid w:val="44134CD1"/>
    <w:rsid w:val="44140585"/>
    <w:rsid w:val="44153672"/>
    <w:rsid w:val="44160C1E"/>
    <w:rsid w:val="441F5424"/>
    <w:rsid w:val="4420119C"/>
    <w:rsid w:val="442236BB"/>
    <w:rsid w:val="44226518"/>
    <w:rsid w:val="443239D6"/>
    <w:rsid w:val="44325FD0"/>
    <w:rsid w:val="44326FBD"/>
    <w:rsid w:val="443469F5"/>
    <w:rsid w:val="443C4228"/>
    <w:rsid w:val="4441183E"/>
    <w:rsid w:val="44447B80"/>
    <w:rsid w:val="4449694B"/>
    <w:rsid w:val="444E2F2A"/>
    <w:rsid w:val="44501A81"/>
    <w:rsid w:val="445A2900"/>
    <w:rsid w:val="445B08EA"/>
    <w:rsid w:val="44644852"/>
    <w:rsid w:val="446D6D8C"/>
    <w:rsid w:val="44753296"/>
    <w:rsid w:val="44782D86"/>
    <w:rsid w:val="44786A70"/>
    <w:rsid w:val="447B1636"/>
    <w:rsid w:val="447F2366"/>
    <w:rsid w:val="447F4114"/>
    <w:rsid w:val="447F5EC2"/>
    <w:rsid w:val="44817E8C"/>
    <w:rsid w:val="4488265C"/>
    <w:rsid w:val="44901E7E"/>
    <w:rsid w:val="44915BF6"/>
    <w:rsid w:val="449A0F4E"/>
    <w:rsid w:val="449A2CFC"/>
    <w:rsid w:val="449C6A74"/>
    <w:rsid w:val="449D459A"/>
    <w:rsid w:val="44A361F7"/>
    <w:rsid w:val="44A40B8C"/>
    <w:rsid w:val="44A8366B"/>
    <w:rsid w:val="44A91191"/>
    <w:rsid w:val="44A924B7"/>
    <w:rsid w:val="44A973E3"/>
    <w:rsid w:val="44AD6ED3"/>
    <w:rsid w:val="44B438E6"/>
    <w:rsid w:val="44B518E4"/>
    <w:rsid w:val="44BC13DC"/>
    <w:rsid w:val="44BC7116"/>
    <w:rsid w:val="44BF09B5"/>
    <w:rsid w:val="44C0425C"/>
    <w:rsid w:val="44C24879"/>
    <w:rsid w:val="44C43F60"/>
    <w:rsid w:val="44C77869"/>
    <w:rsid w:val="44CE0BF8"/>
    <w:rsid w:val="44D37762"/>
    <w:rsid w:val="44D426B2"/>
    <w:rsid w:val="44D66D07"/>
    <w:rsid w:val="44D75CFE"/>
    <w:rsid w:val="44E16B7D"/>
    <w:rsid w:val="44E67CEF"/>
    <w:rsid w:val="44E93C84"/>
    <w:rsid w:val="44EF2301"/>
    <w:rsid w:val="44F52628"/>
    <w:rsid w:val="44F75334"/>
    <w:rsid w:val="44F85C75"/>
    <w:rsid w:val="44F93EC7"/>
    <w:rsid w:val="45014B29"/>
    <w:rsid w:val="45036AF3"/>
    <w:rsid w:val="45080B3C"/>
    <w:rsid w:val="4508742D"/>
    <w:rsid w:val="450F30E2"/>
    <w:rsid w:val="45121F3C"/>
    <w:rsid w:val="45224346"/>
    <w:rsid w:val="45245E92"/>
    <w:rsid w:val="45252F0E"/>
    <w:rsid w:val="452A0524"/>
    <w:rsid w:val="452A1AEE"/>
    <w:rsid w:val="452A22D2"/>
    <w:rsid w:val="452A7313"/>
    <w:rsid w:val="453A003B"/>
    <w:rsid w:val="453B44DF"/>
    <w:rsid w:val="453C0257"/>
    <w:rsid w:val="453E18DA"/>
    <w:rsid w:val="453E5D7D"/>
    <w:rsid w:val="4541761C"/>
    <w:rsid w:val="45482930"/>
    <w:rsid w:val="45490368"/>
    <w:rsid w:val="454F0BC4"/>
    <w:rsid w:val="454F7F8B"/>
    <w:rsid w:val="45513D03"/>
    <w:rsid w:val="455978D4"/>
    <w:rsid w:val="455C4456"/>
    <w:rsid w:val="456357E4"/>
    <w:rsid w:val="45660E30"/>
    <w:rsid w:val="456B4699"/>
    <w:rsid w:val="456C5274"/>
    <w:rsid w:val="45715C8C"/>
    <w:rsid w:val="45737CFA"/>
    <w:rsid w:val="45742E4C"/>
    <w:rsid w:val="45795008"/>
    <w:rsid w:val="45796DB6"/>
    <w:rsid w:val="457E2FEE"/>
    <w:rsid w:val="45837C34"/>
    <w:rsid w:val="45897AC1"/>
    <w:rsid w:val="45913D43"/>
    <w:rsid w:val="4591430C"/>
    <w:rsid w:val="459234A5"/>
    <w:rsid w:val="459260C9"/>
    <w:rsid w:val="45965BB9"/>
    <w:rsid w:val="459736E0"/>
    <w:rsid w:val="45991206"/>
    <w:rsid w:val="459E681C"/>
    <w:rsid w:val="45A2276F"/>
    <w:rsid w:val="45A35BE1"/>
    <w:rsid w:val="45AA2264"/>
    <w:rsid w:val="45AF4585"/>
    <w:rsid w:val="45B222C8"/>
    <w:rsid w:val="45B55914"/>
    <w:rsid w:val="45B930D1"/>
    <w:rsid w:val="45B9436B"/>
    <w:rsid w:val="45BB73CE"/>
    <w:rsid w:val="45BC6CA2"/>
    <w:rsid w:val="45BD3146"/>
    <w:rsid w:val="45C15A71"/>
    <w:rsid w:val="45C15BC5"/>
    <w:rsid w:val="45C269AF"/>
    <w:rsid w:val="45C75D73"/>
    <w:rsid w:val="45CF4C28"/>
    <w:rsid w:val="45D3296A"/>
    <w:rsid w:val="45D53A9B"/>
    <w:rsid w:val="45DD417A"/>
    <w:rsid w:val="45DD7344"/>
    <w:rsid w:val="45DE299F"/>
    <w:rsid w:val="45DF42F9"/>
    <w:rsid w:val="45E66A2A"/>
    <w:rsid w:val="45E71F71"/>
    <w:rsid w:val="45E802E0"/>
    <w:rsid w:val="45E87EEF"/>
    <w:rsid w:val="45EF3078"/>
    <w:rsid w:val="45F17C11"/>
    <w:rsid w:val="45F610F0"/>
    <w:rsid w:val="45FB77CB"/>
    <w:rsid w:val="45FF375F"/>
    <w:rsid w:val="46031658"/>
    <w:rsid w:val="46082C20"/>
    <w:rsid w:val="460F6BF8"/>
    <w:rsid w:val="46116FEE"/>
    <w:rsid w:val="46145159"/>
    <w:rsid w:val="461B1C1B"/>
    <w:rsid w:val="461D1E37"/>
    <w:rsid w:val="46206B1E"/>
    <w:rsid w:val="46222FA9"/>
    <w:rsid w:val="462F3918"/>
    <w:rsid w:val="463319E2"/>
    <w:rsid w:val="46372FBF"/>
    <w:rsid w:val="463F0290"/>
    <w:rsid w:val="46417D1D"/>
    <w:rsid w:val="4642242A"/>
    <w:rsid w:val="46425057"/>
    <w:rsid w:val="464A0752"/>
    <w:rsid w:val="464F7B16"/>
    <w:rsid w:val="46537607"/>
    <w:rsid w:val="465F5FAB"/>
    <w:rsid w:val="46602FE9"/>
    <w:rsid w:val="46607F75"/>
    <w:rsid w:val="46651908"/>
    <w:rsid w:val="46687A77"/>
    <w:rsid w:val="4669643F"/>
    <w:rsid w:val="466C691A"/>
    <w:rsid w:val="46702824"/>
    <w:rsid w:val="467B6B5D"/>
    <w:rsid w:val="4682613E"/>
    <w:rsid w:val="46893028"/>
    <w:rsid w:val="468A4F4F"/>
    <w:rsid w:val="468A6DA0"/>
    <w:rsid w:val="4691012F"/>
    <w:rsid w:val="46922533"/>
    <w:rsid w:val="469519CD"/>
    <w:rsid w:val="469A3487"/>
    <w:rsid w:val="469A6FE4"/>
    <w:rsid w:val="46A16022"/>
    <w:rsid w:val="46A460B4"/>
    <w:rsid w:val="46A613B3"/>
    <w:rsid w:val="46A61E2C"/>
    <w:rsid w:val="46A95479"/>
    <w:rsid w:val="46AC1D51"/>
    <w:rsid w:val="46AF05B5"/>
    <w:rsid w:val="46B03AF2"/>
    <w:rsid w:val="46B75DE7"/>
    <w:rsid w:val="46BA1434"/>
    <w:rsid w:val="46BC33FE"/>
    <w:rsid w:val="46BD2CD2"/>
    <w:rsid w:val="46BF3BC5"/>
    <w:rsid w:val="46BF6A4A"/>
    <w:rsid w:val="46C16C66"/>
    <w:rsid w:val="46C44060"/>
    <w:rsid w:val="46C82AEE"/>
    <w:rsid w:val="46CC73B9"/>
    <w:rsid w:val="46D6148F"/>
    <w:rsid w:val="46D94242"/>
    <w:rsid w:val="46DD5122"/>
    <w:rsid w:val="46DE738D"/>
    <w:rsid w:val="46E26BDC"/>
    <w:rsid w:val="46E44703"/>
    <w:rsid w:val="46E968E9"/>
    <w:rsid w:val="46EC35B7"/>
    <w:rsid w:val="46F10BCE"/>
    <w:rsid w:val="46F96C0B"/>
    <w:rsid w:val="46FD3EBB"/>
    <w:rsid w:val="46FD57C4"/>
    <w:rsid w:val="470628CB"/>
    <w:rsid w:val="47062AAF"/>
    <w:rsid w:val="470B78C8"/>
    <w:rsid w:val="470E79D1"/>
    <w:rsid w:val="47150D60"/>
    <w:rsid w:val="47165ED4"/>
    <w:rsid w:val="47176886"/>
    <w:rsid w:val="47244597"/>
    <w:rsid w:val="47264D1B"/>
    <w:rsid w:val="47280A93"/>
    <w:rsid w:val="472965B9"/>
    <w:rsid w:val="472B0583"/>
    <w:rsid w:val="473311E6"/>
    <w:rsid w:val="473867FC"/>
    <w:rsid w:val="473C009B"/>
    <w:rsid w:val="474358CD"/>
    <w:rsid w:val="47460F19"/>
    <w:rsid w:val="475140C4"/>
    <w:rsid w:val="47543636"/>
    <w:rsid w:val="475A2C17"/>
    <w:rsid w:val="475C073D"/>
    <w:rsid w:val="475D64F5"/>
    <w:rsid w:val="475F022D"/>
    <w:rsid w:val="475F1FDB"/>
    <w:rsid w:val="4760647F"/>
    <w:rsid w:val="476615BC"/>
    <w:rsid w:val="476A2E5A"/>
    <w:rsid w:val="477041E8"/>
    <w:rsid w:val="477B5067"/>
    <w:rsid w:val="477C0DDF"/>
    <w:rsid w:val="477C3777"/>
    <w:rsid w:val="477E6905"/>
    <w:rsid w:val="47855EE6"/>
    <w:rsid w:val="47887784"/>
    <w:rsid w:val="478A67E0"/>
    <w:rsid w:val="478F22E4"/>
    <w:rsid w:val="478F5094"/>
    <w:rsid w:val="47901019"/>
    <w:rsid w:val="4791488A"/>
    <w:rsid w:val="47946129"/>
    <w:rsid w:val="4799373F"/>
    <w:rsid w:val="479B47BB"/>
    <w:rsid w:val="479C322F"/>
    <w:rsid w:val="479F062A"/>
    <w:rsid w:val="47A345BE"/>
    <w:rsid w:val="47A520E4"/>
    <w:rsid w:val="47A636DD"/>
    <w:rsid w:val="47A67C0A"/>
    <w:rsid w:val="47AF2F63"/>
    <w:rsid w:val="47AF4D11"/>
    <w:rsid w:val="47B02837"/>
    <w:rsid w:val="47B71E17"/>
    <w:rsid w:val="47B916EB"/>
    <w:rsid w:val="47B97213"/>
    <w:rsid w:val="47BB1907"/>
    <w:rsid w:val="47BC742D"/>
    <w:rsid w:val="47C255AA"/>
    <w:rsid w:val="47C3256A"/>
    <w:rsid w:val="47C666DA"/>
    <w:rsid w:val="47CF7161"/>
    <w:rsid w:val="47D12ED9"/>
    <w:rsid w:val="47E0311C"/>
    <w:rsid w:val="47F00082"/>
    <w:rsid w:val="47FE7538"/>
    <w:rsid w:val="481531C8"/>
    <w:rsid w:val="48164D90"/>
    <w:rsid w:val="48295745"/>
    <w:rsid w:val="482B71EF"/>
    <w:rsid w:val="482C04E4"/>
    <w:rsid w:val="482C628C"/>
    <w:rsid w:val="482E032B"/>
    <w:rsid w:val="482F19AD"/>
    <w:rsid w:val="48343468"/>
    <w:rsid w:val="48382E4F"/>
    <w:rsid w:val="483B0352"/>
    <w:rsid w:val="48437166"/>
    <w:rsid w:val="48482A6F"/>
    <w:rsid w:val="484A6384"/>
    <w:rsid w:val="484D62D8"/>
    <w:rsid w:val="484F2050"/>
    <w:rsid w:val="48515DC8"/>
    <w:rsid w:val="48531B40"/>
    <w:rsid w:val="485338EE"/>
    <w:rsid w:val="48551120"/>
    <w:rsid w:val="4856518C"/>
    <w:rsid w:val="48580F04"/>
    <w:rsid w:val="485A1120"/>
    <w:rsid w:val="485D476D"/>
    <w:rsid w:val="485E6349"/>
    <w:rsid w:val="486378A9"/>
    <w:rsid w:val="48641684"/>
    <w:rsid w:val="48671147"/>
    <w:rsid w:val="486C2C02"/>
    <w:rsid w:val="48733219"/>
    <w:rsid w:val="48741AB6"/>
    <w:rsid w:val="4876582E"/>
    <w:rsid w:val="48782D23"/>
    <w:rsid w:val="487A531F"/>
    <w:rsid w:val="487D53F5"/>
    <w:rsid w:val="488B752C"/>
    <w:rsid w:val="48921DB8"/>
    <w:rsid w:val="48926515"/>
    <w:rsid w:val="48931F3C"/>
    <w:rsid w:val="48934632"/>
    <w:rsid w:val="48965ED0"/>
    <w:rsid w:val="489839F7"/>
    <w:rsid w:val="489C74DF"/>
    <w:rsid w:val="489C769E"/>
    <w:rsid w:val="489F2FD7"/>
    <w:rsid w:val="489F6B33"/>
    <w:rsid w:val="48A95C04"/>
    <w:rsid w:val="48AE6D76"/>
    <w:rsid w:val="48AF414A"/>
    <w:rsid w:val="48B91124"/>
    <w:rsid w:val="48BB1493"/>
    <w:rsid w:val="48C91E02"/>
    <w:rsid w:val="48D04F3E"/>
    <w:rsid w:val="48D16F09"/>
    <w:rsid w:val="48D3557E"/>
    <w:rsid w:val="48D80297"/>
    <w:rsid w:val="48D82045"/>
    <w:rsid w:val="48DD58AD"/>
    <w:rsid w:val="48DF33D4"/>
    <w:rsid w:val="48EB621C"/>
    <w:rsid w:val="48EE3617"/>
    <w:rsid w:val="48F14EB5"/>
    <w:rsid w:val="48F50E49"/>
    <w:rsid w:val="48F77C20"/>
    <w:rsid w:val="48FA1FBB"/>
    <w:rsid w:val="48FD5929"/>
    <w:rsid w:val="49060960"/>
    <w:rsid w:val="49081C4E"/>
    <w:rsid w:val="49115779"/>
    <w:rsid w:val="49127986"/>
    <w:rsid w:val="4913273F"/>
    <w:rsid w:val="49137521"/>
    <w:rsid w:val="49184B37"/>
    <w:rsid w:val="491C0184"/>
    <w:rsid w:val="491F3AF9"/>
    <w:rsid w:val="491F558F"/>
    <w:rsid w:val="49242261"/>
    <w:rsid w:val="49282FCC"/>
    <w:rsid w:val="492D05E3"/>
    <w:rsid w:val="492E7EB7"/>
    <w:rsid w:val="492F00A8"/>
    <w:rsid w:val="49301E81"/>
    <w:rsid w:val="49373210"/>
    <w:rsid w:val="493A4AAE"/>
    <w:rsid w:val="4941408E"/>
    <w:rsid w:val="49423962"/>
    <w:rsid w:val="49447537"/>
    <w:rsid w:val="494616A5"/>
    <w:rsid w:val="49484AB1"/>
    <w:rsid w:val="494C17AD"/>
    <w:rsid w:val="494D2A33"/>
    <w:rsid w:val="49521DF7"/>
    <w:rsid w:val="495711BC"/>
    <w:rsid w:val="495B184D"/>
    <w:rsid w:val="4961028C"/>
    <w:rsid w:val="49641B2B"/>
    <w:rsid w:val="4968786D"/>
    <w:rsid w:val="49695393"/>
    <w:rsid w:val="496F7552"/>
    <w:rsid w:val="49706721"/>
    <w:rsid w:val="49725FF6"/>
    <w:rsid w:val="49734FF3"/>
    <w:rsid w:val="49747FC0"/>
    <w:rsid w:val="497D19E5"/>
    <w:rsid w:val="4981448B"/>
    <w:rsid w:val="498705A3"/>
    <w:rsid w:val="498B70B7"/>
    <w:rsid w:val="49971F00"/>
    <w:rsid w:val="499D7C02"/>
    <w:rsid w:val="49A009F0"/>
    <w:rsid w:val="49A40179"/>
    <w:rsid w:val="49A451F1"/>
    <w:rsid w:val="49A62FC2"/>
    <w:rsid w:val="49AF0FF8"/>
    <w:rsid w:val="49AF6EF2"/>
    <w:rsid w:val="49B04D70"/>
    <w:rsid w:val="49B32A6A"/>
    <w:rsid w:val="49B437DD"/>
    <w:rsid w:val="49BB5BEF"/>
    <w:rsid w:val="49BF6D61"/>
    <w:rsid w:val="49C16F7D"/>
    <w:rsid w:val="49C37F7C"/>
    <w:rsid w:val="49C820BA"/>
    <w:rsid w:val="49CC7DFC"/>
    <w:rsid w:val="49CF51F6"/>
    <w:rsid w:val="49D31AEF"/>
    <w:rsid w:val="49DC3DB7"/>
    <w:rsid w:val="49DE368B"/>
    <w:rsid w:val="49EB5DA8"/>
    <w:rsid w:val="49F04409"/>
    <w:rsid w:val="49F32D8A"/>
    <w:rsid w:val="49F64438"/>
    <w:rsid w:val="49F92273"/>
    <w:rsid w:val="49FB423D"/>
    <w:rsid w:val="4A0C5AEA"/>
    <w:rsid w:val="4A0D3F70"/>
    <w:rsid w:val="4A1470AD"/>
    <w:rsid w:val="4A191ED4"/>
    <w:rsid w:val="4A1D5BD4"/>
    <w:rsid w:val="4A2342DA"/>
    <w:rsid w:val="4A363CAF"/>
    <w:rsid w:val="4A381DEA"/>
    <w:rsid w:val="4A394D65"/>
    <w:rsid w:val="4A396B13"/>
    <w:rsid w:val="4A3A309A"/>
    <w:rsid w:val="4A3B6D9A"/>
    <w:rsid w:val="4A3E412A"/>
    <w:rsid w:val="4A42245B"/>
    <w:rsid w:val="4A4536BD"/>
    <w:rsid w:val="4A4A57DF"/>
    <w:rsid w:val="4A595408"/>
    <w:rsid w:val="4A5F1294"/>
    <w:rsid w:val="4A600544"/>
    <w:rsid w:val="4A6011E7"/>
    <w:rsid w:val="4A673681"/>
    <w:rsid w:val="4A677B24"/>
    <w:rsid w:val="4A6A65AC"/>
    <w:rsid w:val="4A6B595D"/>
    <w:rsid w:val="4A6C76F5"/>
    <w:rsid w:val="4A6E17F6"/>
    <w:rsid w:val="4A6F0787"/>
    <w:rsid w:val="4A731C85"/>
    <w:rsid w:val="4A783AE0"/>
    <w:rsid w:val="4A7D286C"/>
    <w:rsid w:val="4A814622"/>
    <w:rsid w:val="4A8204BA"/>
    <w:rsid w:val="4A8353A5"/>
    <w:rsid w:val="4A871F75"/>
    <w:rsid w:val="4A8835F7"/>
    <w:rsid w:val="4A8D13EF"/>
    <w:rsid w:val="4A8F2BD7"/>
    <w:rsid w:val="4A971ED9"/>
    <w:rsid w:val="4A9A1CA8"/>
    <w:rsid w:val="4A9C3861"/>
    <w:rsid w:val="4ABA5EA6"/>
    <w:rsid w:val="4ABB1C1E"/>
    <w:rsid w:val="4AC07696"/>
    <w:rsid w:val="4AC46D25"/>
    <w:rsid w:val="4AC629FC"/>
    <w:rsid w:val="4AC66F72"/>
    <w:rsid w:val="4AC73519"/>
    <w:rsid w:val="4ACA1E61"/>
    <w:rsid w:val="4ACA66AD"/>
    <w:rsid w:val="4ACC6E2D"/>
    <w:rsid w:val="4ACE1952"/>
    <w:rsid w:val="4AD30D16"/>
    <w:rsid w:val="4AD36DCC"/>
    <w:rsid w:val="4AD61ABF"/>
    <w:rsid w:val="4AD8457E"/>
    <w:rsid w:val="4AD93E52"/>
    <w:rsid w:val="4ADF19C0"/>
    <w:rsid w:val="4ADF3B5F"/>
    <w:rsid w:val="4ADF76BB"/>
    <w:rsid w:val="4AE01685"/>
    <w:rsid w:val="4AE051E1"/>
    <w:rsid w:val="4AE3031D"/>
    <w:rsid w:val="4AE47DFD"/>
    <w:rsid w:val="4AE64EED"/>
    <w:rsid w:val="4AE9129E"/>
    <w:rsid w:val="4AEC7787"/>
    <w:rsid w:val="4AF84C20"/>
    <w:rsid w:val="4AFE2A81"/>
    <w:rsid w:val="4B0151E1"/>
    <w:rsid w:val="4B076C12"/>
    <w:rsid w:val="4B0921FB"/>
    <w:rsid w:val="4B103D18"/>
    <w:rsid w:val="4B105AC6"/>
    <w:rsid w:val="4B106632"/>
    <w:rsid w:val="4B111850"/>
    <w:rsid w:val="4B1156CF"/>
    <w:rsid w:val="4B125CE2"/>
    <w:rsid w:val="4B132F8D"/>
    <w:rsid w:val="4B15132F"/>
    <w:rsid w:val="4B1A4B97"/>
    <w:rsid w:val="4B1A6945"/>
    <w:rsid w:val="4B1F3F5B"/>
    <w:rsid w:val="4B2B2900"/>
    <w:rsid w:val="4B2B7B0A"/>
    <w:rsid w:val="4B3043BA"/>
    <w:rsid w:val="4B306168"/>
    <w:rsid w:val="4B337A07"/>
    <w:rsid w:val="4B36476B"/>
    <w:rsid w:val="4B3C4B0D"/>
    <w:rsid w:val="4B3D6AD7"/>
    <w:rsid w:val="4B4B22EE"/>
    <w:rsid w:val="4B4C1780"/>
    <w:rsid w:val="4B5160DF"/>
    <w:rsid w:val="4B517E8D"/>
    <w:rsid w:val="4B524331"/>
    <w:rsid w:val="4B58121B"/>
    <w:rsid w:val="4B5A1437"/>
    <w:rsid w:val="4B5B2554"/>
    <w:rsid w:val="4B5B4D66"/>
    <w:rsid w:val="4B5D6832"/>
    <w:rsid w:val="4B5F3D7D"/>
    <w:rsid w:val="4B606EE5"/>
    <w:rsid w:val="4B616D1E"/>
    <w:rsid w:val="4B6422B6"/>
    <w:rsid w:val="4B645E12"/>
    <w:rsid w:val="4B674293"/>
    <w:rsid w:val="4B692966"/>
    <w:rsid w:val="4B6C0928"/>
    <w:rsid w:val="4B6D6E0C"/>
    <w:rsid w:val="4B726593"/>
    <w:rsid w:val="4B7342A7"/>
    <w:rsid w:val="4B736055"/>
    <w:rsid w:val="4B742A75"/>
    <w:rsid w:val="4B7661E4"/>
    <w:rsid w:val="4B7763FA"/>
    <w:rsid w:val="4B7A5635"/>
    <w:rsid w:val="4B7B04CA"/>
    <w:rsid w:val="4B7D05B1"/>
    <w:rsid w:val="4B7F49FA"/>
    <w:rsid w:val="4B841E15"/>
    <w:rsid w:val="4B845E03"/>
    <w:rsid w:val="4B8476E8"/>
    <w:rsid w:val="4B8A1D1C"/>
    <w:rsid w:val="4B8D2F5C"/>
    <w:rsid w:val="4B8E10EC"/>
    <w:rsid w:val="4B8E56C3"/>
    <w:rsid w:val="4B9530C4"/>
    <w:rsid w:val="4B9A1834"/>
    <w:rsid w:val="4B9D0613"/>
    <w:rsid w:val="4BA16728"/>
    <w:rsid w:val="4BA17066"/>
    <w:rsid w:val="4BA97CC9"/>
    <w:rsid w:val="4BAA7425"/>
    <w:rsid w:val="4BAE52DF"/>
    <w:rsid w:val="4BB5666E"/>
    <w:rsid w:val="4BB70638"/>
    <w:rsid w:val="4BB723E6"/>
    <w:rsid w:val="4BB92261"/>
    <w:rsid w:val="4BB960C2"/>
    <w:rsid w:val="4BBA1ED6"/>
    <w:rsid w:val="4BBE0297"/>
    <w:rsid w:val="4BBE2AEB"/>
    <w:rsid w:val="4BC0573E"/>
    <w:rsid w:val="4BC32B39"/>
    <w:rsid w:val="4BC52D55"/>
    <w:rsid w:val="4BC845F3"/>
    <w:rsid w:val="4BCD1C09"/>
    <w:rsid w:val="4BD16CAD"/>
    <w:rsid w:val="4BD9235C"/>
    <w:rsid w:val="4BD96800"/>
    <w:rsid w:val="4BD969A1"/>
    <w:rsid w:val="4BDC1E4C"/>
    <w:rsid w:val="4BDE3E16"/>
    <w:rsid w:val="4BDF193C"/>
    <w:rsid w:val="4BE40D01"/>
    <w:rsid w:val="4BEA14E7"/>
    <w:rsid w:val="4BEC4D7A"/>
    <w:rsid w:val="4BF020F5"/>
    <w:rsid w:val="4BF2341E"/>
    <w:rsid w:val="4BF30464"/>
    <w:rsid w:val="4BF972AF"/>
    <w:rsid w:val="4BFB6776"/>
    <w:rsid w:val="4BFE6267"/>
    <w:rsid w:val="4C0A4C0B"/>
    <w:rsid w:val="4C0A69B9"/>
    <w:rsid w:val="4C120143"/>
    <w:rsid w:val="4C191E56"/>
    <w:rsid w:val="4C1B0BC7"/>
    <w:rsid w:val="4C1B6C36"/>
    <w:rsid w:val="4C1C66ED"/>
    <w:rsid w:val="4C215AB1"/>
    <w:rsid w:val="4C2537F3"/>
    <w:rsid w:val="4C2A2BB8"/>
    <w:rsid w:val="4C2B4BD2"/>
    <w:rsid w:val="4C31372E"/>
    <w:rsid w:val="4C324162"/>
    <w:rsid w:val="4C382A05"/>
    <w:rsid w:val="4C391095"/>
    <w:rsid w:val="4C3925A5"/>
    <w:rsid w:val="4C3A6B73"/>
    <w:rsid w:val="4C460421"/>
    <w:rsid w:val="4C4C5224"/>
    <w:rsid w:val="4C4F6AC2"/>
    <w:rsid w:val="4C50700A"/>
    <w:rsid w:val="4C512118"/>
    <w:rsid w:val="4C516396"/>
    <w:rsid w:val="4C5440D8"/>
    <w:rsid w:val="4C577725"/>
    <w:rsid w:val="4C583BC9"/>
    <w:rsid w:val="4C5937FF"/>
    <w:rsid w:val="4C59524B"/>
    <w:rsid w:val="4C5B31F4"/>
    <w:rsid w:val="4C5E40F0"/>
    <w:rsid w:val="4C6065D9"/>
    <w:rsid w:val="4C614F18"/>
    <w:rsid w:val="4C63273B"/>
    <w:rsid w:val="4C6373D9"/>
    <w:rsid w:val="4C667968"/>
    <w:rsid w:val="4C746529"/>
    <w:rsid w:val="4C7B3413"/>
    <w:rsid w:val="4C820C46"/>
    <w:rsid w:val="4C83676C"/>
    <w:rsid w:val="4C8F6EBF"/>
    <w:rsid w:val="4C9149E5"/>
    <w:rsid w:val="4C92208D"/>
    <w:rsid w:val="4C96024D"/>
    <w:rsid w:val="4C970B27"/>
    <w:rsid w:val="4C983FC5"/>
    <w:rsid w:val="4C9B1D07"/>
    <w:rsid w:val="4C9D15DC"/>
    <w:rsid w:val="4C9E35A6"/>
    <w:rsid w:val="4CA26BF2"/>
    <w:rsid w:val="4CA50490"/>
    <w:rsid w:val="4CA566E2"/>
    <w:rsid w:val="4CA74208"/>
    <w:rsid w:val="4CAC5CC3"/>
    <w:rsid w:val="4CB1343A"/>
    <w:rsid w:val="4CB37CAF"/>
    <w:rsid w:val="4CBB4158"/>
    <w:rsid w:val="4CC11C1A"/>
    <w:rsid w:val="4CC25E71"/>
    <w:rsid w:val="4CC529EA"/>
    <w:rsid w:val="4CC6266A"/>
    <w:rsid w:val="4CC802CD"/>
    <w:rsid w:val="4CCA6900"/>
    <w:rsid w:val="4CD174D7"/>
    <w:rsid w:val="4CD314A1"/>
    <w:rsid w:val="4CD44FFC"/>
    <w:rsid w:val="4CD57E11"/>
    <w:rsid w:val="4CD64E9E"/>
    <w:rsid w:val="4CDA2830"/>
    <w:rsid w:val="4CE0771A"/>
    <w:rsid w:val="4CE52F83"/>
    <w:rsid w:val="4CE9152E"/>
    <w:rsid w:val="4CF338F1"/>
    <w:rsid w:val="4CF80F08"/>
    <w:rsid w:val="4CFD207A"/>
    <w:rsid w:val="4D021D86"/>
    <w:rsid w:val="4D036640"/>
    <w:rsid w:val="4D05121C"/>
    <w:rsid w:val="4D0C69C4"/>
    <w:rsid w:val="4D1675E0"/>
    <w:rsid w:val="4D1753CC"/>
    <w:rsid w:val="4D196681"/>
    <w:rsid w:val="4D1D096E"/>
    <w:rsid w:val="4D1D44CA"/>
    <w:rsid w:val="4D1E21A7"/>
    <w:rsid w:val="4D2013AE"/>
    <w:rsid w:val="4D221AE1"/>
    <w:rsid w:val="4D2344D5"/>
    <w:rsid w:val="4D270962"/>
    <w:rsid w:val="4D292E6F"/>
    <w:rsid w:val="4D29404E"/>
    <w:rsid w:val="4D2B308B"/>
    <w:rsid w:val="4D2B4E39"/>
    <w:rsid w:val="4D2E5D00"/>
    <w:rsid w:val="4D34168D"/>
    <w:rsid w:val="4D3A32CE"/>
    <w:rsid w:val="4D3D5AAB"/>
    <w:rsid w:val="4D3F2693"/>
    <w:rsid w:val="4D495813"/>
    <w:rsid w:val="4D4A2888"/>
    <w:rsid w:val="4D4D55A8"/>
    <w:rsid w:val="4D4E0B28"/>
    <w:rsid w:val="4D545086"/>
    <w:rsid w:val="4D550108"/>
    <w:rsid w:val="4D5B4FF3"/>
    <w:rsid w:val="4D5D0D6B"/>
    <w:rsid w:val="4D6D7E11"/>
    <w:rsid w:val="4D752558"/>
    <w:rsid w:val="4D7C38E7"/>
    <w:rsid w:val="4D7D31BB"/>
    <w:rsid w:val="4D7F400B"/>
    <w:rsid w:val="4D844549"/>
    <w:rsid w:val="4D88228C"/>
    <w:rsid w:val="4D8B58D8"/>
    <w:rsid w:val="4D92310A"/>
    <w:rsid w:val="4D994499"/>
    <w:rsid w:val="4D9A1FBF"/>
    <w:rsid w:val="4D9D560B"/>
    <w:rsid w:val="4DA0369C"/>
    <w:rsid w:val="4DA22C22"/>
    <w:rsid w:val="4DA44BEC"/>
    <w:rsid w:val="4DA70238"/>
    <w:rsid w:val="4DA92202"/>
    <w:rsid w:val="4DAC584E"/>
    <w:rsid w:val="4DB34E2F"/>
    <w:rsid w:val="4DBF5582"/>
    <w:rsid w:val="4DC367CC"/>
    <w:rsid w:val="4DC43221"/>
    <w:rsid w:val="4DC808DA"/>
    <w:rsid w:val="4DCD4949"/>
    <w:rsid w:val="4DD21759"/>
    <w:rsid w:val="4DD33518"/>
    <w:rsid w:val="4DD824A9"/>
    <w:rsid w:val="4DDA3761"/>
    <w:rsid w:val="4DDB07B1"/>
    <w:rsid w:val="4DDD65AE"/>
    <w:rsid w:val="4DE0369C"/>
    <w:rsid w:val="4DE07D87"/>
    <w:rsid w:val="4DE545BB"/>
    <w:rsid w:val="4DE72261"/>
    <w:rsid w:val="4DE84AD8"/>
    <w:rsid w:val="4DEA6AA2"/>
    <w:rsid w:val="4DEF230B"/>
    <w:rsid w:val="4DF24240"/>
    <w:rsid w:val="4DF24641"/>
    <w:rsid w:val="4DF27705"/>
    <w:rsid w:val="4DF3347D"/>
    <w:rsid w:val="4DF531E7"/>
    <w:rsid w:val="4DF53699"/>
    <w:rsid w:val="4DF94F37"/>
    <w:rsid w:val="4DFA0FDD"/>
    <w:rsid w:val="4E015B9A"/>
    <w:rsid w:val="4E037B64"/>
    <w:rsid w:val="4E0655E0"/>
    <w:rsid w:val="4E0B18C2"/>
    <w:rsid w:val="4E0D2791"/>
    <w:rsid w:val="4E0D4016"/>
    <w:rsid w:val="4E0F6509"/>
    <w:rsid w:val="4E143B1F"/>
    <w:rsid w:val="4E1C0C26"/>
    <w:rsid w:val="4E1C6E78"/>
    <w:rsid w:val="4E223196"/>
    <w:rsid w:val="4E227655"/>
    <w:rsid w:val="4E2521D3"/>
    <w:rsid w:val="4E2B2C17"/>
    <w:rsid w:val="4E2D4BE1"/>
    <w:rsid w:val="4E30022D"/>
    <w:rsid w:val="4E3350E9"/>
    <w:rsid w:val="4E346F72"/>
    <w:rsid w:val="4E3A32D0"/>
    <w:rsid w:val="4E3C3076"/>
    <w:rsid w:val="4E3C4E24"/>
    <w:rsid w:val="4E3E294A"/>
    <w:rsid w:val="4E41243B"/>
    <w:rsid w:val="4E453899"/>
    <w:rsid w:val="4E4816AB"/>
    <w:rsid w:val="4E495436"/>
    <w:rsid w:val="4E4A7541"/>
    <w:rsid w:val="4E4E101C"/>
    <w:rsid w:val="4E50267E"/>
    <w:rsid w:val="4E5263F6"/>
    <w:rsid w:val="4E564138"/>
    <w:rsid w:val="4E570125"/>
    <w:rsid w:val="4E593C28"/>
    <w:rsid w:val="4E5B174E"/>
    <w:rsid w:val="4E5C54C6"/>
    <w:rsid w:val="4E5D23E5"/>
    <w:rsid w:val="4E5D35AC"/>
    <w:rsid w:val="4E607DD3"/>
    <w:rsid w:val="4E6525CD"/>
    <w:rsid w:val="4E666A38"/>
    <w:rsid w:val="4E676345"/>
    <w:rsid w:val="4E685C19"/>
    <w:rsid w:val="4E6879C7"/>
    <w:rsid w:val="4E6F0D56"/>
    <w:rsid w:val="4E7431EC"/>
    <w:rsid w:val="4E74458A"/>
    <w:rsid w:val="4E7740AE"/>
    <w:rsid w:val="4E7D55D8"/>
    <w:rsid w:val="4E7E543D"/>
    <w:rsid w:val="4E8929D4"/>
    <w:rsid w:val="4E8F31A6"/>
    <w:rsid w:val="4E901B86"/>
    <w:rsid w:val="4E944C60"/>
    <w:rsid w:val="4E9C1954"/>
    <w:rsid w:val="4E9C58C3"/>
    <w:rsid w:val="4E9E746F"/>
    <w:rsid w:val="4EA2737D"/>
    <w:rsid w:val="4EB175C0"/>
    <w:rsid w:val="4EB946C7"/>
    <w:rsid w:val="4EBD5F65"/>
    <w:rsid w:val="4EBE7F2F"/>
    <w:rsid w:val="4EC15329"/>
    <w:rsid w:val="4EC76DE4"/>
    <w:rsid w:val="4EC866B8"/>
    <w:rsid w:val="4ECA73B9"/>
    <w:rsid w:val="4ECC27F9"/>
    <w:rsid w:val="4ECC7F56"/>
    <w:rsid w:val="4ED70110"/>
    <w:rsid w:val="4ED84B4D"/>
    <w:rsid w:val="4ED92673"/>
    <w:rsid w:val="4EDA082C"/>
    <w:rsid w:val="4EDA62BF"/>
    <w:rsid w:val="4EDD76D8"/>
    <w:rsid w:val="4EE80B08"/>
    <w:rsid w:val="4EEA4880"/>
    <w:rsid w:val="4EEC05F8"/>
    <w:rsid w:val="4EED4604"/>
    <w:rsid w:val="4EEF00E8"/>
    <w:rsid w:val="4EF15C0F"/>
    <w:rsid w:val="4EF435DD"/>
    <w:rsid w:val="4EF62D97"/>
    <w:rsid w:val="4EF86F9D"/>
    <w:rsid w:val="4EFB083B"/>
    <w:rsid w:val="4EFC5E7F"/>
    <w:rsid w:val="4EFE35FA"/>
    <w:rsid w:val="4F0A6CD0"/>
    <w:rsid w:val="4F0F42E7"/>
    <w:rsid w:val="4F10078B"/>
    <w:rsid w:val="4F133DD7"/>
    <w:rsid w:val="4F147B4F"/>
    <w:rsid w:val="4F18319B"/>
    <w:rsid w:val="4F195165"/>
    <w:rsid w:val="4F1A38B2"/>
    <w:rsid w:val="4F2002A2"/>
    <w:rsid w:val="4F230624"/>
    <w:rsid w:val="4F2446B3"/>
    <w:rsid w:val="4F251D5C"/>
    <w:rsid w:val="4F275AD4"/>
    <w:rsid w:val="4F2C6C47"/>
    <w:rsid w:val="4F2F6737"/>
    <w:rsid w:val="4F336227"/>
    <w:rsid w:val="4F357723"/>
    <w:rsid w:val="4F381A8F"/>
    <w:rsid w:val="4F4421E2"/>
    <w:rsid w:val="4F4C4EB3"/>
    <w:rsid w:val="4F4E4E0F"/>
    <w:rsid w:val="4F51548E"/>
    <w:rsid w:val="4F5D14F6"/>
    <w:rsid w:val="4F5F526E"/>
    <w:rsid w:val="4F667D59"/>
    <w:rsid w:val="4F764366"/>
    <w:rsid w:val="4F7C7BCE"/>
    <w:rsid w:val="4F8024CB"/>
    <w:rsid w:val="4F8534D4"/>
    <w:rsid w:val="4F8627FB"/>
    <w:rsid w:val="4F8922EB"/>
    <w:rsid w:val="4F895E47"/>
    <w:rsid w:val="4F8C0919"/>
    <w:rsid w:val="4F8E4E5D"/>
    <w:rsid w:val="4F905428"/>
    <w:rsid w:val="4F9111A0"/>
    <w:rsid w:val="4F9459D6"/>
    <w:rsid w:val="4F980780"/>
    <w:rsid w:val="4F9B1C61"/>
    <w:rsid w:val="4F9D5D96"/>
    <w:rsid w:val="4FA15887"/>
    <w:rsid w:val="4FA17635"/>
    <w:rsid w:val="4FA64C4B"/>
    <w:rsid w:val="4FA90297"/>
    <w:rsid w:val="4FA930E5"/>
    <w:rsid w:val="4FA9473B"/>
    <w:rsid w:val="4FAE1D52"/>
    <w:rsid w:val="4FB477FD"/>
    <w:rsid w:val="4FB530E0"/>
    <w:rsid w:val="4FB54E8E"/>
    <w:rsid w:val="4FBD1F95"/>
    <w:rsid w:val="4FC3550E"/>
    <w:rsid w:val="4FC41575"/>
    <w:rsid w:val="4FC9093A"/>
    <w:rsid w:val="4FCB46B2"/>
    <w:rsid w:val="4FD23C92"/>
    <w:rsid w:val="4FD317B8"/>
    <w:rsid w:val="4FD73056"/>
    <w:rsid w:val="4FDD6193"/>
    <w:rsid w:val="4FEE26C2"/>
    <w:rsid w:val="4FF21C3E"/>
    <w:rsid w:val="4FF227CC"/>
    <w:rsid w:val="4FFA4F97"/>
    <w:rsid w:val="50033E4B"/>
    <w:rsid w:val="500656EA"/>
    <w:rsid w:val="50081462"/>
    <w:rsid w:val="500951DA"/>
    <w:rsid w:val="500B2D00"/>
    <w:rsid w:val="500B62FF"/>
    <w:rsid w:val="500F0348"/>
    <w:rsid w:val="500F0A42"/>
    <w:rsid w:val="5015592D"/>
    <w:rsid w:val="501A73E7"/>
    <w:rsid w:val="50250358"/>
    <w:rsid w:val="50267604"/>
    <w:rsid w:val="5027677F"/>
    <w:rsid w:val="502C62FC"/>
    <w:rsid w:val="503C078C"/>
    <w:rsid w:val="50455C2E"/>
    <w:rsid w:val="50483F54"/>
    <w:rsid w:val="504C29DB"/>
    <w:rsid w:val="504D1753"/>
    <w:rsid w:val="504D3319"/>
    <w:rsid w:val="504F7091"/>
    <w:rsid w:val="50543185"/>
    <w:rsid w:val="50554724"/>
    <w:rsid w:val="5059588F"/>
    <w:rsid w:val="50687CFD"/>
    <w:rsid w:val="50696FCB"/>
    <w:rsid w:val="506C0AD2"/>
    <w:rsid w:val="506C25BE"/>
    <w:rsid w:val="506D7517"/>
    <w:rsid w:val="506E554A"/>
    <w:rsid w:val="50715259"/>
    <w:rsid w:val="507765E7"/>
    <w:rsid w:val="507B60D8"/>
    <w:rsid w:val="507C3BFE"/>
    <w:rsid w:val="5087747C"/>
    <w:rsid w:val="508872DA"/>
    <w:rsid w:val="50894AD3"/>
    <w:rsid w:val="508A1E77"/>
    <w:rsid w:val="508A631B"/>
    <w:rsid w:val="508D5E0B"/>
    <w:rsid w:val="50901457"/>
    <w:rsid w:val="50923421"/>
    <w:rsid w:val="50942CF5"/>
    <w:rsid w:val="50947199"/>
    <w:rsid w:val="50966215"/>
    <w:rsid w:val="50972C83"/>
    <w:rsid w:val="509A09EB"/>
    <w:rsid w:val="50A3008F"/>
    <w:rsid w:val="50A373DC"/>
    <w:rsid w:val="50B137C9"/>
    <w:rsid w:val="50B21089"/>
    <w:rsid w:val="50B344FD"/>
    <w:rsid w:val="50B45146"/>
    <w:rsid w:val="50B60EBE"/>
    <w:rsid w:val="50BB0282"/>
    <w:rsid w:val="50BD049E"/>
    <w:rsid w:val="50BF4A4E"/>
    <w:rsid w:val="50C03E46"/>
    <w:rsid w:val="50C24D76"/>
    <w:rsid w:val="50C64592"/>
    <w:rsid w:val="50C80BE8"/>
    <w:rsid w:val="50CA4969"/>
    <w:rsid w:val="50CA6717"/>
    <w:rsid w:val="50CB7405"/>
    <w:rsid w:val="50CD6207"/>
    <w:rsid w:val="50CE02F4"/>
    <w:rsid w:val="50D25BA8"/>
    <w:rsid w:val="50DB0924"/>
    <w:rsid w:val="50DE6667"/>
    <w:rsid w:val="50E517A3"/>
    <w:rsid w:val="50E7551B"/>
    <w:rsid w:val="50E75601"/>
    <w:rsid w:val="50E772C9"/>
    <w:rsid w:val="50E83041"/>
    <w:rsid w:val="50E95592"/>
    <w:rsid w:val="50F6575E"/>
    <w:rsid w:val="50F96525"/>
    <w:rsid w:val="50FB0FC7"/>
    <w:rsid w:val="50FD4D3F"/>
    <w:rsid w:val="51057A2C"/>
    <w:rsid w:val="510E4784"/>
    <w:rsid w:val="51121E6C"/>
    <w:rsid w:val="511E595C"/>
    <w:rsid w:val="51277735"/>
    <w:rsid w:val="513774DE"/>
    <w:rsid w:val="513B0F0A"/>
    <w:rsid w:val="514069D9"/>
    <w:rsid w:val="51431FAD"/>
    <w:rsid w:val="514515A1"/>
    <w:rsid w:val="51475FBA"/>
    <w:rsid w:val="514A5AAA"/>
    <w:rsid w:val="514F30C0"/>
    <w:rsid w:val="5156444F"/>
    <w:rsid w:val="51597A9B"/>
    <w:rsid w:val="51622DF4"/>
    <w:rsid w:val="516A2344"/>
    <w:rsid w:val="516A3A56"/>
    <w:rsid w:val="517128DF"/>
    <w:rsid w:val="517448D5"/>
    <w:rsid w:val="5176110A"/>
    <w:rsid w:val="51766434"/>
    <w:rsid w:val="51786EA1"/>
    <w:rsid w:val="51795BF3"/>
    <w:rsid w:val="517D19DC"/>
    <w:rsid w:val="517D43B3"/>
    <w:rsid w:val="51850890"/>
    <w:rsid w:val="5187285A"/>
    <w:rsid w:val="51881020"/>
    <w:rsid w:val="518E1E3B"/>
    <w:rsid w:val="519311FF"/>
    <w:rsid w:val="5196613F"/>
    <w:rsid w:val="51976F41"/>
    <w:rsid w:val="519B78A3"/>
    <w:rsid w:val="519D5BDA"/>
    <w:rsid w:val="51A16F04"/>
    <w:rsid w:val="51A52CE0"/>
    <w:rsid w:val="51A74CAA"/>
    <w:rsid w:val="51A9476B"/>
    <w:rsid w:val="51AA0443"/>
    <w:rsid w:val="51B178D7"/>
    <w:rsid w:val="51B7313F"/>
    <w:rsid w:val="51BB2504"/>
    <w:rsid w:val="51BD2BE2"/>
    <w:rsid w:val="51C07B1A"/>
    <w:rsid w:val="51CB6BEB"/>
    <w:rsid w:val="51CE66DB"/>
    <w:rsid w:val="51D15711"/>
    <w:rsid w:val="51D517F0"/>
    <w:rsid w:val="51D830B6"/>
    <w:rsid w:val="51DA5B70"/>
    <w:rsid w:val="51DC0DF8"/>
    <w:rsid w:val="51E3165C"/>
    <w:rsid w:val="51E779A0"/>
    <w:rsid w:val="51E925FD"/>
    <w:rsid w:val="51EB487C"/>
    <w:rsid w:val="51F21F4B"/>
    <w:rsid w:val="51F53C68"/>
    <w:rsid w:val="51FA0FAE"/>
    <w:rsid w:val="51FF531B"/>
    <w:rsid w:val="520143BB"/>
    <w:rsid w:val="520577E0"/>
    <w:rsid w:val="5209326F"/>
    <w:rsid w:val="52133808"/>
    <w:rsid w:val="52171E30"/>
    <w:rsid w:val="521D4F6D"/>
    <w:rsid w:val="521E31BF"/>
    <w:rsid w:val="521F6F37"/>
    <w:rsid w:val="522307D5"/>
    <w:rsid w:val="522C710D"/>
    <w:rsid w:val="522E0F28"/>
    <w:rsid w:val="522E717A"/>
    <w:rsid w:val="52302EF2"/>
    <w:rsid w:val="523342BE"/>
    <w:rsid w:val="52383B54"/>
    <w:rsid w:val="52391DA6"/>
    <w:rsid w:val="5239232C"/>
    <w:rsid w:val="52392806"/>
    <w:rsid w:val="52397523"/>
    <w:rsid w:val="523C53F3"/>
    <w:rsid w:val="52426781"/>
    <w:rsid w:val="52447B93"/>
    <w:rsid w:val="524B7D2C"/>
    <w:rsid w:val="524F7479"/>
    <w:rsid w:val="52522E68"/>
    <w:rsid w:val="5253098E"/>
    <w:rsid w:val="52586AA6"/>
    <w:rsid w:val="525B4D42"/>
    <w:rsid w:val="525F3C90"/>
    <w:rsid w:val="52635075"/>
    <w:rsid w:val="52636E23"/>
    <w:rsid w:val="52642B9B"/>
    <w:rsid w:val="5264494A"/>
    <w:rsid w:val="52691F60"/>
    <w:rsid w:val="526B5CD8"/>
    <w:rsid w:val="527E7677"/>
    <w:rsid w:val="527F5465"/>
    <w:rsid w:val="52810580"/>
    <w:rsid w:val="52833022"/>
    <w:rsid w:val="52850D80"/>
    <w:rsid w:val="5288688A"/>
    <w:rsid w:val="52903990"/>
    <w:rsid w:val="52914334"/>
    <w:rsid w:val="52927709"/>
    <w:rsid w:val="52982986"/>
    <w:rsid w:val="52990A97"/>
    <w:rsid w:val="529A65BD"/>
    <w:rsid w:val="529C40E3"/>
    <w:rsid w:val="52A1794C"/>
    <w:rsid w:val="52A31916"/>
    <w:rsid w:val="52A42F98"/>
    <w:rsid w:val="52A45A60"/>
    <w:rsid w:val="52A66D10"/>
    <w:rsid w:val="52A82A88"/>
    <w:rsid w:val="52AB2578"/>
    <w:rsid w:val="52AD38A6"/>
    <w:rsid w:val="52B01601"/>
    <w:rsid w:val="52B256B5"/>
    <w:rsid w:val="52BE482B"/>
    <w:rsid w:val="52C75604"/>
    <w:rsid w:val="52CD0741"/>
    <w:rsid w:val="52CD24EF"/>
    <w:rsid w:val="52D03D8D"/>
    <w:rsid w:val="52D4387D"/>
    <w:rsid w:val="52D675F5"/>
    <w:rsid w:val="52D715BF"/>
    <w:rsid w:val="52DE46FC"/>
    <w:rsid w:val="52E141EC"/>
    <w:rsid w:val="52E31D12"/>
    <w:rsid w:val="52E33AC0"/>
    <w:rsid w:val="52E467AE"/>
    <w:rsid w:val="52E80E43"/>
    <w:rsid w:val="52FC4B82"/>
    <w:rsid w:val="530A3690"/>
    <w:rsid w:val="530B43C5"/>
    <w:rsid w:val="530B5202"/>
    <w:rsid w:val="530D1494"/>
    <w:rsid w:val="53146370"/>
    <w:rsid w:val="53147604"/>
    <w:rsid w:val="531730E5"/>
    <w:rsid w:val="53226CDE"/>
    <w:rsid w:val="53234805"/>
    <w:rsid w:val="53277E51"/>
    <w:rsid w:val="532D11DF"/>
    <w:rsid w:val="532F5F82"/>
    <w:rsid w:val="53332C9A"/>
    <w:rsid w:val="533662E6"/>
    <w:rsid w:val="53373E0C"/>
    <w:rsid w:val="533A55F6"/>
    <w:rsid w:val="533B56AA"/>
    <w:rsid w:val="533B7DA0"/>
    <w:rsid w:val="533F6A8E"/>
    <w:rsid w:val="534529CD"/>
    <w:rsid w:val="53487DC7"/>
    <w:rsid w:val="534C3D5B"/>
    <w:rsid w:val="53511372"/>
    <w:rsid w:val="53513E85"/>
    <w:rsid w:val="5352070E"/>
    <w:rsid w:val="53536E98"/>
    <w:rsid w:val="53562A49"/>
    <w:rsid w:val="535673AF"/>
    <w:rsid w:val="535A51E8"/>
    <w:rsid w:val="535D6F3C"/>
    <w:rsid w:val="536015B5"/>
    <w:rsid w:val="53667620"/>
    <w:rsid w:val="536C1D08"/>
    <w:rsid w:val="536C7F5A"/>
    <w:rsid w:val="537137C2"/>
    <w:rsid w:val="537158DF"/>
    <w:rsid w:val="537248FF"/>
    <w:rsid w:val="537312E8"/>
    <w:rsid w:val="5376098D"/>
    <w:rsid w:val="53786725"/>
    <w:rsid w:val="537A0F39"/>
    <w:rsid w:val="537A29AE"/>
    <w:rsid w:val="537D3F15"/>
    <w:rsid w:val="537D5CC3"/>
    <w:rsid w:val="53802BB4"/>
    <w:rsid w:val="538452A3"/>
    <w:rsid w:val="538A03E0"/>
    <w:rsid w:val="538E6122"/>
    <w:rsid w:val="53973FA5"/>
    <w:rsid w:val="539B439B"/>
    <w:rsid w:val="53A21BCD"/>
    <w:rsid w:val="53AA2830"/>
    <w:rsid w:val="53AB6CD4"/>
    <w:rsid w:val="53AC3BDC"/>
    <w:rsid w:val="53AD50B5"/>
    <w:rsid w:val="53AF04D6"/>
    <w:rsid w:val="53B11E10"/>
    <w:rsid w:val="53BB67EB"/>
    <w:rsid w:val="53BD07B5"/>
    <w:rsid w:val="53BF452D"/>
    <w:rsid w:val="53C2613D"/>
    <w:rsid w:val="53C871A4"/>
    <w:rsid w:val="53D37FD9"/>
    <w:rsid w:val="53DA49C3"/>
    <w:rsid w:val="53DB2A89"/>
    <w:rsid w:val="53DF766E"/>
    <w:rsid w:val="53E21FCA"/>
    <w:rsid w:val="53E775E0"/>
    <w:rsid w:val="53EA2FA3"/>
    <w:rsid w:val="53F35F85"/>
    <w:rsid w:val="53F65A75"/>
    <w:rsid w:val="53F71F19"/>
    <w:rsid w:val="53F81DDE"/>
    <w:rsid w:val="53FD5056"/>
    <w:rsid w:val="54142F67"/>
    <w:rsid w:val="541A5C08"/>
    <w:rsid w:val="541A79B6"/>
    <w:rsid w:val="542B571F"/>
    <w:rsid w:val="542C54E5"/>
    <w:rsid w:val="542D593B"/>
    <w:rsid w:val="54387E3C"/>
    <w:rsid w:val="543F166B"/>
    <w:rsid w:val="544669FD"/>
    <w:rsid w:val="544F3B03"/>
    <w:rsid w:val="545A24A8"/>
    <w:rsid w:val="545A7AC5"/>
    <w:rsid w:val="545E3D46"/>
    <w:rsid w:val="546765CF"/>
    <w:rsid w:val="54694499"/>
    <w:rsid w:val="546A5AB1"/>
    <w:rsid w:val="546C2BFA"/>
    <w:rsid w:val="54717BEB"/>
    <w:rsid w:val="54776BB6"/>
    <w:rsid w:val="547A0454"/>
    <w:rsid w:val="547C5F7A"/>
    <w:rsid w:val="548117E3"/>
    <w:rsid w:val="5483555B"/>
    <w:rsid w:val="54847D2C"/>
    <w:rsid w:val="5486504B"/>
    <w:rsid w:val="54873A1A"/>
    <w:rsid w:val="548A4B3B"/>
    <w:rsid w:val="548B08B3"/>
    <w:rsid w:val="548D25DB"/>
    <w:rsid w:val="548E4052"/>
    <w:rsid w:val="549332C4"/>
    <w:rsid w:val="54967355"/>
    <w:rsid w:val="549A10FC"/>
    <w:rsid w:val="549B11AF"/>
    <w:rsid w:val="549E05E7"/>
    <w:rsid w:val="54A26401"/>
    <w:rsid w:val="54AA0D3A"/>
    <w:rsid w:val="54AE00FE"/>
    <w:rsid w:val="54AF6A4A"/>
    <w:rsid w:val="54B0628E"/>
    <w:rsid w:val="54B85856"/>
    <w:rsid w:val="54B90F7D"/>
    <w:rsid w:val="54C142D5"/>
    <w:rsid w:val="54C14D35"/>
    <w:rsid w:val="54C33BA9"/>
    <w:rsid w:val="54CA0F52"/>
    <w:rsid w:val="54CB6F02"/>
    <w:rsid w:val="54D2203E"/>
    <w:rsid w:val="54E3424B"/>
    <w:rsid w:val="54E67898"/>
    <w:rsid w:val="54E87AB4"/>
    <w:rsid w:val="54E87C0F"/>
    <w:rsid w:val="54EF2BF0"/>
    <w:rsid w:val="54EF41CF"/>
    <w:rsid w:val="54F47E52"/>
    <w:rsid w:val="54FC70BB"/>
    <w:rsid w:val="550348EE"/>
    <w:rsid w:val="55055F70"/>
    <w:rsid w:val="550D3076"/>
    <w:rsid w:val="550F5041"/>
    <w:rsid w:val="5516017D"/>
    <w:rsid w:val="551E5284"/>
    <w:rsid w:val="55207DCA"/>
    <w:rsid w:val="55222FC6"/>
    <w:rsid w:val="55264684"/>
    <w:rsid w:val="552A1E7A"/>
    <w:rsid w:val="55314FB7"/>
    <w:rsid w:val="55321AE5"/>
    <w:rsid w:val="55384597"/>
    <w:rsid w:val="553B4087"/>
    <w:rsid w:val="5540344C"/>
    <w:rsid w:val="554271C4"/>
    <w:rsid w:val="55456CB4"/>
    <w:rsid w:val="554E3689"/>
    <w:rsid w:val="55515659"/>
    <w:rsid w:val="55553A54"/>
    <w:rsid w:val="55560100"/>
    <w:rsid w:val="555667CB"/>
    <w:rsid w:val="55674E7D"/>
    <w:rsid w:val="556D1D67"/>
    <w:rsid w:val="556D7FD6"/>
    <w:rsid w:val="55711857"/>
    <w:rsid w:val="55733FD6"/>
    <w:rsid w:val="55740D24"/>
    <w:rsid w:val="55750EEF"/>
    <w:rsid w:val="55752941"/>
    <w:rsid w:val="55753A9F"/>
    <w:rsid w:val="557617A9"/>
    <w:rsid w:val="55780E38"/>
    <w:rsid w:val="557E5D22"/>
    <w:rsid w:val="55801A9A"/>
    <w:rsid w:val="55855303"/>
    <w:rsid w:val="558C15D7"/>
    <w:rsid w:val="558D41B7"/>
    <w:rsid w:val="559424C5"/>
    <w:rsid w:val="55A559A5"/>
    <w:rsid w:val="55A86C5E"/>
    <w:rsid w:val="55BD2CEE"/>
    <w:rsid w:val="55C220B3"/>
    <w:rsid w:val="55D81C32"/>
    <w:rsid w:val="55DC1983"/>
    <w:rsid w:val="55DC72ED"/>
    <w:rsid w:val="55DD0C9B"/>
    <w:rsid w:val="55DF2C03"/>
    <w:rsid w:val="55E12E67"/>
    <w:rsid w:val="55E24503"/>
    <w:rsid w:val="55E520CD"/>
    <w:rsid w:val="55E93AE3"/>
    <w:rsid w:val="55E97640"/>
    <w:rsid w:val="55EA2356"/>
    <w:rsid w:val="55EB785C"/>
    <w:rsid w:val="55EC5382"/>
    <w:rsid w:val="55EF09CE"/>
    <w:rsid w:val="55F83D27"/>
    <w:rsid w:val="56094D75"/>
    <w:rsid w:val="56096EA6"/>
    <w:rsid w:val="560B3A5A"/>
    <w:rsid w:val="56101070"/>
    <w:rsid w:val="561022C8"/>
    <w:rsid w:val="56114DE8"/>
    <w:rsid w:val="56116B96"/>
    <w:rsid w:val="5612303A"/>
    <w:rsid w:val="56130B60"/>
    <w:rsid w:val="56132390"/>
    <w:rsid w:val="56150435"/>
    <w:rsid w:val="561641AD"/>
    <w:rsid w:val="561F12B3"/>
    <w:rsid w:val="561F5757"/>
    <w:rsid w:val="56202928"/>
    <w:rsid w:val="56220DA3"/>
    <w:rsid w:val="562341D8"/>
    <w:rsid w:val="56260894"/>
    <w:rsid w:val="562B5EAA"/>
    <w:rsid w:val="562C4D7E"/>
    <w:rsid w:val="562D7B00"/>
    <w:rsid w:val="563034C0"/>
    <w:rsid w:val="56310FE7"/>
    <w:rsid w:val="56336B0D"/>
    <w:rsid w:val="563A433F"/>
    <w:rsid w:val="563C1E65"/>
    <w:rsid w:val="563E4008"/>
    <w:rsid w:val="564020EF"/>
    <w:rsid w:val="564156CE"/>
    <w:rsid w:val="56446F6C"/>
    <w:rsid w:val="564526B5"/>
    <w:rsid w:val="564725B8"/>
    <w:rsid w:val="56486A5C"/>
    <w:rsid w:val="564E11CD"/>
    <w:rsid w:val="565076BF"/>
    <w:rsid w:val="5653598C"/>
    <w:rsid w:val="565371AF"/>
    <w:rsid w:val="565A678F"/>
    <w:rsid w:val="565A7CDC"/>
    <w:rsid w:val="565C2AF0"/>
    <w:rsid w:val="565F5B54"/>
    <w:rsid w:val="5661367A"/>
    <w:rsid w:val="566413BC"/>
    <w:rsid w:val="56643C5C"/>
    <w:rsid w:val="56680EAC"/>
    <w:rsid w:val="56682C5A"/>
    <w:rsid w:val="566C201F"/>
    <w:rsid w:val="566E5BF4"/>
    <w:rsid w:val="56705FB3"/>
    <w:rsid w:val="56723AD9"/>
    <w:rsid w:val="567C0C5D"/>
    <w:rsid w:val="567F61F6"/>
    <w:rsid w:val="5680580A"/>
    <w:rsid w:val="56811F6E"/>
    <w:rsid w:val="568455BA"/>
    <w:rsid w:val="568E6439"/>
    <w:rsid w:val="56967FD9"/>
    <w:rsid w:val="569752EE"/>
    <w:rsid w:val="56995541"/>
    <w:rsid w:val="569A45DF"/>
    <w:rsid w:val="56A1616C"/>
    <w:rsid w:val="56A510BE"/>
    <w:rsid w:val="56A6518E"/>
    <w:rsid w:val="56A96DCF"/>
    <w:rsid w:val="56BC6B02"/>
    <w:rsid w:val="56BF1EFA"/>
    <w:rsid w:val="56C244A4"/>
    <w:rsid w:val="56C37B32"/>
    <w:rsid w:val="56C500AD"/>
    <w:rsid w:val="56C8194B"/>
    <w:rsid w:val="56CF0F2B"/>
    <w:rsid w:val="56D402F0"/>
    <w:rsid w:val="56D55E16"/>
    <w:rsid w:val="56D71B8E"/>
    <w:rsid w:val="56DC0F52"/>
    <w:rsid w:val="56DD783A"/>
    <w:rsid w:val="56E04EE6"/>
    <w:rsid w:val="56E10C5F"/>
    <w:rsid w:val="56E302CD"/>
    <w:rsid w:val="56E322E1"/>
    <w:rsid w:val="56EA18C1"/>
    <w:rsid w:val="56EE27E4"/>
    <w:rsid w:val="56EF02A7"/>
    <w:rsid w:val="56F42740"/>
    <w:rsid w:val="56FA587C"/>
    <w:rsid w:val="570C248C"/>
    <w:rsid w:val="570D1A54"/>
    <w:rsid w:val="57116223"/>
    <w:rsid w:val="57120E18"/>
    <w:rsid w:val="57144B90"/>
    <w:rsid w:val="5717642E"/>
    <w:rsid w:val="571A1A7B"/>
    <w:rsid w:val="571D74F3"/>
    <w:rsid w:val="571F7091"/>
    <w:rsid w:val="57212E09"/>
    <w:rsid w:val="572B598C"/>
    <w:rsid w:val="572C012C"/>
    <w:rsid w:val="572F302C"/>
    <w:rsid w:val="57346FE0"/>
    <w:rsid w:val="573945F7"/>
    <w:rsid w:val="57437223"/>
    <w:rsid w:val="57476D14"/>
    <w:rsid w:val="574A05B2"/>
    <w:rsid w:val="574A2360"/>
    <w:rsid w:val="574A6804"/>
    <w:rsid w:val="57521214"/>
    <w:rsid w:val="57603931"/>
    <w:rsid w:val="5761173E"/>
    <w:rsid w:val="576176AA"/>
    <w:rsid w:val="57684EDC"/>
    <w:rsid w:val="576B2B58"/>
    <w:rsid w:val="57723169"/>
    <w:rsid w:val="5774562F"/>
    <w:rsid w:val="57770C7B"/>
    <w:rsid w:val="57803FD4"/>
    <w:rsid w:val="57844C17"/>
    <w:rsid w:val="5785783C"/>
    <w:rsid w:val="578645E2"/>
    <w:rsid w:val="578730E0"/>
    <w:rsid w:val="579161E1"/>
    <w:rsid w:val="5794182D"/>
    <w:rsid w:val="57961A49"/>
    <w:rsid w:val="579806F7"/>
    <w:rsid w:val="579A2768"/>
    <w:rsid w:val="579B7D59"/>
    <w:rsid w:val="579C6FDE"/>
    <w:rsid w:val="579D6934"/>
    <w:rsid w:val="579E445A"/>
    <w:rsid w:val="57A35F14"/>
    <w:rsid w:val="57A71560"/>
    <w:rsid w:val="57AE0B41"/>
    <w:rsid w:val="57AE3C17"/>
    <w:rsid w:val="57AE6D93"/>
    <w:rsid w:val="57B40121"/>
    <w:rsid w:val="57B6722E"/>
    <w:rsid w:val="57BB500C"/>
    <w:rsid w:val="57C71C02"/>
    <w:rsid w:val="57C75F38"/>
    <w:rsid w:val="57C87729"/>
    <w:rsid w:val="57CA34A1"/>
    <w:rsid w:val="57CA46DA"/>
    <w:rsid w:val="57CA6C3D"/>
    <w:rsid w:val="57CB5B25"/>
    <w:rsid w:val="57CC0FC7"/>
    <w:rsid w:val="57CC7219"/>
    <w:rsid w:val="57D1482F"/>
    <w:rsid w:val="57D16491"/>
    <w:rsid w:val="57D305A7"/>
    <w:rsid w:val="57D8193B"/>
    <w:rsid w:val="57D911BD"/>
    <w:rsid w:val="57D936E4"/>
    <w:rsid w:val="57DB745C"/>
    <w:rsid w:val="57E23EC1"/>
    <w:rsid w:val="57E36310"/>
    <w:rsid w:val="57E411DB"/>
    <w:rsid w:val="57E9601D"/>
    <w:rsid w:val="57EA3B43"/>
    <w:rsid w:val="57EE3AB7"/>
    <w:rsid w:val="57EE53E1"/>
    <w:rsid w:val="57F10A2D"/>
    <w:rsid w:val="57F16C7F"/>
    <w:rsid w:val="57F30C49"/>
    <w:rsid w:val="57F56069"/>
    <w:rsid w:val="57F8000E"/>
    <w:rsid w:val="57FB365A"/>
    <w:rsid w:val="57FB7AFE"/>
    <w:rsid w:val="58000B6E"/>
    <w:rsid w:val="58006107"/>
    <w:rsid w:val="58015B5D"/>
    <w:rsid w:val="5806097D"/>
    <w:rsid w:val="58152E89"/>
    <w:rsid w:val="5818420C"/>
    <w:rsid w:val="581D7A74"/>
    <w:rsid w:val="581F37ED"/>
    <w:rsid w:val="5821343B"/>
    <w:rsid w:val="58247055"/>
    <w:rsid w:val="58276B45"/>
    <w:rsid w:val="58296419"/>
    <w:rsid w:val="582E3A30"/>
    <w:rsid w:val="583619CC"/>
    <w:rsid w:val="583D0117"/>
    <w:rsid w:val="584460E3"/>
    <w:rsid w:val="584D3288"/>
    <w:rsid w:val="584E7C2E"/>
    <w:rsid w:val="584F0427"/>
    <w:rsid w:val="58567061"/>
    <w:rsid w:val="585C536F"/>
    <w:rsid w:val="586236D9"/>
    <w:rsid w:val="587A4EC7"/>
    <w:rsid w:val="587D49B7"/>
    <w:rsid w:val="587D5CE1"/>
    <w:rsid w:val="58847AF3"/>
    <w:rsid w:val="58871392"/>
    <w:rsid w:val="58874CDC"/>
    <w:rsid w:val="58884FE1"/>
    <w:rsid w:val="588C69A8"/>
    <w:rsid w:val="58922210"/>
    <w:rsid w:val="58931AE5"/>
    <w:rsid w:val="58975B15"/>
    <w:rsid w:val="589A7317"/>
    <w:rsid w:val="589F66DB"/>
    <w:rsid w:val="58A106A5"/>
    <w:rsid w:val="58A57515"/>
    <w:rsid w:val="58A91308"/>
    <w:rsid w:val="58AC2BA6"/>
    <w:rsid w:val="58AC3E75"/>
    <w:rsid w:val="58AE4B70"/>
    <w:rsid w:val="58B3387C"/>
    <w:rsid w:val="58B932B5"/>
    <w:rsid w:val="58BA1767"/>
    <w:rsid w:val="58BD6D26"/>
    <w:rsid w:val="58BF2DCD"/>
    <w:rsid w:val="58C509B0"/>
    <w:rsid w:val="58C61EBA"/>
    <w:rsid w:val="58C643DB"/>
    <w:rsid w:val="58C83E84"/>
    <w:rsid w:val="58CE6FC1"/>
    <w:rsid w:val="58D04AE7"/>
    <w:rsid w:val="58D345D7"/>
    <w:rsid w:val="58D8399B"/>
    <w:rsid w:val="58DA3BB7"/>
    <w:rsid w:val="58DF1825"/>
    <w:rsid w:val="58E22CAF"/>
    <w:rsid w:val="58E80BC1"/>
    <w:rsid w:val="58EA0F35"/>
    <w:rsid w:val="58ED5699"/>
    <w:rsid w:val="58EE2E36"/>
    <w:rsid w:val="58EF3BED"/>
    <w:rsid w:val="58F00CE5"/>
    <w:rsid w:val="58F5279F"/>
    <w:rsid w:val="58F92290"/>
    <w:rsid w:val="58FC1D80"/>
    <w:rsid w:val="59011144"/>
    <w:rsid w:val="590824D3"/>
    <w:rsid w:val="590F3861"/>
    <w:rsid w:val="591075D9"/>
    <w:rsid w:val="5919648E"/>
    <w:rsid w:val="591C7D2C"/>
    <w:rsid w:val="591E36C1"/>
    <w:rsid w:val="591E3AA4"/>
    <w:rsid w:val="5923730C"/>
    <w:rsid w:val="592472FC"/>
    <w:rsid w:val="592762E1"/>
    <w:rsid w:val="592E15DE"/>
    <w:rsid w:val="592F10D6"/>
    <w:rsid w:val="59350DEE"/>
    <w:rsid w:val="593F3A1A"/>
    <w:rsid w:val="59407EBE"/>
    <w:rsid w:val="59426E86"/>
    <w:rsid w:val="594B5E47"/>
    <w:rsid w:val="59505C28"/>
    <w:rsid w:val="595219A0"/>
    <w:rsid w:val="595B0854"/>
    <w:rsid w:val="59626C1D"/>
    <w:rsid w:val="59650A9B"/>
    <w:rsid w:val="596522F4"/>
    <w:rsid w:val="596C2A61"/>
    <w:rsid w:val="59701E26"/>
    <w:rsid w:val="597726BB"/>
    <w:rsid w:val="597731B4"/>
    <w:rsid w:val="59796F2C"/>
    <w:rsid w:val="598425BF"/>
    <w:rsid w:val="598A113A"/>
    <w:rsid w:val="598C2666"/>
    <w:rsid w:val="5991071A"/>
    <w:rsid w:val="599109BB"/>
    <w:rsid w:val="59965D30"/>
    <w:rsid w:val="59987657"/>
    <w:rsid w:val="59A0570E"/>
    <w:rsid w:val="59A541C5"/>
    <w:rsid w:val="59AA17DC"/>
    <w:rsid w:val="59B166C6"/>
    <w:rsid w:val="59B5555C"/>
    <w:rsid w:val="59B77022"/>
    <w:rsid w:val="59BB5797"/>
    <w:rsid w:val="59C717A7"/>
    <w:rsid w:val="59C81C62"/>
    <w:rsid w:val="59C9278C"/>
    <w:rsid w:val="59CC1752"/>
    <w:rsid w:val="59D423B5"/>
    <w:rsid w:val="59D57251"/>
    <w:rsid w:val="59DF0C90"/>
    <w:rsid w:val="59E85E60"/>
    <w:rsid w:val="59EA1BD8"/>
    <w:rsid w:val="59F111B9"/>
    <w:rsid w:val="59F44805"/>
    <w:rsid w:val="59F64346"/>
    <w:rsid w:val="59F8072C"/>
    <w:rsid w:val="59FF38D6"/>
    <w:rsid w:val="59FF780A"/>
    <w:rsid w:val="5A022EA4"/>
    <w:rsid w:val="5A04713E"/>
    <w:rsid w:val="5A0536FD"/>
    <w:rsid w:val="5A054C64"/>
    <w:rsid w:val="5A07278A"/>
    <w:rsid w:val="5A0B7514"/>
    <w:rsid w:val="5A0C1B4F"/>
    <w:rsid w:val="5A1629CD"/>
    <w:rsid w:val="5A194661"/>
    <w:rsid w:val="5A1B6DAE"/>
    <w:rsid w:val="5A1E6BF4"/>
    <w:rsid w:val="5A2450EA"/>
    <w:rsid w:val="5A2774DF"/>
    <w:rsid w:val="5A2A0227"/>
    <w:rsid w:val="5A2D7D06"/>
    <w:rsid w:val="5A2E65D2"/>
    <w:rsid w:val="5A33357F"/>
    <w:rsid w:val="5A34430C"/>
    <w:rsid w:val="5A355A42"/>
    <w:rsid w:val="5A380B96"/>
    <w:rsid w:val="5A3B682F"/>
    <w:rsid w:val="5A3E3CD2"/>
    <w:rsid w:val="5A455061"/>
    <w:rsid w:val="5A494B51"/>
    <w:rsid w:val="5A4B6B1B"/>
    <w:rsid w:val="5A4C4641"/>
    <w:rsid w:val="5A4F7C8D"/>
    <w:rsid w:val="5A56726E"/>
    <w:rsid w:val="5A593C67"/>
    <w:rsid w:val="5A5A4FB0"/>
    <w:rsid w:val="5A5D5F5F"/>
    <w:rsid w:val="5A7140A7"/>
    <w:rsid w:val="5A751DEA"/>
    <w:rsid w:val="5A7871E4"/>
    <w:rsid w:val="5A7D43AF"/>
    <w:rsid w:val="5A7F67C4"/>
    <w:rsid w:val="5A854F44"/>
    <w:rsid w:val="5A8B7A02"/>
    <w:rsid w:val="5A8D06F5"/>
    <w:rsid w:val="5A8E4EF3"/>
    <w:rsid w:val="5A9009D2"/>
    <w:rsid w:val="5A9A35FE"/>
    <w:rsid w:val="5A9D30EE"/>
    <w:rsid w:val="5A9D4E9D"/>
    <w:rsid w:val="5A9F6E67"/>
    <w:rsid w:val="5AA067EF"/>
    <w:rsid w:val="5AA318F8"/>
    <w:rsid w:val="5AA75D1B"/>
    <w:rsid w:val="5AA77AC9"/>
    <w:rsid w:val="5AAE2C06"/>
    <w:rsid w:val="5AB53F94"/>
    <w:rsid w:val="5AB81CD6"/>
    <w:rsid w:val="5AB87F28"/>
    <w:rsid w:val="5AB95E0B"/>
    <w:rsid w:val="5AC05DA1"/>
    <w:rsid w:val="5AC8016B"/>
    <w:rsid w:val="5ACC5600"/>
    <w:rsid w:val="5ACC7530"/>
    <w:rsid w:val="5AD07919"/>
    <w:rsid w:val="5AD36B10"/>
    <w:rsid w:val="5AD71F2A"/>
    <w:rsid w:val="5ADA1C4D"/>
    <w:rsid w:val="5ADD34EB"/>
    <w:rsid w:val="5ADE5B20"/>
    <w:rsid w:val="5AE52197"/>
    <w:rsid w:val="5AEF6EF7"/>
    <w:rsid w:val="5AF63795"/>
    <w:rsid w:val="5B050662"/>
    <w:rsid w:val="5B062A42"/>
    <w:rsid w:val="5B073454"/>
    <w:rsid w:val="5B0F23A1"/>
    <w:rsid w:val="5B127639"/>
    <w:rsid w:val="5B172EA1"/>
    <w:rsid w:val="5B21787C"/>
    <w:rsid w:val="5B294982"/>
    <w:rsid w:val="5B2E6224"/>
    <w:rsid w:val="5B316E66"/>
    <w:rsid w:val="5B351579"/>
    <w:rsid w:val="5B3912C1"/>
    <w:rsid w:val="5B44356A"/>
    <w:rsid w:val="5B4517BC"/>
    <w:rsid w:val="5B455E20"/>
    <w:rsid w:val="5B4930DF"/>
    <w:rsid w:val="5B5564D8"/>
    <w:rsid w:val="5B5C08B4"/>
    <w:rsid w:val="5B5F03A4"/>
    <w:rsid w:val="5B637E94"/>
    <w:rsid w:val="5B6854AA"/>
    <w:rsid w:val="5B6B0AF7"/>
    <w:rsid w:val="5B6B6D49"/>
    <w:rsid w:val="5B726F99"/>
    <w:rsid w:val="5B767BC7"/>
    <w:rsid w:val="5B8027F4"/>
    <w:rsid w:val="5B82377C"/>
    <w:rsid w:val="5B85794B"/>
    <w:rsid w:val="5B876206"/>
    <w:rsid w:val="5B8865EE"/>
    <w:rsid w:val="5B904622"/>
    <w:rsid w:val="5B94004E"/>
    <w:rsid w:val="5B975D90"/>
    <w:rsid w:val="5B9A0723"/>
    <w:rsid w:val="5B9A566F"/>
    <w:rsid w:val="5BA34735"/>
    <w:rsid w:val="5BAF4251"/>
    <w:rsid w:val="5BAF6C35"/>
    <w:rsid w:val="5BB6101F"/>
    <w:rsid w:val="5BB95D06"/>
    <w:rsid w:val="5BBB7CD0"/>
    <w:rsid w:val="5BBF753B"/>
    <w:rsid w:val="5BC326E1"/>
    <w:rsid w:val="5BC621D1"/>
    <w:rsid w:val="5BC76675"/>
    <w:rsid w:val="5BCA7F13"/>
    <w:rsid w:val="5BCB77E7"/>
    <w:rsid w:val="5BCF1086"/>
    <w:rsid w:val="5BD53192"/>
    <w:rsid w:val="5BE2700B"/>
    <w:rsid w:val="5BE32D83"/>
    <w:rsid w:val="5BE3751A"/>
    <w:rsid w:val="5BE53CB5"/>
    <w:rsid w:val="5BED59B0"/>
    <w:rsid w:val="5BF1296B"/>
    <w:rsid w:val="5BF31218"/>
    <w:rsid w:val="5BF41138"/>
    <w:rsid w:val="5BF513AB"/>
    <w:rsid w:val="5BF705DC"/>
    <w:rsid w:val="5BFD0480"/>
    <w:rsid w:val="5BFE5E0F"/>
    <w:rsid w:val="5C02145B"/>
    <w:rsid w:val="5C052CF9"/>
    <w:rsid w:val="5C1473E0"/>
    <w:rsid w:val="5C1D6295"/>
    <w:rsid w:val="5C207B33"/>
    <w:rsid w:val="5C220A95"/>
    <w:rsid w:val="5C256F1F"/>
    <w:rsid w:val="5C2E2250"/>
    <w:rsid w:val="5C367357"/>
    <w:rsid w:val="5C3830CF"/>
    <w:rsid w:val="5C384E7D"/>
    <w:rsid w:val="5C3A224A"/>
    <w:rsid w:val="5C3A5C16"/>
    <w:rsid w:val="5C3B2BBF"/>
    <w:rsid w:val="5C3F26AF"/>
    <w:rsid w:val="5C4557EC"/>
    <w:rsid w:val="5C476060"/>
    <w:rsid w:val="5C484874"/>
    <w:rsid w:val="5C4D673A"/>
    <w:rsid w:val="5C4D7325"/>
    <w:rsid w:val="5C58107B"/>
    <w:rsid w:val="5C5B3371"/>
    <w:rsid w:val="5C5E0AD5"/>
    <w:rsid w:val="5C5F065B"/>
    <w:rsid w:val="5C6434F4"/>
    <w:rsid w:val="5C677510"/>
    <w:rsid w:val="5C78796F"/>
    <w:rsid w:val="5C7C0D5E"/>
    <w:rsid w:val="5C7E5BA7"/>
    <w:rsid w:val="5C7F25F0"/>
    <w:rsid w:val="5C8207EE"/>
    <w:rsid w:val="5C844566"/>
    <w:rsid w:val="5C847CF5"/>
    <w:rsid w:val="5C8731E0"/>
    <w:rsid w:val="5C8956D8"/>
    <w:rsid w:val="5C910A31"/>
    <w:rsid w:val="5C91458D"/>
    <w:rsid w:val="5C94283D"/>
    <w:rsid w:val="5C950521"/>
    <w:rsid w:val="5C961BA3"/>
    <w:rsid w:val="5C967DF5"/>
    <w:rsid w:val="5C981DBF"/>
    <w:rsid w:val="5C9E50CD"/>
    <w:rsid w:val="5CA644DC"/>
    <w:rsid w:val="5CAD5DC7"/>
    <w:rsid w:val="5CAE15E3"/>
    <w:rsid w:val="5CB07109"/>
    <w:rsid w:val="5CC26E3C"/>
    <w:rsid w:val="5CC52489"/>
    <w:rsid w:val="5CC6692D"/>
    <w:rsid w:val="5CC674F4"/>
    <w:rsid w:val="5CCB55A3"/>
    <w:rsid w:val="5CCB7A9F"/>
    <w:rsid w:val="5CD34BA6"/>
    <w:rsid w:val="5CD437AF"/>
    <w:rsid w:val="5CD56B70"/>
    <w:rsid w:val="5CD8040E"/>
    <w:rsid w:val="5CDC1CAC"/>
    <w:rsid w:val="5CDD5A24"/>
    <w:rsid w:val="5CDD77D2"/>
    <w:rsid w:val="5CEB5C9A"/>
    <w:rsid w:val="5CF22D62"/>
    <w:rsid w:val="5CF36FF6"/>
    <w:rsid w:val="5CF50FC0"/>
    <w:rsid w:val="5CFC40FC"/>
    <w:rsid w:val="5CFE60C6"/>
    <w:rsid w:val="5D012DE6"/>
    <w:rsid w:val="5D042FB1"/>
    <w:rsid w:val="5D0905C7"/>
    <w:rsid w:val="5D0B07E3"/>
    <w:rsid w:val="5D0C00B7"/>
    <w:rsid w:val="5D0C6A8A"/>
    <w:rsid w:val="5D104EA0"/>
    <w:rsid w:val="5D105DFA"/>
    <w:rsid w:val="5D1269E9"/>
    <w:rsid w:val="5D137698"/>
    <w:rsid w:val="5D170F36"/>
    <w:rsid w:val="5D172CE4"/>
    <w:rsid w:val="5D1859F9"/>
    <w:rsid w:val="5D1A6C78"/>
    <w:rsid w:val="5D1C479E"/>
    <w:rsid w:val="5D1D22C5"/>
    <w:rsid w:val="5D1D4073"/>
    <w:rsid w:val="5D224119"/>
    <w:rsid w:val="5D234AAA"/>
    <w:rsid w:val="5D291EC2"/>
    <w:rsid w:val="5D2D69AC"/>
    <w:rsid w:val="5D3121C7"/>
    <w:rsid w:val="5D323FC2"/>
    <w:rsid w:val="5D327B1E"/>
    <w:rsid w:val="5D333A77"/>
    <w:rsid w:val="5D3C6BEF"/>
    <w:rsid w:val="5D3E2967"/>
    <w:rsid w:val="5D3F048D"/>
    <w:rsid w:val="5D3F223B"/>
    <w:rsid w:val="5D431D2B"/>
    <w:rsid w:val="5D480B52"/>
    <w:rsid w:val="5D5201C0"/>
    <w:rsid w:val="5D550132"/>
    <w:rsid w:val="5D5B3FA4"/>
    <w:rsid w:val="5D5F6439"/>
    <w:rsid w:val="5D6121B1"/>
    <w:rsid w:val="5D665A1A"/>
    <w:rsid w:val="5D671136"/>
    <w:rsid w:val="5D681792"/>
    <w:rsid w:val="5D6D6DA8"/>
    <w:rsid w:val="5D706225"/>
    <w:rsid w:val="5D72590B"/>
    <w:rsid w:val="5D753EAF"/>
    <w:rsid w:val="5D812854"/>
    <w:rsid w:val="5D8E2724"/>
    <w:rsid w:val="5D976AEB"/>
    <w:rsid w:val="5D9E3405"/>
    <w:rsid w:val="5D9E51B4"/>
    <w:rsid w:val="5DA64068"/>
    <w:rsid w:val="5DAF5DE7"/>
    <w:rsid w:val="5DB06C95"/>
    <w:rsid w:val="5DB83605"/>
    <w:rsid w:val="5DB91FED"/>
    <w:rsid w:val="5DBE13B2"/>
    <w:rsid w:val="5DBE7C72"/>
    <w:rsid w:val="5DC34C1A"/>
    <w:rsid w:val="5DC908FF"/>
    <w:rsid w:val="5DCA7D57"/>
    <w:rsid w:val="5DD21301"/>
    <w:rsid w:val="5DD40040"/>
    <w:rsid w:val="5DD55880"/>
    <w:rsid w:val="5DD63EE7"/>
    <w:rsid w:val="5DDB01B6"/>
    <w:rsid w:val="5DE0757A"/>
    <w:rsid w:val="5DED613B"/>
    <w:rsid w:val="5DF272AD"/>
    <w:rsid w:val="5DF43D52"/>
    <w:rsid w:val="5DF6374F"/>
    <w:rsid w:val="5DFC1EDA"/>
    <w:rsid w:val="5DFE5C52"/>
    <w:rsid w:val="5E033269"/>
    <w:rsid w:val="5E053485"/>
    <w:rsid w:val="5E062D59"/>
    <w:rsid w:val="5E084D23"/>
    <w:rsid w:val="5E0B7D8E"/>
    <w:rsid w:val="5E135BA1"/>
    <w:rsid w:val="5E174F66"/>
    <w:rsid w:val="5E1B2CA8"/>
    <w:rsid w:val="5E1C257C"/>
    <w:rsid w:val="5E1E26DD"/>
    <w:rsid w:val="5E23390B"/>
    <w:rsid w:val="5E287173"/>
    <w:rsid w:val="5E2A2EEB"/>
    <w:rsid w:val="5E331DA0"/>
    <w:rsid w:val="5E345B18"/>
    <w:rsid w:val="5E347892"/>
    <w:rsid w:val="5E39312E"/>
    <w:rsid w:val="5E3E0745"/>
    <w:rsid w:val="5E457D25"/>
    <w:rsid w:val="5E4B7208"/>
    <w:rsid w:val="5E51181A"/>
    <w:rsid w:val="5E5878FA"/>
    <w:rsid w:val="5E59732C"/>
    <w:rsid w:val="5E5B4E53"/>
    <w:rsid w:val="5E5E4943"/>
    <w:rsid w:val="5E605CE1"/>
    <w:rsid w:val="5E643B77"/>
    <w:rsid w:val="5E6463FD"/>
    <w:rsid w:val="5E68756F"/>
    <w:rsid w:val="5E6957C1"/>
    <w:rsid w:val="5E6D45C2"/>
    <w:rsid w:val="5E6E102A"/>
    <w:rsid w:val="5E6F6B50"/>
    <w:rsid w:val="5E744166"/>
    <w:rsid w:val="5E745F14"/>
    <w:rsid w:val="5E761C8C"/>
    <w:rsid w:val="5E783C56"/>
    <w:rsid w:val="5E7D301B"/>
    <w:rsid w:val="5E7E1F3C"/>
    <w:rsid w:val="5E8343A9"/>
    <w:rsid w:val="5E875C48"/>
    <w:rsid w:val="5E8910F1"/>
    <w:rsid w:val="5E8A398A"/>
    <w:rsid w:val="5E8B689C"/>
    <w:rsid w:val="5E8D2D85"/>
    <w:rsid w:val="5E8F1076"/>
    <w:rsid w:val="5E9071F2"/>
    <w:rsid w:val="5E9422A5"/>
    <w:rsid w:val="5E9B16F3"/>
    <w:rsid w:val="5E9B5B97"/>
    <w:rsid w:val="5E9F5687"/>
    <w:rsid w:val="5EA164ED"/>
    <w:rsid w:val="5EA26F25"/>
    <w:rsid w:val="5EA379BA"/>
    <w:rsid w:val="5EA467FA"/>
    <w:rsid w:val="5EA522DC"/>
    <w:rsid w:val="5EA93C63"/>
    <w:rsid w:val="5EAB78EE"/>
    <w:rsid w:val="5EAC3900"/>
    <w:rsid w:val="5EB44658"/>
    <w:rsid w:val="5EB84053"/>
    <w:rsid w:val="5EBD5B0D"/>
    <w:rsid w:val="5EC321AE"/>
    <w:rsid w:val="5EC724E8"/>
    <w:rsid w:val="5ED03A93"/>
    <w:rsid w:val="5ED75D25"/>
    <w:rsid w:val="5EDA221B"/>
    <w:rsid w:val="5EDD1D0C"/>
    <w:rsid w:val="5EDF4EE7"/>
    <w:rsid w:val="5EDF7832"/>
    <w:rsid w:val="5EEB267A"/>
    <w:rsid w:val="5EEC01A1"/>
    <w:rsid w:val="5EF01A3F"/>
    <w:rsid w:val="5EF03798"/>
    <w:rsid w:val="5EF332DD"/>
    <w:rsid w:val="5EF36D50"/>
    <w:rsid w:val="5EF5193C"/>
    <w:rsid w:val="5EFA28BD"/>
    <w:rsid w:val="5EFD415C"/>
    <w:rsid w:val="5EFF7ED4"/>
    <w:rsid w:val="5F076D88"/>
    <w:rsid w:val="5F100333"/>
    <w:rsid w:val="5F10541D"/>
    <w:rsid w:val="5F13572D"/>
    <w:rsid w:val="5F182D44"/>
    <w:rsid w:val="5F1871E8"/>
    <w:rsid w:val="5F1D035A"/>
    <w:rsid w:val="5F1D3505"/>
    <w:rsid w:val="5F1E27A5"/>
    <w:rsid w:val="5F201F4B"/>
    <w:rsid w:val="5F212B3A"/>
    <w:rsid w:val="5F296CFF"/>
    <w:rsid w:val="5F2D2C93"/>
    <w:rsid w:val="5F2D4A41"/>
    <w:rsid w:val="5F2E07B9"/>
    <w:rsid w:val="5F2E2F07"/>
    <w:rsid w:val="5F351B48"/>
    <w:rsid w:val="5F381638"/>
    <w:rsid w:val="5F3C4C84"/>
    <w:rsid w:val="5F49114F"/>
    <w:rsid w:val="5F4A6E10"/>
    <w:rsid w:val="5F4B4EC7"/>
    <w:rsid w:val="5F5024DD"/>
    <w:rsid w:val="5F5244A8"/>
    <w:rsid w:val="5F585836"/>
    <w:rsid w:val="5F5D68C2"/>
    <w:rsid w:val="5F5F721C"/>
    <w:rsid w:val="5F607DBD"/>
    <w:rsid w:val="5F61293D"/>
    <w:rsid w:val="5F6749DD"/>
    <w:rsid w:val="5F7A755A"/>
    <w:rsid w:val="5F7D704B"/>
    <w:rsid w:val="5F814D8D"/>
    <w:rsid w:val="5F81656F"/>
    <w:rsid w:val="5F8328B3"/>
    <w:rsid w:val="5F88611B"/>
    <w:rsid w:val="5F8F1665"/>
    <w:rsid w:val="5F903222"/>
    <w:rsid w:val="5F9A5E4E"/>
    <w:rsid w:val="5F9A7BFD"/>
    <w:rsid w:val="5F9B7550"/>
    <w:rsid w:val="5FA10F8B"/>
    <w:rsid w:val="5FA12D39"/>
    <w:rsid w:val="5FA32F55"/>
    <w:rsid w:val="5FA34D03"/>
    <w:rsid w:val="5FA647F3"/>
    <w:rsid w:val="5FA97E40"/>
    <w:rsid w:val="5FAA42E4"/>
    <w:rsid w:val="5FB54A36"/>
    <w:rsid w:val="5FB7255D"/>
    <w:rsid w:val="5FBA3DFB"/>
    <w:rsid w:val="5FBF1411"/>
    <w:rsid w:val="5FC84972"/>
    <w:rsid w:val="5FCB425A"/>
    <w:rsid w:val="5FCC6C5E"/>
    <w:rsid w:val="5FD21144"/>
    <w:rsid w:val="5FD22AF3"/>
    <w:rsid w:val="5FD41360"/>
    <w:rsid w:val="5FE5356E"/>
    <w:rsid w:val="5FF11F12"/>
    <w:rsid w:val="5FF27A39"/>
    <w:rsid w:val="5FF5139F"/>
    <w:rsid w:val="5FFC7F96"/>
    <w:rsid w:val="60011A2A"/>
    <w:rsid w:val="60022E07"/>
    <w:rsid w:val="60121E89"/>
    <w:rsid w:val="601220F3"/>
    <w:rsid w:val="60151A0B"/>
    <w:rsid w:val="60177CFC"/>
    <w:rsid w:val="601849F0"/>
    <w:rsid w:val="60196D73"/>
    <w:rsid w:val="601A003A"/>
    <w:rsid w:val="601B0D3D"/>
    <w:rsid w:val="601D2D07"/>
    <w:rsid w:val="601E438A"/>
    <w:rsid w:val="601F01B7"/>
    <w:rsid w:val="602038E2"/>
    <w:rsid w:val="60234096"/>
    <w:rsid w:val="60255718"/>
    <w:rsid w:val="60290D9E"/>
    <w:rsid w:val="602F6597"/>
    <w:rsid w:val="6031230F"/>
    <w:rsid w:val="6037544B"/>
    <w:rsid w:val="603911C4"/>
    <w:rsid w:val="603B06CA"/>
    <w:rsid w:val="60430294"/>
    <w:rsid w:val="60473A81"/>
    <w:rsid w:val="60490736"/>
    <w:rsid w:val="604D4C6F"/>
    <w:rsid w:val="604F1291"/>
    <w:rsid w:val="604F3564"/>
    <w:rsid w:val="604F6C39"/>
    <w:rsid w:val="60566219"/>
    <w:rsid w:val="60575AEE"/>
    <w:rsid w:val="60655AED"/>
    <w:rsid w:val="60686D7D"/>
    <w:rsid w:val="606875FB"/>
    <w:rsid w:val="606A75CF"/>
    <w:rsid w:val="606B6E69"/>
    <w:rsid w:val="606F2E37"/>
    <w:rsid w:val="607A30E7"/>
    <w:rsid w:val="607B35EA"/>
    <w:rsid w:val="607C7302"/>
    <w:rsid w:val="60912DAE"/>
    <w:rsid w:val="60933A1C"/>
    <w:rsid w:val="60970B0D"/>
    <w:rsid w:val="60A24FBB"/>
    <w:rsid w:val="60A46F85"/>
    <w:rsid w:val="60A73D51"/>
    <w:rsid w:val="60A76A75"/>
    <w:rsid w:val="60AC7F80"/>
    <w:rsid w:val="60AD48BB"/>
    <w:rsid w:val="60AF1486"/>
    <w:rsid w:val="60B116A2"/>
    <w:rsid w:val="60B87932"/>
    <w:rsid w:val="60C135B9"/>
    <w:rsid w:val="60C27AD9"/>
    <w:rsid w:val="60C34F31"/>
    <w:rsid w:val="60C74A21"/>
    <w:rsid w:val="60CC214E"/>
    <w:rsid w:val="60CC64DC"/>
    <w:rsid w:val="60D3786A"/>
    <w:rsid w:val="60D45AF5"/>
    <w:rsid w:val="60DB04CD"/>
    <w:rsid w:val="60E51589"/>
    <w:rsid w:val="60E70C20"/>
    <w:rsid w:val="60EB4BB4"/>
    <w:rsid w:val="60EE6452"/>
    <w:rsid w:val="60FD0443"/>
    <w:rsid w:val="61021EFD"/>
    <w:rsid w:val="61024E1C"/>
    <w:rsid w:val="610704A0"/>
    <w:rsid w:val="610C1A1E"/>
    <w:rsid w:val="610C68D8"/>
    <w:rsid w:val="61156BA0"/>
    <w:rsid w:val="611834CF"/>
    <w:rsid w:val="6118527D"/>
    <w:rsid w:val="61271964"/>
    <w:rsid w:val="6129748A"/>
    <w:rsid w:val="612B67C4"/>
    <w:rsid w:val="612E4AA0"/>
    <w:rsid w:val="61301E59"/>
    <w:rsid w:val="61333E65"/>
    <w:rsid w:val="613E3956"/>
    <w:rsid w:val="614610A0"/>
    <w:rsid w:val="61464BA5"/>
    <w:rsid w:val="61482832"/>
    <w:rsid w:val="614D1FB2"/>
    <w:rsid w:val="614E5143"/>
    <w:rsid w:val="61500EBB"/>
    <w:rsid w:val="6151253D"/>
    <w:rsid w:val="61584500"/>
    <w:rsid w:val="615A7643"/>
    <w:rsid w:val="616404C2"/>
    <w:rsid w:val="61691F7C"/>
    <w:rsid w:val="616F3EC5"/>
    <w:rsid w:val="617052C8"/>
    <w:rsid w:val="61706E67"/>
    <w:rsid w:val="61785D1C"/>
    <w:rsid w:val="617A5F38"/>
    <w:rsid w:val="618446C0"/>
    <w:rsid w:val="61874B2D"/>
    <w:rsid w:val="618D7A19"/>
    <w:rsid w:val="619568CD"/>
    <w:rsid w:val="619A3EE4"/>
    <w:rsid w:val="619C5937"/>
    <w:rsid w:val="619C7C5C"/>
    <w:rsid w:val="61A62640"/>
    <w:rsid w:val="61A84056"/>
    <w:rsid w:val="61AB46AC"/>
    <w:rsid w:val="61AC182A"/>
    <w:rsid w:val="61AF3E33"/>
    <w:rsid w:val="61B256D1"/>
    <w:rsid w:val="61B425F9"/>
    <w:rsid w:val="61B431F8"/>
    <w:rsid w:val="61B84CCE"/>
    <w:rsid w:val="61BC3E5A"/>
    <w:rsid w:val="61C13B66"/>
    <w:rsid w:val="61C251E9"/>
    <w:rsid w:val="61C55405"/>
    <w:rsid w:val="61C6117D"/>
    <w:rsid w:val="61CA2A1B"/>
    <w:rsid w:val="61CB0541"/>
    <w:rsid w:val="61CB22EF"/>
    <w:rsid w:val="61CD250B"/>
    <w:rsid w:val="61CE1DDF"/>
    <w:rsid w:val="61D073CF"/>
    <w:rsid w:val="61D75138"/>
    <w:rsid w:val="61D908F6"/>
    <w:rsid w:val="61D90EB0"/>
    <w:rsid w:val="61D94A0C"/>
    <w:rsid w:val="61DD113A"/>
    <w:rsid w:val="61DF3FED"/>
    <w:rsid w:val="61E84C4F"/>
    <w:rsid w:val="61EB0BE3"/>
    <w:rsid w:val="61EB73DC"/>
    <w:rsid w:val="61ED04B8"/>
    <w:rsid w:val="61ED4EC3"/>
    <w:rsid w:val="61EF2482"/>
    <w:rsid w:val="61F45CEA"/>
    <w:rsid w:val="61FF4DE4"/>
    <w:rsid w:val="6200643D"/>
    <w:rsid w:val="62045E49"/>
    <w:rsid w:val="620D6DAC"/>
    <w:rsid w:val="62127F1E"/>
    <w:rsid w:val="6217409D"/>
    <w:rsid w:val="62214605"/>
    <w:rsid w:val="62214B27"/>
    <w:rsid w:val="622770EE"/>
    <w:rsid w:val="62292C64"/>
    <w:rsid w:val="62294D82"/>
    <w:rsid w:val="622C5484"/>
    <w:rsid w:val="623065F6"/>
    <w:rsid w:val="623600B0"/>
    <w:rsid w:val="62397BA1"/>
    <w:rsid w:val="623A0D90"/>
    <w:rsid w:val="623C31ED"/>
    <w:rsid w:val="62441037"/>
    <w:rsid w:val="62444196"/>
    <w:rsid w:val="624C1682"/>
    <w:rsid w:val="624C2201"/>
    <w:rsid w:val="624F1172"/>
    <w:rsid w:val="624F4CCE"/>
    <w:rsid w:val="62514EEA"/>
    <w:rsid w:val="62530F5B"/>
    <w:rsid w:val="62565016"/>
    <w:rsid w:val="625C563D"/>
    <w:rsid w:val="625E1759"/>
    <w:rsid w:val="626077EB"/>
    <w:rsid w:val="62620EA5"/>
    <w:rsid w:val="626B762E"/>
    <w:rsid w:val="626C3AD2"/>
    <w:rsid w:val="627110E9"/>
    <w:rsid w:val="62774225"/>
    <w:rsid w:val="62782477"/>
    <w:rsid w:val="627961EF"/>
    <w:rsid w:val="628250A4"/>
    <w:rsid w:val="6287090C"/>
    <w:rsid w:val="628801E0"/>
    <w:rsid w:val="628A3F58"/>
    <w:rsid w:val="628D57F7"/>
    <w:rsid w:val="628F77C1"/>
    <w:rsid w:val="62913539"/>
    <w:rsid w:val="6293593A"/>
    <w:rsid w:val="62991FE0"/>
    <w:rsid w:val="62A25746"/>
    <w:rsid w:val="62A74B0A"/>
    <w:rsid w:val="62AB641B"/>
    <w:rsid w:val="62AF1C11"/>
    <w:rsid w:val="62B40FD5"/>
    <w:rsid w:val="62B47227"/>
    <w:rsid w:val="62B81B06"/>
    <w:rsid w:val="62BA0AE5"/>
    <w:rsid w:val="62BB05B6"/>
    <w:rsid w:val="62C05BCC"/>
    <w:rsid w:val="62C27B96"/>
    <w:rsid w:val="62C425BA"/>
    <w:rsid w:val="62C76F5B"/>
    <w:rsid w:val="62D022B3"/>
    <w:rsid w:val="62D376AD"/>
    <w:rsid w:val="62D97496"/>
    <w:rsid w:val="62DE6052"/>
    <w:rsid w:val="62E12300"/>
    <w:rsid w:val="62E21FE6"/>
    <w:rsid w:val="62E23AD3"/>
    <w:rsid w:val="62E443F7"/>
    <w:rsid w:val="62E96ED1"/>
    <w:rsid w:val="62EA49F7"/>
    <w:rsid w:val="62EA58DA"/>
    <w:rsid w:val="62EE3F20"/>
    <w:rsid w:val="62F77414"/>
    <w:rsid w:val="62F835B8"/>
    <w:rsid w:val="62F87114"/>
    <w:rsid w:val="63041F5D"/>
    <w:rsid w:val="631101D6"/>
    <w:rsid w:val="6311467A"/>
    <w:rsid w:val="63115B6B"/>
    <w:rsid w:val="63116D77"/>
    <w:rsid w:val="63155F18"/>
    <w:rsid w:val="63212B0F"/>
    <w:rsid w:val="632223E3"/>
    <w:rsid w:val="63224191"/>
    <w:rsid w:val="6324011D"/>
    <w:rsid w:val="63241AAA"/>
    <w:rsid w:val="632950E8"/>
    <w:rsid w:val="632C14B3"/>
    <w:rsid w:val="63302D52"/>
    <w:rsid w:val="633D0FCB"/>
    <w:rsid w:val="63452C99"/>
    <w:rsid w:val="63493E13"/>
    <w:rsid w:val="634C7460"/>
    <w:rsid w:val="63517278"/>
    <w:rsid w:val="6354435E"/>
    <w:rsid w:val="63572A72"/>
    <w:rsid w:val="635D341B"/>
    <w:rsid w:val="63635CA8"/>
    <w:rsid w:val="63643264"/>
    <w:rsid w:val="636522D0"/>
    <w:rsid w:val="636649C5"/>
    <w:rsid w:val="63666773"/>
    <w:rsid w:val="636E73D6"/>
    <w:rsid w:val="6372336A"/>
    <w:rsid w:val="63755EBC"/>
    <w:rsid w:val="637846F9"/>
    <w:rsid w:val="637D67C5"/>
    <w:rsid w:val="637F5A87"/>
    <w:rsid w:val="637F7835"/>
    <w:rsid w:val="63860BC4"/>
    <w:rsid w:val="638A52D0"/>
    <w:rsid w:val="638B46E2"/>
    <w:rsid w:val="638E5CCA"/>
    <w:rsid w:val="63953DDD"/>
    <w:rsid w:val="63974B7F"/>
    <w:rsid w:val="639B2D1C"/>
    <w:rsid w:val="639D5F0D"/>
    <w:rsid w:val="63A8758A"/>
    <w:rsid w:val="63AB687C"/>
    <w:rsid w:val="63AE1EC8"/>
    <w:rsid w:val="63B61744"/>
    <w:rsid w:val="63B70D7D"/>
    <w:rsid w:val="63C56446"/>
    <w:rsid w:val="63D731CD"/>
    <w:rsid w:val="63E1229E"/>
    <w:rsid w:val="63E13995"/>
    <w:rsid w:val="63E15DFA"/>
    <w:rsid w:val="63E458EA"/>
    <w:rsid w:val="63E678B4"/>
    <w:rsid w:val="63EA26AF"/>
    <w:rsid w:val="63EB4ECB"/>
    <w:rsid w:val="63EC3A6A"/>
    <w:rsid w:val="63EF5B81"/>
    <w:rsid w:val="63F024E1"/>
    <w:rsid w:val="63F43D7F"/>
    <w:rsid w:val="63F7561D"/>
    <w:rsid w:val="63F875A0"/>
    <w:rsid w:val="63F90952"/>
    <w:rsid w:val="63FD075A"/>
    <w:rsid w:val="63FF0976"/>
    <w:rsid w:val="64055F8C"/>
    <w:rsid w:val="64095516"/>
    <w:rsid w:val="640D6BEF"/>
    <w:rsid w:val="64133C7F"/>
    <w:rsid w:val="64153CF6"/>
    <w:rsid w:val="64175CC0"/>
    <w:rsid w:val="64191A38"/>
    <w:rsid w:val="641C32D6"/>
    <w:rsid w:val="641C5084"/>
    <w:rsid w:val="641F6922"/>
    <w:rsid w:val="641F7CE8"/>
    <w:rsid w:val="642A77A1"/>
    <w:rsid w:val="64300B2F"/>
    <w:rsid w:val="64306D81"/>
    <w:rsid w:val="643423CE"/>
    <w:rsid w:val="64395C36"/>
    <w:rsid w:val="643B7C00"/>
    <w:rsid w:val="644B4371"/>
    <w:rsid w:val="644B4527"/>
    <w:rsid w:val="644C3BBB"/>
    <w:rsid w:val="644F4F6C"/>
    <w:rsid w:val="64560FE6"/>
    <w:rsid w:val="64591E34"/>
    <w:rsid w:val="645B2050"/>
    <w:rsid w:val="6461518D"/>
    <w:rsid w:val="64630F05"/>
    <w:rsid w:val="6470717E"/>
    <w:rsid w:val="6486408C"/>
    <w:rsid w:val="648F1CFA"/>
    <w:rsid w:val="64914D14"/>
    <w:rsid w:val="649873A9"/>
    <w:rsid w:val="64AB56D3"/>
    <w:rsid w:val="64AC6408"/>
    <w:rsid w:val="64AF2944"/>
    <w:rsid w:val="64B25829"/>
    <w:rsid w:val="64B82FFF"/>
    <w:rsid w:val="64C23E7D"/>
    <w:rsid w:val="64C80D68"/>
    <w:rsid w:val="64CF3058"/>
    <w:rsid w:val="64D158FD"/>
    <w:rsid w:val="64D8544F"/>
    <w:rsid w:val="64DB6CED"/>
    <w:rsid w:val="64DE2339"/>
    <w:rsid w:val="64EE6A81"/>
    <w:rsid w:val="64EF2799"/>
    <w:rsid w:val="64F7342E"/>
    <w:rsid w:val="64F767C2"/>
    <w:rsid w:val="64FB5BB0"/>
    <w:rsid w:val="650669B1"/>
    <w:rsid w:val="65071890"/>
    <w:rsid w:val="65091AAC"/>
    <w:rsid w:val="650A1380"/>
    <w:rsid w:val="650A312E"/>
    <w:rsid w:val="650D2C1F"/>
    <w:rsid w:val="650E0491"/>
    <w:rsid w:val="650F6997"/>
    <w:rsid w:val="6511270F"/>
    <w:rsid w:val="65151063"/>
    <w:rsid w:val="6516510E"/>
    <w:rsid w:val="65165479"/>
    <w:rsid w:val="65174A38"/>
    <w:rsid w:val="651D10B4"/>
    <w:rsid w:val="651F60C8"/>
    <w:rsid w:val="65206DF6"/>
    <w:rsid w:val="65240694"/>
    <w:rsid w:val="6526661E"/>
    <w:rsid w:val="65273CE0"/>
    <w:rsid w:val="6528425F"/>
    <w:rsid w:val="6529060A"/>
    <w:rsid w:val="652B466B"/>
    <w:rsid w:val="652C4CA3"/>
    <w:rsid w:val="653463FD"/>
    <w:rsid w:val="653B59DE"/>
    <w:rsid w:val="653D52B2"/>
    <w:rsid w:val="654C3747"/>
    <w:rsid w:val="65515201"/>
    <w:rsid w:val="6554084E"/>
    <w:rsid w:val="6558033E"/>
    <w:rsid w:val="655A40B6"/>
    <w:rsid w:val="655C6080"/>
    <w:rsid w:val="655D3BA6"/>
    <w:rsid w:val="655F16CC"/>
    <w:rsid w:val="65605444"/>
    <w:rsid w:val="65652A5B"/>
    <w:rsid w:val="6569254B"/>
    <w:rsid w:val="656960A7"/>
    <w:rsid w:val="656E190F"/>
    <w:rsid w:val="657A6A22"/>
    <w:rsid w:val="657F3B1C"/>
    <w:rsid w:val="65813D24"/>
    <w:rsid w:val="6582360D"/>
    <w:rsid w:val="65837F7C"/>
    <w:rsid w:val="65842EE1"/>
    <w:rsid w:val="658438EC"/>
    <w:rsid w:val="65856C59"/>
    <w:rsid w:val="6588624B"/>
    <w:rsid w:val="65890AD6"/>
    <w:rsid w:val="65896749"/>
    <w:rsid w:val="65896776"/>
    <w:rsid w:val="658E3D60"/>
    <w:rsid w:val="65905D2A"/>
    <w:rsid w:val="65960E66"/>
    <w:rsid w:val="65A215B9"/>
    <w:rsid w:val="65A24FCD"/>
    <w:rsid w:val="65A25A5D"/>
    <w:rsid w:val="65A843BD"/>
    <w:rsid w:val="65AE2E2B"/>
    <w:rsid w:val="65B01F28"/>
    <w:rsid w:val="65B732B6"/>
    <w:rsid w:val="65B80DDC"/>
    <w:rsid w:val="65BA57AE"/>
    <w:rsid w:val="65BB267B"/>
    <w:rsid w:val="65BC08CD"/>
    <w:rsid w:val="65C459D3"/>
    <w:rsid w:val="65C47781"/>
    <w:rsid w:val="65D11E9E"/>
    <w:rsid w:val="65D33DA4"/>
    <w:rsid w:val="65D33E68"/>
    <w:rsid w:val="65D439C8"/>
    <w:rsid w:val="65D5198E"/>
    <w:rsid w:val="65DE32B0"/>
    <w:rsid w:val="65E120E1"/>
    <w:rsid w:val="65E25E59"/>
    <w:rsid w:val="65E47E23"/>
    <w:rsid w:val="65E676F8"/>
    <w:rsid w:val="65E7034F"/>
    <w:rsid w:val="65ED6CD8"/>
    <w:rsid w:val="65F00576"/>
    <w:rsid w:val="65F51104"/>
    <w:rsid w:val="65FC1361"/>
    <w:rsid w:val="65FC33BF"/>
    <w:rsid w:val="65FC6F1B"/>
    <w:rsid w:val="65FE0EE5"/>
    <w:rsid w:val="66055338"/>
    <w:rsid w:val="66065FEC"/>
    <w:rsid w:val="660B53B0"/>
    <w:rsid w:val="661A0932"/>
    <w:rsid w:val="661E2C2A"/>
    <w:rsid w:val="661F4304"/>
    <w:rsid w:val="6626043C"/>
    <w:rsid w:val="662D3578"/>
    <w:rsid w:val="66316133"/>
    <w:rsid w:val="663266EB"/>
    <w:rsid w:val="663849C4"/>
    <w:rsid w:val="664B39FF"/>
    <w:rsid w:val="664E02A3"/>
    <w:rsid w:val="664F7AE6"/>
    <w:rsid w:val="665834AB"/>
    <w:rsid w:val="6659611C"/>
    <w:rsid w:val="665F56FC"/>
    <w:rsid w:val="66650F64"/>
    <w:rsid w:val="66676D2D"/>
    <w:rsid w:val="666F3B91"/>
    <w:rsid w:val="66726677"/>
    <w:rsid w:val="66773B04"/>
    <w:rsid w:val="66794A10"/>
    <w:rsid w:val="66846F11"/>
    <w:rsid w:val="6686712D"/>
    <w:rsid w:val="669050C9"/>
    <w:rsid w:val="66984C06"/>
    <w:rsid w:val="66990C0E"/>
    <w:rsid w:val="66A82BFF"/>
    <w:rsid w:val="66AD373E"/>
    <w:rsid w:val="66B71094"/>
    <w:rsid w:val="66B9305E"/>
    <w:rsid w:val="66BA3EC8"/>
    <w:rsid w:val="66BE0674"/>
    <w:rsid w:val="66C44661"/>
    <w:rsid w:val="66CB4B3F"/>
    <w:rsid w:val="66CD2666"/>
    <w:rsid w:val="66D165FA"/>
    <w:rsid w:val="66D934A5"/>
    <w:rsid w:val="66E4436D"/>
    <w:rsid w:val="66E9429C"/>
    <w:rsid w:val="66F26570"/>
    <w:rsid w:val="66F347C2"/>
    <w:rsid w:val="66F61BBC"/>
    <w:rsid w:val="66F978FF"/>
    <w:rsid w:val="66FB09D9"/>
    <w:rsid w:val="670361B5"/>
    <w:rsid w:val="67050051"/>
    <w:rsid w:val="6708495D"/>
    <w:rsid w:val="670A2FDC"/>
    <w:rsid w:val="670F0ED0"/>
    <w:rsid w:val="670F2FB6"/>
    <w:rsid w:val="6712481A"/>
    <w:rsid w:val="671309C0"/>
    <w:rsid w:val="671B5AC7"/>
    <w:rsid w:val="6721173E"/>
    <w:rsid w:val="672B624D"/>
    <w:rsid w:val="672C55DE"/>
    <w:rsid w:val="672C78F1"/>
    <w:rsid w:val="67334E8F"/>
    <w:rsid w:val="673448E0"/>
    <w:rsid w:val="6735274A"/>
    <w:rsid w:val="673821D5"/>
    <w:rsid w:val="67397CFB"/>
    <w:rsid w:val="673F17B5"/>
    <w:rsid w:val="67430B7A"/>
    <w:rsid w:val="67440BA6"/>
    <w:rsid w:val="6744501E"/>
    <w:rsid w:val="67452B44"/>
    <w:rsid w:val="674768BC"/>
    <w:rsid w:val="674C3ED2"/>
    <w:rsid w:val="674D780C"/>
    <w:rsid w:val="674E7C4A"/>
    <w:rsid w:val="67582877"/>
    <w:rsid w:val="675863D3"/>
    <w:rsid w:val="675D1C3B"/>
    <w:rsid w:val="675D60DF"/>
    <w:rsid w:val="675E4875"/>
    <w:rsid w:val="675F3C06"/>
    <w:rsid w:val="67616BD1"/>
    <w:rsid w:val="676A25AA"/>
    <w:rsid w:val="67702502"/>
    <w:rsid w:val="67717495"/>
    <w:rsid w:val="67751FBB"/>
    <w:rsid w:val="67753429"/>
    <w:rsid w:val="6779459B"/>
    <w:rsid w:val="677A0A3F"/>
    <w:rsid w:val="678C2521"/>
    <w:rsid w:val="678C42CF"/>
    <w:rsid w:val="67902011"/>
    <w:rsid w:val="6796514D"/>
    <w:rsid w:val="679715F1"/>
    <w:rsid w:val="67A05FCC"/>
    <w:rsid w:val="67A300C5"/>
    <w:rsid w:val="67A45ABC"/>
    <w:rsid w:val="67A57C93"/>
    <w:rsid w:val="67AC4971"/>
    <w:rsid w:val="67B101D9"/>
    <w:rsid w:val="67B26553"/>
    <w:rsid w:val="67BA07B7"/>
    <w:rsid w:val="67BA0E3C"/>
    <w:rsid w:val="67BD092C"/>
    <w:rsid w:val="67C1041C"/>
    <w:rsid w:val="67C33DB9"/>
    <w:rsid w:val="67CC6DC1"/>
    <w:rsid w:val="67CE7AFB"/>
    <w:rsid w:val="67CF5C52"/>
    <w:rsid w:val="67D31EFE"/>
    <w:rsid w:val="67D363DA"/>
    <w:rsid w:val="67D55C76"/>
    <w:rsid w:val="67D619EE"/>
    <w:rsid w:val="67D77C40"/>
    <w:rsid w:val="67D86D97"/>
    <w:rsid w:val="67D87514"/>
    <w:rsid w:val="67E12EC9"/>
    <w:rsid w:val="67E35558"/>
    <w:rsid w:val="67E45EB9"/>
    <w:rsid w:val="67E851F4"/>
    <w:rsid w:val="67EB5499"/>
    <w:rsid w:val="67EE08F1"/>
    <w:rsid w:val="67FB3202"/>
    <w:rsid w:val="67FD341E"/>
    <w:rsid w:val="68014CBD"/>
    <w:rsid w:val="68016A6B"/>
    <w:rsid w:val="6804655B"/>
    <w:rsid w:val="68071BA7"/>
    <w:rsid w:val="6808604B"/>
    <w:rsid w:val="680A39FF"/>
    <w:rsid w:val="680B5B3B"/>
    <w:rsid w:val="6813679E"/>
    <w:rsid w:val="68172D06"/>
    <w:rsid w:val="681C38A5"/>
    <w:rsid w:val="6823019F"/>
    <w:rsid w:val="682409AB"/>
    <w:rsid w:val="68260DAD"/>
    <w:rsid w:val="682D5AB2"/>
    <w:rsid w:val="682D7186"/>
    <w:rsid w:val="682E35D8"/>
    <w:rsid w:val="68330BEE"/>
    <w:rsid w:val="683B7691"/>
    <w:rsid w:val="684150B9"/>
    <w:rsid w:val="68444BA9"/>
    <w:rsid w:val="68525518"/>
    <w:rsid w:val="685A1B55"/>
    <w:rsid w:val="685C4343"/>
    <w:rsid w:val="686134C7"/>
    <w:rsid w:val="686139AD"/>
    <w:rsid w:val="68646FFA"/>
    <w:rsid w:val="68655B93"/>
    <w:rsid w:val="68660FC4"/>
    <w:rsid w:val="68673A42"/>
    <w:rsid w:val="68686AEA"/>
    <w:rsid w:val="68703BF0"/>
    <w:rsid w:val="68741C6C"/>
    <w:rsid w:val="68753644"/>
    <w:rsid w:val="687A16BB"/>
    <w:rsid w:val="687C4343"/>
    <w:rsid w:val="688309BE"/>
    <w:rsid w:val="688558EE"/>
    <w:rsid w:val="68866F70"/>
    <w:rsid w:val="688E4077"/>
    <w:rsid w:val="688F22C8"/>
    <w:rsid w:val="689F5B50"/>
    <w:rsid w:val="68A84905"/>
    <w:rsid w:val="68AA5354"/>
    <w:rsid w:val="68AB4C28"/>
    <w:rsid w:val="68AD09A1"/>
    <w:rsid w:val="68AF4719"/>
    <w:rsid w:val="68B202B8"/>
    <w:rsid w:val="68B63CF9"/>
    <w:rsid w:val="68B7181F"/>
    <w:rsid w:val="68B834D5"/>
    <w:rsid w:val="68B91BF7"/>
    <w:rsid w:val="68BB130F"/>
    <w:rsid w:val="68BC4EEE"/>
    <w:rsid w:val="68C1444C"/>
    <w:rsid w:val="68C227CC"/>
    <w:rsid w:val="68CF4DBB"/>
    <w:rsid w:val="68D47A7B"/>
    <w:rsid w:val="68D70847"/>
    <w:rsid w:val="68D75A1D"/>
    <w:rsid w:val="68DC1286"/>
    <w:rsid w:val="68E1689C"/>
    <w:rsid w:val="68E51EE8"/>
    <w:rsid w:val="68E63EB3"/>
    <w:rsid w:val="68E65C61"/>
    <w:rsid w:val="68E66553"/>
    <w:rsid w:val="68E709AD"/>
    <w:rsid w:val="68E96C6A"/>
    <w:rsid w:val="68EA1939"/>
    <w:rsid w:val="68EB1B3B"/>
    <w:rsid w:val="68ED244F"/>
    <w:rsid w:val="68EF2D67"/>
    <w:rsid w:val="68F4037D"/>
    <w:rsid w:val="68F4573B"/>
    <w:rsid w:val="68F5561D"/>
    <w:rsid w:val="68F86230"/>
    <w:rsid w:val="69036813"/>
    <w:rsid w:val="69076303"/>
    <w:rsid w:val="690D143F"/>
    <w:rsid w:val="6917406C"/>
    <w:rsid w:val="691B590A"/>
    <w:rsid w:val="69202FE0"/>
    <w:rsid w:val="692073C4"/>
    <w:rsid w:val="69252C2D"/>
    <w:rsid w:val="692A0243"/>
    <w:rsid w:val="692C3FBB"/>
    <w:rsid w:val="692F7608"/>
    <w:rsid w:val="69305620"/>
    <w:rsid w:val="693D1D24"/>
    <w:rsid w:val="693D5CD9"/>
    <w:rsid w:val="693E3CEF"/>
    <w:rsid w:val="693E5A9D"/>
    <w:rsid w:val="69401815"/>
    <w:rsid w:val="69407A67"/>
    <w:rsid w:val="694616A0"/>
    <w:rsid w:val="694806C9"/>
    <w:rsid w:val="694D7A8E"/>
    <w:rsid w:val="695232F6"/>
    <w:rsid w:val="69524E67"/>
    <w:rsid w:val="695452C0"/>
    <w:rsid w:val="69554911"/>
    <w:rsid w:val="695B1809"/>
    <w:rsid w:val="695B31AD"/>
    <w:rsid w:val="695D4175"/>
    <w:rsid w:val="695E52C5"/>
    <w:rsid w:val="69623539"/>
    <w:rsid w:val="696279DD"/>
    <w:rsid w:val="696564DC"/>
    <w:rsid w:val="69674FF3"/>
    <w:rsid w:val="69717D79"/>
    <w:rsid w:val="69745DE0"/>
    <w:rsid w:val="697B0A9F"/>
    <w:rsid w:val="697D65C5"/>
    <w:rsid w:val="69803AFD"/>
    <w:rsid w:val="69804BFB"/>
    <w:rsid w:val="69864AD8"/>
    <w:rsid w:val="698711F2"/>
    <w:rsid w:val="69880E06"/>
    <w:rsid w:val="698E432E"/>
    <w:rsid w:val="699851AD"/>
    <w:rsid w:val="699B6A4B"/>
    <w:rsid w:val="69A022B3"/>
    <w:rsid w:val="69A173E4"/>
    <w:rsid w:val="69A35DAC"/>
    <w:rsid w:val="69A36249"/>
    <w:rsid w:val="69B33D95"/>
    <w:rsid w:val="69B4750A"/>
    <w:rsid w:val="69B53464"/>
    <w:rsid w:val="69B70500"/>
    <w:rsid w:val="69C30CA1"/>
    <w:rsid w:val="69CB580E"/>
    <w:rsid w:val="69CC30A8"/>
    <w:rsid w:val="69CC70FA"/>
    <w:rsid w:val="69CF36F7"/>
    <w:rsid w:val="69D00DEB"/>
    <w:rsid w:val="69D1246D"/>
    <w:rsid w:val="69D34437"/>
    <w:rsid w:val="69D361E5"/>
    <w:rsid w:val="69D56401"/>
    <w:rsid w:val="69DB3213"/>
    <w:rsid w:val="69E91EAC"/>
    <w:rsid w:val="69E9754E"/>
    <w:rsid w:val="69EB79D2"/>
    <w:rsid w:val="69EE4AD9"/>
    <w:rsid w:val="69F36887"/>
    <w:rsid w:val="69F61ED3"/>
    <w:rsid w:val="69FA05BC"/>
    <w:rsid w:val="6A022F6E"/>
    <w:rsid w:val="6A0A597F"/>
    <w:rsid w:val="6A0D5B9B"/>
    <w:rsid w:val="6A0E36C1"/>
    <w:rsid w:val="6A1011E7"/>
    <w:rsid w:val="6A130CD7"/>
    <w:rsid w:val="6A1C4030"/>
    <w:rsid w:val="6A1D56B2"/>
    <w:rsid w:val="6A2353BE"/>
    <w:rsid w:val="6A244C92"/>
    <w:rsid w:val="6A2922A9"/>
    <w:rsid w:val="6A2932CB"/>
    <w:rsid w:val="6A297B56"/>
    <w:rsid w:val="6A2B1144"/>
    <w:rsid w:val="6A303637"/>
    <w:rsid w:val="6A3D5D54"/>
    <w:rsid w:val="6A3D7B02"/>
    <w:rsid w:val="6A445335"/>
    <w:rsid w:val="6A4470E3"/>
    <w:rsid w:val="6A461E56"/>
    <w:rsid w:val="6A484E25"/>
    <w:rsid w:val="6A502AF1"/>
    <w:rsid w:val="6A507835"/>
    <w:rsid w:val="6A5437CA"/>
    <w:rsid w:val="6A545497"/>
    <w:rsid w:val="6A576E16"/>
    <w:rsid w:val="6A5C267E"/>
    <w:rsid w:val="6A5E607B"/>
    <w:rsid w:val="6A617C95"/>
    <w:rsid w:val="6A641533"/>
    <w:rsid w:val="6A674B7F"/>
    <w:rsid w:val="6A682DD1"/>
    <w:rsid w:val="6A687ABA"/>
    <w:rsid w:val="6A6E23B2"/>
    <w:rsid w:val="6A6E7069"/>
    <w:rsid w:val="6A701C86"/>
    <w:rsid w:val="6A7774B8"/>
    <w:rsid w:val="6A837C0B"/>
    <w:rsid w:val="6A8952F1"/>
    <w:rsid w:val="6A8D6CDC"/>
    <w:rsid w:val="6A8E035E"/>
    <w:rsid w:val="6A941E18"/>
    <w:rsid w:val="6A9811DC"/>
    <w:rsid w:val="6A982008"/>
    <w:rsid w:val="6A9E2C97"/>
    <w:rsid w:val="6A9E67F3"/>
    <w:rsid w:val="6AA302AD"/>
    <w:rsid w:val="6AA67D9D"/>
    <w:rsid w:val="6AA70FDE"/>
    <w:rsid w:val="6AA933EA"/>
    <w:rsid w:val="6AAA0B92"/>
    <w:rsid w:val="6AAD2EDA"/>
    <w:rsid w:val="6AAD6A36"/>
    <w:rsid w:val="6ABB67D3"/>
    <w:rsid w:val="6ABE50E7"/>
    <w:rsid w:val="6AC10733"/>
    <w:rsid w:val="6AC63F9C"/>
    <w:rsid w:val="6AC81AC2"/>
    <w:rsid w:val="6ACC2D8A"/>
    <w:rsid w:val="6ACD532A"/>
    <w:rsid w:val="6AD32FB2"/>
    <w:rsid w:val="6AD37813"/>
    <w:rsid w:val="6AD761A9"/>
    <w:rsid w:val="6AE21FF0"/>
    <w:rsid w:val="6AE34B4E"/>
    <w:rsid w:val="6AE508C6"/>
    <w:rsid w:val="6AE663EC"/>
    <w:rsid w:val="6AFB1E97"/>
    <w:rsid w:val="6B030D4C"/>
    <w:rsid w:val="6B054A88"/>
    <w:rsid w:val="6B076001"/>
    <w:rsid w:val="6B080110"/>
    <w:rsid w:val="6B0A3E88"/>
    <w:rsid w:val="6B0D1266"/>
    <w:rsid w:val="6B150DB3"/>
    <w:rsid w:val="6B170353"/>
    <w:rsid w:val="6B1749FA"/>
    <w:rsid w:val="6B26541A"/>
    <w:rsid w:val="6B2D5DC9"/>
    <w:rsid w:val="6B2E6F89"/>
    <w:rsid w:val="6B2F1B41"/>
    <w:rsid w:val="6B2F7D93"/>
    <w:rsid w:val="6B317667"/>
    <w:rsid w:val="6B333743"/>
    <w:rsid w:val="6B344B4C"/>
    <w:rsid w:val="6B3A047F"/>
    <w:rsid w:val="6B413622"/>
    <w:rsid w:val="6B460C38"/>
    <w:rsid w:val="6B4849B1"/>
    <w:rsid w:val="6B4D1FC7"/>
    <w:rsid w:val="6B4E6DEC"/>
    <w:rsid w:val="6B560E7C"/>
    <w:rsid w:val="6B5E5F82"/>
    <w:rsid w:val="6B6048CC"/>
    <w:rsid w:val="6B623CC4"/>
    <w:rsid w:val="6B625A72"/>
    <w:rsid w:val="6B6317EA"/>
    <w:rsid w:val="6B67752D"/>
    <w:rsid w:val="6B6F018F"/>
    <w:rsid w:val="6B7D0AFE"/>
    <w:rsid w:val="6B802BD0"/>
    <w:rsid w:val="6B8A4FC9"/>
    <w:rsid w:val="6B9145AA"/>
    <w:rsid w:val="6B94207B"/>
    <w:rsid w:val="6B961BC0"/>
    <w:rsid w:val="6B99520C"/>
    <w:rsid w:val="6B9A16B0"/>
    <w:rsid w:val="6BA31C16"/>
    <w:rsid w:val="6BA77929"/>
    <w:rsid w:val="6BA8732E"/>
    <w:rsid w:val="6BA936A1"/>
    <w:rsid w:val="6BAC3191"/>
    <w:rsid w:val="6BAE0CB8"/>
    <w:rsid w:val="6BB34520"/>
    <w:rsid w:val="6BB362CE"/>
    <w:rsid w:val="6BB718F2"/>
    <w:rsid w:val="6BB90FAB"/>
    <w:rsid w:val="6BBE4C73"/>
    <w:rsid w:val="6BC4672D"/>
    <w:rsid w:val="6BC77FCB"/>
    <w:rsid w:val="6BC8789F"/>
    <w:rsid w:val="6BCA186A"/>
    <w:rsid w:val="6BCE072B"/>
    <w:rsid w:val="6BD3071E"/>
    <w:rsid w:val="6BD526E8"/>
    <w:rsid w:val="6BD6020E"/>
    <w:rsid w:val="6BE4292B"/>
    <w:rsid w:val="6BE533E4"/>
    <w:rsid w:val="6BE64C6B"/>
    <w:rsid w:val="6BE72DB3"/>
    <w:rsid w:val="6BF35F8F"/>
    <w:rsid w:val="6BF84629"/>
    <w:rsid w:val="6BFD39ED"/>
    <w:rsid w:val="6C030CB5"/>
    <w:rsid w:val="6C092392"/>
    <w:rsid w:val="6C0E5F5E"/>
    <w:rsid w:val="6C1800DE"/>
    <w:rsid w:val="6C184383"/>
    <w:rsid w:val="6C2076DB"/>
    <w:rsid w:val="6C226FA5"/>
    <w:rsid w:val="6C290BE4"/>
    <w:rsid w:val="6C292A34"/>
    <w:rsid w:val="6C293FB2"/>
    <w:rsid w:val="6C3225AC"/>
    <w:rsid w:val="6C354F35"/>
    <w:rsid w:val="6C360CAD"/>
    <w:rsid w:val="6C3D203B"/>
    <w:rsid w:val="6C3F7B62"/>
    <w:rsid w:val="6C45791D"/>
    <w:rsid w:val="6C465394"/>
    <w:rsid w:val="6C474C68"/>
    <w:rsid w:val="6C494E84"/>
    <w:rsid w:val="6C4D6279"/>
    <w:rsid w:val="6C501D6F"/>
    <w:rsid w:val="6C507FC1"/>
    <w:rsid w:val="6C575B38"/>
    <w:rsid w:val="6C5A499B"/>
    <w:rsid w:val="6C5D623A"/>
    <w:rsid w:val="6C6121CE"/>
    <w:rsid w:val="6C692E30"/>
    <w:rsid w:val="6C6D1ED1"/>
    <w:rsid w:val="6C700663"/>
    <w:rsid w:val="6C711CE5"/>
    <w:rsid w:val="6C731F01"/>
    <w:rsid w:val="6C733CAF"/>
    <w:rsid w:val="6C735A5D"/>
    <w:rsid w:val="6C77379F"/>
    <w:rsid w:val="6C787517"/>
    <w:rsid w:val="6C790F05"/>
    <w:rsid w:val="6C857302"/>
    <w:rsid w:val="6C8F7550"/>
    <w:rsid w:val="6C9003BD"/>
    <w:rsid w:val="6C9205D9"/>
    <w:rsid w:val="6C922387"/>
    <w:rsid w:val="6C944351"/>
    <w:rsid w:val="6C962452"/>
    <w:rsid w:val="6C975BF0"/>
    <w:rsid w:val="6C9C4FB4"/>
    <w:rsid w:val="6CA125CA"/>
    <w:rsid w:val="6CA16A6E"/>
    <w:rsid w:val="6CA9147F"/>
    <w:rsid w:val="6CAD0F6F"/>
    <w:rsid w:val="6CAD5413"/>
    <w:rsid w:val="6CAF0419"/>
    <w:rsid w:val="6CB26F14"/>
    <w:rsid w:val="6CB56076"/>
    <w:rsid w:val="6CB71DEE"/>
    <w:rsid w:val="6CBA19D1"/>
    <w:rsid w:val="6CBC3587"/>
    <w:rsid w:val="6CC8224D"/>
    <w:rsid w:val="6CC90045"/>
    <w:rsid w:val="6CCD7863"/>
    <w:rsid w:val="6CD26C28"/>
    <w:rsid w:val="6CD52274"/>
    <w:rsid w:val="6CDE381E"/>
    <w:rsid w:val="6CDE55CC"/>
    <w:rsid w:val="6CE30E35"/>
    <w:rsid w:val="6CE36ECA"/>
    <w:rsid w:val="6CE6428E"/>
    <w:rsid w:val="6CE92FDF"/>
    <w:rsid w:val="6CED3A62"/>
    <w:rsid w:val="6CED562C"/>
    <w:rsid w:val="6CED5810"/>
    <w:rsid w:val="6CF86FAF"/>
    <w:rsid w:val="6CF90658"/>
    <w:rsid w:val="6CFA1CDB"/>
    <w:rsid w:val="6CFB1519"/>
    <w:rsid w:val="6CFB3CF7"/>
    <w:rsid w:val="6D003795"/>
    <w:rsid w:val="6D062D75"/>
    <w:rsid w:val="6D071350"/>
    <w:rsid w:val="6D0B1BA5"/>
    <w:rsid w:val="6D0B3EE8"/>
    <w:rsid w:val="6D0D7C60"/>
    <w:rsid w:val="6D1014FE"/>
    <w:rsid w:val="6D107750"/>
    <w:rsid w:val="6D140FEE"/>
    <w:rsid w:val="6D142D9C"/>
    <w:rsid w:val="6D1A7BD3"/>
    <w:rsid w:val="6D1B05CF"/>
    <w:rsid w:val="6D1E3C1B"/>
    <w:rsid w:val="6D211C0C"/>
    <w:rsid w:val="6D25144D"/>
    <w:rsid w:val="6D262AD0"/>
    <w:rsid w:val="6D264001"/>
    <w:rsid w:val="6D2A6A64"/>
    <w:rsid w:val="6D2F5E28"/>
    <w:rsid w:val="6D372F2F"/>
    <w:rsid w:val="6D374CDD"/>
    <w:rsid w:val="6D3B2A1F"/>
    <w:rsid w:val="6D4713C4"/>
    <w:rsid w:val="6D493B1E"/>
    <w:rsid w:val="6D4A4652"/>
    <w:rsid w:val="6D4C69DA"/>
    <w:rsid w:val="6D4D2752"/>
    <w:rsid w:val="6D4D4500"/>
    <w:rsid w:val="6D500531"/>
    <w:rsid w:val="6D511F41"/>
    <w:rsid w:val="6D512242"/>
    <w:rsid w:val="6D527D69"/>
    <w:rsid w:val="6D5543FC"/>
    <w:rsid w:val="6D594C53"/>
    <w:rsid w:val="6D5A44AD"/>
    <w:rsid w:val="6D5D015D"/>
    <w:rsid w:val="6D5E670D"/>
    <w:rsid w:val="6D694B57"/>
    <w:rsid w:val="6D6A3304"/>
    <w:rsid w:val="6D6A6E60"/>
    <w:rsid w:val="6D6F26C8"/>
    <w:rsid w:val="6D70425D"/>
    <w:rsid w:val="6D71425C"/>
    <w:rsid w:val="6D741A8D"/>
    <w:rsid w:val="6D764365"/>
    <w:rsid w:val="6D7777CF"/>
    <w:rsid w:val="6D7B317E"/>
    <w:rsid w:val="6D8048D6"/>
    <w:rsid w:val="6D8141AA"/>
    <w:rsid w:val="6D853C9A"/>
    <w:rsid w:val="6D88378A"/>
    <w:rsid w:val="6D885538"/>
    <w:rsid w:val="6D8E2EFE"/>
    <w:rsid w:val="6D987878"/>
    <w:rsid w:val="6D9B170F"/>
    <w:rsid w:val="6D9B526C"/>
    <w:rsid w:val="6D9E4D5C"/>
    <w:rsid w:val="6DA265FA"/>
    <w:rsid w:val="6DA751E6"/>
    <w:rsid w:val="6DA93557"/>
    <w:rsid w:val="6DAB4125"/>
    <w:rsid w:val="6DAF0D17"/>
    <w:rsid w:val="6DB1683D"/>
    <w:rsid w:val="6DC50B5F"/>
    <w:rsid w:val="6DCA5B51"/>
    <w:rsid w:val="6DCF4F15"/>
    <w:rsid w:val="6DD15131"/>
    <w:rsid w:val="6DD20564"/>
    <w:rsid w:val="6DD23D47"/>
    <w:rsid w:val="6DD864C0"/>
    <w:rsid w:val="6DDB5FB0"/>
    <w:rsid w:val="6DDD38A7"/>
    <w:rsid w:val="6DE54739"/>
    <w:rsid w:val="6DE85FD7"/>
    <w:rsid w:val="6DEB2489"/>
    <w:rsid w:val="6DEC3D19"/>
    <w:rsid w:val="6DEF21E8"/>
    <w:rsid w:val="6E021A03"/>
    <w:rsid w:val="6E056B89"/>
    <w:rsid w:val="6E081007"/>
    <w:rsid w:val="6E0A6EA2"/>
    <w:rsid w:val="6E0D6585"/>
    <w:rsid w:val="6E106A42"/>
    <w:rsid w:val="6E1119D2"/>
    <w:rsid w:val="6E146DCC"/>
    <w:rsid w:val="6E160824"/>
    <w:rsid w:val="6E160D96"/>
    <w:rsid w:val="6E166FE8"/>
    <w:rsid w:val="6E191BB0"/>
    <w:rsid w:val="6E1D3E88"/>
    <w:rsid w:val="6E1F6131"/>
    <w:rsid w:val="6E2F3C06"/>
    <w:rsid w:val="6E31797E"/>
    <w:rsid w:val="6E354EC7"/>
    <w:rsid w:val="6E491521"/>
    <w:rsid w:val="6E4A5DE9"/>
    <w:rsid w:val="6E4C2A0A"/>
    <w:rsid w:val="6E4F1578"/>
    <w:rsid w:val="6E5024FA"/>
    <w:rsid w:val="6E5604DC"/>
    <w:rsid w:val="6E5A5127"/>
    <w:rsid w:val="6E5A6DAA"/>
    <w:rsid w:val="6E5C77FA"/>
    <w:rsid w:val="6E5D0773"/>
    <w:rsid w:val="6E5D4C17"/>
    <w:rsid w:val="6E640503"/>
    <w:rsid w:val="6E647AAD"/>
    <w:rsid w:val="6E66587A"/>
    <w:rsid w:val="6E7066F8"/>
    <w:rsid w:val="6E731D44"/>
    <w:rsid w:val="6E786E93"/>
    <w:rsid w:val="6E7F693B"/>
    <w:rsid w:val="6E8126B3"/>
    <w:rsid w:val="6E82467D"/>
    <w:rsid w:val="6E824A7D"/>
    <w:rsid w:val="6E82642B"/>
    <w:rsid w:val="6E867CCA"/>
    <w:rsid w:val="6E8E0738"/>
    <w:rsid w:val="6E8E0F22"/>
    <w:rsid w:val="6E906D9A"/>
    <w:rsid w:val="6E970129"/>
    <w:rsid w:val="6E9E14B7"/>
    <w:rsid w:val="6EA12D56"/>
    <w:rsid w:val="6EA33813"/>
    <w:rsid w:val="6EA840E4"/>
    <w:rsid w:val="6EA92939"/>
    <w:rsid w:val="6EA97E5C"/>
    <w:rsid w:val="6EAA288C"/>
    <w:rsid w:val="6EBA3E17"/>
    <w:rsid w:val="6EBB4183"/>
    <w:rsid w:val="6EBE3907"/>
    <w:rsid w:val="6EBE56B6"/>
    <w:rsid w:val="6EC16F54"/>
    <w:rsid w:val="6ECD58F9"/>
    <w:rsid w:val="6ED33B23"/>
    <w:rsid w:val="6ED53D6E"/>
    <w:rsid w:val="6ED749C9"/>
    <w:rsid w:val="6EDC04F7"/>
    <w:rsid w:val="6EDC3D8E"/>
    <w:rsid w:val="6EDF387E"/>
    <w:rsid w:val="6EE36ECA"/>
    <w:rsid w:val="6EE449F0"/>
    <w:rsid w:val="6EE91D09"/>
    <w:rsid w:val="6EE964AB"/>
    <w:rsid w:val="6EED3D54"/>
    <w:rsid w:val="6EEE3AC1"/>
    <w:rsid w:val="6EF410D7"/>
    <w:rsid w:val="6EF54EE0"/>
    <w:rsid w:val="6EF70BC7"/>
    <w:rsid w:val="6EF74444"/>
    <w:rsid w:val="6EFA4214"/>
    <w:rsid w:val="6F0532E4"/>
    <w:rsid w:val="6F070479"/>
    <w:rsid w:val="6F0F4163"/>
    <w:rsid w:val="6F176B74"/>
    <w:rsid w:val="6F190B3E"/>
    <w:rsid w:val="6F1A3BE3"/>
    <w:rsid w:val="6F1C062E"/>
    <w:rsid w:val="6F2B6AC3"/>
    <w:rsid w:val="6F3040D9"/>
    <w:rsid w:val="6F3239AE"/>
    <w:rsid w:val="6F337466"/>
    <w:rsid w:val="6F3C2A7E"/>
    <w:rsid w:val="6F3C5AED"/>
    <w:rsid w:val="6F40431D"/>
    <w:rsid w:val="6F460A9E"/>
    <w:rsid w:val="6F4656AB"/>
    <w:rsid w:val="6F467459"/>
    <w:rsid w:val="6F481423"/>
    <w:rsid w:val="6F49087B"/>
    <w:rsid w:val="6F4F27B2"/>
    <w:rsid w:val="6F510109"/>
    <w:rsid w:val="6F5222A2"/>
    <w:rsid w:val="6F525DFE"/>
    <w:rsid w:val="6F562F29"/>
    <w:rsid w:val="6F6124E5"/>
    <w:rsid w:val="6F61569F"/>
    <w:rsid w:val="6F651FD5"/>
    <w:rsid w:val="6F6B2142"/>
    <w:rsid w:val="6F6B6EC0"/>
    <w:rsid w:val="6F6C3363"/>
    <w:rsid w:val="6F6E77E9"/>
    <w:rsid w:val="6F6F4C02"/>
    <w:rsid w:val="6F7738E4"/>
    <w:rsid w:val="6F7B5355"/>
    <w:rsid w:val="6F7C10CD"/>
    <w:rsid w:val="6F885CC3"/>
    <w:rsid w:val="6F8A1A3C"/>
    <w:rsid w:val="6F8A37EA"/>
    <w:rsid w:val="6F914B78"/>
    <w:rsid w:val="6F9208F0"/>
    <w:rsid w:val="6F926B42"/>
    <w:rsid w:val="6F977CB5"/>
    <w:rsid w:val="6F98301C"/>
    <w:rsid w:val="6F996CC6"/>
    <w:rsid w:val="6F9C351D"/>
    <w:rsid w:val="6F9E1A48"/>
    <w:rsid w:val="6F9E7295"/>
    <w:rsid w:val="6FA731D4"/>
    <w:rsid w:val="6FA80114"/>
    <w:rsid w:val="6FA973ED"/>
    <w:rsid w:val="6FAA5C3A"/>
    <w:rsid w:val="6FB1521A"/>
    <w:rsid w:val="6FB2689C"/>
    <w:rsid w:val="6FB62831"/>
    <w:rsid w:val="6FB6638D"/>
    <w:rsid w:val="6FBB39A3"/>
    <w:rsid w:val="6FC34F4E"/>
    <w:rsid w:val="6FD11419"/>
    <w:rsid w:val="6FD20CED"/>
    <w:rsid w:val="6FD827A7"/>
    <w:rsid w:val="6FE07831"/>
    <w:rsid w:val="6FE27182"/>
    <w:rsid w:val="6FE454B9"/>
    <w:rsid w:val="6FE4739E"/>
    <w:rsid w:val="6FE56C72"/>
    <w:rsid w:val="6FEB4A15"/>
    <w:rsid w:val="6FF00E32"/>
    <w:rsid w:val="6FF45107"/>
    <w:rsid w:val="6FF70753"/>
    <w:rsid w:val="6FFE5859"/>
    <w:rsid w:val="6FFE5F86"/>
    <w:rsid w:val="70044037"/>
    <w:rsid w:val="700A0487"/>
    <w:rsid w:val="700D3C59"/>
    <w:rsid w:val="700D7F77"/>
    <w:rsid w:val="700E5256"/>
    <w:rsid w:val="700E61C9"/>
    <w:rsid w:val="70161521"/>
    <w:rsid w:val="70182BA3"/>
    <w:rsid w:val="701E3F32"/>
    <w:rsid w:val="702112E4"/>
    <w:rsid w:val="70280693"/>
    <w:rsid w:val="702C48A1"/>
    <w:rsid w:val="702E686B"/>
    <w:rsid w:val="70322CD7"/>
    <w:rsid w:val="7036571F"/>
    <w:rsid w:val="70377729"/>
    <w:rsid w:val="703B0F88"/>
    <w:rsid w:val="703B2D36"/>
    <w:rsid w:val="703D085C"/>
    <w:rsid w:val="703D260A"/>
    <w:rsid w:val="703D2ECD"/>
    <w:rsid w:val="70453BB5"/>
    <w:rsid w:val="704863BD"/>
    <w:rsid w:val="704F13E1"/>
    <w:rsid w:val="704F233D"/>
    <w:rsid w:val="705A7660"/>
    <w:rsid w:val="705B5186"/>
    <w:rsid w:val="705D4984"/>
    <w:rsid w:val="705F07D2"/>
    <w:rsid w:val="70601E15"/>
    <w:rsid w:val="70651B61"/>
    <w:rsid w:val="706758D9"/>
    <w:rsid w:val="70694B6B"/>
    <w:rsid w:val="706978A3"/>
    <w:rsid w:val="706A53C9"/>
    <w:rsid w:val="706C1141"/>
    <w:rsid w:val="706E6C67"/>
    <w:rsid w:val="706F15C2"/>
    <w:rsid w:val="706F5F82"/>
    <w:rsid w:val="707029DF"/>
    <w:rsid w:val="7075449A"/>
    <w:rsid w:val="70761FC0"/>
    <w:rsid w:val="707662E3"/>
    <w:rsid w:val="707A1AB0"/>
    <w:rsid w:val="707A560C"/>
    <w:rsid w:val="707B3132"/>
    <w:rsid w:val="70800D73"/>
    <w:rsid w:val="7080699B"/>
    <w:rsid w:val="7082657D"/>
    <w:rsid w:val="70877D29"/>
    <w:rsid w:val="7089584F"/>
    <w:rsid w:val="708A15C7"/>
    <w:rsid w:val="708F6BDE"/>
    <w:rsid w:val="70926DFA"/>
    <w:rsid w:val="70983CE4"/>
    <w:rsid w:val="709B37D5"/>
    <w:rsid w:val="709E7593"/>
    <w:rsid w:val="70A032B4"/>
    <w:rsid w:val="70A250AF"/>
    <w:rsid w:val="70A72179"/>
    <w:rsid w:val="70B40892"/>
    <w:rsid w:val="70B52AE8"/>
    <w:rsid w:val="70BA2B31"/>
    <w:rsid w:val="70BD199D"/>
    <w:rsid w:val="70BD374B"/>
    <w:rsid w:val="70C04FE9"/>
    <w:rsid w:val="70C42D2B"/>
    <w:rsid w:val="70C76378"/>
    <w:rsid w:val="70CD3B44"/>
    <w:rsid w:val="70E84C6C"/>
    <w:rsid w:val="70EE5FFA"/>
    <w:rsid w:val="70F133F4"/>
    <w:rsid w:val="70F22B5B"/>
    <w:rsid w:val="70F62C6D"/>
    <w:rsid w:val="70F74EAF"/>
    <w:rsid w:val="70F76C5D"/>
    <w:rsid w:val="70FE5CB7"/>
    <w:rsid w:val="70FE6438"/>
    <w:rsid w:val="71107458"/>
    <w:rsid w:val="71107D1F"/>
    <w:rsid w:val="71121CE9"/>
    <w:rsid w:val="71153587"/>
    <w:rsid w:val="711D41EA"/>
    <w:rsid w:val="71260ADC"/>
    <w:rsid w:val="712B2DAA"/>
    <w:rsid w:val="71346187"/>
    <w:rsid w:val="713A4D9B"/>
    <w:rsid w:val="713D663A"/>
    <w:rsid w:val="7141612A"/>
    <w:rsid w:val="714A0E46"/>
    <w:rsid w:val="714B6FA9"/>
    <w:rsid w:val="714C7EEE"/>
    <w:rsid w:val="71500A63"/>
    <w:rsid w:val="715E6CDC"/>
    <w:rsid w:val="716342F2"/>
    <w:rsid w:val="7164006A"/>
    <w:rsid w:val="71663DE2"/>
    <w:rsid w:val="71681909"/>
    <w:rsid w:val="71685DAD"/>
    <w:rsid w:val="716E4A51"/>
    <w:rsid w:val="716F2C97"/>
    <w:rsid w:val="71752277"/>
    <w:rsid w:val="71775FF0"/>
    <w:rsid w:val="717958C4"/>
    <w:rsid w:val="717973E2"/>
    <w:rsid w:val="717C3E22"/>
    <w:rsid w:val="71844269"/>
    <w:rsid w:val="718524BB"/>
    <w:rsid w:val="71863021"/>
    <w:rsid w:val="71881FAB"/>
    <w:rsid w:val="718D5813"/>
    <w:rsid w:val="718F50E7"/>
    <w:rsid w:val="71920B24"/>
    <w:rsid w:val="71970440"/>
    <w:rsid w:val="71A30B93"/>
    <w:rsid w:val="71A83EFC"/>
    <w:rsid w:val="71A869B5"/>
    <w:rsid w:val="71AF12E6"/>
    <w:rsid w:val="71B42DA0"/>
    <w:rsid w:val="71B903B6"/>
    <w:rsid w:val="71BC7EA6"/>
    <w:rsid w:val="71C901EF"/>
    <w:rsid w:val="71CD20B4"/>
    <w:rsid w:val="71D15700"/>
    <w:rsid w:val="71D84CE0"/>
    <w:rsid w:val="71DB032D"/>
    <w:rsid w:val="71DE0417"/>
    <w:rsid w:val="71DE606F"/>
    <w:rsid w:val="71DE6893"/>
    <w:rsid w:val="71EC253A"/>
    <w:rsid w:val="71EE02B7"/>
    <w:rsid w:val="71F31B1A"/>
    <w:rsid w:val="71F66F14"/>
    <w:rsid w:val="71F907B3"/>
    <w:rsid w:val="71F979A1"/>
    <w:rsid w:val="71FA5FC9"/>
    <w:rsid w:val="71FB41EE"/>
    <w:rsid w:val="71FC1587"/>
    <w:rsid w:val="71FE04BF"/>
    <w:rsid w:val="72005FE5"/>
    <w:rsid w:val="72023B0B"/>
    <w:rsid w:val="72035AD5"/>
    <w:rsid w:val="72054A52"/>
    <w:rsid w:val="720553A9"/>
    <w:rsid w:val="72084E9A"/>
    <w:rsid w:val="72092710"/>
    <w:rsid w:val="72097785"/>
    <w:rsid w:val="720B63C0"/>
    <w:rsid w:val="72111FA0"/>
    <w:rsid w:val="72113D4E"/>
    <w:rsid w:val="72121874"/>
    <w:rsid w:val="721675B7"/>
    <w:rsid w:val="72181AC2"/>
    <w:rsid w:val="721C436A"/>
    <w:rsid w:val="721D0945"/>
    <w:rsid w:val="721D6B97"/>
    <w:rsid w:val="722021E3"/>
    <w:rsid w:val="722338DF"/>
    <w:rsid w:val="72255A4C"/>
    <w:rsid w:val="72262B22"/>
    <w:rsid w:val="722967A7"/>
    <w:rsid w:val="72321D2E"/>
    <w:rsid w:val="72331F17"/>
    <w:rsid w:val="7233543C"/>
    <w:rsid w:val="723637B5"/>
    <w:rsid w:val="723839D1"/>
    <w:rsid w:val="7239060C"/>
    <w:rsid w:val="723D4CB4"/>
    <w:rsid w:val="72402885"/>
    <w:rsid w:val="72440D8F"/>
    <w:rsid w:val="72446555"/>
    <w:rsid w:val="725F0F5E"/>
    <w:rsid w:val="7269003D"/>
    <w:rsid w:val="72691DDC"/>
    <w:rsid w:val="726A345E"/>
    <w:rsid w:val="72783DCD"/>
    <w:rsid w:val="727B38BE"/>
    <w:rsid w:val="727B566C"/>
    <w:rsid w:val="727E484F"/>
    <w:rsid w:val="72844AE1"/>
    <w:rsid w:val="728564EA"/>
    <w:rsid w:val="72872262"/>
    <w:rsid w:val="728A0953"/>
    <w:rsid w:val="728C1627"/>
    <w:rsid w:val="728C46EF"/>
    <w:rsid w:val="728C6DF8"/>
    <w:rsid w:val="728E1843"/>
    <w:rsid w:val="72907369"/>
    <w:rsid w:val="7294672D"/>
    <w:rsid w:val="72964253"/>
    <w:rsid w:val="7298446F"/>
    <w:rsid w:val="729A1F96"/>
    <w:rsid w:val="72A471DF"/>
    <w:rsid w:val="72A9042B"/>
    <w:rsid w:val="72A93F87"/>
    <w:rsid w:val="72AA7CFF"/>
    <w:rsid w:val="72AB79C6"/>
    <w:rsid w:val="72AE3C93"/>
    <w:rsid w:val="72B666A4"/>
    <w:rsid w:val="72B91ACC"/>
    <w:rsid w:val="72C07522"/>
    <w:rsid w:val="72C25048"/>
    <w:rsid w:val="72C60FDD"/>
    <w:rsid w:val="72C96CF9"/>
    <w:rsid w:val="72D82E67"/>
    <w:rsid w:val="72D83BA8"/>
    <w:rsid w:val="72DA05E4"/>
    <w:rsid w:val="72DC7380"/>
    <w:rsid w:val="72E41463"/>
    <w:rsid w:val="72E6342D"/>
    <w:rsid w:val="72E72D01"/>
    <w:rsid w:val="72F21DD2"/>
    <w:rsid w:val="72F316A6"/>
    <w:rsid w:val="72F36482"/>
    <w:rsid w:val="72F773E8"/>
    <w:rsid w:val="72FC72E0"/>
    <w:rsid w:val="72FE3651"/>
    <w:rsid w:val="730218E9"/>
    <w:rsid w:val="73027B3B"/>
    <w:rsid w:val="730C2768"/>
    <w:rsid w:val="730D09BA"/>
    <w:rsid w:val="73104006"/>
    <w:rsid w:val="73117D7E"/>
    <w:rsid w:val="73136A7B"/>
    <w:rsid w:val="7315161C"/>
    <w:rsid w:val="73171838"/>
    <w:rsid w:val="731C0355"/>
    <w:rsid w:val="731C6E4F"/>
    <w:rsid w:val="73245D03"/>
    <w:rsid w:val="73267CCD"/>
    <w:rsid w:val="732732D8"/>
    <w:rsid w:val="732B3DDE"/>
    <w:rsid w:val="732C5ED6"/>
    <w:rsid w:val="732E6B82"/>
    <w:rsid w:val="73305B44"/>
    <w:rsid w:val="73326672"/>
    <w:rsid w:val="73371E7F"/>
    <w:rsid w:val="73373C88"/>
    <w:rsid w:val="733B7906"/>
    <w:rsid w:val="734819F2"/>
    <w:rsid w:val="73490DFC"/>
    <w:rsid w:val="734939BC"/>
    <w:rsid w:val="73495B3B"/>
    <w:rsid w:val="734A79D7"/>
    <w:rsid w:val="734D620F"/>
    <w:rsid w:val="7352461E"/>
    <w:rsid w:val="735326F9"/>
    <w:rsid w:val="735760D9"/>
    <w:rsid w:val="735859AD"/>
    <w:rsid w:val="7358775B"/>
    <w:rsid w:val="73591E51"/>
    <w:rsid w:val="73595705"/>
    <w:rsid w:val="735A7977"/>
    <w:rsid w:val="735E1215"/>
    <w:rsid w:val="7362430D"/>
    <w:rsid w:val="73634A7D"/>
    <w:rsid w:val="736507F6"/>
    <w:rsid w:val="736600CA"/>
    <w:rsid w:val="736B3932"/>
    <w:rsid w:val="736D3206"/>
    <w:rsid w:val="736F3422"/>
    <w:rsid w:val="73700F48"/>
    <w:rsid w:val="73811C5D"/>
    <w:rsid w:val="73896E94"/>
    <w:rsid w:val="738B18DE"/>
    <w:rsid w:val="738E13CF"/>
    <w:rsid w:val="7394143C"/>
    <w:rsid w:val="739509AF"/>
    <w:rsid w:val="739764D5"/>
    <w:rsid w:val="739907D7"/>
    <w:rsid w:val="739A7D73"/>
    <w:rsid w:val="73A155A6"/>
    <w:rsid w:val="73AE429F"/>
    <w:rsid w:val="73B121EE"/>
    <w:rsid w:val="73B726D3"/>
    <w:rsid w:val="73BA6C27"/>
    <w:rsid w:val="73C306A8"/>
    <w:rsid w:val="73D47729"/>
    <w:rsid w:val="73D72D76"/>
    <w:rsid w:val="73D74B24"/>
    <w:rsid w:val="73D96AEE"/>
    <w:rsid w:val="73DA4614"/>
    <w:rsid w:val="73DB0AB8"/>
    <w:rsid w:val="73DB2866"/>
    <w:rsid w:val="73DC65DE"/>
    <w:rsid w:val="73DE3FB3"/>
    <w:rsid w:val="73E3171A"/>
    <w:rsid w:val="73E536E4"/>
    <w:rsid w:val="73EB6821"/>
    <w:rsid w:val="73ED4347"/>
    <w:rsid w:val="73F04C5D"/>
    <w:rsid w:val="73F90F3E"/>
    <w:rsid w:val="73FE7D5C"/>
    <w:rsid w:val="74000DE6"/>
    <w:rsid w:val="7400407A"/>
    <w:rsid w:val="74010BF7"/>
    <w:rsid w:val="74014BEE"/>
    <w:rsid w:val="74042FB3"/>
    <w:rsid w:val="74061605"/>
    <w:rsid w:val="7407365B"/>
    <w:rsid w:val="740A6CA7"/>
    <w:rsid w:val="74100036"/>
    <w:rsid w:val="74122000"/>
    <w:rsid w:val="74130252"/>
    <w:rsid w:val="74143FCA"/>
    <w:rsid w:val="741C69DA"/>
    <w:rsid w:val="74235FBB"/>
    <w:rsid w:val="74237BDB"/>
    <w:rsid w:val="74237D69"/>
    <w:rsid w:val="742A559B"/>
    <w:rsid w:val="742C1313"/>
    <w:rsid w:val="74387CB8"/>
    <w:rsid w:val="7440091B"/>
    <w:rsid w:val="74420908"/>
    <w:rsid w:val="744523D5"/>
    <w:rsid w:val="744B322B"/>
    <w:rsid w:val="744C3D44"/>
    <w:rsid w:val="744C72C0"/>
    <w:rsid w:val="744F5002"/>
    <w:rsid w:val="74566390"/>
    <w:rsid w:val="74575C64"/>
    <w:rsid w:val="745D4ADD"/>
    <w:rsid w:val="745D4CA2"/>
    <w:rsid w:val="745E084D"/>
    <w:rsid w:val="74624D35"/>
    <w:rsid w:val="74640DE2"/>
    <w:rsid w:val="746C354F"/>
    <w:rsid w:val="746C5BB4"/>
    <w:rsid w:val="746E0A40"/>
    <w:rsid w:val="7476258E"/>
    <w:rsid w:val="747C191A"/>
    <w:rsid w:val="747E403B"/>
    <w:rsid w:val="74845D7C"/>
    <w:rsid w:val="74893178"/>
    <w:rsid w:val="748C590E"/>
    <w:rsid w:val="74933DDF"/>
    <w:rsid w:val="74982505"/>
    <w:rsid w:val="749A44CF"/>
    <w:rsid w:val="749D5D6D"/>
    <w:rsid w:val="749E4C10"/>
    <w:rsid w:val="74A0760B"/>
    <w:rsid w:val="74A72748"/>
    <w:rsid w:val="74A94C32"/>
    <w:rsid w:val="74AC675A"/>
    <w:rsid w:val="74AF784E"/>
    <w:rsid w:val="74B07B5C"/>
    <w:rsid w:val="74B33F73"/>
    <w:rsid w:val="74B3733F"/>
    <w:rsid w:val="74B80DF9"/>
    <w:rsid w:val="74BC4A4C"/>
    <w:rsid w:val="74BF3F35"/>
    <w:rsid w:val="74CC21AE"/>
    <w:rsid w:val="74D24A8F"/>
    <w:rsid w:val="74D4132F"/>
    <w:rsid w:val="74DB537B"/>
    <w:rsid w:val="74DD0860"/>
    <w:rsid w:val="74E27C24"/>
    <w:rsid w:val="74E5153B"/>
    <w:rsid w:val="74E92D60"/>
    <w:rsid w:val="74F040EF"/>
    <w:rsid w:val="74F11C15"/>
    <w:rsid w:val="74F1331E"/>
    <w:rsid w:val="74F160B9"/>
    <w:rsid w:val="74F33BDF"/>
    <w:rsid w:val="74FB2A94"/>
    <w:rsid w:val="7501454E"/>
    <w:rsid w:val="750B5159"/>
    <w:rsid w:val="750E6C6B"/>
    <w:rsid w:val="751112D1"/>
    <w:rsid w:val="75137DDD"/>
    <w:rsid w:val="751F2C26"/>
    <w:rsid w:val="75235FE7"/>
    <w:rsid w:val="75267495"/>
    <w:rsid w:val="7528213B"/>
    <w:rsid w:val="752A62F4"/>
    <w:rsid w:val="75331A99"/>
    <w:rsid w:val="75335BEF"/>
    <w:rsid w:val="75371D1E"/>
    <w:rsid w:val="753B10E2"/>
    <w:rsid w:val="753C7334"/>
    <w:rsid w:val="753D30AC"/>
    <w:rsid w:val="753D4E5A"/>
    <w:rsid w:val="753F6E24"/>
    <w:rsid w:val="75412B9C"/>
    <w:rsid w:val="7541409D"/>
    <w:rsid w:val="754461E9"/>
    <w:rsid w:val="75466405"/>
    <w:rsid w:val="754E0E15"/>
    <w:rsid w:val="754E7067"/>
    <w:rsid w:val="75501031"/>
    <w:rsid w:val="755328D0"/>
    <w:rsid w:val="755723C0"/>
    <w:rsid w:val="75587EE6"/>
    <w:rsid w:val="755C1784"/>
    <w:rsid w:val="755E374E"/>
    <w:rsid w:val="755F0A30"/>
    <w:rsid w:val="756332F6"/>
    <w:rsid w:val="75650CE8"/>
    <w:rsid w:val="75687E4D"/>
    <w:rsid w:val="756D573F"/>
    <w:rsid w:val="757271FA"/>
    <w:rsid w:val="757545F4"/>
    <w:rsid w:val="757840E4"/>
    <w:rsid w:val="757A50EF"/>
    <w:rsid w:val="757C1643"/>
    <w:rsid w:val="7582336F"/>
    <w:rsid w:val="758236C9"/>
    <w:rsid w:val="75834F63"/>
    <w:rsid w:val="75842A89"/>
    <w:rsid w:val="75856CF0"/>
    <w:rsid w:val="75864A53"/>
    <w:rsid w:val="7589009F"/>
    <w:rsid w:val="758D7B90"/>
    <w:rsid w:val="75947170"/>
    <w:rsid w:val="75A00E24"/>
    <w:rsid w:val="75A31161"/>
    <w:rsid w:val="75A5137D"/>
    <w:rsid w:val="75A629FF"/>
    <w:rsid w:val="75A82C1C"/>
    <w:rsid w:val="75A90742"/>
    <w:rsid w:val="75A97C28"/>
    <w:rsid w:val="75AD0232"/>
    <w:rsid w:val="75B06AE2"/>
    <w:rsid w:val="75B23A9A"/>
    <w:rsid w:val="75B3511C"/>
    <w:rsid w:val="75B50E95"/>
    <w:rsid w:val="75B570E6"/>
    <w:rsid w:val="75C13CDD"/>
    <w:rsid w:val="75C348F4"/>
    <w:rsid w:val="75C537CD"/>
    <w:rsid w:val="75CA0DE4"/>
    <w:rsid w:val="75CD7253"/>
    <w:rsid w:val="75CF63FA"/>
    <w:rsid w:val="75D02172"/>
    <w:rsid w:val="75D67789"/>
    <w:rsid w:val="75D754F8"/>
    <w:rsid w:val="75DF0D15"/>
    <w:rsid w:val="75DF4163"/>
    <w:rsid w:val="75E44E88"/>
    <w:rsid w:val="75E716BD"/>
    <w:rsid w:val="75E83018"/>
    <w:rsid w:val="75EA3234"/>
    <w:rsid w:val="75ED6880"/>
    <w:rsid w:val="75EF084A"/>
    <w:rsid w:val="75F419BD"/>
    <w:rsid w:val="760360A4"/>
    <w:rsid w:val="76085468"/>
    <w:rsid w:val="760A5BEF"/>
    <w:rsid w:val="760B4F58"/>
    <w:rsid w:val="76143E0D"/>
    <w:rsid w:val="76164029"/>
    <w:rsid w:val="76171B4F"/>
    <w:rsid w:val="76174CAB"/>
    <w:rsid w:val="761756AB"/>
    <w:rsid w:val="761C7166"/>
    <w:rsid w:val="761E6A3A"/>
    <w:rsid w:val="76257DC8"/>
    <w:rsid w:val="762D4ECF"/>
    <w:rsid w:val="762F0AE4"/>
    <w:rsid w:val="763040F4"/>
    <w:rsid w:val="76322C84"/>
    <w:rsid w:val="76333620"/>
    <w:rsid w:val="763C0090"/>
    <w:rsid w:val="764010A6"/>
    <w:rsid w:val="76402E54"/>
    <w:rsid w:val="764364A0"/>
    <w:rsid w:val="7648365D"/>
    <w:rsid w:val="76494C60"/>
    <w:rsid w:val="76516E0F"/>
    <w:rsid w:val="765274B3"/>
    <w:rsid w:val="765608C9"/>
    <w:rsid w:val="765E152C"/>
    <w:rsid w:val="7660015C"/>
    <w:rsid w:val="766034F6"/>
    <w:rsid w:val="76685D06"/>
    <w:rsid w:val="766A6123"/>
    <w:rsid w:val="766D6E67"/>
    <w:rsid w:val="7673261F"/>
    <w:rsid w:val="76740D50"/>
    <w:rsid w:val="76796366"/>
    <w:rsid w:val="767A6871"/>
    <w:rsid w:val="767B0330"/>
    <w:rsid w:val="767C4403"/>
    <w:rsid w:val="767E2CEA"/>
    <w:rsid w:val="76852F5D"/>
    <w:rsid w:val="76854D0B"/>
    <w:rsid w:val="768C2883"/>
    <w:rsid w:val="768C42EB"/>
    <w:rsid w:val="768F16E6"/>
    <w:rsid w:val="76944F4E"/>
    <w:rsid w:val="76960CC6"/>
    <w:rsid w:val="769907B6"/>
    <w:rsid w:val="76A038F3"/>
    <w:rsid w:val="76AA4771"/>
    <w:rsid w:val="76AA5987"/>
    <w:rsid w:val="76AA70A3"/>
    <w:rsid w:val="76AB326A"/>
    <w:rsid w:val="76AE24B4"/>
    <w:rsid w:val="76AE4262"/>
    <w:rsid w:val="76AF3B36"/>
    <w:rsid w:val="76AF7FDA"/>
    <w:rsid w:val="76B13D52"/>
    <w:rsid w:val="76B33626"/>
    <w:rsid w:val="76B40C6F"/>
    <w:rsid w:val="76B62628"/>
    <w:rsid w:val="76B80C3C"/>
    <w:rsid w:val="76BB697E"/>
    <w:rsid w:val="76C0034F"/>
    <w:rsid w:val="76C07AF1"/>
    <w:rsid w:val="76CB7891"/>
    <w:rsid w:val="76CD220E"/>
    <w:rsid w:val="76CD5918"/>
    <w:rsid w:val="76D058DF"/>
    <w:rsid w:val="76D32EBE"/>
    <w:rsid w:val="76D87530"/>
    <w:rsid w:val="76E23F0B"/>
    <w:rsid w:val="76E5607A"/>
    <w:rsid w:val="76E575A1"/>
    <w:rsid w:val="76EC08E6"/>
    <w:rsid w:val="76F679B7"/>
    <w:rsid w:val="76FA0610"/>
    <w:rsid w:val="76FB306A"/>
    <w:rsid w:val="76FB4FCD"/>
    <w:rsid w:val="76FD0D45"/>
    <w:rsid w:val="76FF4190"/>
    <w:rsid w:val="77040325"/>
    <w:rsid w:val="77071BC4"/>
    <w:rsid w:val="77073972"/>
    <w:rsid w:val="77075720"/>
    <w:rsid w:val="7709464D"/>
    <w:rsid w:val="770C71DA"/>
    <w:rsid w:val="77106CCA"/>
    <w:rsid w:val="77127AA7"/>
    <w:rsid w:val="771542E1"/>
    <w:rsid w:val="77185B7F"/>
    <w:rsid w:val="771C7468"/>
    <w:rsid w:val="772462D2"/>
    <w:rsid w:val="772B3B04"/>
    <w:rsid w:val="772B58B2"/>
    <w:rsid w:val="772C5186"/>
    <w:rsid w:val="77302D60"/>
    <w:rsid w:val="77364257"/>
    <w:rsid w:val="773D55E5"/>
    <w:rsid w:val="77402E63"/>
    <w:rsid w:val="774424D0"/>
    <w:rsid w:val="775B5A6C"/>
    <w:rsid w:val="775E110A"/>
    <w:rsid w:val="775E5C88"/>
    <w:rsid w:val="7763329E"/>
    <w:rsid w:val="77636D28"/>
    <w:rsid w:val="776373D6"/>
    <w:rsid w:val="77644920"/>
    <w:rsid w:val="77664B3C"/>
    <w:rsid w:val="77672896"/>
    <w:rsid w:val="776B3F01"/>
    <w:rsid w:val="777032C5"/>
    <w:rsid w:val="777A7E31"/>
    <w:rsid w:val="7782255B"/>
    <w:rsid w:val="77884AB3"/>
    <w:rsid w:val="77931C2F"/>
    <w:rsid w:val="77980A6E"/>
    <w:rsid w:val="77994E25"/>
    <w:rsid w:val="779A199D"/>
    <w:rsid w:val="779C67B0"/>
    <w:rsid w:val="779E10F1"/>
    <w:rsid w:val="779F1DFC"/>
    <w:rsid w:val="77A13DC6"/>
    <w:rsid w:val="77A15B74"/>
    <w:rsid w:val="77A318EC"/>
    <w:rsid w:val="77A41635"/>
    <w:rsid w:val="77A47413"/>
    <w:rsid w:val="77A86F03"/>
    <w:rsid w:val="77AE3DED"/>
    <w:rsid w:val="77B04009"/>
    <w:rsid w:val="77B84C6C"/>
    <w:rsid w:val="77B91110"/>
    <w:rsid w:val="77BC29AE"/>
    <w:rsid w:val="77BE04D4"/>
    <w:rsid w:val="77C41863"/>
    <w:rsid w:val="77C52747"/>
    <w:rsid w:val="77CA0A7C"/>
    <w:rsid w:val="77CB2BF1"/>
    <w:rsid w:val="77D00208"/>
    <w:rsid w:val="77E116BC"/>
    <w:rsid w:val="77E73DE4"/>
    <w:rsid w:val="77F17E50"/>
    <w:rsid w:val="77F24622"/>
    <w:rsid w:val="77FC724F"/>
    <w:rsid w:val="78021921"/>
    <w:rsid w:val="78021FF7"/>
    <w:rsid w:val="780305DD"/>
    <w:rsid w:val="78080D74"/>
    <w:rsid w:val="780954C8"/>
    <w:rsid w:val="7810498A"/>
    <w:rsid w:val="781225CE"/>
    <w:rsid w:val="78126A72"/>
    <w:rsid w:val="7819395D"/>
    <w:rsid w:val="781A1483"/>
    <w:rsid w:val="781F38A5"/>
    <w:rsid w:val="78202F3D"/>
    <w:rsid w:val="78247FFF"/>
    <w:rsid w:val="782639D3"/>
    <w:rsid w:val="7826607A"/>
    <w:rsid w:val="782709EF"/>
    <w:rsid w:val="782A5B6A"/>
    <w:rsid w:val="782B18E2"/>
    <w:rsid w:val="782C7B34"/>
    <w:rsid w:val="783764D9"/>
    <w:rsid w:val="783C589D"/>
    <w:rsid w:val="78451562"/>
    <w:rsid w:val="784604CA"/>
    <w:rsid w:val="78511348"/>
    <w:rsid w:val="7856695F"/>
    <w:rsid w:val="785712FB"/>
    <w:rsid w:val="785C1A9B"/>
    <w:rsid w:val="785E3A65"/>
    <w:rsid w:val="786170B2"/>
    <w:rsid w:val="786500CF"/>
    <w:rsid w:val="7866291A"/>
    <w:rsid w:val="78670B6C"/>
    <w:rsid w:val="786A41B8"/>
    <w:rsid w:val="786B1CDE"/>
    <w:rsid w:val="786D5A56"/>
    <w:rsid w:val="787119EB"/>
    <w:rsid w:val="787235C5"/>
    <w:rsid w:val="78743289"/>
    <w:rsid w:val="78762B5D"/>
    <w:rsid w:val="78793662"/>
    <w:rsid w:val="7883171E"/>
    <w:rsid w:val="78887D94"/>
    <w:rsid w:val="788C2381"/>
    <w:rsid w:val="788D7EA7"/>
    <w:rsid w:val="788E57D6"/>
    <w:rsid w:val="789456D9"/>
    <w:rsid w:val="78986F77"/>
    <w:rsid w:val="789E0306"/>
    <w:rsid w:val="789E20B4"/>
    <w:rsid w:val="78A551F0"/>
    <w:rsid w:val="78BB0EB8"/>
    <w:rsid w:val="78BC253A"/>
    <w:rsid w:val="78BD501F"/>
    <w:rsid w:val="78BF79C0"/>
    <w:rsid w:val="78C22246"/>
    <w:rsid w:val="78C23FF4"/>
    <w:rsid w:val="78C5358C"/>
    <w:rsid w:val="78C80EDF"/>
    <w:rsid w:val="78C935D5"/>
    <w:rsid w:val="78CA205D"/>
    <w:rsid w:val="78CA4C57"/>
    <w:rsid w:val="78D6184E"/>
    <w:rsid w:val="78DC6209"/>
    <w:rsid w:val="78DD0E2E"/>
    <w:rsid w:val="78E0447A"/>
    <w:rsid w:val="78E421BD"/>
    <w:rsid w:val="78E55F35"/>
    <w:rsid w:val="78E87BA4"/>
    <w:rsid w:val="78E90E66"/>
    <w:rsid w:val="78EB201B"/>
    <w:rsid w:val="78EB4D7D"/>
    <w:rsid w:val="78EE303B"/>
    <w:rsid w:val="78EF0B61"/>
    <w:rsid w:val="78F66FE4"/>
    <w:rsid w:val="78F671A8"/>
    <w:rsid w:val="78F85C68"/>
    <w:rsid w:val="78FD502C"/>
    <w:rsid w:val="78FD6DDA"/>
    <w:rsid w:val="79076C5B"/>
    <w:rsid w:val="790A05FA"/>
    <w:rsid w:val="790D7E00"/>
    <w:rsid w:val="79116D2A"/>
    <w:rsid w:val="79132AA2"/>
    <w:rsid w:val="79135CE0"/>
    <w:rsid w:val="791365FE"/>
    <w:rsid w:val="7919798C"/>
    <w:rsid w:val="791F54A6"/>
    <w:rsid w:val="79205380"/>
    <w:rsid w:val="792E51E6"/>
    <w:rsid w:val="79305402"/>
    <w:rsid w:val="79312F28"/>
    <w:rsid w:val="79344D91"/>
    <w:rsid w:val="793A002E"/>
    <w:rsid w:val="793A2211"/>
    <w:rsid w:val="79444A09"/>
    <w:rsid w:val="794964C4"/>
    <w:rsid w:val="79537342"/>
    <w:rsid w:val="7955517B"/>
    <w:rsid w:val="795A422D"/>
    <w:rsid w:val="795D1F6F"/>
    <w:rsid w:val="795F7A95"/>
    <w:rsid w:val="79654980"/>
    <w:rsid w:val="79655D2D"/>
    <w:rsid w:val="79667075"/>
    <w:rsid w:val="796B643A"/>
    <w:rsid w:val="796D3449"/>
    <w:rsid w:val="796D402F"/>
    <w:rsid w:val="796E7CD8"/>
    <w:rsid w:val="797177C8"/>
    <w:rsid w:val="7973709D"/>
    <w:rsid w:val="79752E15"/>
    <w:rsid w:val="797572B9"/>
    <w:rsid w:val="797A48CF"/>
    <w:rsid w:val="797F0137"/>
    <w:rsid w:val="798219D5"/>
    <w:rsid w:val="79892D64"/>
    <w:rsid w:val="798C015E"/>
    <w:rsid w:val="798C3C1F"/>
    <w:rsid w:val="79905EA0"/>
    <w:rsid w:val="799A2DBD"/>
    <w:rsid w:val="799D236B"/>
    <w:rsid w:val="79A575DC"/>
    <w:rsid w:val="79A74F98"/>
    <w:rsid w:val="79B24069"/>
    <w:rsid w:val="79B80F53"/>
    <w:rsid w:val="79C124FE"/>
    <w:rsid w:val="79C142AC"/>
    <w:rsid w:val="79C86775"/>
    <w:rsid w:val="79C93160"/>
    <w:rsid w:val="79D164E7"/>
    <w:rsid w:val="79D51B05"/>
    <w:rsid w:val="79D82A5F"/>
    <w:rsid w:val="79E461EC"/>
    <w:rsid w:val="79E63441"/>
    <w:rsid w:val="79EB30D7"/>
    <w:rsid w:val="79F04B91"/>
    <w:rsid w:val="79F71A7C"/>
    <w:rsid w:val="79F75F20"/>
    <w:rsid w:val="79F77CCE"/>
    <w:rsid w:val="79FC1788"/>
    <w:rsid w:val="7A01351B"/>
    <w:rsid w:val="7A0423EA"/>
    <w:rsid w:val="7A1563A6"/>
    <w:rsid w:val="7A17211E"/>
    <w:rsid w:val="7A187C44"/>
    <w:rsid w:val="7A293C41"/>
    <w:rsid w:val="7A2A29E4"/>
    <w:rsid w:val="7A2B1F18"/>
    <w:rsid w:val="7A2D7B93"/>
    <w:rsid w:val="7A321B2B"/>
    <w:rsid w:val="7A37456E"/>
    <w:rsid w:val="7A410F49"/>
    <w:rsid w:val="7A41719B"/>
    <w:rsid w:val="7A48677B"/>
    <w:rsid w:val="7A4C1975"/>
    <w:rsid w:val="7A5270A6"/>
    <w:rsid w:val="7A59091D"/>
    <w:rsid w:val="7A5C5D83"/>
    <w:rsid w:val="7A601D17"/>
    <w:rsid w:val="7A6510DB"/>
    <w:rsid w:val="7A6B0D66"/>
    <w:rsid w:val="7A6B246A"/>
    <w:rsid w:val="7A715CD2"/>
    <w:rsid w:val="7A761A22"/>
    <w:rsid w:val="7A7632E8"/>
    <w:rsid w:val="7A772BBC"/>
    <w:rsid w:val="7A7C4677"/>
    <w:rsid w:val="7A807CC3"/>
    <w:rsid w:val="7A886B78"/>
    <w:rsid w:val="7A8D0632"/>
    <w:rsid w:val="7A8E7250"/>
    <w:rsid w:val="7A8F7F06"/>
    <w:rsid w:val="7A903C7E"/>
    <w:rsid w:val="7A925C48"/>
    <w:rsid w:val="7A9419C0"/>
    <w:rsid w:val="7A9B2D4F"/>
    <w:rsid w:val="7A9B4AFD"/>
    <w:rsid w:val="7AA71529"/>
    <w:rsid w:val="7AB12572"/>
    <w:rsid w:val="7AB13DE5"/>
    <w:rsid w:val="7AB91F5D"/>
    <w:rsid w:val="7ABA3647"/>
    <w:rsid w:val="7ABA4B5F"/>
    <w:rsid w:val="7ABB2379"/>
    <w:rsid w:val="7ABD118D"/>
    <w:rsid w:val="7ABE07EB"/>
    <w:rsid w:val="7AC202DC"/>
    <w:rsid w:val="7AC25F7B"/>
    <w:rsid w:val="7AC35E02"/>
    <w:rsid w:val="7ACA3194"/>
    <w:rsid w:val="7ACA7190"/>
    <w:rsid w:val="7ACD6C80"/>
    <w:rsid w:val="7AD376BB"/>
    <w:rsid w:val="7AD63B30"/>
    <w:rsid w:val="7AD811BA"/>
    <w:rsid w:val="7AD86595"/>
    <w:rsid w:val="7ADA1D35"/>
    <w:rsid w:val="7AE213CC"/>
    <w:rsid w:val="7AE85868"/>
    <w:rsid w:val="7AE8692F"/>
    <w:rsid w:val="7AEA3436"/>
    <w:rsid w:val="7AEC35AA"/>
    <w:rsid w:val="7AED1DB7"/>
    <w:rsid w:val="7AF16FF7"/>
    <w:rsid w:val="7AF406B1"/>
    <w:rsid w:val="7AF75AAB"/>
    <w:rsid w:val="7AF83CFD"/>
    <w:rsid w:val="7B095F0A"/>
    <w:rsid w:val="7B116B6D"/>
    <w:rsid w:val="7B1623D5"/>
    <w:rsid w:val="7B1E74DC"/>
    <w:rsid w:val="7B1F2F5D"/>
    <w:rsid w:val="7B1F460C"/>
    <w:rsid w:val="7B220D7A"/>
    <w:rsid w:val="7B221D76"/>
    <w:rsid w:val="7B242D44"/>
    <w:rsid w:val="7B2965AD"/>
    <w:rsid w:val="7B2E6A56"/>
    <w:rsid w:val="7B2F5245"/>
    <w:rsid w:val="7B2F6CF4"/>
    <w:rsid w:val="7B38234C"/>
    <w:rsid w:val="7B393757"/>
    <w:rsid w:val="7B3B1E3C"/>
    <w:rsid w:val="7B3D7962"/>
    <w:rsid w:val="7B3E5629"/>
    <w:rsid w:val="7B407452"/>
    <w:rsid w:val="7B407629"/>
    <w:rsid w:val="7B42766E"/>
    <w:rsid w:val="7B51165F"/>
    <w:rsid w:val="7B533629"/>
    <w:rsid w:val="7B55302D"/>
    <w:rsid w:val="7B5770BD"/>
    <w:rsid w:val="7B580C40"/>
    <w:rsid w:val="7B5B24DE"/>
    <w:rsid w:val="7B5B428C"/>
    <w:rsid w:val="7B5F07BA"/>
    <w:rsid w:val="7B5F3D7C"/>
    <w:rsid w:val="7B624EF6"/>
    <w:rsid w:val="7B643141"/>
    <w:rsid w:val="7B6453BE"/>
    <w:rsid w:val="7B71585E"/>
    <w:rsid w:val="7B7315D6"/>
    <w:rsid w:val="7B777075"/>
    <w:rsid w:val="7B7D2454"/>
    <w:rsid w:val="7B811F45"/>
    <w:rsid w:val="7B875081"/>
    <w:rsid w:val="7B8B33BC"/>
    <w:rsid w:val="7B8C2E17"/>
    <w:rsid w:val="7B8C6B3B"/>
    <w:rsid w:val="7B8E4662"/>
    <w:rsid w:val="7B8F3F36"/>
    <w:rsid w:val="7B922DB2"/>
    <w:rsid w:val="7BA479E1"/>
    <w:rsid w:val="7BA55213"/>
    <w:rsid w:val="7BAB4C32"/>
    <w:rsid w:val="7BAF1744"/>
    <w:rsid w:val="7BB816DF"/>
    <w:rsid w:val="7BB85107"/>
    <w:rsid w:val="7BBC2F7D"/>
    <w:rsid w:val="7BBD30D1"/>
    <w:rsid w:val="7BBF481B"/>
    <w:rsid w:val="7BC168A4"/>
    <w:rsid w:val="7BC2340F"/>
    <w:rsid w:val="7BC71922"/>
    <w:rsid w:val="7BC938EC"/>
    <w:rsid w:val="7BCE0F02"/>
    <w:rsid w:val="7BCF7439"/>
    <w:rsid w:val="7BD04C7A"/>
    <w:rsid w:val="7BD7220B"/>
    <w:rsid w:val="7BDD1145"/>
    <w:rsid w:val="7BDD7714"/>
    <w:rsid w:val="7BE6624C"/>
    <w:rsid w:val="7BE97AEA"/>
    <w:rsid w:val="7BEB3862"/>
    <w:rsid w:val="7BEB5610"/>
    <w:rsid w:val="7BEC2FA1"/>
    <w:rsid w:val="7BED2B12"/>
    <w:rsid w:val="7BF02C26"/>
    <w:rsid w:val="7BF30701"/>
    <w:rsid w:val="7BF546E1"/>
    <w:rsid w:val="7BF65E3F"/>
    <w:rsid w:val="7BF859D9"/>
    <w:rsid w:val="7BFC15CB"/>
    <w:rsid w:val="7BFD3E6C"/>
    <w:rsid w:val="7BFF2E69"/>
    <w:rsid w:val="7C036DFE"/>
    <w:rsid w:val="7C037151"/>
    <w:rsid w:val="7C06244A"/>
    <w:rsid w:val="7C0D37D8"/>
    <w:rsid w:val="7C0E7550"/>
    <w:rsid w:val="7C127041"/>
    <w:rsid w:val="7C1572DD"/>
    <w:rsid w:val="7C1728A9"/>
    <w:rsid w:val="7C232FFC"/>
    <w:rsid w:val="7C246D74"/>
    <w:rsid w:val="7C296138"/>
    <w:rsid w:val="7C2A25DC"/>
    <w:rsid w:val="7C2D2900"/>
    <w:rsid w:val="7C350F81"/>
    <w:rsid w:val="7C352D2F"/>
    <w:rsid w:val="7C3639F5"/>
    <w:rsid w:val="7C3A1D36"/>
    <w:rsid w:val="7C4116D4"/>
    <w:rsid w:val="7C442F72"/>
    <w:rsid w:val="7C445208"/>
    <w:rsid w:val="7C523471"/>
    <w:rsid w:val="7C541407"/>
    <w:rsid w:val="7C5619F6"/>
    <w:rsid w:val="7C581409"/>
    <w:rsid w:val="7C5F0E29"/>
    <w:rsid w:val="7C5F6F1C"/>
    <w:rsid w:val="7C6330D4"/>
    <w:rsid w:val="7C6F0797"/>
    <w:rsid w:val="7C745605"/>
    <w:rsid w:val="7C76154A"/>
    <w:rsid w:val="7C76173B"/>
    <w:rsid w:val="7C773B1C"/>
    <w:rsid w:val="7C7865F1"/>
    <w:rsid w:val="7C7B5AB5"/>
    <w:rsid w:val="7C817D22"/>
    <w:rsid w:val="7C833A9B"/>
    <w:rsid w:val="7C85389C"/>
    <w:rsid w:val="7C8A2A1B"/>
    <w:rsid w:val="7C915703"/>
    <w:rsid w:val="7C9673F2"/>
    <w:rsid w:val="7C972F41"/>
    <w:rsid w:val="7C9D46F4"/>
    <w:rsid w:val="7CA73C2D"/>
    <w:rsid w:val="7CAA54CB"/>
    <w:rsid w:val="7CB33B04"/>
    <w:rsid w:val="7CB8413B"/>
    <w:rsid w:val="7CB93960"/>
    <w:rsid w:val="7CBA4FE2"/>
    <w:rsid w:val="7CBE2D25"/>
    <w:rsid w:val="7CBF1F51"/>
    <w:rsid w:val="7CC0084B"/>
    <w:rsid w:val="7CC05E73"/>
    <w:rsid w:val="7CC61BD9"/>
    <w:rsid w:val="7CC973C1"/>
    <w:rsid w:val="7CCA3711"/>
    <w:rsid w:val="7CCA42C7"/>
    <w:rsid w:val="7CCF6F3E"/>
    <w:rsid w:val="7CD033E8"/>
    <w:rsid w:val="7CD04806"/>
    <w:rsid w:val="7CD41616"/>
    <w:rsid w:val="7CD50830"/>
    <w:rsid w:val="7CDB38D7"/>
    <w:rsid w:val="7CE04A49"/>
    <w:rsid w:val="7CE56503"/>
    <w:rsid w:val="7CE85FF3"/>
    <w:rsid w:val="7CE86CC4"/>
    <w:rsid w:val="7CEA4452"/>
    <w:rsid w:val="7CED7166"/>
    <w:rsid w:val="7CF14EA8"/>
    <w:rsid w:val="7CF20C20"/>
    <w:rsid w:val="7CF44998"/>
    <w:rsid w:val="7CF55211"/>
    <w:rsid w:val="7CF63F0E"/>
    <w:rsid w:val="7CF96639"/>
    <w:rsid w:val="7CFD384D"/>
    <w:rsid w:val="7CFE5817"/>
    <w:rsid w:val="7CFF0B52"/>
    <w:rsid w:val="7D000001"/>
    <w:rsid w:val="7D006E99"/>
    <w:rsid w:val="7D016EE9"/>
    <w:rsid w:val="7D0239F4"/>
    <w:rsid w:val="7D064A03"/>
    <w:rsid w:val="7D07647A"/>
    <w:rsid w:val="7D080444"/>
    <w:rsid w:val="7D0B583E"/>
    <w:rsid w:val="7D1731A8"/>
    <w:rsid w:val="7D180687"/>
    <w:rsid w:val="7D1868D9"/>
    <w:rsid w:val="7D1A5729"/>
    <w:rsid w:val="7D1B0177"/>
    <w:rsid w:val="7D22016C"/>
    <w:rsid w:val="7D254B52"/>
    <w:rsid w:val="7D256900"/>
    <w:rsid w:val="7D27067D"/>
    <w:rsid w:val="7D272678"/>
    <w:rsid w:val="7D2D3A06"/>
    <w:rsid w:val="7D32101D"/>
    <w:rsid w:val="7D345580"/>
    <w:rsid w:val="7D376633"/>
    <w:rsid w:val="7D3905FD"/>
    <w:rsid w:val="7D39684F"/>
    <w:rsid w:val="7D396E66"/>
    <w:rsid w:val="7D3C1A3B"/>
    <w:rsid w:val="7D3F20B7"/>
    <w:rsid w:val="7D4473E9"/>
    <w:rsid w:val="7D450D50"/>
    <w:rsid w:val="7D456FA2"/>
    <w:rsid w:val="7D4B4A9C"/>
    <w:rsid w:val="7D515947"/>
    <w:rsid w:val="7D5A0C9F"/>
    <w:rsid w:val="7D5B4A17"/>
    <w:rsid w:val="7D616672"/>
    <w:rsid w:val="7D63567A"/>
    <w:rsid w:val="7D6531A0"/>
    <w:rsid w:val="7D692C90"/>
    <w:rsid w:val="7D6D37CC"/>
    <w:rsid w:val="7D755AD9"/>
    <w:rsid w:val="7D782ED3"/>
    <w:rsid w:val="7D796C4C"/>
    <w:rsid w:val="7D7A4E9D"/>
    <w:rsid w:val="7D823D52"/>
    <w:rsid w:val="7D831878"/>
    <w:rsid w:val="7D87580C"/>
    <w:rsid w:val="7D893333"/>
    <w:rsid w:val="7D8A2C07"/>
    <w:rsid w:val="7D8C6098"/>
    <w:rsid w:val="7D9677FD"/>
    <w:rsid w:val="7D9A5540"/>
    <w:rsid w:val="7D9B3066"/>
    <w:rsid w:val="7D9B4741"/>
    <w:rsid w:val="7DA43CC8"/>
    <w:rsid w:val="7DA77C5D"/>
    <w:rsid w:val="7DA939D5"/>
    <w:rsid w:val="7DA9629A"/>
    <w:rsid w:val="7DAA7C59"/>
    <w:rsid w:val="7DAF38C3"/>
    <w:rsid w:val="7DB06B11"/>
    <w:rsid w:val="7DB16B5E"/>
    <w:rsid w:val="7DB303AF"/>
    <w:rsid w:val="7DB67EA0"/>
    <w:rsid w:val="7DB84226"/>
    <w:rsid w:val="7DBD23AE"/>
    <w:rsid w:val="7DC52C45"/>
    <w:rsid w:val="7DC66335"/>
    <w:rsid w:val="7DCD791A"/>
    <w:rsid w:val="7DCF4BF2"/>
    <w:rsid w:val="7DD5267C"/>
    <w:rsid w:val="7DD6409E"/>
    <w:rsid w:val="7DD77B3B"/>
    <w:rsid w:val="7DDA305A"/>
    <w:rsid w:val="7DDD367E"/>
    <w:rsid w:val="7DDD542C"/>
    <w:rsid w:val="7DDF73F6"/>
    <w:rsid w:val="7DE44A0D"/>
    <w:rsid w:val="7DE456DA"/>
    <w:rsid w:val="7DE62533"/>
    <w:rsid w:val="7DE859ED"/>
    <w:rsid w:val="7DEC38C1"/>
    <w:rsid w:val="7DF27AA0"/>
    <w:rsid w:val="7DF74740"/>
    <w:rsid w:val="7DFC1D56"/>
    <w:rsid w:val="7E046E5D"/>
    <w:rsid w:val="7E0E55E6"/>
    <w:rsid w:val="7E124BDC"/>
    <w:rsid w:val="7E130E4E"/>
    <w:rsid w:val="7E1370A0"/>
    <w:rsid w:val="7E163025"/>
    <w:rsid w:val="7E1708CC"/>
    <w:rsid w:val="7E17168A"/>
    <w:rsid w:val="7E1F77F3"/>
    <w:rsid w:val="7E203B02"/>
    <w:rsid w:val="7E2117BD"/>
    <w:rsid w:val="7E241AE3"/>
    <w:rsid w:val="7E265025"/>
    <w:rsid w:val="7E2D63B4"/>
    <w:rsid w:val="7E3A287F"/>
    <w:rsid w:val="7E402C9E"/>
    <w:rsid w:val="7E461224"/>
    <w:rsid w:val="7E464D80"/>
    <w:rsid w:val="7E4B4A8C"/>
    <w:rsid w:val="7E4E1260"/>
    <w:rsid w:val="7E4F632A"/>
    <w:rsid w:val="7E52110C"/>
    <w:rsid w:val="7E525E1A"/>
    <w:rsid w:val="7E551467"/>
    <w:rsid w:val="7E5A082B"/>
    <w:rsid w:val="7E630C26"/>
    <w:rsid w:val="7E6547A9"/>
    <w:rsid w:val="7E66695D"/>
    <w:rsid w:val="7E6A3164"/>
    <w:rsid w:val="7E6B6EDC"/>
    <w:rsid w:val="7E6D4A02"/>
    <w:rsid w:val="7E6E42D6"/>
    <w:rsid w:val="7E79488D"/>
    <w:rsid w:val="7E7C2E97"/>
    <w:rsid w:val="7E7C5D93"/>
    <w:rsid w:val="7E7C69F3"/>
    <w:rsid w:val="7E7E276B"/>
    <w:rsid w:val="7E7F0292"/>
    <w:rsid w:val="7E8104AE"/>
    <w:rsid w:val="7E867872"/>
    <w:rsid w:val="7E9106A9"/>
    <w:rsid w:val="7E925CCF"/>
    <w:rsid w:val="7E926217"/>
    <w:rsid w:val="7E971A7F"/>
    <w:rsid w:val="7E991353"/>
    <w:rsid w:val="7E9A7B32"/>
    <w:rsid w:val="7E9C0E44"/>
    <w:rsid w:val="7EA4511D"/>
    <w:rsid w:val="7EB42631"/>
    <w:rsid w:val="7EB919F5"/>
    <w:rsid w:val="7EBB39C0"/>
    <w:rsid w:val="7EBC3294"/>
    <w:rsid w:val="7EBD792C"/>
    <w:rsid w:val="7EC066A5"/>
    <w:rsid w:val="7EC30AC6"/>
    <w:rsid w:val="7EC32874"/>
    <w:rsid w:val="7EC860DC"/>
    <w:rsid w:val="7EC87E8B"/>
    <w:rsid w:val="7ECD341B"/>
    <w:rsid w:val="7ECD36F3"/>
    <w:rsid w:val="7ED100C8"/>
    <w:rsid w:val="7EDE145C"/>
    <w:rsid w:val="7EE73D75"/>
    <w:rsid w:val="7EEA1BAF"/>
    <w:rsid w:val="7EEA3A51"/>
    <w:rsid w:val="7EEB147F"/>
    <w:rsid w:val="7EEF18BB"/>
    <w:rsid w:val="7EF02F3D"/>
    <w:rsid w:val="7EF30889"/>
    <w:rsid w:val="7EF5024B"/>
    <w:rsid w:val="7EF77D3F"/>
    <w:rsid w:val="7EFE565A"/>
    <w:rsid w:val="7F02709C"/>
    <w:rsid w:val="7F062761"/>
    <w:rsid w:val="7F0C421B"/>
    <w:rsid w:val="7F180815"/>
    <w:rsid w:val="7F1E4D47"/>
    <w:rsid w:val="7F1F3F9B"/>
    <w:rsid w:val="7F217B17"/>
    <w:rsid w:val="7F231565"/>
    <w:rsid w:val="7F271055"/>
    <w:rsid w:val="7F2A28F3"/>
    <w:rsid w:val="7F2D0207"/>
    <w:rsid w:val="7F3177DE"/>
    <w:rsid w:val="7F331F90"/>
    <w:rsid w:val="7F34107C"/>
    <w:rsid w:val="7F361298"/>
    <w:rsid w:val="7F372A6A"/>
    <w:rsid w:val="7F385010"/>
    <w:rsid w:val="7F3B240A"/>
    <w:rsid w:val="7F3E639F"/>
    <w:rsid w:val="7F3F2458"/>
    <w:rsid w:val="7F405C73"/>
    <w:rsid w:val="7F41186A"/>
    <w:rsid w:val="7F4A08A0"/>
    <w:rsid w:val="7F4C021D"/>
    <w:rsid w:val="7F4D213E"/>
    <w:rsid w:val="7F4D427E"/>
    <w:rsid w:val="7F4D50FA"/>
    <w:rsid w:val="7F5160D2"/>
    <w:rsid w:val="7F5355D5"/>
    <w:rsid w:val="7F587460"/>
    <w:rsid w:val="7F590AE3"/>
    <w:rsid w:val="7F5E259D"/>
    <w:rsid w:val="7F62208D"/>
    <w:rsid w:val="7F625BE9"/>
    <w:rsid w:val="7F631961"/>
    <w:rsid w:val="7F647FD1"/>
    <w:rsid w:val="7F692316"/>
    <w:rsid w:val="7F6E0C39"/>
    <w:rsid w:val="7F70529A"/>
    <w:rsid w:val="7F78540D"/>
    <w:rsid w:val="7F800765"/>
    <w:rsid w:val="7F8308B3"/>
    <w:rsid w:val="7F842003"/>
    <w:rsid w:val="7F8738A2"/>
    <w:rsid w:val="7F8F2756"/>
    <w:rsid w:val="7F9164CE"/>
    <w:rsid w:val="7F930498"/>
    <w:rsid w:val="7F945543"/>
    <w:rsid w:val="7F983D01"/>
    <w:rsid w:val="7F9A1827"/>
    <w:rsid w:val="7F9B3138"/>
    <w:rsid w:val="7FA16F1B"/>
    <w:rsid w:val="7FA54D98"/>
    <w:rsid w:val="7FAF0EB3"/>
    <w:rsid w:val="7FBA3C77"/>
    <w:rsid w:val="7FBB354B"/>
    <w:rsid w:val="7FC618A1"/>
    <w:rsid w:val="7FCC7507"/>
    <w:rsid w:val="7FDC60B9"/>
    <w:rsid w:val="7FDD1714"/>
    <w:rsid w:val="7FDF548C"/>
    <w:rsid w:val="7FE02FB2"/>
    <w:rsid w:val="7FEA5BDF"/>
    <w:rsid w:val="7FED1E7B"/>
    <w:rsid w:val="7FF4427A"/>
    <w:rsid w:val="7FF806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iPriority="99"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unhideWhenUsed/>
    <w:qFormat/>
    <w:uiPriority w:val="9"/>
    <w:pPr>
      <w:keepNext/>
      <w:keepLines/>
      <w:outlineLvl w:val="1"/>
    </w:pPr>
    <w:rPr>
      <w:rFonts w:ascii="楷体_GB2312" w:hAnsi="楷体_GB2312" w:eastAsia="楷体_GB2312" w:cs="楷体_GB2312"/>
      <w:bCs/>
      <w:color w:val="000000" w:themeColor="text1"/>
      <w14:textFill>
        <w14:solidFill>
          <w14:schemeClr w14:val="tx1"/>
        </w14:solidFill>
      </w14:textFill>
    </w:rPr>
  </w:style>
  <w:style w:type="paragraph" w:styleId="4">
    <w:name w:val="heading 3"/>
    <w:basedOn w:val="1"/>
    <w:next w:val="1"/>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paragraph" w:styleId="5">
    <w:name w:val="heading 4"/>
    <w:basedOn w:val="1"/>
    <w:next w:val="1"/>
    <w:unhideWhenUsed/>
    <w:qFormat/>
    <w:uiPriority w:val="0"/>
    <w:pPr>
      <w:spacing w:beforeAutospacing="1" w:afterAutospacing="1"/>
      <w:jc w:val="left"/>
      <w:outlineLvl w:val="3"/>
    </w:pPr>
    <w:rPr>
      <w:rFonts w:hint="eastAsia" w:ascii="宋体" w:hAnsi="宋体" w:eastAsia="宋体" w:cs="Times New Roman"/>
      <w:b/>
      <w:bCs/>
      <w:kern w:val="0"/>
      <w:sz w:val="24"/>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6">
    <w:name w:val="Normal Indent"/>
    <w:basedOn w:val="1"/>
    <w:unhideWhenUsed/>
    <w:qFormat/>
    <w:uiPriority w:val="99"/>
    <w:pPr>
      <w:ind w:firstLine="420"/>
    </w:pPr>
    <w:rPr>
      <w:rFonts w:ascii="Times New Roman" w:hAnsi="Times New Roman" w:eastAsia="宋体" w:cs="Times New Roman"/>
      <w:sz w:val="32"/>
      <w:szCs w:val="20"/>
    </w:rPr>
  </w:style>
  <w:style w:type="paragraph" w:styleId="7">
    <w:name w:val="annotation text"/>
    <w:basedOn w:val="1"/>
    <w:qFormat/>
    <w:uiPriority w:val="0"/>
    <w:pPr>
      <w:jc w:val="left"/>
    </w:pPr>
  </w:style>
  <w:style w:type="paragraph" w:styleId="8">
    <w:name w:val="Body Text"/>
    <w:basedOn w:val="1"/>
    <w:next w:val="9"/>
    <w:qFormat/>
    <w:uiPriority w:val="0"/>
    <w:rPr>
      <w:rFonts w:ascii="Arial" w:hAnsi="Arial" w:eastAsia="Arial" w:cs="Arial"/>
      <w:szCs w:val="21"/>
      <w:lang w:eastAsia="en-US"/>
    </w:rPr>
  </w:style>
  <w:style w:type="paragraph" w:customStyle="1" w:styleId="9">
    <w:name w:val="正文部分 Char Char Char"/>
    <w:next w:val="10"/>
    <w:qFormat/>
    <w:uiPriority w:val="0"/>
    <w:pPr>
      <w:widowControl w:val="0"/>
      <w:adjustRightInd w:val="0"/>
      <w:spacing w:after="120" w:line="460" w:lineRule="exact"/>
      <w:jc w:val="both"/>
      <w:textAlignment w:val="baseline"/>
    </w:pPr>
    <w:rPr>
      <w:rFonts w:ascii="Calibri" w:hAnsi="Calibri" w:eastAsia="仿宋_GB2312" w:cs="楷体_GB2312"/>
      <w:kern w:val="0"/>
      <w:sz w:val="24"/>
      <w:szCs w:val="21"/>
      <w:lang w:val="en-US" w:eastAsia="zh-CN" w:bidi="ar-SA"/>
    </w:rPr>
  </w:style>
  <w:style w:type="paragraph" w:customStyle="1" w:styleId="10">
    <w:name w:val="章标题"/>
    <w:qFormat/>
    <w:uiPriority w:val="0"/>
    <w:pPr>
      <w:keepNext/>
      <w:widowControl w:val="0"/>
      <w:spacing w:before="240" w:after="120" w:line="360" w:lineRule="auto"/>
      <w:jc w:val="both"/>
    </w:pPr>
    <w:rPr>
      <w:rFonts w:ascii="东文宋体" w:hAnsi="东文宋体" w:eastAsia="方正黑体" w:cs="东文宋体"/>
      <w:kern w:val="0"/>
      <w:sz w:val="28"/>
      <w:szCs w:val="28"/>
      <w:lang w:val="en-US" w:eastAsia="zh-CN" w:bidi="ar-SA"/>
    </w:rPr>
  </w:style>
  <w:style w:type="paragraph" w:styleId="11">
    <w:name w:val="Body Text Indent"/>
    <w:basedOn w:val="1"/>
    <w:qFormat/>
    <w:uiPriority w:val="99"/>
    <w:pPr>
      <w:spacing w:line="580" w:lineRule="exact"/>
      <w:ind w:firstLine="640"/>
    </w:pPr>
    <w:rPr>
      <w:rFonts w:ascii="仿宋_GB2312" w:eastAsia="仿宋_GB2312" w:cs="仿宋_GB2312"/>
      <w:sz w:val="32"/>
      <w:szCs w:val="32"/>
    </w:rPr>
  </w:style>
  <w:style w:type="paragraph" w:styleId="12">
    <w:name w:val="toc 5"/>
    <w:basedOn w:val="1"/>
    <w:next w:val="1"/>
    <w:qFormat/>
    <w:uiPriority w:val="0"/>
    <w:pPr>
      <w:ind w:left="1680"/>
    </w:pPr>
    <w:rPr>
      <w:rFonts w:ascii="Times New Roman" w:hAnsi="Times New Roman" w:eastAsia="宋体" w:cs="Times New Roman"/>
    </w:rPr>
  </w:style>
  <w:style w:type="paragraph" w:styleId="13">
    <w:name w:val="toc 3"/>
    <w:basedOn w:val="1"/>
    <w:next w:val="1"/>
    <w:qFormat/>
    <w:uiPriority w:val="0"/>
    <w:pPr>
      <w:ind w:left="840" w:leftChars="400"/>
    </w:pPr>
  </w:style>
  <w:style w:type="paragraph" w:styleId="14">
    <w:name w:val="Plain Text"/>
    <w:basedOn w:val="1"/>
    <w:qFormat/>
    <w:uiPriority w:val="0"/>
    <w:rPr>
      <w:rFonts w:ascii="宋体" w:hAnsi="Courier New" w:cs="Courier New"/>
      <w:szCs w:val="21"/>
    </w:rPr>
  </w:style>
  <w:style w:type="paragraph" w:styleId="15">
    <w:name w:val="footer"/>
    <w:basedOn w:val="1"/>
    <w:next w:val="16"/>
    <w:qFormat/>
    <w:uiPriority w:val="0"/>
    <w:pPr>
      <w:tabs>
        <w:tab w:val="center" w:pos="4153"/>
        <w:tab w:val="right" w:pos="8306"/>
      </w:tabs>
      <w:snapToGrid w:val="0"/>
      <w:jc w:val="left"/>
    </w:pPr>
    <w:rPr>
      <w:sz w:val="18"/>
    </w:rPr>
  </w:style>
  <w:style w:type="paragraph" w:customStyle="1" w:styleId="16">
    <w:name w:val="UserStyle_0"/>
    <w:basedOn w:val="17"/>
    <w:next w:val="1"/>
    <w:qFormat/>
    <w:uiPriority w:val="0"/>
    <w:pPr>
      <w:ind w:left="1680"/>
    </w:pPr>
  </w:style>
  <w:style w:type="paragraph" w:customStyle="1" w:styleId="17">
    <w:name w:val="正文 New"/>
    <w:next w:val="18"/>
    <w:qFormat/>
    <w:uiPriority w:val="0"/>
    <w:pPr>
      <w:jc w:val="both"/>
      <w:textAlignment w:val="baseline"/>
    </w:pPr>
    <w:rPr>
      <w:rFonts w:ascii="Times New Roman" w:hAnsi="Times New Roman" w:eastAsia="宋体" w:cs="黑体"/>
      <w:kern w:val="2"/>
      <w:sz w:val="21"/>
      <w:szCs w:val="24"/>
      <w:lang w:val="en-US" w:eastAsia="zh-CN" w:bidi="ar-SA"/>
    </w:rPr>
  </w:style>
  <w:style w:type="paragraph" w:customStyle="1" w:styleId="18">
    <w:name w:val="页脚 New"/>
    <w:basedOn w:val="17"/>
    <w:next w:val="16"/>
    <w:qFormat/>
    <w:uiPriority w:val="0"/>
    <w:pPr>
      <w:tabs>
        <w:tab w:val="center" w:pos="4153"/>
        <w:tab w:val="right" w:pos="8306"/>
      </w:tabs>
      <w:snapToGrid w:val="0"/>
      <w:jc w:val="left"/>
    </w:pPr>
    <w:rPr>
      <w:rFonts w:ascii="Calibri" w:hAnsi="Calibri"/>
      <w:sz w:val="18"/>
    </w:rPr>
  </w:style>
  <w:style w:type="paragraph" w:styleId="1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20">
    <w:name w:val="toc 1"/>
    <w:basedOn w:val="1"/>
    <w:next w:val="1"/>
    <w:qFormat/>
    <w:uiPriority w:val="0"/>
  </w:style>
  <w:style w:type="paragraph" w:styleId="21">
    <w:name w:val="footnote text"/>
    <w:basedOn w:val="1"/>
    <w:qFormat/>
    <w:uiPriority w:val="0"/>
    <w:pPr>
      <w:snapToGrid w:val="0"/>
      <w:jc w:val="left"/>
    </w:pPr>
    <w:rPr>
      <w:sz w:val="18"/>
    </w:rPr>
  </w:style>
  <w:style w:type="paragraph" w:styleId="22">
    <w:name w:val="index 9"/>
    <w:basedOn w:val="1"/>
    <w:next w:val="1"/>
    <w:unhideWhenUsed/>
    <w:qFormat/>
    <w:uiPriority w:val="99"/>
    <w:pPr>
      <w:ind w:left="1600" w:leftChars="1600"/>
    </w:pPr>
  </w:style>
  <w:style w:type="paragraph" w:styleId="23">
    <w:name w:val="toc 2"/>
    <w:basedOn w:val="1"/>
    <w:next w:val="1"/>
    <w:qFormat/>
    <w:uiPriority w:val="0"/>
    <w:pPr>
      <w:ind w:left="420" w:leftChars="200"/>
    </w:pPr>
  </w:style>
  <w:style w:type="paragraph" w:styleId="24">
    <w:name w:val="Normal (Web)"/>
    <w:basedOn w:val="1"/>
    <w:qFormat/>
    <w:uiPriority w:val="0"/>
    <w:pPr>
      <w:spacing w:beforeAutospacing="1" w:afterAutospacing="1"/>
      <w:jc w:val="left"/>
    </w:pPr>
    <w:rPr>
      <w:rFonts w:cs="Times New Roman"/>
      <w:kern w:val="0"/>
      <w:sz w:val="24"/>
    </w:rPr>
  </w:style>
  <w:style w:type="paragraph" w:styleId="25">
    <w:name w:val="Title"/>
    <w:basedOn w:val="1"/>
    <w:next w:val="1"/>
    <w:qFormat/>
    <w:uiPriority w:val="0"/>
    <w:pPr>
      <w:spacing w:before="240" w:after="60"/>
      <w:jc w:val="center"/>
      <w:outlineLvl w:val="0"/>
    </w:pPr>
    <w:rPr>
      <w:rFonts w:ascii="Cambria" w:hAnsi="Cambria"/>
      <w:b/>
      <w:bCs/>
      <w:sz w:val="32"/>
      <w:szCs w:val="32"/>
    </w:rPr>
  </w:style>
  <w:style w:type="paragraph" w:styleId="26">
    <w:name w:val="Body Text First Indent 2"/>
    <w:basedOn w:val="11"/>
    <w:qFormat/>
    <w:uiPriority w:val="99"/>
    <w:pPr>
      <w:ind w:firstLine="420" w:firstLineChars="200"/>
    </w:pPr>
  </w:style>
  <w:style w:type="table" w:styleId="28">
    <w:name w:val="Table Grid"/>
    <w:basedOn w:val="2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basedOn w:val="29"/>
    <w:qFormat/>
    <w:uiPriority w:val="0"/>
    <w:rPr>
      <w:b/>
    </w:rPr>
  </w:style>
  <w:style w:type="character" w:styleId="31">
    <w:name w:val="Emphasis"/>
    <w:basedOn w:val="29"/>
    <w:qFormat/>
    <w:uiPriority w:val="0"/>
    <w:rPr>
      <w:i/>
    </w:rPr>
  </w:style>
  <w:style w:type="character" w:styleId="32">
    <w:name w:val="Hyperlink"/>
    <w:basedOn w:val="29"/>
    <w:qFormat/>
    <w:uiPriority w:val="0"/>
    <w:rPr>
      <w:color w:val="0000FF"/>
      <w:u w:val="single"/>
    </w:rPr>
  </w:style>
  <w:style w:type="character" w:styleId="33">
    <w:name w:val="footnote reference"/>
    <w:basedOn w:val="29"/>
    <w:qFormat/>
    <w:uiPriority w:val="0"/>
    <w:rPr>
      <w:vertAlign w:val="superscript"/>
    </w:rPr>
  </w:style>
  <w:style w:type="paragraph" w:customStyle="1" w:styleId="34">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customStyle="1" w:styleId="35">
    <w:name w:val="Body Text1"/>
    <w:basedOn w:val="1"/>
    <w:qFormat/>
    <w:uiPriority w:val="0"/>
    <w:pPr>
      <w:spacing w:after="120"/>
    </w:pPr>
  </w:style>
  <w:style w:type="table" w:customStyle="1" w:styleId="36">
    <w:name w:val="Table Normal"/>
    <w:unhideWhenUsed/>
    <w:qFormat/>
    <w:uiPriority w:val="0"/>
    <w:tblPr>
      <w:tblCellMar>
        <w:top w:w="0" w:type="dxa"/>
        <w:left w:w="0" w:type="dxa"/>
        <w:bottom w:w="0" w:type="dxa"/>
        <w:right w:w="0" w:type="dxa"/>
      </w:tblCellMar>
    </w:tblPr>
  </w:style>
  <w:style w:type="paragraph" w:customStyle="1" w:styleId="37">
    <w:name w:val="脚注"/>
    <w:basedOn w:val="21"/>
    <w:qFormat/>
    <w:uiPriority w:val="0"/>
    <w:rPr>
      <w:rFonts w:ascii="宋体" w:hAnsi="宋体" w:eastAsia="宋体" w:cs="宋体"/>
    </w:rPr>
  </w:style>
  <w:style w:type="character" w:customStyle="1" w:styleId="38">
    <w:name w:val="NormalCharacter"/>
    <w:link w:val="39"/>
    <w:qFormat/>
    <w:uiPriority w:val="99"/>
    <w:rPr>
      <w:rFonts w:ascii="Times New Roman" w:hAnsi="Times New Roman" w:eastAsia="宋体" w:cs="Times New Roman"/>
      <w:kern w:val="2"/>
      <w:sz w:val="21"/>
      <w:szCs w:val="24"/>
      <w:lang w:val="en-US" w:eastAsia="zh-CN" w:bidi="ar-SA"/>
    </w:rPr>
  </w:style>
  <w:style w:type="paragraph" w:customStyle="1" w:styleId="39">
    <w:name w:val="UserStyle_16"/>
    <w:link w:val="38"/>
    <w:qFormat/>
    <w:uiPriority w:val="0"/>
    <w:pPr>
      <w:widowControl w:val="0"/>
      <w:spacing w:line="360" w:lineRule="auto"/>
      <w:ind w:firstLine="200" w:firstLineChars="200"/>
      <w:jc w:val="both"/>
      <w:textAlignment w:val="baseline"/>
    </w:pPr>
    <w:rPr>
      <w:rFonts w:ascii="Times New Roman" w:hAnsi="Times New Roman" w:eastAsia="宋体" w:cs="Times New Roman"/>
      <w:kern w:val="2"/>
      <w:sz w:val="21"/>
      <w:szCs w:val="24"/>
      <w:lang w:val="en-US" w:eastAsia="zh-CN" w:bidi="ar-SA"/>
    </w:rPr>
  </w:style>
  <w:style w:type="paragraph" w:customStyle="1" w:styleId="40">
    <w:name w:val="修订1"/>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41">
    <w:name w:val="Body text|1"/>
    <w:basedOn w:val="1"/>
    <w:qFormat/>
    <w:uiPriority w:val="0"/>
    <w:pPr>
      <w:spacing w:line="394" w:lineRule="auto"/>
      <w:ind w:firstLine="400"/>
    </w:pPr>
    <w:rPr>
      <w:rFonts w:ascii="宋体" w:hAnsi="宋体" w:eastAsia="宋体" w:cs="宋体"/>
      <w:sz w:val="30"/>
      <w:szCs w:val="30"/>
      <w:lang w:val="zh-TW" w:eastAsia="zh-TW" w:bidi="zh-TW"/>
    </w:rPr>
  </w:style>
  <w:style w:type="paragraph" w:customStyle="1" w:styleId="42">
    <w:name w:val="Revision"/>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43">
    <w:name w:val="TOC 11"/>
    <w:next w:val="1"/>
    <w:qFormat/>
    <w:uiPriority w:val="0"/>
    <w:pPr>
      <w:wordWrap w:val="0"/>
      <w:jc w:val="both"/>
    </w:pPr>
    <w:rPr>
      <w:rFonts w:ascii="Times New Roman" w:hAnsi="Times New Roman"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3.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28f60f03-0954-4b9b-bb6f-29506dbddf04</errorID>
      <errorWord>明</errorWord>
      <group>L1_Word</group>
      <groupName>字词问题</groupName>
      <ability>L2_Typo</ability>
      <abilityName>字词错误</abilityName>
      <candidateList>
        <item>明了</item>
      </candidateList>
      <explain/>
      <paraID>4D217C07</paraID>
      <start>4</start>
      <end>5</end>
      <status>ignored</status>
      <modifiedWord/>
      <trackRevisions>false</trackRevisions>
    </reviewItem>
    <reviewItem>
      <errorID>5d56e8b1-28c7-42eb-82e4-010818006483</errorID>
      <errorWord>商业高质量发展</errorWord>
      <group>L1_Political</group>
      <groupName>政治性问题</groupName>
      <ability>L2_Keyword</ability>
      <abilityName>固定表述</abilityName>
      <candidateList>
        <item>经济高质量发展</item>
      </candidateList>
      <explain>词汇“经济高质量发展”在特定场景下为固定表述形式，请确认此处的“商业高质量发展”是否存在不当。</explain>
      <paraID>4D217C07</paraID>
      <start>52</start>
      <end>59</end>
      <status>ignored</status>
      <modifiedWord/>
      <trackRevisions>false</trackRevisions>
    </reviewItem>
    <reviewItem>
      <errorID>1e4c9ff9-505d-49b3-95ed-8f1ada6ad406</errorID>
      <errorWord>商业高质量发展</errorWord>
      <group>L1_Political</group>
      <groupName>政治性问题</groupName>
      <ability>L2_Keyword</ability>
      <abilityName>固定表述</abilityName>
      <candidateList>
        <item>经济高质量发展</item>
      </candidateList>
      <explain>词汇“经济高质量发展”在特定场景下为固定表述形式，请确认此处的“商业高质量发展”是否存在不当。</explain>
      <paraID>65D0F3FD</paraID>
      <start>119</start>
      <end>126</end>
      <status>ignored</status>
      <modifiedWord/>
      <trackRevisions>false</trackRevisions>
    </reviewItem>
    <reviewItem>
      <errorID>5be70086-e27f-43b3-b85f-4253848bc7e1</errorID>
      <errorWord>等</errorWord>
      <group>L1_Word</group>
      <groupName>字词问题</groupName>
      <ability>L2_Typo</ability>
      <abilityName>字词错误</abilityName>
      <candidateList>
        <item>等一</item>
      </candidateList>
      <explain/>
      <paraID>12ADF528</paraID>
      <start>47</start>
      <end>48</end>
      <status>ignored</status>
      <modifiedWord/>
      <trackRevisions>false</trackRevisions>
    </reviewItem>
    <reviewItem>
      <errorID>2063f8ed-bb2e-470c-82db-18b1cd5739fe</errorID>
      <errorWord>市委市政府</errorWord>
      <group>L1_Word</group>
      <groupName>字词问题</groupName>
      <ability>L2_Typo</ability>
      <abilityName>字词错误</abilityName>
      <candidateList>
        <item>市委、市政府</item>
      </candidateList>
      <explain/>
      <paraID> 9A2A643</paraID>
      <start>79</start>
      <end>84</end>
      <status>ignored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b23a894-3f33-4cd4-86ee-dcf0bdbd3f13}">
  <ds:schemaRefs/>
</ds:datastoreItem>
</file>

<file path=customXml/itemProps3.xml><?xml version="1.0" encoding="utf-8"?>
<ds:datastoreItem xmlns:ds="http://schemas.openxmlformats.org/officeDocument/2006/customXml" ds:itemID="{ED7BF52E-6A67-4199-93FA-2E7F78DB43DF}">
  <ds:schemaRefs/>
</ds:datastoreItem>
</file>

<file path=docProps/app.xml><?xml version="1.0" encoding="utf-8"?>
<Properties xmlns="http://schemas.openxmlformats.org/officeDocument/2006/extended-properties" xmlns:vt="http://schemas.openxmlformats.org/officeDocument/2006/docPropsVTypes">
  <Template>Normal.dotm</Template>
  <Pages>23</Pages>
  <Words>3955</Words>
  <Characters>4037</Characters>
  <Lines>544</Lines>
  <Paragraphs>298</Paragraphs>
  <TotalTime>1</TotalTime>
  <ScaleCrop>false</ScaleCrop>
  <LinksUpToDate>false</LinksUpToDate>
  <CharactersWithSpaces>4138</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2025-07-24T01:23:00Z</dcterms:created>
  <dc:creator>Administrator</dc:creator>
  <cp:lastModifiedBy>回望灯如旧1413422734</cp:lastModifiedBy>
  <cp:lastPrinted>2025-09-03T11:05:00Z</cp:lastPrinted>
  <dcterms:modified xsi:type="dcterms:W3CDTF">2026-08-28T08:26:55Z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KSOTemplateDocerSaveRecord">
    <vt:lpwstr>eyJoZGlkIjoiN2Q1OWI4M2I5ZjNkNWZjNmY0MDJmNDQwMmJiNDQ0ZWYiLCJ1c2VySWQiOiI2NzE3NTc4MjUifQ==</vt:lpwstr>
  </property>
  <property fmtid="{D5CDD505-2E9C-101B-9397-08002B2CF9AE}" pid="4" name="ICV">
    <vt:lpwstr>4C615562372448C09DB68502021E374A</vt:lpwstr>
  </property>
</Properties>
</file>