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pStyle w:val="12"/>
        <w:adjustRightInd w:val="0"/>
        <w:snapToGrid w:val="0"/>
        <w:spacing w:line="560" w:lineRule="exact"/>
        <w:ind w:left="0" w:leftChars="0" w:firstLine="0" w:firstLineChars="0"/>
        <w:rPr>
          <w:rFonts w:hint="eastAsia"/>
          <w:b w:val="0"/>
          <w:bCs w:val="0"/>
          <w:sz w:val="44"/>
          <w:szCs w:val="44"/>
        </w:rPr>
      </w:pPr>
      <w:r>
        <w:rPr>
          <w:rFonts w:hint="eastAsia"/>
          <w:b w:val="0"/>
          <w:bCs w:val="0"/>
          <w:sz w:val="44"/>
          <w:szCs w:val="44"/>
          <w:lang w:val="en-US" w:eastAsia="zh-CN"/>
        </w:rPr>
        <w:t>《门头沟区“十五五”时期城市管理规划》</w:t>
      </w:r>
      <w:bookmarkStart w:id="59" w:name="_GoBack"/>
      <w:bookmarkEnd w:id="59"/>
    </w:p>
    <w:p>
      <w:pPr>
        <w:pStyle w:val="12"/>
        <w:adjustRightInd w:val="0"/>
        <w:snapToGrid w:val="0"/>
        <w:spacing w:line="560" w:lineRule="exact"/>
        <w:ind w:left="0" w:leftChars="0" w:firstLine="0" w:firstLineChars="0"/>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b w:val="0"/>
          <w:bCs w:val="0"/>
          <w:sz w:val="44"/>
          <w:szCs w:val="44"/>
          <w:lang w:eastAsia="zh-CN"/>
        </w:rPr>
        <w:t>（</w:t>
      </w:r>
      <w:r>
        <w:rPr>
          <w:rFonts w:hint="eastAsia"/>
          <w:b w:val="0"/>
          <w:bCs w:val="0"/>
          <w:sz w:val="44"/>
          <w:szCs w:val="44"/>
          <w:lang w:val="en-US" w:eastAsia="zh-CN"/>
        </w:rPr>
        <w:t>征求意见稿</w:t>
      </w:r>
      <w:r>
        <w:rPr>
          <w:rFonts w:hint="eastAsia"/>
          <w:b w:val="0"/>
          <w:bCs w:val="0"/>
          <w:sz w:val="44"/>
          <w:szCs w:val="44"/>
          <w:lang w:eastAsia="zh-CN"/>
        </w:rPr>
        <w:t>）</w:t>
      </w: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spacing w:line="560" w:lineRule="exact"/>
        <w:jc w:val="center"/>
        <w:rPr>
          <w:rFonts w:hint="eastAsia" w:ascii="黑体" w:hAnsi="黑体" w:eastAsia="黑体" w:cs="黑体"/>
          <w:color w:val="auto"/>
          <w:sz w:val="32"/>
          <w:szCs w:val="32"/>
          <w:highlight w:val="none"/>
        </w:rPr>
      </w:pPr>
    </w:p>
    <w:p>
      <w:pPr>
        <w:adjustRightInd w:val="0"/>
        <w:snapToGrid w:val="0"/>
        <w:spacing w:line="560" w:lineRule="exact"/>
        <w:ind w:firstLine="700" w:firstLineChars="200"/>
        <w:jc w:val="center"/>
        <w:rPr>
          <w:rFonts w:hint="eastAsia" w:ascii="Calibri" w:hAnsi="Calibri" w:eastAsia="黑体" w:cs="Times New Roman"/>
          <w:b w:val="0"/>
          <w:bCs w:val="0"/>
          <w:spacing w:val="4"/>
          <w:w w:val="95"/>
          <w:kern w:val="44"/>
          <w:sz w:val="36"/>
          <w:szCs w:val="36"/>
          <w:lang w:val="en-US" w:eastAsia="zh-CN" w:bidi="ar-SA"/>
        </w:rPr>
      </w:pPr>
    </w:p>
    <w:p>
      <w:pPr>
        <w:adjustRightInd w:val="0"/>
        <w:snapToGrid w:val="0"/>
        <w:spacing w:line="560" w:lineRule="exact"/>
        <w:ind w:firstLine="700" w:firstLineChars="200"/>
        <w:jc w:val="center"/>
        <w:rPr>
          <w:rFonts w:hint="eastAsia" w:ascii="Calibri" w:hAnsi="Calibri" w:eastAsia="黑体" w:cs="Times New Roman"/>
          <w:b w:val="0"/>
          <w:bCs w:val="0"/>
          <w:spacing w:val="4"/>
          <w:w w:val="95"/>
          <w:kern w:val="44"/>
          <w:sz w:val="36"/>
          <w:szCs w:val="36"/>
          <w:lang w:val="en-US" w:eastAsia="zh-CN" w:bidi="ar-SA"/>
        </w:rPr>
      </w:pPr>
      <w:r>
        <w:rPr>
          <w:rFonts w:hint="eastAsia" w:ascii="Calibri" w:hAnsi="Calibri" w:eastAsia="黑体" w:cs="Times New Roman"/>
          <w:b w:val="0"/>
          <w:bCs w:val="0"/>
          <w:spacing w:val="4"/>
          <w:w w:val="95"/>
          <w:kern w:val="44"/>
          <w:sz w:val="36"/>
          <w:szCs w:val="36"/>
          <w:lang w:val="en-US" w:eastAsia="zh-CN" w:bidi="ar-SA"/>
        </w:rPr>
        <w:t>门头沟区城市管理委员会</w:t>
      </w:r>
    </w:p>
    <w:p>
      <w:pPr>
        <w:adjustRightInd w:val="0"/>
        <w:snapToGrid w:val="0"/>
        <w:spacing w:line="560" w:lineRule="exact"/>
        <w:ind w:firstLine="700" w:firstLineChars="200"/>
        <w:jc w:val="center"/>
        <w:rPr>
          <w:rFonts w:hint="eastAsia" w:ascii="Calibri" w:hAnsi="Calibri" w:eastAsia="黑体" w:cs="Times New Roman"/>
          <w:b w:val="0"/>
          <w:bCs w:val="0"/>
          <w:spacing w:val="4"/>
          <w:w w:val="95"/>
          <w:kern w:val="44"/>
          <w:sz w:val="36"/>
          <w:szCs w:val="36"/>
          <w:lang w:val="en-US" w:eastAsia="zh-CN" w:bidi="ar-SA"/>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992" w:gutter="0"/>
          <w:cols w:space="425" w:num="1"/>
          <w:docGrid w:type="lines" w:linePitch="312" w:charSpace="0"/>
        </w:sectPr>
      </w:pPr>
      <w:r>
        <w:rPr>
          <w:rFonts w:hint="eastAsia" w:ascii="Calibri" w:hAnsi="Calibri" w:eastAsia="黑体" w:cs="Times New Roman"/>
          <w:b w:val="0"/>
          <w:bCs w:val="0"/>
          <w:spacing w:val="4"/>
          <w:w w:val="95"/>
          <w:kern w:val="44"/>
          <w:sz w:val="36"/>
          <w:szCs w:val="36"/>
          <w:lang w:val="en-US" w:eastAsia="zh-CN" w:bidi="ar-SA"/>
        </w:rPr>
        <w:t>2026年9月</w:t>
      </w:r>
    </w:p>
    <w:p>
      <w:pPr>
        <w:adjustRightInd w:val="0"/>
        <w:snapToGrid w:val="0"/>
        <w:spacing w:line="560" w:lineRule="exact"/>
        <w:ind w:firstLine="640" w:firstLineChars="200"/>
        <w:rPr>
          <w:rFonts w:hint="eastAsia" w:ascii="仿宋" w:hAnsi="仿宋" w:eastAsia="仿宋_GB2312" w:cs="仿宋"/>
          <w:sz w:val="32"/>
          <w:szCs w:val="32"/>
        </w:rPr>
      </w:pPr>
      <w:r>
        <w:rPr>
          <w:rFonts w:hint="eastAsia" w:ascii="仿宋" w:hAnsi="仿宋" w:eastAsia="仿宋_GB2312" w:cs="仿宋"/>
          <w:sz w:val="32"/>
          <w:szCs w:val="32"/>
        </w:rPr>
        <w:t>“十五五”时期是基本实现社会主义现代化夯实基础、全面发力的关键时期，是北京率先基本实现社会主义现代化的关键时期，也是门头沟区加速推进绿色高质量转型发展的关键时期。站在新的历史方位，城市管理在城市工作全局中的角色日益关键，全区应准确把握新发展阶段，坚持城市内涵式发展，推动城市管理向治理转变，助力高水平建设首都西大门。依据《北京市国民经济和社会发展第十五个五年规划纲要》《北京市“十五五”时期城市管理发展规划》《北京市门头沟区国民经济和社会发展第十五个五年规划纲要》等上位规划，编制本规划。</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0" w:name="_Toc12055"/>
      <w:bookmarkStart w:id="1" w:name="_Toc949037407"/>
      <w:bookmarkStart w:id="2" w:name="_Toc698098474"/>
      <w:bookmarkStart w:id="3" w:name="_Toc31458"/>
      <w:bookmarkStart w:id="4" w:name="_Toc1256066642"/>
      <w:bookmarkStart w:id="5" w:name="_Toc1958032607"/>
      <w:bookmarkStart w:id="6" w:name="_Toc15651"/>
      <w:bookmarkStart w:id="7" w:name="_Toc1178167966"/>
      <w:bookmarkStart w:id="8" w:name="_Toc593128845"/>
      <w:bookmarkStart w:id="9" w:name="_Toc4046"/>
      <w:bookmarkStart w:id="10" w:name="_Toc1869459504"/>
      <w:bookmarkStart w:id="11" w:name="_Toc717169582"/>
      <w:bookmarkStart w:id="12" w:name="_Toc371249347"/>
      <w:bookmarkStart w:id="13" w:name="_Toc1985317415"/>
      <w:bookmarkStart w:id="14" w:name="_Toc885"/>
      <w:bookmarkStart w:id="15" w:name="_Toc143803067"/>
      <w:bookmarkStart w:id="16" w:name="_Toc80117468"/>
      <w:r>
        <w:rPr>
          <w:rFonts w:hint="eastAsia" w:ascii="Calibri" w:hAnsi="Calibri" w:eastAsia="黑体" w:cs="Times New Roman"/>
          <w:b/>
          <w:bCs/>
          <w:spacing w:val="4"/>
          <w:w w:val="95"/>
          <w:szCs w:val="32"/>
          <w:lang w:val="en-US" w:eastAsia="zh-CN" w:bidi="ar-SA"/>
        </w:rPr>
        <w:t>总体要求</w:t>
      </w:r>
      <w:bookmarkEnd w:id="0"/>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17" w:name="_Toc7931"/>
      <w:r>
        <w:rPr>
          <w:rFonts w:hint="eastAsia" w:ascii="楷体_GB2312" w:hAnsi="楷体_GB2312" w:eastAsia="楷体_GB2312" w:cs="楷体_GB2312"/>
          <w:color w:val="auto"/>
          <w:sz w:val="32"/>
          <w:szCs w:val="32"/>
          <w:highlight w:val="none"/>
        </w:rPr>
        <w:t>（一）指导思想</w:t>
      </w:r>
      <w:bookmarkEnd w:id="17"/>
    </w:p>
    <w:p>
      <w:pPr>
        <w:adjustRightInd w:val="0"/>
        <w:snapToGrid w:val="0"/>
        <w:spacing w:line="560" w:lineRule="exact"/>
        <w:ind w:firstLine="640" w:firstLineChars="200"/>
        <w:rPr>
          <w:rFonts w:hint="eastAsia" w:ascii="仿宋_GB2312" w:hAnsi="仿宋" w:eastAsia="仿宋_GB2312"/>
          <w:color w:val="auto"/>
          <w:sz w:val="32"/>
          <w:szCs w:val="32"/>
          <w:highlight w:val="none"/>
        </w:rPr>
      </w:pPr>
      <w:r>
        <w:rPr>
          <w:rFonts w:hint="eastAsia" w:ascii="仿宋" w:hAnsi="仿宋" w:eastAsia="仿宋_GB2312" w:cs="仿宋"/>
          <w:sz w:val="32"/>
          <w:szCs w:val="32"/>
        </w:rPr>
        <w:t>以习近平新时代中国特色社会主义思想为指导，全面贯彻党的二十大和二十届历次全会精神，深入学习习近平总书记关于城市工作的重要论述及对北京系列重要讲话精神，紧扣2025年中央城市工作会议部署，认真落实区委全会精神及“十五五”谋划，立足门头沟功能定位及“加速转型”发展阶段，以建设现代化人民城市为根本目标，以坚持城市内涵式发展为主线，多维发力提升城市管理精细化、科学化、智慧化水平，推动城市各项工作与优化城市功能、改善城市形象、扩展城市优质空间深度融合，着力打造生态友好、运行智慧、治理高效、人民满意的城市管理新格局，为加快建设国际一流和谐宜居之都提供坚实支撑。</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18" w:name="_Toc12276"/>
      <w:r>
        <w:rPr>
          <w:rFonts w:hint="eastAsia" w:ascii="楷体_GB2312" w:hAnsi="楷体_GB2312" w:eastAsia="楷体_GB2312" w:cs="楷体_GB2312"/>
          <w:color w:val="auto"/>
          <w:sz w:val="32"/>
          <w:szCs w:val="32"/>
          <w:highlight w:val="none"/>
        </w:rPr>
        <w:t>（二）基本原则</w:t>
      </w:r>
      <w:bookmarkEnd w:id="18"/>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统筹兼顾：统筹城市管理各方面工作，把握城市治理的科学方法，实现协调发展。</w:t>
      </w:r>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问题导向：找准城市管理短板，针对存在问题精准施策，推动建立城市精细化管理长效机制。</w:t>
      </w:r>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人民至上：更加注重“投资于人”，持续提升人民群众的获得感、幸福感、安全感。</w:t>
      </w:r>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适度超前：立足长远、留有冗余，为未来的发展预留空间，提高前瞻性和可持续性。</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19" w:name="_Toc31436"/>
      <w:r>
        <w:rPr>
          <w:rFonts w:hint="eastAsia" w:ascii="楷体_GB2312" w:hAnsi="楷体_GB2312" w:eastAsia="楷体_GB2312" w:cs="楷体_GB2312"/>
          <w:color w:val="auto"/>
          <w:sz w:val="32"/>
          <w:szCs w:val="32"/>
          <w:highlight w:val="none"/>
        </w:rPr>
        <w:t>（三）发展思路</w:t>
      </w:r>
      <w:bookmarkEnd w:id="19"/>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lang w:val="en-US" w:eastAsia="zh-CN"/>
        </w:rPr>
        <w:t>坚持</w:t>
      </w:r>
      <w:r>
        <w:rPr>
          <w:rFonts w:hint="eastAsia" w:ascii="仿宋_GB2312" w:hAnsi="仿宋" w:eastAsia="仿宋_GB2312"/>
          <w:color w:val="auto"/>
          <w:sz w:val="32"/>
          <w:szCs w:val="32"/>
          <w:highlight w:val="none"/>
        </w:rPr>
        <w:t>“补短板、善治理、强智慧、优品质”12字方针，全面推进城市管理</w:t>
      </w:r>
      <w:r>
        <w:rPr>
          <w:rFonts w:hint="eastAsia" w:ascii="仿宋_GB2312" w:hAnsi="仿宋" w:eastAsia="仿宋_GB2312"/>
          <w:color w:val="auto"/>
          <w:sz w:val="32"/>
          <w:szCs w:val="32"/>
          <w:highlight w:val="none"/>
          <w:lang w:val="en-US" w:eastAsia="zh-CN"/>
        </w:rPr>
        <w:t>高质量发展</w:t>
      </w:r>
      <w:r>
        <w:rPr>
          <w:rFonts w:hint="eastAsia" w:ascii="仿宋_GB2312" w:hAnsi="仿宋" w:eastAsia="仿宋_GB2312"/>
          <w:color w:val="auto"/>
          <w:sz w:val="32"/>
          <w:szCs w:val="32"/>
          <w:highlight w:val="none"/>
        </w:rPr>
        <w:t>。</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20" w:name="_Toc490"/>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四</w:t>
      </w:r>
      <w:r>
        <w:rPr>
          <w:rFonts w:hint="eastAsia" w:ascii="楷体_GB2312" w:hAnsi="楷体_GB2312" w:eastAsia="楷体_GB2312" w:cs="楷体_GB2312"/>
          <w:color w:val="auto"/>
          <w:sz w:val="32"/>
          <w:szCs w:val="32"/>
          <w:highlight w:val="none"/>
        </w:rPr>
        <w:t>）发展目标</w:t>
      </w:r>
      <w:bookmarkEnd w:id="20"/>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到2030年，城市管理各项工作取得长足发展，市政基础设施品质全面提升，城市环境更加靓丽洁净，能源供给更加清洁可靠，城市韧性水平和快速恢复能力显著</w:t>
      </w:r>
      <w:r>
        <w:rPr>
          <w:rFonts w:hint="eastAsia" w:ascii="仿宋_GB2312" w:hAnsi="仿宋" w:eastAsia="仿宋_GB2312"/>
          <w:color w:val="auto"/>
          <w:sz w:val="32"/>
          <w:szCs w:val="32"/>
          <w:highlight w:val="none"/>
          <w:lang w:val="en-US" w:eastAsia="zh-CN"/>
        </w:rPr>
        <w:t>提高</w:t>
      </w:r>
      <w:r>
        <w:rPr>
          <w:rFonts w:hint="eastAsia" w:ascii="仿宋_GB2312" w:hAnsi="仿宋" w:eastAsia="仿宋_GB2312"/>
          <w:color w:val="auto"/>
          <w:sz w:val="32"/>
          <w:szCs w:val="32"/>
          <w:highlight w:val="none"/>
        </w:rPr>
        <w:t>，城市管理更加智慧高效，公共民生福祉有力保障，</w:t>
      </w:r>
      <w:r>
        <w:rPr>
          <w:rFonts w:hint="eastAsia" w:ascii="仿宋_GB2312" w:hAnsi="仿宋" w:eastAsia="仿宋_GB2312"/>
          <w:b/>
          <w:bCs/>
          <w:color w:val="auto"/>
          <w:sz w:val="32"/>
          <w:szCs w:val="32"/>
          <w:highlight w:val="none"/>
        </w:rPr>
        <w:t>基本形成权责明晰、服务为先、管理优化、执法规范、协同高效的城市综合管理体系，</w:t>
      </w:r>
      <w:r>
        <w:rPr>
          <w:rFonts w:hint="eastAsia" w:ascii="仿宋_GB2312" w:hAnsi="仿宋" w:eastAsia="仿宋_GB2312"/>
          <w:color w:val="auto"/>
          <w:sz w:val="32"/>
          <w:szCs w:val="32"/>
          <w:highlight w:val="none"/>
        </w:rPr>
        <w:t>擦亮“京西水岸、魅力山城”城市品牌，推动现代化人民城市建设迈上新台阶。</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21" w:name="_Toc21198"/>
      <w:r>
        <w:rPr>
          <w:rFonts w:hint="eastAsia" w:ascii="Calibri" w:hAnsi="Calibri" w:eastAsia="黑体" w:cs="Times New Roman"/>
          <w:b/>
          <w:bCs/>
          <w:spacing w:val="4"/>
          <w:w w:val="95"/>
          <w:szCs w:val="32"/>
          <w:lang w:val="en-US" w:eastAsia="zh-CN" w:bidi="ar-SA"/>
        </w:rPr>
        <w:t>聚力市政设施更新提质，打造畅通便捷的“宜居门头沟”</w:t>
      </w:r>
      <w:bookmarkEnd w:id="21"/>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22" w:name="_Toc5588"/>
      <w:r>
        <w:rPr>
          <w:rFonts w:hint="eastAsia" w:ascii="楷体_GB2312" w:hAnsi="楷体_GB2312" w:eastAsia="楷体_GB2312" w:cs="楷体_GB2312"/>
          <w:color w:val="auto"/>
          <w:sz w:val="32"/>
          <w:szCs w:val="32"/>
          <w:highlight w:val="none"/>
        </w:rPr>
        <w:t>（一）深化道桥设施精细管护</w:t>
      </w:r>
      <w:bookmarkEnd w:id="22"/>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强化道路桥梁监管养护。</w:t>
      </w:r>
      <w:r>
        <w:rPr>
          <w:rFonts w:hint="eastAsia" w:ascii="仿宋_GB2312" w:hAnsi="仿宋" w:eastAsia="仿宋_GB2312"/>
          <w:color w:val="auto"/>
          <w:sz w:val="32"/>
          <w:szCs w:val="32"/>
          <w:highlight w:val="none"/>
        </w:rPr>
        <w:t>健全城市道路及桥隧日常巡查维护、安全监管和应急管理机制，统筹日常维护与大中修工程，实施病害治理、预防性养护以及人行道、非机动车道修补等，落实“急事急办、精修快修”，消除危桥隐患及路面坑洼，保障道路畅通。</w:t>
      </w:r>
      <w:r>
        <w:rPr>
          <w:rFonts w:hint="eastAsia" w:ascii="仿宋_GB2312" w:hAnsi="仿宋" w:eastAsia="仿宋_GB2312"/>
          <w:b/>
          <w:bCs/>
          <w:color w:val="auto"/>
          <w:sz w:val="32"/>
          <w:szCs w:val="32"/>
          <w:highlight w:val="none"/>
        </w:rPr>
        <w:t>加快道路附属设施改造提升。</w:t>
      </w:r>
      <w:r>
        <w:rPr>
          <w:rFonts w:hint="eastAsia" w:ascii="仿宋_GB2312" w:hAnsi="仿宋" w:eastAsia="仿宋_GB2312"/>
          <w:color w:val="auto"/>
          <w:sz w:val="32"/>
          <w:szCs w:val="32"/>
          <w:highlight w:val="none"/>
        </w:rPr>
        <w:t>推进“有路无灯、有灯不亮”整治，加快照明节能改造。规范公交站台建设，完善重要道路公交港湾，按需增设候车亭，新建或大修道路同步配建公交港湾并预留电子站台用电条件，提高出行安全性与便利度。</w:t>
      </w:r>
      <w:r>
        <w:rPr>
          <w:rFonts w:hint="eastAsia" w:ascii="仿宋_GB2312" w:hAnsi="仿宋" w:eastAsia="仿宋_GB2312"/>
          <w:b/>
          <w:bCs/>
          <w:color w:val="auto"/>
          <w:sz w:val="32"/>
          <w:szCs w:val="32"/>
          <w:highlight w:val="none"/>
        </w:rPr>
        <w:t>加强未移交城市道路规范管理。</w:t>
      </w:r>
      <w:r>
        <w:rPr>
          <w:rFonts w:hint="eastAsia" w:ascii="仿宋_GB2312" w:hAnsi="仿宋" w:eastAsia="仿宋_GB2312"/>
          <w:color w:val="auto"/>
          <w:sz w:val="32"/>
          <w:szCs w:val="32"/>
          <w:highlight w:val="none"/>
        </w:rPr>
        <w:t>建立“一路一档”动态台账管理机制，强化多部门协同与属地联动，系统整改工程类与手续类问题，压实建设单位主体责任。探索交通设施移交及管养机制，构建资金保障、容缺移交、长效管养的综合治理体系，推动“建成即移交、纳管即投用”。</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23" w:name="_Toc12893"/>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）规范城市停车管理</w:t>
      </w:r>
      <w:bookmarkEnd w:id="23"/>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优化停车泊位供给。</w:t>
      </w:r>
      <w:r>
        <w:rPr>
          <w:rFonts w:hint="eastAsia" w:ascii="仿宋_GB2312" w:hAnsi="仿宋" w:eastAsia="仿宋_GB2312"/>
          <w:color w:val="auto"/>
          <w:sz w:val="32"/>
          <w:szCs w:val="32"/>
          <w:highlight w:val="none"/>
        </w:rPr>
        <w:t>推进共享停车，优化路侧停车认证资源配比升级，结合重点区域需求统筹谋划停车场布局。</w:t>
      </w:r>
      <w:r>
        <w:rPr>
          <w:rFonts w:hint="eastAsia" w:ascii="仿宋_GB2312" w:hAnsi="仿宋" w:eastAsia="仿宋_GB2312"/>
          <w:b/>
          <w:bCs/>
          <w:color w:val="auto"/>
          <w:sz w:val="32"/>
          <w:szCs w:val="32"/>
          <w:highlight w:val="none"/>
        </w:rPr>
        <w:t>规范停车秩序。</w:t>
      </w:r>
      <w:r>
        <w:rPr>
          <w:rFonts w:hint="eastAsia" w:ascii="仿宋_GB2312" w:hAnsi="仿宋" w:eastAsia="仿宋_GB2312"/>
          <w:color w:val="auto"/>
          <w:sz w:val="32"/>
          <w:szCs w:val="32"/>
          <w:highlight w:val="none"/>
        </w:rPr>
        <w:t>以“非现场执法设备+人员补充执法”实现城区执法全覆盖，依法查处停车设施改作他用、擅自停用等行为，保障设施供给。</w:t>
      </w:r>
      <w:r>
        <w:rPr>
          <w:rFonts w:hint="eastAsia" w:ascii="仿宋_GB2312" w:hAnsi="仿宋" w:eastAsia="仿宋_GB2312"/>
          <w:b/>
          <w:bCs/>
          <w:color w:val="auto"/>
          <w:sz w:val="32"/>
          <w:szCs w:val="32"/>
          <w:highlight w:val="none"/>
          <w:lang w:val="en-US" w:eastAsia="zh-CN"/>
        </w:rPr>
        <w:t>提高</w:t>
      </w:r>
      <w:r>
        <w:rPr>
          <w:rFonts w:hint="eastAsia" w:ascii="仿宋_GB2312" w:hAnsi="仿宋" w:eastAsia="仿宋_GB2312"/>
          <w:b/>
          <w:bCs/>
          <w:color w:val="auto"/>
          <w:sz w:val="32"/>
          <w:szCs w:val="32"/>
          <w:highlight w:val="none"/>
        </w:rPr>
        <w:t>停车资源利用</w:t>
      </w:r>
      <w:r>
        <w:rPr>
          <w:rFonts w:hint="eastAsia" w:ascii="仿宋_GB2312" w:hAnsi="仿宋" w:eastAsia="仿宋_GB2312"/>
          <w:b/>
          <w:bCs/>
          <w:color w:val="auto"/>
          <w:sz w:val="32"/>
          <w:szCs w:val="32"/>
          <w:highlight w:val="none"/>
          <w:lang w:val="en-US" w:eastAsia="zh-CN"/>
        </w:rPr>
        <w:t>效率</w:t>
      </w:r>
      <w:r>
        <w:rPr>
          <w:rFonts w:hint="eastAsia" w:ascii="仿宋_GB2312" w:hAnsi="仿宋" w:eastAsia="仿宋_GB2312"/>
          <w:b/>
          <w:bCs/>
          <w:color w:val="auto"/>
          <w:sz w:val="32"/>
          <w:szCs w:val="32"/>
          <w:highlight w:val="none"/>
        </w:rPr>
        <w:t>。</w:t>
      </w:r>
      <w:r>
        <w:rPr>
          <w:rFonts w:hint="eastAsia" w:ascii="仿宋_GB2312" w:hAnsi="仿宋" w:eastAsia="仿宋_GB2312"/>
          <w:color w:val="auto"/>
          <w:sz w:val="32"/>
          <w:szCs w:val="32"/>
          <w:highlight w:val="none"/>
        </w:rPr>
        <w:t>逐步建立市场阶梯收费机制，引导小区自治与费用反哺，明确各类车位使用权、优先权、续期条件，完善多元化价格机制。</w:t>
      </w:r>
      <w:r>
        <w:rPr>
          <w:rFonts w:hint="eastAsia" w:ascii="仿宋_GB2312" w:hAnsi="仿宋" w:eastAsia="仿宋_GB2312"/>
          <w:b/>
          <w:bCs/>
          <w:color w:val="auto"/>
          <w:sz w:val="32"/>
          <w:szCs w:val="32"/>
          <w:highlight w:val="none"/>
        </w:rPr>
        <w:t>技术赋能智慧管理。</w:t>
      </w:r>
      <w:r>
        <w:rPr>
          <w:rFonts w:hint="eastAsia" w:ascii="仿宋_GB2312" w:hAnsi="仿宋" w:eastAsia="仿宋_GB2312"/>
          <w:color w:val="auto"/>
          <w:sz w:val="32"/>
          <w:szCs w:val="32"/>
          <w:highlight w:val="none"/>
        </w:rPr>
        <w:t>完善“全区停车一张图”，整合路内外、错时共享、居住认证等资源，实现实时查询、预约、缴费一体化。探索停车资源分片区供给，精准配置各区域停车类型、数量及价格，通过分流引导实现供需平衡。推进路侧停车设施智能化改造与电子收费，鼓励社会停车场开展智能化升级，形成多方参与的停车管理新格局。</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lang w:val="en-US" w:eastAsia="zh-CN"/>
        </w:rPr>
      </w:pPr>
      <w:bookmarkStart w:id="24" w:name="_Toc22500"/>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）优化非机动车停放</w:t>
      </w:r>
      <w:r>
        <w:rPr>
          <w:rFonts w:hint="eastAsia" w:ascii="楷体_GB2312" w:hAnsi="楷体_GB2312" w:eastAsia="楷体_GB2312" w:cs="楷体_GB2312"/>
          <w:color w:val="auto"/>
          <w:sz w:val="32"/>
          <w:szCs w:val="32"/>
          <w:highlight w:val="none"/>
          <w:lang w:val="en-US" w:eastAsia="zh-CN"/>
        </w:rPr>
        <w:t>秩序</w:t>
      </w:r>
      <w:bookmarkEnd w:id="24"/>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加强自行车、电动车停放管控。</w:t>
      </w:r>
      <w:r>
        <w:rPr>
          <w:rFonts w:hint="eastAsia" w:ascii="仿宋_GB2312" w:hAnsi="仿宋" w:eastAsia="仿宋_GB2312"/>
          <w:color w:val="auto"/>
          <w:sz w:val="32"/>
          <w:szCs w:val="32"/>
          <w:highlight w:val="none"/>
        </w:rPr>
        <w:t>针对地铁口、商圈、医院、学校等高需求区域，增设分散式停放点并做好运维。加强轨道交通站点非机动车立体车库及周边配套充电设施建设。探索电动自行车交通秩序及车辆安全管理模式，保障通行安全有序。</w:t>
      </w:r>
      <w:r>
        <w:rPr>
          <w:rFonts w:hint="eastAsia" w:ascii="仿宋_GB2312" w:hAnsi="仿宋" w:eastAsia="仿宋_GB2312"/>
          <w:b/>
          <w:bCs/>
          <w:color w:val="auto"/>
          <w:sz w:val="32"/>
          <w:szCs w:val="32"/>
          <w:highlight w:val="none"/>
        </w:rPr>
        <w:t>规范共享单车停放秩序。</w:t>
      </w:r>
      <w:r>
        <w:rPr>
          <w:rFonts w:hint="eastAsia" w:ascii="仿宋_GB2312" w:hAnsi="仿宋" w:eastAsia="仿宋_GB2312"/>
          <w:color w:val="auto"/>
          <w:sz w:val="32"/>
          <w:szCs w:val="32"/>
          <w:highlight w:val="none"/>
        </w:rPr>
        <w:t>建立网格化巡查、发现、运维闭环机制，结合道路容纳量合理新增停放点位</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优化轨道交通、居住小区及商圈周边高峰时段车辆调度。</w:t>
      </w:r>
      <w:r>
        <w:rPr>
          <w:rFonts w:hint="eastAsia" w:ascii="仿宋_GB2312" w:hAnsi="仿宋" w:eastAsia="仿宋_GB2312"/>
          <w:b/>
          <w:bCs/>
          <w:color w:val="auto"/>
          <w:sz w:val="32"/>
          <w:szCs w:val="32"/>
          <w:highlight w:val="none"/>
        </w:rPr>
        <w:t>科学布局骑行友好设施。</w:t>
      </w:r>
      <w:r>
        <w:rPr>
          <w:rFonts w:hint="eastAsia" w:ascii="仿宋_GB2312" w:hAnsi="仿宋" w:eastAsia="仿宋_GB2312"/>
          <w:color w:val="auto"/>
          <w:sz w:val="32"/>
          <w:szCs w:val="32"/>
          <w:highlight w:val="none"/>
        </w:rPr>
        <w:t>完善骑行标识系统，优化骑行车架点位，联动共享单车停放点、公交站点</w:t>
      </w:r>
      <w:r>
        <w:rPr>
          <w:rFonts w:hint="eastAsia" w:ascii="仿宋_GB2312" w:hAnsi="仿宋" w:eastAsia="仿宋_GB2312"/>
          <w:color w:val="auto"/>
          <w:sz w:val="32"/>
          <w:szCs w:val="32"/>
          <w:highlight w:val="none"/>
          <w:lang w:val="en-US" w:eastAsia="zh-CN"/>
        </w:rPr>
        <w:t>等</w:t>
      </w:r>
      <w:r>
        <w:rPr>
          <w:rFonts w:hint="eastAsia" w:ascii="仿宋_GB2312" w:hAnsi="仿宋" w:eastAsia="仿宋_GB2312"/>
          <w:color w:val="auto"/>
          <w:sz w:val="32"/>
          <w:szCs w:val="32"/>
          <w:highlight w:val="none"/>
        </w:rPr>
        <w:t>，打通出行“最后一公里”。在对外交通节点规划骑行接驳停车场，方便“自驾+骑行”组合出行，全面提升骑行体验与交通运行效率。</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25" w:name="_Toc12828"/>
      <w:r>
        <w:rPr>
          <w:rFonts w:hint="eastAsia" w:ascii="楷体_GB2312" w:hAnsi="楷体_GB2312" w:eastAsia="楷体_GB2312" w:cs="楷体_GB2312"/>
          <w:color w:val="auto"/>
          <w:sz w:val="32"/>
          <w:szCs w:val="32"/>
          <w:highlight w:val="none"/>
        </w:rPr>
        <w:t>（四）推动市政设施配套管理模式创新</w:t>
      </w:r>
      <w:bookmarkEnd w:id="25"/>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lang w:val="en-US" w:eastAsia="zh-CN"/>
        </w:rPr>
        <w:t>完善</w:t>
      </w:r>
      <w:r>
        <w:rPr>
          <w:rFonts w:hint="eastAsia" w:ascii="仿宋_GB2312" w:hAnsi="仿宋" w:eastAsia="仿宋_GB2312"/>
          <w:b/>
          <w:bCs/>
          <w:color w:val="auto"/>
          <w:sz w:val="32"/>
          <w:szCs w:val="32"/>
          <w:highlight w:val="none"/>
        </w:rPr>
        <w:t>协同管理模式。</w:t>
      </w:r>
      <w:r>
        <w:rPr>
          <w:rFonts w:hint="eastAsia" w:ascii="仿宋_GB2312" w:hAnsi="仿宋" w:eastAsia="仿宋_GB2312"/>
          <w:color w:val="auto"/>
          <w:sz w:val="32"/>
          <w:szCs w:val="32"/>
          <w:highlight w:val="none"/>
        </w:rPr>
        <w:t>建立发改、规自、住建、城管、水务等多部门协同机制，形成“规划共商、建设共管、数据共享”的联动机制，规划阶段涉及水、电、气、热等重要部门对市政设施配套方案进行联合评审，明确规划、审批、建设、监管等环节的主责部门及协作流程，确保与主体工程同步设计，同步实施，避免责任真空。</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26" w:name="_Toc20095"/>
      <w:r>
        <w:rPr>
          <w:rFonts w:hint="eastAsia" w:ascii="Calibri" w:hAnsi="Calibri" w:eastAsia="黑体" w:cs="Times New Roman"/>
          <w:b/>
          <w:bCs/>
          <w:spacing w:val="4"/>
          <w:w w:val="95"/>
          <w:szCs w:val="32"/>
          <w:lang w:val="en-US" w:eastAsia="zh-CN" w:bidi="ar-SA"/>
        </w:rPr>
        <w:t>深化环境精细化治理，塑造精致有序的“魅力门头沟”</w:t>
      </w:r>
      <w:bookmarkEnd w:id="26"/>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27" w:name="_Toc5602"/>
      <w:r>
        <w:rPr>
          <w:rFonts w:hint="eastAsia" w:ascii="楷体_GB2312" w:hAnsi="楷体_GB2312" w:eastAsia="楷体_GB2312" w:cs="楷体_GB2312"/>
          <w:color w:val="auto"/>
          <w:sz w:val="32"/>
          <w:szCs w:val="32"/>
          <w:highlight w:val="none"/>
        </w:rPr>
        <w:t>（一）加强重点区域环境整治提升</w:t>
      </w:r>
      <w:bookmarkEnd w:id="27"/>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提升重点片区环境质量。</w:t>
      </w:r>
      <w:r>
        <w:rPr>
          <w:rFonts w:hint="eastAsia" w:ascii="仿宋_GB2312" w:hAnsi="仿宋" w:eastAsia="仿宋_GB2312"/>
          <w:color w:val="auto"/>
          <w:sz w:val="32"/>
          <w:szCs w:val="32"/>
          <w:highlight w:val="none"/>
        </w:rPr>
        <w:t>聚焦“两园一河”核心承载区，重点开展永定河沿岸岸线清理与生态修复、产业配套微空间改造以及S1轨道站前广场及桥下空间整治</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结合经济、科技、文旅发展重点区域，实施潭戒风景区、京西智谷等重点景观提升项目</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针对城乡结合部环境建设薄弱环节，积极谋划符合地区发展实际的景观提升项目，推动环境从“整洁有序”向“品质彰显”升级。</w:t>
      </w:r>
      <w:r>
        <w:rPr>
          <w:rFonts w:hint="eastAsia" w:ascii="仿宋_GB2312" w:hAnsi="仿宋" w:eastAsia="仿宋_GB2312"/>
          <w:b/>
          <w:bCs/>
          <w:color w:val="auto"/>
          <w:sz w:val="32"/>
          <w:szCs w:val="32"/>
          <w:highlight w:val="none"/>
        </w:rPr>
        <w:t>激活城市闲置空间。</w:t>
      </w:r>
      <w:r>
        <w:rPr>
          <w:rFonts w:hint="eastAsia" w:ascii="仿宋_GB2312" w:hAnsi="仿宋" w:eastAsia="仿宋_GB2312"/>
          <w:color w:val="auto"/>
          <w:sz w:val="32"/>
          <w:szCs w:val="32"/>
          <w:highlight w:val="none"/>
        </w:rPr>
        <w:t>加快“金角银边”增值利用，重点挖掘桥下空间、街旁闲置地、断头路隐患区域、社区边角、屋顶、低效用地等剩余空间，</w:t>
      </w:r>
      <w:r>
        <w:rPr>
          <w:rFonts w:hint="eastAsia" w:ascii="仿宋_GB2312" w:hAnsi="仿宋" w:eastAsia="仿宋_GB2312"/>
          <w:color w:val="auto"/>
          <w:sz w:val="32"/>
          <w:szCs w:val="32"/>
          <w:highlight w:val="none"/>
          <w:lang w:val="en-US" w:eastAsia="zh-CN"/>
        </w:rPr>
        <w:t>有机融合</w:t>
      </w:r>
      <w:r>
        <w:rPr>
          <w:rFonts w:hint="eastAsia" w:ascii="仿宋_GB2312" w:hAnsi="仿宋" w:eastAsia="仿宋_GB2312"/>
          <w:color w:val="auto"/>
          <w:sz w:val="32"/>
          <w:szCs w:val="32"/>
          <w:highlight w:val="none"/>
        </w:rPr>
        <w:t>便民设施、文化传播</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休闲游憩</w:t>
      </w:r>
      <w:r>
        <w:rPr>
          <w:rFonts w:hint="eastAsia" w:ascii="仿宋_GB2312" w:hAnsi="仿宋" w:eastAsia="仿宋_GB2312"/>
          <w:color w:val="auto"/>
          <w:sz w:val="32"/>
          <w:szCs w:val="32"/>
          <w:highlight w:val="none"/>
          <w:lang w:val="en-US" w:eastAsia="zh-CN"/>
        </w:rPr>
        <w:t>等功能</w:t>
      </w:r>
      <w:r>
        <w:rPr>
          <w:rFonts w:hint="eastAsia" w:ascii="仿宋_GB2312" w:hAnsi="仿宋" w:eastAsia="仿宋_GB2312"/>
          <w:color w:val="auto"/>
          <w:sz w:val="32"/>
          <w:szCs w:val="32"/>
          <w:highlight w:val="none"/>
        </w:rPr>
        <w:t>，提升空间品质与居民生活质量。</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28" w:name="_Toc20739"/>
      <w:r>
        <w:rPr>
          <w:rFonts w:hint="eastAsia" w:ascii="楷体_GB2312" w:hAnsi="楷体_GB2312" w:eastAsia="楷体_GB2312" w:cs="楷体_GB2312"/>
          <w:color w:val="auto"/>
          <w:sz w:val="32"/>
          <w:szCs w:val="32"/>
          <w:highlight w:val="none"/>
        </w:rPr>
        <w:t>（二）推进环境秩序精管善治</w:t>
      </w:r>
      <w:bookmarkEnd w:id="28"/>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强化城市家具管理。</w:t>
      </w:r>
      <w:r>
        <w:rPr>
          <w:rFonts w:hint="eastAsia" w:ascii="仿宋_GB2312" w:hAnsi="仿宋" w:eastAsia="仿宋_GB2312"/>
          <w:color w:val="auto"/>
          <w:sz w:val="32"/>
          <w:szCs w:val="32"/>
          <w:highlight w:val="none"/>
        </w:rPr>
        <w:t>优化《门头沟区城市家具精细化规范治理工作方案》，严格实施城市家具联审制度，实现常态化管护；推行“多杆合一”“多箱集并”，开展城市护栏、非施工围挡、设备箱、阻车桩、棚亭柜等专项治理。</w:t>
      </w:r>
      <w:r>
        <w:rPr>
          <w:rFonts w:hint="eastAsia" w:ascii="仿宋_GB2312" w:hAnsi="仿宋" w:eastAsia="仿宋_GB2312"/>
          <w:b/>
          <w:bCs/>
          <w:color w:val="auto"/>
          <w:sz w:val="32"/>
          <w:szCs w:val="32"/>
          <w:highlight w:val="none"/>
        </w:rPr>
        <w:t>推进背街小巷常态化治理。</w:t>
      </w:r>
      <w:r>
        <w:rPr>
          <w:rFonts w:hint="eastAsia" w:ascii="仿宋_GB2312" w:hAnsi="仿宋" w:eastAsia="仿宋_GB2312"/>
          <w:color w:val="auto"/>
          <w:sz w:val="32"/>
          <w:szCs w:val="32"/>
          <w:highlight w:val="none"/>
        </w:rPr>
        <w:t>坚持首善标准，按达标类、优美类、精品类分类整治，打造一批精品、优美街巷，示范带动全区背街小巷深化提升，形成连片整治效果。</w:t>
      </w:r>
      <w:r>
        <w:rPr>
          <w:rFonts w:hint="eastAsia" w:ascii="仿宋_GB2312" w:hAnsi="仿宋" w:eastAsia="仿宋_GB2312"/>
          <w:b/>
          <w:bCs/>
          <w:color w:val="auto"/>
          <w:sz w:val="32"/>
          <w:szCs w:val="32"/>
          <w:highlight w:val="none"/>
        </w:rPr>
        <w:t>深化“门前三包”治理。</w:t>
      </w:r>
      <w:r>
        <w:rPr>
          <w:rFonts w:hint="eastAsia" w:ascii="仿宋_GB2312" w:hAnsi="仿宋" w:eastAsia="仿宋_GB2312"/>
          <w:color w:val="auto"/>
          <w:sz w:val="32"/>
          <w:szCs w:val="32"/>
          <w:highlight w:val="none"/>
        </w:rPr>
        <w:t>开展门前三包示范街创建，运用信息技术动态建账，整合街巷长、网格员等力量，推动沿街单位对标“三好五有双提升”标准。</w:t>
      </w:r>
      <w:r>
        <w:rPr>
          <w:rFonts w:hint="eastAsia" w:ascii="仿宋_GB2312" w:hAnsi="仿宋" w:eastAsia="仿宋_GB2312"/>
          <w:b/>
          <w:bCs/>
          <w:color w:val="auto"/>
          <w:sz w:val="32"/>
          <w:szCs w:val="32"/>
          <w:highlight w:val="none"/>
        </w:rPr>
        <w:t>加强户外广告精细管理。</w:t>
      </w:r>
      <w:r>
        <w:rPr>
          <w:rFonts w:hint="eastAsia" w:ascii="仿宋_GB2312" w:hAnsi="仿宋" w:eastAsia="仿宋_GB2312"/>
          <w:color w:val="auto"/>
          <w:sz w:val="32"/>
          <w:szCs w:val="32"/>
          <w:highlight w:val="none"/>
        </w:rPr>
        <w:t>严格落实市级管理条例，开展广告牌匾区域安全风险等级评定，强化风貌管控，统筹考虑城市色彩、街道立面、文化特色等要素，提升服务市民需求与优化营商环境的能力水平。</w:t>
      </w:r>
      <w:r>
        <w:rPr>
          <w:rFonts w:hint="eastAsia" w:ascii="仿宋_GB2312" w:hAnsi="仿宋" w:eastAsia="仿宋_GB2312"/>
          <w:b/>
          <w:bCs/>
          <w:color w:val="auto"/>
          <w:sz w:val="32"/>
          <w:szCs w:val="32"/>
          <w:highlight w:val="none"/>
        </w:rPr>
        <w:t>推动商业外摆规范管理。</w:t>
      </w:r>
      <w:r>
        <w:rPr>
          <w:rFonts w:hint="eastAsia" w:ascii="仿宋_GB2312" w:hAnsi="仿宋" w:eastAsia="仿宋_GB2312"/>
          <w:color w:val="auto"/>
          <w:sz w:val="32"/>
          <w:szCs w:val="32"/>
          <w:highlight w:val="none"/>
        </w:rPr>
        <w:t>科学划定商业外摆区域和点位，明确外摆时间、经营规范，在有序管理中重塑商业活力。</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29" w:name="_Toc30453"/>
      <w:r>
        <w:rPr>
          <w:rFonts w:hint="eastAsia" w:ascii="楷体_GB2312" w:hAnsi="楷体_GB2312" w:eastAsia="楷体_GB2312" w:cs="楷体_GB2312"/>
          <w:color w:val="auto"/>
          <w:sz w:val="32"/>
          <w:szCs w:val="32"/>
          <w:highlight w:val="none"/>
        </w:rPr>
        <w:t>（三）推进景观照明亮化美化</w:t>
      </w:r>
      <w:bookmarkEnd w:id="29"/>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抓实城市照明体检和更新改造。</w:t>
      </w:r>
      <w:r>
        <w:rPr>
          <w:rFonts w:hint="eastAsia" w:ascii="仿宋_GB2312" w:hAnsi="仿宋" w:eastAsia="仿宋_GB2312"/>
          <w:color w:val="auto"/>
          <w:sz w:val="32"/>
          <w:szCs w:val="32"/>
          <w:highlight w:val="none"/>
        </w:rPr>
        <w:t>全面开展城市照明体检和更新改造，常态化做好既有景观照明设施日常养护工作。严格按照市、区统一部署，按时按点高标准完成好重要节日、重大活动期间城市照明景观照明工作。结合全区发展和实际要求，积极争取政策及资金支持，开展景观照明提升改造项目。</w:t>
      </w:r>
      <w:r>
        <w:rPr>
          <w:rFonts w:hint="eastAsia" w:ascii="仿宋_GB2312" w:hAnsi="仿宋" w:eastAsia="仿宋_GB2312"/>
          <w:b/>
          <w:bCs/>
          <w:color w:val="auto"/>
          <w:sz w:val="32"/>
          <w:szCs w:val="32"/>
          <w:highlight w:val="none"/>
        </w:rPr>
        <w:t>引导多元参与赋能夜经济。</w:t>
      </w:r>
      <w:r>
        <w:rPr>
          <w:rFonts w:hint="eastAsia" w:ascii="仿宋_GB2312" w:hAnsi="仿宋" w:eastAsia="仿宋_GB2312"/>
          <w:color w:val="auto"/>
          <w:sz w:val="32"/>
          <w:szCs w:val="32"/>
          <w:highlight w:val="none"/>
        </w:rPr>
        <w:t>立足提升营商环境，打造绿水青山门头沟城市名片，鼓励重点商圈、景区自行开展景观照明提升改造工作，提升全区夜间景观效果，点亮夜间经济发展活力。</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0" w:name="_Toc7567"/>
      <w:r>
        <w:rPr>
          <w:rFonts w:hint="eastAsia" w:ascii="楷体_GB2312" w:hAnsi="楷体_GB2312" w:eastAsia="楷体_GB2312" w:cs="楷体_GB2312"/>
          <w:color w:val="auto"/>
          <w:sz w:val="32"/>
          <w:szCs w:val="32"/>
          <w:highlight w:val="none"/>
        </w:rPr>
        <w:t>（四）</w:t>
      </w:r>
      <w:bookmarkEnd w:id="30"/>
      <w:r>
        <w:rPr>
          <w:rFonts w:hint="eastAsia" w:ascii="楷体_GB2312" w:hAnsi="楷体_GB2312" w:eastAsia="楷体_GB2312" w:cs="楷体_GB2312"/>
          <w:color w:val="auto"/>
          <w:sz w:val="32"/>
          <w:szCs w:val="32"/>
          <w:highlight w:val="none"/>
        </w:rPr>
        <w:t>筑牢重大活动服务保障</w:t>
      </w:r>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按照“整体统筹、属地负责、部门协同、社会参与”的要求，营造“创新与传统、喜庆与祥和”的节日氛围，打造昼夜兼顾的节日景观效果。选取首钢大桥、双峪建行西侧等重点点位及金安路、新桥大街等重要道路沿线布置花坛、景观小品，悬挂灯笼、中国结等，高效完成春节、国庆节等重大节日景观布置与环境保障工作。</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1" w:name="_Toc17695"/>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五</w:t>
      </w:r>
      <w:r>
        <w:rPr>
          <w:rFonts w:hint="eastAsia" w:ascii="楷体_GB2312" w:hAnsi="楷体_GB2312" w:eastAsia="楷体_GB2312" w:cs="楷体_GB2312"/>
          <w:color w:val="auto"/>
          <w:sz w:val="32"/>
          <w:szCs w:val="32"/>
          <w:highlight w:val="none"/>
        </w:rPr>
        <w:t>）持续推进环境建设考核</w:t>
      </w:r>
      <w:bookmarkEnd w:id="31"/>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全域深化环境检查。</w:t>
      </w:r>
      <w:r>
        <w:rPr>
          <w:rFonts w:hint="eastAsia" w:ascii="仿宋_GB2312" w:hAnsi="仿宋" w:eastAsia="仿宋_GB2312"/>
          <w:color w:val="auto"/>
          <w:sz w:val="32"/>
          <w:szCs w:val="32"/>
          <w:highlight w:val="none"/>
        </w:rPr>
        <w:t>在区域全覆盖、问题全检查的基础上，重点针对城市主次干道、学校医院、商圈、农贸市场、城乡结合部等区域加大检查力度，</w:t>
      </w:r>
      <w:r>
        <w:rPr>
          <w:rFonts w:hint="eastAsia" w:ascii="仿宋_GB2312" w:hAnsi="仿宋" w:eastAsia="仿宋_GB2312"/>
          <w:color w:val="auto"/>
          <w:sz w:val="32"/>
          <w:szCs w:val="32"/>
          <w:highlight w:val="none"/>
          <w:lang w:val="en-US" w:eastAsia="zh-CN"/>
        </w:rPr>
        <w:t>推进主体责任落实</w:t>
      </w:r>
      <w:r>
        <w:rPr>
          <w:rFonts w:hint="eastAsia" w:ascii="仿宋_GB2312" w:hAnsi="仿宋" w:eastAsia="仿宋_GB2312"/>
          <w:color w:val="auto"/>
          <w:sz w:val="32"/>
          <w:szCs w:val="32"/>
          <w:highlight w:val="none"/>
          <w:lang w:eastAsia="zh-CN"/>
        </w:rPr>
        <w:t>。</w:t>
      </w:r>
      <w:r>
        <w:rPr>
          <w:rFonts w:hint="eastAsia" w:ascii="仿宋_GB2312" w:hAnsi="仿宋" w:eastAsia="仿宋_GB2312"/>
          <w:b/>
          <w:bCs/>
          <w:color w:val="auto"/>
          <w:sz w:val="32"/>
          <w:szCs w:val="32"/>
          <w:highlight w:val="none"/>
          <w:lang w:eastAsia="zh-CN"/>
        </w:rPr>
        <w:t>完善长效管控机制。</w:t>
      </w:r>
      <w:r>
        <w:rPr>
          <w:rFonts w:hint="eastAsia" w:ascii="仿宋_GB2312" w:hAnsi="仿宋" w:eastAsia="仿宋_GB2312"/>
          <w:color w:val="auto"/>
          <w:sz w:val="32"/>
          <w:szCs w:val="32"/>
          <w:highlight w:val="none"/>
          <w:lang w:eastAsia="zh-CN"/>
        </w:rPr>
        <w:t>定期梳理高频上账点位，组织镇街开展重复上账点位专项治理。深化检查数据应用，每季度定期上报区级环境考核报告，做到摸清底数、找准病根、因症施策。统筹各部门、属地及相关企业开展环境整治，发动停车协管员、环卫工人、网格员、志愿者、街巷长等各界力量参与环境建设，形成人人保护环境的氛围</w:t>
      </w:r>
      <w:r>
        <w:rPr>
          <w:rFonts w:hint="eastAsia" w:ascii="仿宋_GB2312" w:hAnsi="仿宋" w:eastAsia="仿宋_GB2312"/>
          <w:color w:val="auto"/>
          <w:sz w:val="32"/>
          <w:szCs w:val="32"/>
          <w:highlight w:val="none"/>
        </w:rPr>
        <w:t>。</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32" w:name="_Toc3660"/>
      <w:r>
        <w:rPr>
          <w:rFonts w:hint="eastAsia" w:ascii="Calibri" w:hAnsi="Calibri" w:eastAsia="黑体" w:cs="Times New Roman"/>
          <w:b/>
          <w:bCs/>
          <w:spacing w:val="4"/>
          <w:w w:val="95"/>
          <w:szCs w:val="32"/>
          <w:lang w:val="en-US" w:eastAsia="zh-CN" w:bidi="ar-SA"/>
        </w:rPr>
        <w:t>健全环卫与垃圾治理，守护绿水青山的“洁净门头沟”</w:t>
      </w:r>
      <w:bookmarkEnd w:id="32"/>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3" w:name="_Toc32094"/>
      <w:r>
        <w:rPr>
          <w:rFonts w:hint="eastAsia" w:ascii="楷体_GB2312" w:hAnsi="楷体_GB2312" w:eastAsia="楷体_GB2312" w:cs="楷体_GB2312"/>
          <w:color w:val="auto"/>
          <w:sz w:val="32"/>
          <w:szCs w:val="32"/>
          <w:highlight w:val="none"/>
        </w:rPr>
        <w:t>（一）深化生活垃圾全链条管理</w:t>
      </w:r>
      <w:bookmarkEnd w:id="33"/>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加强投放收运源头治理。</w:t>
      </w:r>
      <w:r>
        <w:rPr>
          <w:rFonts w:hint="eastAsia" w:ascii="仿宋_GB2312" w:hAnsi="仿宋" w:eastAsia="仿宋_GB2312"/>
          <w:color w:val="auto"/>
          <w:sz w:val="32"/>
          <w:szCs w:val="32"/>
          <w:highlight w:val="none"/>
        </w:rPr>
        <w:t>完善分类设施体系，城区落实撤桶并站，扩大“驿站+流动收集”模式覆盖率，农村地区巩固“垃圾不落地、上门收集”效果。提升清运服务水平，推进桶站提标改造和集中，优化转运站点布局，加强转运环节管控，夯实大件垃圾、厨余垃圾、危险废物等专线收运。</w:t>
      </w:r>
      <w:r>
        <w:rPr>
          <w:rFonts w:hint="eastAsia" w:ascii="仿宋_GB2312" w:hAnsi="仿宋" w:eastAsia="仿宋_GB2312"/>
          <w:b/>
          <w:bCs/>
          <w:color w:val="auto"/>
          <w:sz w:val="32"/>
          <w:szCs w:val="32"/>
          <w:highlight w:val="none"/>
        </w:rPr>
        <w:t>畅通回收利用链条。</w:t>
      </w:r>
      <w:r>
        <w:rPr>
          <w:rFonts w:hint="eastAsia" w:ascii="仿宋_GB2312" w:hAnsi="仿宋" w:eastAsia="仿宋_GB2312"/>
          <w:color w:val="auto"/>
          <w:sz w:val="32"/>
          <w:szCs w:val="32"/>
          <w:highlight w:val="none"/>
        </w:rPr>
        <w:t>完善“点、站、中心”布局，有条件的镇推进再生资源中转站配置，谋划区级分拣中心。严控非正规个体从事回收工作，推广“互联网+”智能回收小程序，扩大“一袋式”和智能回收箱覆盖面，强化厨余垃圾、废弃油脂资源化处理与再利用。</w:t>
      </w:r>
      <w:r>
        <w:rPr>
          <w:rFonts w:hint="eastAsia" w:ascii="仿宋_GB2312" w:hAnsi="仿宋" w:eastAsia="仿宋_GB2312"/>
          <w:b/>
          <w:bCs/>
          <w:color w:val="auto"/>
          <w:sz w:val="32"/>
          <w:szCs w:val="32"/>
          <w:highlight w:val="none"/>
        </w:rPr>
        <w:t>推动垃圾处理绿色发展。</w:t>
      </w:r>
      <w:r>
        <w:rPr>
          <w:rFonts w:hint="eastAsia" w:ascii="仿宋_GB2312" w:hAnsi="仿宋" w:eastAsia="仿宋_GB2312"/>
          <w:color w:val="auto"/>
          <w:sz w:val="32"/>
          <w:szCs w:val="32"/>
          <w:highlight w:val="none"/>
        </w:rPr>
        <w:t>推进大件垃圾等固体废物处理设施建设，强化焦家坡填埋场土地再利用，打造固废应急兜底消纳保障、固废资源化产业集聚等为一体的生态园区，变“邻避”为“邻利”。</w:t>
      </w:r>
      <w:r>
        <w:rPr>
          <w:rFonts w:hint="eastAsia" w:ascii="仿宋_GB2312" w:hAnsi="仿宋" w:eastAsia="仿宋_GB2312"/>
          <w:b/>
          <w:bCs/>
          <w:color w:val="auto"/>
          <w:sz w:val="32"/>
          <w:szCs w:val="32"/>
          <w:highlight w:val="none"/>
        </w:rPr>
        <w:t>加快垃圾智慧监管全链覆盖。</w:t>
      </w:r>
      <w:r>
        <w:rPr>
          <w:rFonts w:hint="eastAsia" w:ascii="仿宋_GB2312" w:hAnsi="仿宋" w:eastAsia="仿宋_GB2312"/>
          <w:color w:val="auto"/>
          <w:sz w:val="32"/>
          <w:szCs w:val="32"/>
          <w:highlight w:val="none"/>
        </w:rPr>
        <w:t>试点分类桶站AI管理，代替人工值守、巡检等</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建立健全厨余垃圾、其他垃圾、再生资源回收源头计量统计系统，做到收运处</w:t>
      </w:r>
      <w:r>
        <w:rPr>
          <w:rFonts w:hint="eastAsia" w:ascii="仿宋_GB2312" w:hAnsi="仿宋" w:eastAsia="仿宋_GB2312"/>
          <w:color w:val="auto"/>
          <w:sz w:val="32"/>
          <w:szCs w:val="32"/>
          <w:highlight w:val="none"/>
          <w:lang w:val="en-US" w:eastAsia="zh-CN"/>
        </w:rPr>
        <w:t>全过程</w:t>
      </w:r>
      <w:r>
        <w:rPr>
          <w:rFonts w:hint="eastAsia" w:ascii="仿宋_GB2312" w:hAnsi="仿宋" w:eastAsia="仿宋_GB2312"/>
          <w:color w:val="auto"/>
          <w:sz w:val="32"/>
          <w:szCs w:val="32"/>
          <w:highlight w:val="none"/>
        </w:rPr>
        <w:t>有迹可循。</w:t>
      </w:r>
      <w:r>
        <w:rPr>
          <w:rFonts w:hint="eastAsia" w:ascii="仿宋_GB2312" w:hAnsi="仿宋" w:eastAsia="仿宋_GB2312"/>
          <w:b/>
          <w:bCs/>
          <w:color w:val="auto"/>
          <w:sz w:val="32"/>
          <w:szCs w:val="32"/>
          <w:highlight w:val="none"/>
        </w:rPr>
        <w:t>强化垃圾分类社会发动工作。</w:t>
      </w:r>
      <w:r>
        <w:rPr>
          <w:rFonts w:hint="eastAsia" w:ascii="仿宋_GB2312" w:hAnsi="仿宋" w:eastAsia="仿宋_GB2312"/>
          <w:color w:val="auto"/>
          <w:sz w:val="32"/>
          <w:szCs w:val="32"/>
          <w:highlight w:val="none"/>
        </w:rPr>
        <w:t>凝聚党、团、工会、退休干部及志愿力量，开展主题宣讲与“五进”活动，渗透垃圾分类宣传，发动机关及企事业单位党员干部职工带头“桶前值守”。利用区媒、网络媒体等宣传垃圾分类特色亮点，助力居民习惯养成。</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4" w:name="_Toc29131"/>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）推进建筑垃圾闭环式治理</w:t>
      </w:r>
      <w:bookmarkEnd w:id="34"/>
    </w:p>
    <w:p>
      <w:pPr>
        <w:numPr>
          <w:ilvl w:val="255"/>
          <w:numId w:val="0"/>
        </w:numPr>
        <w:spacing w:line="560" w:lineRule="exact"/>
        <w:ind w:firstLine="642" w:firstLineChars="200"/>
        <w:rPr>
          <w:rFonts w:hint="eastAsia" w:ascii="仿宋_GB2312" w:hAnsi="仿宋" w:eastAsia="仿宋_GB2312"/>
          <w:b w:val="0"/>
          <w:bCs w:val="0"/>
          <w:color w:val="auto"/>
          <w:sz w:val="32"/>
          <w:szCs w:val="32"/>
          <w:highlight w:val="none"/>
        </w:rPr>
      </w:pPr>
      <w:r>
        <w:rPr>
          <w:rFonts w:hint="eastAsia" w:ascii="仿宋_GB2312" w:hAnsi="仿宋" w:eastAsia="仿宋_GB2312"/>
          <w:b/>
          <w:bCs/>
          <w:color w:val="auto"/>
          <w:sz w:val="32"/>
          <w:szCs w:val="32"/>
          <w:highlight w:val="none"/>
        </w:rPr>
        <w:t>加强源头管控与运输全过程监管。</w:t>
      </w:r>
      <w:r>
        <w:rPr>
          <w:rFonts w:hint="eastAsia" w:ascii="仿宋_GB2312" w:hAnsi="仿宋" w:eastAsia="仿宋_GB2312"/>
          <w:b w:val="0"/>
          <w:bCs w:val="0"/>
          <w:color w:val="auto"/>
          <w:sz w:val="32"/>
          <w:szCs w:val="32"/>
          <w:highlight w:val="none"/>
        </w:rPr>
        <w:t>严格落实建筑垃圾处置方案备案制度，全面推行电子运单闭环管理，完成运输企业信用评级并实施动态化线上监管。推进渣土运输车辆全封闭改造及车载监控设备加装全覆盖，严查建筑垃圾运输车辆违法违规行为，规范渣土运输作业秩序。</w:t>
      </w:r>
      <w:r>
        <w:rPr>
          <w:rFonts w:hint="eastAsia" w:ascii="仿宋_GB2312" w:hAnsi="仿宋" w:eastAsia="仿宋_GB2312"/>
          <w:b/>
          <w:bCs/>
          <w:color w:val="auto"/>
          <w:sz w:val="32"/>
          <w:szCs w:val="32"/>
          <w:highlight w:val="none"/>
        </w:rPr>
        <w:t>提升末端处置与资源化利用水平。</w:t>
      </w:r>
      <w:r>
        <w:rPr>
          <w:rFonts w:hint="eastAsia" w:ascii="仿宋_GB2312" w:hAnsi="仿宋" w:eastAsia="仿宋_GB2312"/>
          <w:b w:val="0"/>
          <w:bCs w:val="0"/>
          <w:color w:val="auto"/>
          <w:sz w:val="32"/>
          <w:szCs w:val="32"/>
          <w:highlight w:val="none"/>
        </w:rPr>
        <w:t>结合辖区建筑垃圾产生总量，科学优化消纳处置场所布局，持续扩容提升垃圾消纳承载力。适时启动固定式、临时性资源化处置设施项目建设，引导资源化处置点位升级处理设备、拓展堆放周转空间，丰富再生骨料、环保建材等再生产品品类。</w:t>
      </w:r>
      <w:r>
        <w:rPr>
          <w:rFonts w:hint="eastAsia" w:ascii="仿宋_GB2312" w:hAnsi="仿宋" w:eastAsia="仿宋_GB2312"/>
          <w:b/>
          <w:bCs/>
          <w:color w:val="auto"/>
          <w:sz w:val="32"/>
          <w:szCs w:val="32"/>
          <w:highlight w:val="none"/>
        </w:rPr>
        <w:t>强化智慧监管赋能治理效能。</w:t>
      </w:r>
      <w:r>
        <w:rPr>
          <w:rFonts w:hint="eastAsia" w:ascii="仿宋_GB2312" w:hAnsi="仿宋" w:eastAsia="仿宋_GB2312"/>
          <w:b w:val="0"/>
          <w:bCs w:val="0"/>
          <w:color w:val="auto"/>
          <w:sz w:val="32"/>
          <w:szCs w:val="32"/>
          <w:highlight w:val="none"/>
        </w:rPr>
        <w:t>搭建非法倾倒建筑垃圾全链条打击系统，整合视频监控、巡查轨迹、运输台账等多源数据，实现对生态红线、山区林地、偏僻路段等重点区域非法倾倒行为智能预警、精准识别、快速核查、闭环处置，全面提升智慧化、精细化水平。</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5" w:name="_Toc11081"/>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）加强环卫保洁规范管理</w:t>
      </w:r>
      <w:bookmarkEnd w:id="35"/>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推行路面清扫保洁高标准。</w:t>
      </w:r>
      <w:r>
        <w:rPr>
          <w:rFonts w:hint="eastAsia" w:ascii="仿宋_GB2312" w:hAnsi="仿宋" w:eastAsia="仿宋_GB2312"/>
          <w:color w:val="auto"/>
          <w:sz w:val="32"/>
          <w:szCs w:val="32"/>
          <w:highlight w:val="none"/>
        </w:rPr>
        <w:t>完善环境卫生责任区及分类分级管理，坚持“以克论净”，探索建立分路、分时、分季的监测数据分析机制，提升清扫保洁质量。</w:t>
      </w:r>
      <w:r>
        <w:rPr>
          <w:rFonts w:hint="eastAsia" w:ascii="仿宋_GB2312" w:hAnsi="仿宋" w:eastAsia="仿宋_GB2312"/>
          <w:b/>
          <w:bCs/>
          <w:color w:val="auto"/>
          <w:sz w:val="32"/>
          <w:szCs w:val="32"/>
          <w:highlight w:val="none"/>
        </w:rPr>
        <w:t>逐步扩大机械化清扫保洁覆盖范围。</w:t>
      </w:r>
      <w:r>
        <w:rPr>
          <w:rFonts w:hint="eastAsia" w:ascii="仿宋_GB2312" w:hAnsi="仿宋" w:eastAsia="仿宋_GB2312"/>
          <w:color w:val="auto"/>
          <w:sz w:val="32"/>
          <w:szCs w:val="32"/>
          <w:highlight w:val="none"/>
        </w:rPr>
        <w:t>推动具备条件的道路全部实现机械化作业，将背街小巷、街坊路环卫作业工作交由有资质的专业化队伍实施，织密保洁网格，量化清扫保洁频次，</w:t>
      </w:r>
      <w:r>
        <w:rPr>
          <w:rFonts w:hint="eastAsia" w:ascii="仿宋_GB2312" w:hAnsi="仿宋" w:eastAsia="仿宋_GB2312"/>
          <w:color w:val="auto"/>
          <w:sz w:val="32"/>
          <w:szCs w:val="32"/>
          <w:highlight w:val="none"/>
          <w:lang w:val="en-US" w:eastAsia="zh-CN"/>
        </w:rPr>
        <w:t>实现</w:t>
      </w:r>
      <w:r>
        <w:rPr>
          <w:rFonts w:hint="eastAsia" w:ascii="仿宋_GB2312" w:hAnsi="仿宋" w:eastAsia="仿宋_GB2312"/>
          <w:color w:val="auto"/>
          <w:sz w:val="32"/>
          <w:szCs w:val="32"/>
          <w:highlight w:val="none"/>
        </w:rPr>
        <w:t>作业规范化、标准化。</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6" w:name="_Toc26477"/>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四</w:t>
      </w:r>
      <w:r>
        <w:rPr>
          <w:rFonts w:hint="eastAsia" w:ascii="楷体_GB2312" w:hAnsi="楷体_GB2312" w:eastAsia="楷体_GB2312" w:cs="楷体_GB2312"/>
          <w:color w:val="auto"/>
          <w:sz w:val="32"/>
          <w:szCs w:val="32"/>
          <w:highlight w:val="none"/>
        </w:rPr>
        <w:t>）推进公厕增量提质</w:t>
      </w:r>
      <w:bookmarkEnd w:id="36"/>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推进公厕建设更新。</w:t>
      </w:r>
      <w:r>
        <w:rPr>
          <w:rFonts w:hint="eastAsia" w:ascii="仿宋_GB2312" w:hAnsi="仿宋" w:eastAsia="仿宋_GB2312"/>
          <w:color w:val="auto"/>
          <w:sz w:val="32"/>
          <w:szCs w:val="32"/>
          <w:highlight w:val="none"/>
        </w:rPr>
        <w:t>统筹考虑居民日常及文旅、户外人群使用需求，优先在重难点区域合理配建，完善管理机制，提升公厕服务覆盖面，确保全区公厕达标运行。强化风貌引导，与城市风貌及区域调性相协调，实现便捷与美观双效。</w:t>
      </w:r>
      <w:r>
        <w:rPr>
          <w:rFonts w:hint="eastAsia" w:ascii="仿宋_GB2312" w:hAnsi="仿宋" w:eastAsia="仿宋_GB2312"/>
          <w:b/>
          <w:bCs/>
          <w:color w:val="auto"/>
          <w:sz w:val="32"/>
          <w:szCs w:val="32"/>
          <w:highlight w:val="none"/>
        </w:rPr>
        <w:t>提升公厕服务品质。</w:t>
      </w:r>
      <w:r>
        <w:rPr>
          <w:rFonts w:hint="eastAsia" w:ascii="仿宋_GB2312" w:hAnsi="仿宋" w:eastAsia="仿宋_GB2312"/>
          <w:color w:val="auto"/>
          <w:sz w:val="32"/>
          <w:szCs w:val="32"/>
          <w:highlight w:val="none"/>
        </w:rPr>
        <w:t>加强公厕无障碍与适儿化改造，推广智能感应、环境监测</w:t>
      </w:r>
      <w:r>
        <w:rPr>
          <w:rFonts w:hint="eastAsia" w:ascii="仿宋_GB2312" w:hAnsi="仿宋" w:eastAsia="仿宋_GB2312"/>
          <w:color w:val="auto"/>
          <w:sz w:val="32"/>
          <w:szCs w:val="32"/>
          <w:highlight w:val="none"/>
          <w:lang w:val="en-US" w:eastAsia="zh-CN"/>
        </w:rPr>
        <w:t>等</w:t>
      </w:r>
      <w:r>
        <w:rPr>
          <w:rFonts w:hint="eastAsia" w:ascii="仿宋_GB2312" w:hAnsi="仿宋" w:eastAsia="仿宋_GB2312"/>
          <w:color w:val="auto"/>
          <w:sz w:val="32"/>
          <w:szCs w:val="32"/>
          <w:highlight w:val="none"/>
        </w:rPr>
        <w:t>公厕</w:t>
      </w:r>
      <w:r>
        <w:rPr>
          <w:rFonts w:hint="eastAsia" w:ascii="仿宋_GB2312" w:hAnsi="仿宋" w:eastAsia="仿宋_GB2312"/>
          <w:color w:val="auto"/>
          <w:sz w:val="32"/>
          <w:szCs w:val="32"/>
          <w:highlight w:val="none"/>
          <w:lang w:val="en-US" w:eastAsia="zh-CN"/>
        </w:rPr>
        <w:t>设施</w:t>
      </w:r>
      <w:r>
        <w:rPr>
          <w:rFonts w:hint="eastAsia" w:ascii="仿宋_GB2312" w:hAnsi="仿宋" w:eastAsia="仿宋_GB2312"/>
          <w:color w:val="auto"/>
          <w:sz w:val="32"/>
          <w:szCs w:val="32"/>
          <w:highlight w:val="none"/>
        </w:rPr>
        <w:t>，营造干净、便捷的如厕环境。</w:t>
      </w:r>
      <w:r>
        <w:rPr>
          <w:rFonts w:hint="eastAsia" w:ascii="仿宋_GB2312" w:hAnsi="仿宋" w:eastAsia="仿宋_GB2312"/>
          <w:b/>
          <w:bCs/>
          <w:color w:val="auto"/>
          <w:sz w:val="32"/>
          <w:szCs w:val="32"/>
          <w:highlight w:val="none"/>
        </w:rPr>
        <w:t>挖掘社会厕所开放潜能。</w:t>
      </w:r>
      <w:r>
        <w:rPr>
          <w:rFonts w:hint="eastAsia" w:ascii="仿宋_GB2312" w:hAnsi="仿宋" w:eastAsia="仿宋_GB2312"/>
          <w:color w:val="auto"/>
          <w:sz w:val="32"/>
          <w:szCs w:val="32"/>
          <w:highlight w:val="none"/>
        </w:rPr>
        <w:t>鼓励社会单位厕所对外开放，打造共建共治共享的服务体系。</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37" w:name="_Toc12891"/>
      <w:r>
        <w:rPr>
          <w:rFonts w:hint="eastAsia" w:ascii="Calibri" w:hAnsi="Calibri" w:eastAsia="黑体" w:cs="Times New Roman"/>
          <w:b/>
          <w:bCs/>
          <w:spacing w:val="4"/>
          <w:w w:val="95"/>
          <w:szCs w:val="32"/>
          <w:lang w:val="en-US" w:eastAsia="zh-CN" w:bidi="ar-SA"/>
        </w:rPr>
        <w:t>强化能源监管与运维，夯实稳定可靠的“安全门头沟”</w:t>
      </w:r>
      <w:bookmarkEnd w:id="37"/>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8" w:name="_Toc26609"/>
      <w:r>
        <w:rPr>
          <w:rFonts w:hint="eastAsia" w:ascii="楷体_GB2312" w:hAnsi="楷体_GB2312" w:eastAsia="楷体_GB2312" w:cs="楷体_GB2312"/>
          <w:color w:val="auto"/>
          <w:sz w:val="32"/>
          <w:szCs w:val="32"/>
          <w:highlight w:val="none"/>
        </w:rPr>
        <w:t>（一）加快电网高质量发展</w:t>
      </w:r>
      <w:bookmarkEnd w:id="38"/>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提升供电保障能力。</w:t>
      </w:r>
      <w:r>
        <w:rPr>
          <w:rFonts w:hint="eastAsia" w:ascii="仿宋_GB2312" w:hAnsi="仿宋" w:eastAsia="仿宋_GB2312"/>
          <w:color w:val="auto"/>
          <w:sz w:val="32"/>
          <w:szCs w:val="32"/>
          <w:highlight w:val="none"/>
        </w:rPr>
        <w:t>实施“1+2+3”主网工程，新建1座220千伏贵石站、2座110千伏变电站、3项110千伏网架优化工程，提升核心区供电能力。</w:t>
      </w:r>
      <w:r>
        <w:rPr>
          <w:rFonts w:hint="eastAsia" w:ascii="仿宋_GB2312" w:hAnsi="仿宋" w:eastAsia="仿宋_GB2312"/>
          <w:color w:val="auto"/>
          <w:sz w:val="32"/>
          <w:szCs w:val="32"/>
          <w:highlight w:val="none"/>
          <w:lang w:val="en-US" w:eastAsia="zh-CN"/>
        </w:rPr>
        <w:t>推进</w:t>
      </w:r>
      <w:r>
        <w:rPr>
          <w:rFonts w:hint="eastAsia" w:ascii="仿宋_GB2312" w:hAnsi="仿宋" w:eastAsia="仿宋_GB2312"/>
          <w:color w:val="auto"/>
          <w:sz w:val="32"/>
          <w:szCs w:val="32"/>
          <w:highlight w:val="none"/>
        </w:rPr>
        <w:t>建成管线移交，补足管理缺位。</w:t>
      </w:r>
      <w:r>
        <w:rPr>
          <w:rFonts w:hint="eastAsia" w:ascii="仿宋_GB2312" w:hAnsi="仿宋" w:eastAsia="仿宋_GB2312"/>
          <w:b/>
          <w:bCs/>
          <w:color w:val="auto"/>
          <w:sz w:val="32"/>
          <w:szCs w:val="32"/>
          <w:highlight w:val="none"/>
        </w:rPr>
        <w:t>加快绿电开发利用。</w:t>
      </w:r>
      <w:r>
        <w:rPr>
          <w:rFonts w:hint="eastAsia" w:ascii="仿宋_GB2312" w:hAnsi="仿宋" w:eastAsia="仿宋_GB2312"/>
          <w:color w:val="auto"/>
          <w:sz w:val="32"/>
          <w:szCs w:val="32"/>
          <w:highlight w:val="none"/>
        </w:rPr>
        <w:t>推动樱桃泉抽水蓄能电站建设，提升可再生能源利用效率，推进建筑、交通等基础设施第五立面光伏规模化、高水平应用，探索建设新型电力系统。引导地区绿电交易，构建区域能源互联网，深化绿电替代应用与就近消纳。</w:t>
      </w:r>
      <w:r>
        <w:rPr>
          <w:rFonts w:hint="eastAsia" w:ascii="仿宋_GB2312" w:hAnsi="仿宋" w:eastAsia="仿宋_GB2312"/>
          <w:b/>
          <w:bCs/>
          <w:color w:val="auto"/>
          <w:sz w:val="32"/>
          <w:szCs w:val="32"/>
          <w:highlight w:val="none"/>
        </w:rPr>
        <w:t>推进智能电网建设。</w:t>
      </w:r>
      <w:r>
        <w:rPr>
          <w:rFonts w:hint="eastAsia" w:ascii="仿宋_GB2312" w:hAnsi="仿宋" w:eastAsia="仿宋_GB2312"/>
          <w:color w:val="auto"/>
          <w:sz w:val="32"/>
          <w:szCs w:val="32"/>
          <w:highlight w:val="none"/>
        </w:rPr>
        <w:t>支持建设新型电力系统示范区</w:t>
      </w:r>
      <w:r>
        <w:rPr>
          <w:rFonts w:hint="eastAsia" w:ascii="仿宋_GB2312" w:hAnsi="仿宋" w:eastAsia="仿宋_GB2312"/>
          <w:color w:val="auto"/>
          <w:sz w:val="32"/>
          <w:szCs w:val="32"/>
          <w:highlight w:val="none"/>
          <w:lang w:val="en-US" w:eastAsia="zh-CN"/>
        </w:rPr>
        <w:t>、</w:t>
      </w:r>
      <w:r>
        <w:rPr>
          <w:rFonts w:hint="eastAsia" w:ascii="仿宋_GB2312" w:hAnsi="仿宋" w:eastAsia="仿宋_GB2312"/>
          <w:color w:val="auto"/>
          <w:sz w:val="32"/>
          <w:szCs w:val="32"/>
          <w:highlight w:val="none"/>
        </w:rPr>
        <w:t>零碳园区，鼓励虚拟电厂、负荷聚合商、车网互动等创新发展，推进新能源、储能设施、分布式能源等新型主体并网发电，探索智能统一调度模式，缓解电网运行压力。</w:t>
      </w:r>
      <w:r>
        <w:rPr>
          <w:rFonts w:hint="eastAsia" w:ascii="仿宋_GB2312" w:hAnsi="仿宋" w:eastAsia="仿宋_GB2312"/>
          <w:b/>
          <w:bCs/>
          <w:color w:val="auto"/>
          <w:sz w:val="32"/>
          <w:szCs w:val="32"/>
          <w:highlight w:val="none"/>
        </w:rPr>
        <w:t>加速布局高效充电网络</w:t>
      </w:r>
      <w:r>
        <w:rPr>
          <w:rFonts w:hint="eastAsia" w:ascii="仿宋_GB2312" w:hAnsi="仿宋" w:eastAsia="仿宋_GB2312"/>
          <w:b/>
          <w:bCs/>
          <w:color w:val="auto"/>
          <w:sz w:val="32"/>
          <w:szCs w:val="32"/>
          <w:highlight w:val="none"/>
          <w:lang w:eastAsia="zh-CN"/>
        </w:rPr>
        <w:t>。</w:t>
      </w:r>
      <w:r>
        <w:rPr>
          <w:rFonts w:hint="eastAsia" w:ascii="仿宋_GB2312" w:hAnsi="仿宋" w:eastAsia="仿宋_GB2312"/>
          <w:color w:val="auto"/>
          <w:sz w:val="32"/>
          <w:szCs w:val="32"/>
          <w:highlight w:val="none"/>
        </w:rPr>
        <w:t>加大公建与商业核心地带快充与超充设施建设力度，推进居住小区可移动充电桩安装及共享充电桩分时复用。</w:t>
      </w:r>
      <w:r>
        <w:rPr>
          <w:rFonts w:hint="eastAsia" w:ascii="仿宋_GB2312" w:hAnsi="仿宋" w:eastAsia="仿宋_GB2312"/>
          <w:b/>
          <w:bCs/>
          <w:color w:val="auto"/>
          <w:sz w:val="32"/>
          <w:szCs w:val="32"/>
          <w:highlight w:val="none"/>
        </w:rPr>
        <w:t>加快高压走廊整治优化。</w:t>
      </w:r>
      <w:r>
        <w:rPr>
          <w:rFonts w:hint="eastAsia" w:ascii="仿宋_GB2312" w:hAnsi="仿宋" w:eastAsia="仿宋_GB2312"/>
          <w:color w:val="auto"/>
          <w:sz w:val="32"/>
          <w:szCs w:val="32"/>
          <w:highlight w:val="none"/>
        </w:rPr>
        <w:t>研究推进S1线沿线高压走廊架空线入地，净化城市景观视廊。</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9" w:name="_Toc1725"/>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）全面推进清洁供热</w:t>
      </w:r>
      <w:bookmarkEnd w:id="39"/>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推动市政热网优化。</w:t>
      </w:r>
      <w:r>
        <w:rPr>
          <w:rFonts w:hint="eastAsia" w:ascii="仿宋_GB2312" w:hAnsi="仿宋" w:eastAsia="仿宋_GB2312"/>
          <w:color w:val="auto"/>
          <w:sz w:val="32"/>
          <w:szCs w:val="32"/>
          <w:highlight w:val="none"/>
        </w:rPr>
        <w:t>依托城子、黑山和石门营3座燃气热源厂加快整合供热布局，推动管线接入京西电厂，逐步扩大市政热源使用范围，增强热源调峰作用，提升安全稳定供热能力。加快门头沟中关村人工智能科技园能源中心建设，谋划鲁家山垃圾焚烧厂余热供热等，提高新能源供热占比，打造清洁高效的供热系统。</w:t>
      </w:r>
      <w:r>
        <w:rPr>
          <w:rFonts w:hint="eastAsia" w:ascii="仿宋_GB2312" w:hAnsi="仿宋" w:eastAsia="仿宋_GB2312"/>
          <w:b/>
          <w:bCs/>
          <w:color w:val="auto"/>
          <w:sz w:val="32"/>
          <w:szCs w:val="32"/>
          <w:highlight w:val="none"/>
        </w:rPr>
        <w:t>推进山区清洁能源发展。</w:t>
      </w:r>
      <w:r>
        <w:rPr>
          <w:rFonts w:hint="eastAsia" w:ascii="仿宋_GB2312" w:hAnsi="仿宋" w:eastAsia="仿宋_GB2312"/>
          <w:color w:val="auto"/>
          <w:sz w:val="32"/>
          <w:szCs w:val="32"/>
          <w:highlight w:val="none"/>
        </w:rPr>
        <w:t>统筹推进山区王平镇、军庄镇、大台街道和斋堂镇清洁能源锅炉房替代工作，鼓励供热企业争创绿色锅炉企业。</w:t>
      </w:r>
      <w:r>
        <w:rPr>
          <w:rFonts w:hint="eastAsia" w:ascii="仿宋_GB2312" w:hAnsi="仿宋" w:eastAsia="仿宋_GB2312"/>
          <w:b/>
          <w:bCs/>
          <w:color w:val="auto"/>
          <w:sz w:val="32"/>
          <w:szCs w:val="32"/>
          <w:highlight w:val="none"/>
        </w:rPr>
        <w:t>提升全区供热行业服务水平。</w:t>
      </w:r>
      <w:r>
        <w:rPr>
          <w:rFonts w:hint="eastAsia" w:ascii="仿宋_GB2312" w:hAnsi="仿宋" w:eastAsia="仿宋_GB2312"/>
          <w:color w:val="auto"/>
          <w:sz w:val="32"/>
          <w:szCs w:val="32"/>
          <w:highlight w:val="none"/>
          <w:lang w:val="en-US" w:eastAsia="zh-CN"/>
        </w:rPr>
        <w:t>加快</w:t>
      </w:r>
      <w:r>
        <w:rPr>
          <w:rFonts w:hint="eastAsia" w:ascii="仿宋_GB2312" w:hAnsi="仿宋" w:eastAsia="仿宋_GB2312"/>
          <w:color w:val="auto"/>
          <w:sz w:val="32"/>
          <w:szCs w:val="32"/>
          <w:highlight w:val="none"/>
        </w:rPr>
        <w:t>供热市场规范化整合，发展智能化供热监管技术，通过社区型“供热管家”第一时间为百姓服务。</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0" w:name="_Toc9121"/>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）提升燃气全域保障能力</w:t>
      </w:r>
      <w:bookmarkEnd w:id="40"/>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完善天然气设施配套。</w:t>
      </w:r>
      <w:r>
        <w:rPr>
          <w:rFonts w:hint="eastAsia" w:ascii="仿宋_GB2312" w:hAnsi="仿宋" w:eastAsia="仿宋_GB2312"/>
          <w:color w:val="auto"/>
          <w:sz w:val="32"/>
          <w:szCs w:val="32"/>
          <w:highlight w:val="none"/>
        </w:rPr>
        <w:t>完善“管道天然气＋压缩天然气＋液化天然气+液化石油气”城乡互补燃气体系，提高燃气供应稳定性。开展浅山区燃气管网敷设工作，结合道路建设进一步优化城镇输配系统。谋划全区待开发地块燃气接入工作，提前布局管道。持续开展智能燃气表更换工作，提升居民购气的便捷性及户内用气安全水平。</w:t>
      </w:r>
      <w:r>
        <w:rPr>
          <w:rFonts w:hint="eastAsia" w:ascii="仿宋_GB2312" w:hAnsi="仿宋" w:eastAsia="仿宋_GB2312"/>
          <w:b/>
          <w:bCs/>
          <w:color w:val="auto"/>
          <w:sz w:val="32"/>
          <w:szCs w:val="32"/>
          <w:highlight w:val="none"/>
        </w:rPr>
        <w:t>强化燃气点供站安全管理。</w:t>
      </w:r>
      <w:r>
        <w:rPr>
          <w:rFonts w:hint="eastAsia" w:ascii="仿宋_GB2312" w:hAnsi="仿宋" w:eastAsia="仿宋_GB2312"/>
          <w:color w:val="auto"/>
          <w:sz w:val="32"/>
          <w:szCs w:val="32"/>
          <w:highlight w:val="none"/>
        </w:rPr>
        <w:t>将未取得燃气经营许可的燃气点供站纳入管控范围，据实规范化管理。</w:t>
      </w:r>
      <w:r>
        <w:rPr>
          <w:rFonts w:hint="eastAsia" w:ascii="仿宋_GB2312" w:hAnsi="仿宋" w:eastAsia="仿宋_GB2312"/>
          <w:b/>
          <w:bCs/>
          <w:color w:val="auto"/>
          <w:sz w:val="32"/>
          <w:szCs w:val="32"/>
          <w:highlight w:val="none"/>
        </w:rPr>
        <w:t>推进燃气安全感知体系建设。</w:t>
      </w:r>
      <w:r>
        <w:rPr>
          <w:rFonts w:hint="eastAsia" w:ascii="仿宋_GB2312" w:hAnsi="仿宋" w:eastAsia="仿宋_GB2312"/>
          <w:color w:val="auto"/>
          <w:sz w:val="32"/>
          <w:szCs w:val="32"/>
          <w:highlight w:val="none"/>
        </w:rPr>
        <w:t>结合实际情况拟定工作方案，积极申请国债资金，逐步形成安全、可靠的燃气供应保障体系。</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41" w:name="_Toc31053"/>
      <w:r>
        <w:rPr>
          <w:rFonts w:hint="eastAsia" w:ascii="Calibri" w:hAnsi="Calibri" w:eastAsia="黑体" w:cs="Times New Roman"/>
          <w:b/>
          <w:bCs/>
          <w:spacing w:val="4"/>
          <w:w w:val="95"/>
          <w:szCs w:val="32"/>
          <w:lang w:val="en-US" w:eastAsia="zh-CN" w:bidi="ar-SA"/>
        </w:rPr>
        <w:t>提升应急管理与恢复能力，筑牢协同有力的“韧性门头沟”</w:t>
      </w:r>
      <w:bookmarkEnd w:id="41"/>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2" w:name="_Toc27315"/>
      <w:r>
        <w:rPr>
          <w:rFonts w:hint="eastAsia" w:ascii="楷体_GB2312" w:hAnsi="楷体_GB2312" w:eastAsia="楷体_GB2312" w:cs="楷体_GB2312"/>
          <w:color w:val="auto"/>
          <w:sz w:val="32"/>
          <w:szCs w:val="32"/>
          <w:highlight w:val="none"/>
        </w:rPr>
        <w:t>（一）健全风险管控体系</w:t>
      </w:r>
      <w:bookmarkEnd w:id="42"/>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健全安全责任体系。</w:t>
      </w:r>
      <w:r>
        <w:rPr>
          <w:rFonts w:hint="eastAsia" w:ascii="仿宋_GB2312" w:hAnsi="仿宋" w:eastAsia="仿宋_GB2312"/>
          <w:color w:val="auto"/>
          <w:sz w:val="32"/>
          <w:szCs w:val="32"/>
          <w:highlight w:val="none"/>
        </w:rPr>
        <w:t>明确各部门及生产经营单位在风险评估、监测预警、响应处理等环节的责任分工，健全履责机制，督促重大安全风险防控责任落实。夯实燃气、供热、道路、照明、环卫等市政公用行业运营安全监管职责，督促指导企业建立安全生产责任制。</w:t>
      </w:r>
      <w:r>
        <w:rPr>
          <w:rFonts w:hint="eastAsia" w:ascii="仿宋_GB2312" w:hAnsi="仿宋" w:eastAsia="仿宋_GB2312"/>
          <w:b/>
          <w:bCs/>
          <w:color w:val="auto"/>
          <w:sz w:val="32"/>
          <w:szCs w:val="32"/>
          <w:highlight w:val="none"/>
        </w:rPr>
        <w:t>强化设施安全隐患排查与整治。</w:t>
      </w:r>
      <w:r>
        <w:rPr>
          <w:rFonts w:hint="eastAsia" w:ascii="仿宋_GB2312" w:hAnsi="仿宋" w:eastAsia="仿宋_GB2312"/>
          <w:color w:val="auto"/>
          <w:sz w:val="32"/>
          <w:szCs w:val="32"/>
          <w:highlight w:val="none"/>
          <w:lang w:val="en-US" w:eastAsia="zh-CN"/>
        </w:rPr>
        <w:t>完善</w:t>
      </w:r>
      <w:r>
        <w:rPr>
          <w:rFonts w:hint="eastAsia" w:ascii="仿宋_GB2312" w:hAnsi="仿宋" w:eastAsia="仿宋_GB2312"/>
          <w:color w:val="auto"/>
          <w:sz w:val="32"/>
          <w:szCs w:val="32"/>
          <w:highlight w:val="none"/>
        </w:rPr>
        <w:t>行业生产安全事故隐患分级和排查治理标准，加大排查力度，重点做好燃气热力风险排查整治、地下管网协同监管、道路排水防涝等工作，系统推进老旧小区管线改造与老楼加装电梯管线调整，保持设施冗余能力，保障安全运行及极端天气应对。</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3" w:name="_Toc6386"/>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）强化设施韧性能力</w:t>
      </w:r>
      <w:bookmarkEnd w:id="43"/>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增强城市生命线韧性。</w:t>
      </w:r>
      <w:r>
        <w:rPr>
          <w:rFonts w:hint="eastAsia" w:ascii="仿宋_GB2312" w:hAnsi="仿宋" w:eastAsia="仿宋_GB2312"/>
          <w:color w:val="auto"/>
          <w:sz w:val="32"/>
          <w:szCs w:val="32"/>
          <w:highlight w:val="none"/>
        </w:rPr>
        <w:t>按照适度超前、平战结合的要求，对市政基础设施进行规划，提升关键基础设施灾害设防标准，统筹提升抗损毁和快速恢复保障能力。提升电力调峰互济能力，强化多源点、多方向应急保障能力。完善供热保障应急备用运行方案，设立储备量红线预警机制，保证供热质量和供应安全。提升天然气应急调峰保供体系，落实调峰用户清单，强化燃气输配保障。完善生活垃圾应急保障体系，增强应对突发公共卫生事件能力。</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4" w:name="_Toc14804"/>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）提升应急处理能力</w:t>
      </w:r>
      <w:bookmarkEnd w:id="44"/>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强化应急机制顶层指导。</w:t>
      </w:r>
      <w:r>
        <w:rPr>
          <w:rFonts w:hint="eastAsia" w:ascii="仿宋_GB2312" w:hAnsi="仿宋" w:eastAsia="仿宋_GB2312"/>
          <w:color w:val="auto"/>
          <w:sz w:val="32"/>
          <w:szCs w:val="32"/>
          <w:highlight w:val="none"/>
        </w:rPr>
        <w:t>完善行业应急响应机制和应急预案动态调整管理制度，实行分级应急处理；强化应急设施设备和各类应急物资储备管理，加强对各部门城管应急工作的指导和检查，提高防汛、抗冰等应急处理水平。</w:t>
      </w:r>
      <w:r>
        <w:rPr>
          <w:rFonts w:hint="eastAsia" w:ascii="仿宋_GB2312" w:hAnsi="仿宋" w:eastAsia="仿宋_GB2312"/>
          <w:b/>
          <w:bCs/>
          <w:color w:val="auto"/>
          <w:sz w:val="32"/>
          <w:szCs w:val="32"/>
          <w:highlight w:val="none"/>
        </w:rPr>
        <w:t>健全应急协同处置机制。</w:t>
      </w:r>
      <w:r>
        <w:rPr>
          <w:rFonts w:hint="eastAsia" w:ascii="仿宋_GB2312" w:hAnsi="仿宋" w:eastAsia="仿宋_GB2312"/>
          <w:color w:val="auto"/>
          <w:sz w:val="32"/>
          <w:szCs w:val="32"/>
          <w:highlight w:val="none"/>
        </w:rPr>
        <w:t>巩固提升“群众发现、部门响应、协同整治”的风险隐患发现响应机制，动员全社会广泛参与城市运行过程的安全管控。</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45" w:name="_Toc31614"/>
      <w:r>
        <w:rPr>
          <w:rFonts w:hint="eastAsia" w:ascii="Calibri" w:hAnsi="Calibri" w:eastAsia="黑体" w:cs="Times New Roman"/>
          <w:b/>
          <w:bCs/>
          <w:spacing w:val="4"/>
          <w:w w:val="95"/>
          <w:szCs w:val="32"/>
          <w:lang w:val="en-US" w:eastAsia="zh-CN" w:bidi="ar-SA"/>
        </w:rPr>
        <w:t>强化智慧赋能，建设敏捷高效的“智慧门头沟”</w:t>
      </w:r>
      <w:bookmarkEnd w:id="45"/>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6" w:name="_Toc5119"/>
      <w:r>
        <w:rPr>
          <w:rFonts w:hint="eastAsia" w:ascii="楷体_GB2312" w:hAnsi="楷体_GB2312" w:eastAsia="楷体_GB2312" w:cs="楷体_GB2312"/>
          <w:color w:val="auto"/>
          <w:sz w:val="32"/>
          <w:szCs w:val="32"/>
          <w:highlight w:val="none"/>
        </w:rPr>
        <w:t>（一）</w:t>
      </w:r>
      <w:bookmarkEnd w:id="46"/>
      <w:r>
        <w:rPr>
          <w:rFonts w:hint="eastAsia" w:ascii="楷体_GB2312" w:hAnsi="楷体_GB2312" w:eastAsia="楷体_GB2312" w:cs="楷体_GB2312"/>
          <w:color w:val="auto"/>
          <w:sz w:val="32"/>
          <w:szCs w:val="32"/>
          <w:highlight w:val="none"/>
        </w:rPr>
        <w:t>推动城市运行管理智慧平台升级</w:t>
      </w:r>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加快数据资源整合。</w:t>
      </w:r>
      <w:r>
        <w:rPr>
          <w:rFonts w:hint="eastAsia" w:ascii="仿宋_GB2312" w:hAnsi="仿宋" w:eastAsia="仿宋_GB2312"/>
          <w:color w:val="auto"/>
          <w:sz w:val="32"/>
          <w:szCs w:val="32"/>
          <w:highlight w:val="none"/>
        </w:rPr>
        <w:t>持续做好门头沟区城市运行管理智慧平台数据对接工作，重点深化街面环境、垃圾分类、静态交通、动态交通、交通数据采集、交通市区联动、共享单车治理、能源、地下管线等20余类实时数据对接，提升对重点行业的态势研判、智能分析、综合决策、仿真推演、调度指挥以及应急处置能力。</w:t>
      </w:r>
      <w:r>
        <w:rPr>
          <w:rFonts w:hint="eastAsia" w:ascii="仿宋_GB2312" w:hAnsi="仿宋" w:eastAsia="仿宋_GB2312"/>
          <w:b/>
          <w:bCs/>
          <w:color w:val="auto"/>
          <w:sz w:val="32"/>
          <w:szCs w:val="32"/>
          <w:highlight w:val="none"/>
        </w:rPr>
        <w:t>开发适合城市管理应用场景的门镜系统接口。</w:t>
      </w:r>
      <w:r>
        <w:rPr>
          <w:rFonts w:hint="eastAsia" w:ascii="仿宋_GB2312" w:hAnsi="仿宋" w:eastAsia="仿宋_GB2312"/>
          <w:color w:val="auto"/>
          <w:sz w:val="32"/>
          <w:szCs w:val="32"/>
          <w:highlight w:val="none"/>
        </w:rPr>
        <w:t>完成全域三维地图，开发直观易用的应用模块界面，增加视频接口，接入全域摄像头影像数据，实现影像数据的实时融合展示，增加数据接口，接入全域人口、农业、组织、商业等多元化数据，形成全域覆盖的城市运行监测体系，实现各类感知数据、业务指标等直观显示，提升设施资源监控能力。</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7" w:name="_Toc4780"/>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w:t>
      </w:r>
      <w:bookmarkEnd w:id="47"/>
      <w:r>
        <w:rPr>
          <w:rFonts w:hint="eastAsia" w:ascii="楷体_GB2312" w:hAnsi="楷体_GB2312" w:eastAsia="楷体_GB2312" w:cs="楷体_GB2312"/>
          <w:color w:val="auto"/>
          <w:sz w:val="32"/>
          <w:szCs w:val="32"/>
          <w:highlight w:val="none"/>
        </w:rPr>
        <w:t>完善门头沟区地下管线综合管理系统</w:t>
      </w:r>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lang w:val="en-US" w:eastAsia="zh-CN"/>
        </w:rPr>
        <w:t>推进</w:t>
      </w:r>
      <w:r>
        <w:rPr>
          <w:rFonts w:hint="eastAsia" w:ascii="仿宋_GB2312" w:hAnsi="仿宋" w:eastAsia="仿宋_GB2312"/>
          <w:color w:val="auto"/>
          <w:sz w:val="32"/>
          <w:szCs w:val="32"/>
          <w:highlight w:val="none"/>
        </w:rPr>
        <w:t>燃气、供热、电力、通信、供水、排水、广播电视管线七大类管线数据的统一储存，通过占掘路审批、工程验收等环节闭环管控，保障管线数据“随建随更”，切实指导实际工作，提升决策水平，力争实现动态信息覆盖，为城市基础设施管理、规划、设计、施工提供地下空间数据支持。</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8" w:name="_Toc23560"/>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）推进智能设施试点应用</w:t>
      </w:r>
      <w:bookmarkEnd w:id="48"/>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署智能终端，试点推广市政设施智能巡检与预防性维护，借助AI与大数据识别路面病害，构建“感知-分析-处置-验证”智慧治理模式；研发无人AI车采集路侧停车和违停数据，降低人工和摄像头成本，推动智慧交通，形成AI替代人力巡检的停车收费模式；探索基于自动驾驶技术的市容环境智慧巡查，提升城市精细化治理效能。</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49" w:name="_Toc5627"/>
      <w:r>
        <w:rPr>
          <w:rFonts w:hint="eastAsia" w:ascii="Calibri" w:hAnsi="Calibri" w:eastAsia="黑体" w:cs="Times New Roman"/>
          <w:b/>
          <w:bCs/>
          <w:spacing w:val="4"/>
          <w:w w:val="95"/>
          <w:szCs w:val="32"/>
          <w:lang w:val="en-US" w:eastAsia="zh-CN" w:bidi="ar-SA"/>
        </w:rPr>
        <w:t>规范执法与民生服务，营造公平有序的“法治门头沟”</w:t>
      </w:r>
      <w:bookmarkEnd w:id="49"/>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lang w:eastAsia="zh-CN"/>
        </w:rPr>
      </w:pPr>
      <w:bookmarkStart w:id="50" w:name="_Toc13187"/>
      <w:r>
        <w:rPr>
          <w:rFonts w:hint="eastAsia" w:ascii="楷体_GB2312" w:hAnsi="楷体_GB2312" w:eastAsia="楷体_GB2312" w:cs="楷体_GB2312"/>
          <w:color w:val="auto"/>
          <w:sz w:val="32"/>
          <w:szCs w:val="32"/>
          <w:highlight w:val="none"/>
        </w:rPr>
        <w:t>（一）提升</w:t>
      </w:r>
      <w:r>
        <w:rPr>
          <w:rFonts w:hint="eastAsia" w:ascii="楷体_GB2312" w:hAnsi="楷体_GB2312" w:eastAsia="楷体_GB2312" w:cs="楷体_GB2312"/>
          <w:color w:val="auto"/>
          <w:sz w:val="32"/>
          <w:szCs w:val="32"/>
          <w:highlight w:val="none"/>
          <w:lang w:val="en-US" w:eastAsia="zh-CN"/>
        </w:rPr>
        <w:t>执法</w:t>
      </w:r>
      <w:r>
        <w:rPr>
          <w:rFonts w:hint="eastAsia" w:ascii="楷体_GB2312" w:hAnsi="楷体_GB2312" w:eastAsia="楷体_GB2312" w:cs="楷体_GB2312"/>
          <w:color w:val="auto"/>
          <w:sz w:val="32"/>
          <w:szCs w:val="32"/>
          <w:highlight w:val="none"/>
        </w:rPr>
        <w:t>能力与执法水平</w:t>
      </w:r>
      <w:bookmarkEnd w:id="50"/>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落实工作要求。</w:t>
      </w:r>
      <w:r>
        <w:rPr>
          <w:rFonts w:hint="eastAsia" w:ascii="仿宋_GB2312" w:hAnsi="仿宋" w:eastAsia="仿宋_GB2312"/>
          <w:color w:val="auto"/>
          <w:sz w:val="32"/>
          <w:szCs w:val="32"/>
          <w:highlight w:val="none"/>
        </w:rPr>
        <w:t>全面贯彻落实市政府关于统筹处理好“六个关系”的工作要求，坚持系统治理、守正创新、积极作为，切实履行好统筹指导、综合协调、指挥调度、监督检查和评估管理等职责。</w:t>
      </w:r>
      <w:r>
        <w:rPr>
          <w:rFonts w:hint="eastAsia" w:ascii="仿宋_GB2312" w:hAnsi="仿宋" w:eastAsia="仿宋_GB2312"/>
          <w:b/>
          <w:bCs/>
          <w:color w:val="auto"/>
          <w:sz w:val="32"/>
          <w:szCs w:val="32"/>
          <w:highlight w:val="none"/>
        </w:rPr>
        <w:t>提升专业执法能力。</w:t>
      </w:r>
      <w:r>
        <w:rPr>
          <w:rFonts w:hint="eastAsia" w:ascii="仿宋_GB2312" w:hAnsi="仿宋" w:eastAsia="仿宋_GB2312"/>
          <w:color w:val="auto"/>
          <w:sz w:val="32"/>
          <w:szCs w:val="32"/>
          <w:highlight w:val="none"/>
        </w:rPr>
        <w:t>加强执法指导监督、业务培训和组织协调能力，压实镇街执法队履职主责主业工作职责，完善执法联动机制。规范执法流程与法制审核，严格执行行政执法公示制度、执法全过程记录制度、重大执法决定法制审核制度，推进严格规范公正文明执法。</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1" w:name="_Toc4211"/>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完善</w:t>
      </w:r>
      <w:r>
        <w:rPr>
          <w:rFonts w:hint="eastAsia" w:ascii="楷体_GB2312" w:hAnsi="楷体_GB2312" w:eastAsia="楷体_GB2312" w:cs="楷体_GB2312"/>
          <w:color w:val="auto"/>
          <w:sz w:val="32"/>
          <w:szCs w:val="32"/>
          <w:highlight w:val="none"/>
        </w:rPr>
        <w:t>综合保障与</w:t>
      </w:r>
      <w:r>
        <w:rPr>
          <w:rFonts w:hint="eastAsia" w:ascii="楷体_GB2312" w:hAnsi="楷体_GB2312" w:eastAsia="楷体_GB2312" w:cs="楷体_GB2312"/>
          <w:color w:val="auto"/>
          <w:sz w:val="32"/>
          <w:szCs w:val="32"/>
          <w:highlight w:val="none"/>
          <w:lang w:val="en-US" w:eastAsia="zh-CN"/>
        </w:rPr>
        <w:t>难点</w:t>
      </w:r>
      <w:r>
        <w:rPr>
          <w:rFonts w:hint="eastAsia" w:ascii="楷体_GB2312" w:hAnsi="楷体_GB2312" w:eastAsia="楷体_GB2312" w:cs="楷体_GB2312"/>
          <w:color w:val="auto"/>
          <w:sz w:val="32"/>
          <w:szCs w:val="32"/>
          <w:highlight w:val="none"/>
        </w:rPr>
        <w:t>治理</w:t>
      </w:r>
      <w:bookmarkEnd w:id="51"/>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rPr>
        <w:t>加强执法综合保障。</w:t>
      </w:r>
      <w:r>
        <w:rPr>
          <w:rFonts w:hint="eastAsia" w:ascii="仿宋_GB2312" w:hAnsi="仿宋" w:eastAsia="仿宋_GB2312"/>
          <w:color w:val="auto"/>
          <w:sz w:val="32"/>
          <w:szCs w:val="32"/>
          <w:highlight w:val="none"/>
        </w:rPr>
        <w:t>全面优化执法检查，探索“综合查一次”机制，减少重复执法。强化联合会商制度、案件移送抄告制度、执法联动制度，助力扭转“轻管靠罚”“以罚代管”局面。</w:t>
      </w:r>
      <w:r>
        <w:rPr>
          <w:rFonts w:hint="eastAsia" w:ascii="仿宋_GB2312" w:hAnsi="仿宋" w:eastAsia="仿宋_GB2312"/>
          <w:b/>
          <w:bCs/>
          <w:color w:val="auto"/>
          <w:sz w:val="32"/>
          <w:szCs w:val="32"/>
          <w:highlight w:val="none"/>
        </w:rPr>
        <w:t>重点突破执法难点。</w:t>
      </w:r>
      <w:r>
        <w:rPr>
          <w:rFonts w:hint="eastAsia" w:ascii="仿宋_GB2312" w:hAnsi="仿宋" w:eastAsia="仿宋_GB2312"/>
          <w:color w:val="auto"/>
          <w:sz w:val="32"/>
          <w:szCs w:val="32"/>
          <w:highlight w:val="none"/>
        </w:rPr>
        <w:t>推行“城管执法建议”工作制度，将行政执法工作中发现的问题和建议通报相关行业管理部门，推动管理部门和执法部门的良性互动和有机互补。健全管理部门与执法部门的协作机制，在户外广告设施、生活垃圾等多领域建立健全管执联动系统，协同推进源头治理、系统治理。</w:t>
      </w:r>
    </w:p>
    <w:p>
      <w:pPr>
        <w:numPr>
          <w:ilvl w:val="255"/>
          <w:numId w:val="0"/>
        </w:numPr>
        <w:spacing w:line="560" w:lineRule="exact"/>
        <w:ind w:firstLine="640" w:firstLineChars="200"/>
        <w:outlineLvl w:val="1"/>
        <w:rPr>
          <w:rFonts w:hint="default" w:ascii="楷体_GB2312" w:hAnsi="楷体_GB2312" w:eastAsia="楷体_GB2312" w:cs="楷体_GB2312"/>
          <w:color w:val="auto"/>
          <w:sz w:val="32"/>
          <w:szCs w:val="32"/>
          <w:highlight w:val="none"/>
          <w:lang w:val="en-US" w:eastAsia="zh-CN"/>
        </w:rPr>
      </w:pPr>
      <w:bookmarkStart w:id="52" w:name="_Toc20983"/>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强化队伍建设与执法监督</w:t>
      </w:r>
      <w:bookmarkEnd w:id="52"/>
    </w:p>
    <w:p>
      <w:pPr>
        <w:numPr>
          <w:ilvl w:val="255"/>
          <w:numId w:val="0"/>
        </w:numPr>
        <w:spacing w:line="560" w:lineRule="exact"/>
        <w:ind w:firstLine="642" w:firstLineChars="200"/>
        <w:rPr>
          <w:rFonts w:hint="eastAsia" w:ascii="仿宋_GB2312" w:hAnsi="仿宋" w:eastAsia="仿宋_GB2312"/>
          <w:color w:val="auto"/>
          <w:sz w:val="32"/>
          <w:szCs w:val="32"/>
          <w:highlight w:val="none"/>
        </w:rPr>
      </w:pPr>
      <w:r>
        <w:rPr>
          <w:rFonts w:hint="eastAsia" w:ascii="仿宋_GB2312" w:hAnsi="仿宋" w:eastAsia="仿宋_GB2312"/>
          <w:b/>
          <w:bCs/>
          <w:color w:val="auto"/>
          <w:sz w:val="32"/>
          <w:szCs w:val="32"/>
          <w:highlight w:val="none"/>
          <w:lang w:val="en-US" w:eastAsia="zh-CN"/>
        </w:rPr>
        <w:t>加快</w:t>
      </w:r>
      <w:r>
        <w:rPr>
          <w:rFonts w:hint="eastAsia" w:ascii="仿宋_GB2312" w:hAnsi="仿宋" w:eastAsia="仿宋_GB2312"/>
          <w:b/>
          <w:bCs/>
          <w:color w:val="auto"/>
          <w:sz w:val="32"/>
          <w:szCs w:val="32"/>
          <w:highlight w:val="none"/>
        </w:rPr>
        <w:t>队伍建设。</w:t>
      </w:r>
      <w:r>
        <w:rPr>
          <w:rFonts w:hint="eastAsia" w:ascii="仿宋_GB2312" w:hAnsi="仿宋" w:eastAsia="仿宋_GB2312"/>
          <w:color w:val="auto"/>
          <w:sz w:val="32"/>
          <w:szCs w:val="32"/>
          <w:highlight w:val="none"/>
        </w:rPr>
        <w:t>完善镇街领导班子副职兼任综合执法队队长配套机制，充分发挥兼任队长联系基层执法队和镇街的桥梁纽带作用，探索完善城管执法队交流轮岗机制，激发干部工作激情，干部队伍活力，提升执法管理水平。</w:t>
      </w:r>
      <w:r>
        <w:rPr>
          <w:rFonts w:hint="eastAsia" w:ascii="仿宋_GB2312" w:hAnsi="仿宋" w:eastAsia="仿宋_GB2312"/>
          <w:b/>
          <w:bCs/>
          <w:color w:val="auto"/>
          <w:sz w:val="32"/>
          <w:szCs w:val="32"/>
          <w:highlight w:val="none"/>
        </w:rPr>
        <w:t>深化执法监督。</w:t>
      </w:r>
      <w:r>
        <w:rPr>
          <w:rFonts w:hint="eastAsia" w:ascii="仿宋_GB2312" w:hAnsi="仿宋" w:eastAsia="仿宋_GB2312"/>
          <w:color w:val="auto"/>
          <w:sz w:val="32"/>
          <w:szCs w:val="32"/>
          <w:highlight w:val="none"/>
        </w:rPr>
        <w:t>以规范基层行政执法专项治理为契机，联合区司法局、区纪委监委等部门，形成监督协同工作机制，常态化开展执法监督、纪检监察监督、法治监督，全面提升基层综合行政执法领域执法规范化水平和效能。</w:t>
      </w:r>
    </w:p>
    <w:p>
      <w:pPr>
        <w:pStyle w:val="2"/>
        <w:numPr>
          <w:ilvl w:val="0"/>
          <w:numId w:val="1"/>
        </w:numPr>
        <w:adjustRightInd w:val="0"/>
        <w:snapToGrid w:val="0"/>
        <w:ind w:leftChars="0" w:firstLine="0" w:firstLineChars="0"/>
        <w:jc w:val="both"/>
        <w:rPr>
          <w:rFonts w:hint="eastAsia" w:ascii="Calibri" w:hAnsi="Calibri" w:eastAsia="黑体" w:cs="Times New Roman"/>
          <w:b/>
          <w:bCs/>
          <w:spacing w:val="4"/>
          <w:w w:val="95"/>
          <w:szCs w:val="32"/>
          <w:lang w:val="en-US" w:eastAsia="zh-CN" w:bidi="ar-SA"/>
        </w:rPr>
      </w:pPr>
      <w:bookmarkStart w:id="53" w:name="_Toc22946"/>
      <w:r>
        <w:rPr>
          <w:rFonts w:hint="eastAsia" w:ascii="Calibri" w:hAnsi="Calibri" w:eastAsia="黑体" w:cs="Times New Roman"/>
          <w:b/>
          <w:bCs/>
          <w:spacing w:val="4"/>
          <w:w w:val="95"/>
          <w:szCs w:val="32"/>
          <w:lang w:val="en-US" w:eastAsia="zh-CN" w:bidi="ar-SA"/>
        </w:rPr>
        <w:t>实施保障机制</w:t>
      </w:r>
      <w:bookmarkEnd w:id="53"/>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4" w:name="_Toc7793"/>
      <w:r>
        <w:rPr>
          <w:rFonts w:hint="eastAsia" w:ascii="楷体_GB2312" w:hAnsi="楷体_GB2312" w:eastAsia="楷体_GB2312" w:cs="楷体_GB2312"/>
          <w:color w:val="auto"/>
          <w:sz w:val="32"/>
          <w:szCs w:val="32"/>
          <w:highlight w:val="none"/>
        </w:rPr>
        <w:t>（一）加强组织领导</w:t>
      </w:r>
      <w:bookmarkEnd w:id="54"/>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健全区级统筹、镇街落实联动机制，明晰责任分工，实现政策协同、权责分明。加强沟通配合，细化任务分解，协同推进项目建设，确保规划目标落实。</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5" w:name="_Toc15172"/>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）加大经费统筹</w:t>
      </w:r>
      <w:bookmarkEnd w:id="55"/>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建立科学合理的财政资金保障机制，积极争取上级财政资金，用好超长期特别国债。健全绩效评估与全程监管体系，严控成本，挖掘“小投入大效益”的治理路径。</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6" w:name="_Toc26361"/>
      <w:r>
        <w:rPr>
          <w:rFonts w:hint="eastAsia" w:ascii="楷体_GB2312" w:hAnsi="楷体_GB2312" w:eastAsia="楷体_GB2312" w:cs="楷体_GB2312"/>
          <w:color w:val="auto"/>
          <w:sz w:val="32"/>
          <w:szCs w:val="32"/>
          <w:highlight w:val="none"/>
        </w:rPr>
        <w:t>（三）深化改革创新</w:t>
      </w:r>
      <w:bookmarkEnd w:id="56"/>
    </w:p>
    <w:p>
      <w:pPr>
        <w:numPr>
          <w:ilvl w:val="255"/>
          <w:numId w:val="0"/>
        </w:numPr>
        <w:spacing w:line="560" w:lineRule="exact"/>
        <w:ind w:firstLine="640" w:firstLineChars="200"/>
        <w:rPr>
          <w:rFonts w:hint="eastAsia" w:ascii="仿宋_GB2312" w:hAnsi="仿宋" w:eastAsia="仿宋_GB2312"/>
          <w:b w:val="0"/>
          <w:bCs w:val="0"/>
          <w:color w:val="auto"/>
          <w:sz w:val="32"/>
          <w:szCs w:val="32"/>
          <w:highlight w:val="none"/>
        </w:rPr>
      </w:pPr>
      <w:r>
        <w:rPr>
          <w:rFonts w:hint="eastAsia" w:ascii="仿宋_GB2312" w:hAnsi="仿宋" w:eastAsia="仿宋_GB2312"/>
          <w:b w:val="0"/>
          <w:bCs w:val="0"/>
          <w:color w:val="auto"/>
          <w:sz w:val="32"/>
          <w:szCs w:val="32"/>
          <w:highlight w:val="none"/>
        </w:rPr>
        <w:t>明晰建管权责边界</w:t>
      </w: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rPr>
        <w:t>推行建管分离模式，调整区城管委工作重心，由建管一体向专业化行业管理转变，提升京西门城投资公司全过程代建能力，形成“监管-建设”双线并行机制。强化全域统筹协同。完善市政配套设施对接机制，</w:t>
      </w:r>
      <w:r>
        <w:rPr>
          <w:rFonts w:hint="eastAsia" w:ascii="仿宋_GB2312" w:hAnsi="仿宋" w:eastAsia="仿宋_GB2312"/>
          <w:b w:val="0"/>
          <w:bCs w:val="0"/>
          <w:color w:val="auto"/>
          <w:sz w:val="32"/>
          <w:szCs w:val="32"/>
          <w:highlight w:val="none"/>
          <w:lang w:val="en-US" w:eastAsia="zh-CN"/>
        </w:rPr>
        <w:t>加大城管委、</w:t>
      </w:r>
      <w:r>
        <w:rPr>
          <w:rFonts w:hint="eastAsia" w:ascii="仿宋_GB2312" w:hAnsi="仿宋" w:eastAsia="仿宋_GB2312"/>
          <w:b w:val="0"/>
          <w:bCs w:val="0"/>
          <w:color w:val="auto"/>
          <w:sz w:val="32"/>
          <w:szCs w:val="32"/>
          <w:highlight w:val="none"/>
        </w:rPr>
        <w:t>住建委、规自分局、重大办等</w:t>
      </w:r>
      <w:r>
        <w:rPr>
          <w:rFonts w:hint="eastAsia" w:ascii="仿宋_GB2312" w:hAnsi="仿宋" w:eastAsia="仿宋_GB2312"/>
          <w:b w:val="0"/>
          <w:bCs w:val="0"/>
          <w:color w:val="auto"/>
          <w:sz w:val="32"/>
          <w:szCs w:val="32"/>
          <w:highlight w:val="none"/>
          <w:lang w:val="en-US" w:eastAsia="zh-CN"/>
        </w:rPr>
        <w:t>多</w:t>
      </w:r>
      <w:r>
        <w:rPr>
          <w:rFonts w:hint="eastAsia" w:ascii="仿宋_GB2312" w:hAnsi="仿宋" w:eastAsia="仿宋_GB2312"/>
          <w:b w:val="0"/>
          <w:bCs w:val="0"/>
          <w:color w:val="auto"/>
          <w:sz w:val="32"/>
          <w:szCs w:val="32"/>
          <w:highlight w:val="none"/>
        </w:rPr>
        <w:t>部门</w:t>
      </w:r>
      <w:r>
        <w:rPr>
          <w:rFonts w:hint="eastAsia" w:ascii="仿宋_GB2312" w:hAnsi="仿宋" w:eastAsia="仿宋_GB2312"/>
          <w:b w:val="0"/>
          <w:bCs w:val="0"/>
          <w:color w:val="auto"/>
          <w:sz w:val="32"/>
          <w:szCs w:val="32"/>
          <w:highlight w:val="none"/>
          <w:lang w:val="en-US" w:eastAsia="zh-CN"/>
        </w:rPr>
        <w:t>联合统筹，明确城管委与镇街权责，提升山区市政设施监管水平，形成全域高效管理模式</w:t>
      </w:r>
      <w:r>
        <w:rPr>
          <w:rFonts w:hint="eastAsia" w:ascii="仿宋_GB2312" w:hAnsi="仿宋" w:eastAsia="仿宋_GB2312"/>
          <w:b w:val="0"/>
          <w:bCs w:val="0"/>
          <w:color w:val="auto"/>
          <w:sz w:val="32"/>
          <w:szCs w:val="32"/>
          <w:highlight w:val="none"/>
        </w:rPr>
        <w:t>。</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7" w:name="_Toc20859"/>
      <w:r>
        <w:rPr>
          <w:rFonts w:hint="eastAsia" w:ascii="楷体_GB2312" w:hAnsi="楷体_GB2312" w:eastAsia="楷体_GB2312" w:cs="楷体_GB2312"/>
          <w:color w:val="auto"/>
          <w:sz w:val="32"/>
          <w:szCs w:val="32"/>
          <w:highlight w:val="none"/>
        </w:rPr>
        <w:t>（四）</w:t>
      </w:r>
      <w:r>
        <w:rPr>
          <w:rFonts w:hint="eastAsia" w:ascii="楷体_GB2312" w:hAnsi="楷体_GB2312" w:eastAsia="楷体_GB2312" w:cs="楷体_GB2312"/>
          <w:color w:val="auto"/>
          <w:sz w:val="32"/>
          <w:szCs w:val="32"/>
          <w:highlight w:val="none"/>
          <w:lang w:val="en-US" w:eastAsia="zh-CN"/>
        </w:rPr>
        <w:t>推进</w:t>
      </w:r>
      <w:r>
        <w:rPr>
          <w:rFonts w:hint="eastAsia" w:ascii="楷体_GB2312" w:hAnsi="楷体_GB2312" w:eastAsia="楷体_GB2312" w:cs="楷体_GB2312"/>
          <w:color w:val="auto"/>
          <w:sz w:val="32"/>
          <w:szCs w:val="32"/>
          <w:highlight w:val="none"/>
        </w:rPr>
        <w:t>队伍建设</w:t>
      </w:r>
      <w:bookmarkEnd w:id="57"/>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完善人才培养体系，强化岗位实训与技能培训，加快培养业务精通、素质过硬、一专多能的专业化城市管理团队，提高人员综合素质。</w:t>
      </w:r>
    </w:p>
    <w:p>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8" w:name="_Toc11391"/>
      <w:r>
        <w:rPr>
          <w:rFonts w:hint="eastAsia" w:ascii="楷体_GB2312" w:hAnsi="楷体_GB2312" w:eastAsia="楷体_GB2312" w:cs="楷体_GB2312"/>
          <w:color w:val="auto"/>
          <w:sz w:val="32"/>
          <w:szCs w:val="32"/>
          <w:highlight w:val="none"/>
        </w:rPr>
        <w:t>（五）</w:t>
      </w:r>
      <w:r>
        <w:rPr>
          <w:rFonts w:hint="eastAsia" w:ascii="楷体_GB2312" w:hAnsi="楷体_GB2312" w:eastAsia="楷体_GB2312" w:cs="楷体_GB2312"/>
          <w:color w:val="auto"/>
          <w:sz w:val="32"/>
          <w:szCs w:val="32"/>
          <w:highlight w:val="none"/>
          <w:lang w:val="en-US" w:eastAsia="zh-CN"/>
        </w:rPr>
        <w:t>推动公众</w:t>
      </w:r>
      <w:r>
        <w:rPr>
          <w:rFonts w:hint="eastAsia" w:ascii="楷体_GB2312" w:hAnsi="楷体_GB2312" w:eastAsia="楷体_GB2312" w:cs="楷体_GB2312"/>
          <w:color w:val="auto"/>
          <w:sz w:val="32"/>
          <w:szCs w:val="32"/>
          <w:highlight w:val="none"/>
        </w:rPr>
        <w:t>参与</w:t>
      </w:r>
      <w:bookmarkEnd w:id="58"/>
    </w:p>
    <w:p>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强化宣传引导，树立全民共建共享共治理念</w:t>
      </w:r>
      <w:r>
        <w:rPr>
          <w:rFonts w:hint="eastAsia" w:ascii="仿宋_GB2312" w:hAnsi="仿宋" w:eastAsia="仿宋_GB2312"/>
          <w:color w:val="auto"/>
          <w:sz w:val="32"/>
          <w:szCs w:val="32"/>
          <w:highlight w:val="none"/>
          <w:lang w:val="en-US" w:eastAsia="zh-CN"/>
        </w:rPr>
        <w:t>，</w:t>
      </w:r>
      <w:r>
        <w:rPr>
          <w:rFonts w:hint="eastAsia" w:ascii="仿宋_GB2312" w:hAnsi="仿宋" w:eastAsia="仿宋_GB2312"/>
          <w:color w:val="auto"/>
          <w:sz w:val="32"/>
          <w:szCs w:val="32"/>
          <w:highlight w:val="none"/>
        </w:rPr>
        <w:t>加强公众监督</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激发各方参与活力，形成“人人参与、人人尽责”的共治格局。</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Pr>
        <w:rPr>
          <w:color w:val="auto"/>
          <w:highlight w:val="none"/>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楷体_GB2312">
    <w:altName w:val="方正楷体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233" w:lineRule="auto"/>
      <w:ind w:left="8110"/>
      <w:rPr>
        <w:rFonts w:hint="eastAsia" w:ascii="宋体" w:hAnsi="宋体" w:eastAsia="宋体" w:cs="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Content>
                            <w:p>
                              <w:pPr>
                                <w:pStyle w:val="7"/>
                                <w:spacing w:line="233" w:lineRule="auto"/>
                                <w:ind w:left="8110"/>
                              </w:pPr>
                            </w:p>
                          </w:sdtContent>
                        </w:sdt>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sdt>
                    <w:sdtPr>
                      <w:id w:val="-1"/>
                    </w:sdtPr>
                    <w:sdtContent>
                      <w:p>
                        <w:pPr>
                          <w:pStyle w:val="7"/>
                          <w:spacing w:line="233" w:lineRule="auto"/>
                          <w:ind w:left="8110"/>
                        </w:pPr>
                      </w:p>
                    </w:sdtContent>
                  </w:sd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1971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21971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7.3pt;mso-position-horizontal:center;mso-position-horizontal-relative:margin;z-index:251660288;mso-width-relative:page;mso-height-relative:page;" filled="f" stroked="f" coordsize="21600,21600" o:gfxdata="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DEvm49QAAAAEAQAADwAAAAAAAAABACAAAAA4AAAAZHJzL2Rvd25yZXYueG1sUEsB&#10;AhQAFAAAAAgAh07iQIqmqqYcAgAAGgQAAA4AAAAAAAAAAQAgAAAAOQEAAGRycy9lMm9Eb2MueG1s&#10;UEsFBgAAAAAGAAYAWQEAAMcFAAAAAA==&#10;">
              <v:fill on="f" focussize="0,0"/>
              <v:stroke on="f" weight="0.5pt"/>
              <v:imagedata o:title=""/>
              <o:lock v:ext="edit" aspectratio="f"/>
              <v:textbox inset="0mm,0mm,0mm,0mm" style="mso-fit-shape-to-text:t;">
                <w:txbxContent>
                  <w:p>
                    <w:pPr>
                      <w:pStyle w:val="7"/>
                      <w:jc w:val="center"/>
                    </w:pPr>
                    <w:r>
                      <w:fldChar w:fldCharType="begin"/>
                    </w:r>
                    <w:r>
                      <w:instrText xml:space="preserve"> PAGE  \* MERGEFORMAT </w:instrText>
                    </w:r>
                    <w:r>
                      <w:fldChar w:fldCharType="separate"/>
                    </w:r>
                    <w:r>
                      <w:t>47</w:t>
                    </w:r>
                    <w:r>
                      <w:fldChar w:fldCharType="end"/>
                    </w:r>
                  </w:p>
                </w:txbxContent>
              </v:textbox>
            </v:shape>
          </w:pict>
        </mc:Fallback>
      </mc:AlternateContent>
    </w:r>
  </w:p>
  <w:p>
    <w:pPr>
      <w:pStyle w:val="7"/>
      <w:tabs>
        <w:tab w:val="left" w:pos="4345"/>
        <w:tab w:val="center" w:pos="8268"/>
      </w:tabs>
      <w:spacing w:line="233" w:lineRule="auto"/>
      <w:ind w:left="8110"/>
      <w:rPr>
        <w:rFonts w:hint="eastAsia" w:ascii="宋体" w:hAnsi="宋体" w:eastAsia="宋体" w:cs="宋体"/>
        <w:sz w:val="30"/>
        <w:szCs w:val="3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46C56"/>
    <w:multiLevelType w:val="singleLevel"/>
    <w:tmpl w:val="F7746C5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189"/>
    <w:rsid w:val="000C3CC1"/>
    <w:rsid w:val="0046209A"/>
    <w:rsid w:val="007C71FA"/>
    <w:rsid w:val="009C7964"/>
    <w:rsid w:val="00A62C61"/>
    <w:rsid w:val="00AA4963"/>
    <w:rsid w:val="00AF1302"/>
    <w:rsid w:val="00C87189"/>
    <w:rsid w:val="00CA69A8"/>
    <w:rsid w:val="00D95746"/>
    <w:rsid w:val="00DE04B4"/>
    <w:rsid w:val="00DE1BE7"/>
    <w:rsid w:val="012E3CB9"/>
    <w:rsid w:val="018856AF"/>
    <w:rsid w:val="01913DF5"/>
    <w:rsid w:val="01A22C15"/>
    <w:rsid w:val="01B81752"/>
    <w:rsid w:val="01F453BD"/>
    <w:rsid w:val="022278B2"/>
    <w:rsid w:val="02447828"/>
    <w:rsid w:val="024C0DD3"/>
    <w:rsid w:val="02873BB9"/>
    <w:rsid w:val="02C866AB"/>
    <w:rsid w:val="030806B1"/>
    <w:rsid w:val="03A275E5"/>
    <w:rsid w:val="040230E9"/>
    <w:rsid w:val="0471592F"/>
    <w:rsid w:val="04B35139"/>
    <w:rsid w:val="05F46944"/>
    <w:rsid w:val="060E6ACB"/>
    <w:rsid w:val="06DF5D71"/>
    <w:rsid w:val="074F3BEC"/>
    <w:rsid w:val="075A189C"/>
    <w:rsid w:val="07D7113E"/>
    <w:rsid w:val="07EC2E3C"/>
    <w:rsid w:val="08283748"/>
    <w:rsid w:val="0B1F28BD"/>
    <w:rsid w:val="0B492353"/>
    <w:rsid w:val="0B564393"/>
    <w:rsid w:val="0C1E733C"/>
    <w:rsid w:val="0CA37841"/>
    <w:rsid w:val="0CB24A10"/>
    <w:rsid w:val="0CF602B9"/>
    <w:rsid w:val="0D366E8A"/>
    <w:rsid w:val="0D466B4A"/>
    <w:rsid w:val="0DD56120"/>
    <w:rsid w:val="0E2F02D2"/>
    <w:rsid w:val="0E6D6F54"/>
    <w:rsid w:val="0F0C2AC8"/>
    <w:rsid w:val="0F44355D"/>
    <w:rsid w:val="0FBC1346"/>
    <w:rsid w:val="0FE8213B"/>
    <w:rsid w:val="10195C75"/>
    <w:rsid w:val="103F3C72"/>
    <w:rsid w:val="108300B5"/>
    <w:rsid w:val="113B0990"/>
    <w:rsid w:val="11832DF8"/>
    <w:rsid w:val="118F0A79"/>
    <w:rsid w:val="11BB40A7"/>
    <w:rsid w:val="12767ED2"/>
    <w:rsid w:val="12955E7E"/>
    <w:rsid w:val="135176C2"/>
    <w:rsid w:val="139A07F7"/>
    <w:rsid w:val="1543751C"/>
    <w:rsid w:val="15872423"/>
    <w:rsid w:val="168B7CC4"/>
    <w:rsid w:val="16D0230E"/>
    <w:rsid w:val="16D07E74"/>
    <w:rsid w:val="16EB0762"/>
    <w:rsid w:val="171C537C"/>
    <w:rsid w:val="17D932AC"/>
    <w:rsid w:val="17EA3D36"/>
    <w:rsid w:val="189D5A8C"/>
    <w:rsid w:val="18F03430"/>
    <w:rsid w:val="19616ABA"/>
    <w:rsid w:val="1A642D06"/>
    <w:rsid w:val="1A824F3A"/>
    <w:rsid w:val="1A9829AF"/>
    <w:rsid w:val="1ABB04BB"/>
    <w:rsid w:val="1ACC6931"/>
    <w:rsid w:val="1B9117F5"/>
    <w:rsid w:val="1B9E2247"/>
    <w:rsid w:val="1CDA2E0B"/>
    <w:rsid w:val="1D0600A4"/>
    <w:rsid w:val="1DCA5724"/>
    <w:rsid w:val="1E287EFA"/>
    <w:rsid w:val="1EC2624D"/>
    <w:rsid w:val="1F0B7BF4"/>
    <w:rsid w:val="1F835DBD"/>
    <w:rsid w:val="1F8D685B"/>
    <w:rsid w:val="1F923E71"/>
    <w:rsid w:val="2033348F"/>
    <w:rsid w:val="207B2B57"/>
    <w:rsid w:val="20D858B3"/>
    <w:rsid w:val="20DD2ECA"/>
    <w:rsid w:val="210963B5"/>
    <w:rsid w:val="21166FDA"/>
    <w:rsid w:val="21E06651"/>
    <w:rsid w:val="2281758E"/>
    <w:rsid w:val="231A6657"/>
    <w:rsid w:val="23700025"/>
    <w:rsid w:val="23C81D43"/>
    <w:rsid w:val="23C95929"/>
    <w:rsid w:val="240F3CE2"/>
    <w:rsid w:val="242332EA"/>
    <w:rsid w:val="24763AE2"/>
    <w:rsid w:val="24EA247D"/>
    <w:rsid w:val="250A26FB"/>
    <w:rsid w:val="25902FEF"/>
    <w:rsid w:val="259F1096"/>
    <w:rsid w:val="26076D64"/>
    <w:rsid w:val="260B672B"/>
    <w:rsid w:val="284064F4"/>
    <w:rsid w:val="28535833"/>
    <w:rsid w:val="28B50BD7"/>
    <w:rsid w:val="290D27BA"/>
    <w:rsid w:val="29444884"/>
    <w:rsid w:val="2965675D"/>
    <w:rsid w:val="299F5D6F"/>
    <w:rsid w:val="2A100E3B"/>
    <w:rsid w:val="2A5F094B"/>
    <w:rsid w:val="2AFE23BA"/>
    <w:rsid w:val="2B14398C"/>
    <w:rsid w:val="2B395AE8"/>
    <w:rsid w:val="2B5F2D34"/>
    <w:rsid w:val="2B632B65"/>
    <w:rsid w:val="2B65068C"/>
    <w:rsid w:val="2BA016C4"/>
    <w:rsid w:val="2BC41856"/>
    <w:rsid w:val="2C173C86"/>
    <w:rsid w:val="2C2979A7"/>
    <w:rsid w:val="2C8608B9"/>
    <w:rsid w:val="2CA376BD"/>
    <w:rsid w:val="2CCC69D0"/>
    <w:rsid w:val="2D28162C"/>
    <w:rsid w:val="2DC45B3D"/>
    <w:rsid w:val="2E786928"/>
    <w:rsid w:val="2EDE2C2F"/>
    <w:rsid w:val="2F972DDE"/>
    <w:rsid w:val="2F9C21A2"/>
    <w:rsid w:val="2FE20731"/>
    <w:rsid w:val="30082539"/>
    <w:rsid w:val="3028653D"/>
    <w:rsid w:val="302A5291"/>
    <w:rsid w:val="3095731D"/>
    <w:rsid w:val="30AB0BE2"/>
    <w:rsid w:val="30E66961"/>
    <w:rsid w:val="30EB5EE5"/>
    <w:rsid w:val="31017BC2"/>
    <w:rsid w:val="31B732C3"/>
    <w:rsid w:val="31E542D4"/>
    <w:rsid w:val="322A3FD0"/>
    <w:rsid w:val="32D14858"/>
    <w:rsid w:val="33884F17"/>
    <w:rsid w:val="339D53DB"/>
    <w:rsid w:val="33EF088B"/>
    <w:rsid w:val="35223149"/>
    <w:rsid w:val="356D0868"/>
    <w:rsid w:val="358A766C"/>
    <w:rsid w:val="365B4B65"/>
    <w:rsid w:val="366672CF"/>
    <w:rsid w:val="36854941"/>
    <w:rsid w:val="36D22F27"/>
    <w:rsid w:val="37117919"/>
    <w:rsid w:val="374A4944"/>
    <w:rsid w:val="37E1109A"/>
    <w:rsid w:val="38FE5C7B"/>
    <w:rsid w:val="3914724D"/>
    <w:rsid w:val="397F1725"/>
    <w:rsid w:val="39B30814"/>
    <w:rsid w:val="39D4535A"/>
    <w:rsid w:val="3AC151B3"/>
    <w:rsid w:val="3BC92571"/>
    <w:rsid w:val="3CC40B91"/>
    <w:rsid w:val="3D316189"/>
    <w:rsid w:val="3DC734C0"/>
    <w:rsid w:val="3E2E285F"/>
    <w:rsid w:val="3E5E1696"/>
    <w:rsid w:val="3E865567"/>
    <w:rsid w:val="3E9E1A93"/>
    <w:rsid w:val="3F033FEC"/>
    <w:rsid w:val="40D62CE1"/>
    <w:rsid w:val="41851E47"/>
    <w:rsid w:val="41A153F6"/>
    <w:rsid w:val="42097B6B"/>
    <w:rsid w:val="42117E64"/>
    <w:rsid w:val="42721C5C"/>
    <w:rsid w:val="43143470"/>
    <w:rsid w:val="439E3A06"/>
    <w:rsid w:val="43AA0EDA"/>
    <w:rsid w:val="43D9356D"/>
    <w:rsid w:val="44B41139"/>
    <w:rsid w:val="44F543D6"/>
    <w:rsid w:val="45723C79"/>
    <w:rsid w:val="457E617A"/>
    <w:rsid w:val="460D5750"/>
    <w:rsid w:val="463847EB"/>
    <w:rsid w:val="466468FE"/>
    <w:rsid w:val="47AA594C"/>
    <w:rsid w:val="47DB78B4"/>
    <w:rsid w:val="48597A2E"/>
    <w:rsid w:val="49203F9B"/>
    <w:rsid w:val="494B13CC"/>
    <w:rsid w:val="496929F7"/>
    <w:rsid w:val="4981448B"/>
    <w:rsid w:val="4AB80380"/>
    <w:rsid w:val="4B5F25AA"/>
    <w:rsid w:val="4B8B7843"/>
    <w:rsid w:val="4C6F4A6E"/>
    <w:rsid w:val="4C9646F1"/>
    <w:rsid w:val="4CF3569F"/>
    <w:rsid w:val="4DA44BEC"/>
    <w:rsid w:val="4E2B70BB"/>
    <w:rsid w:val="4E6039A2"/>
    <w:rsid w:val="4E630603"/>
    <w:rsid w:val="4E8A5B90"/>
    <w:rsid w:val="4EE4526B"/>
    <w:rsid w:val="4F5440CA"/>
    <w:rsid w:val="4F697E9B"/>
    <w:rsid w:val="4F870A38"/>
    <w:rsid w:val="4F93316A"/>
    <w:rsid w:val="4FAB04B3"/>
    <w:rsid w:val="4FB040A6"/>
    <w:rsid w:val="4FFA689E"/>
    <w:rsid w:val="50903205"/>
    <w:rsid w:val="50BB0282"/>
    <w:rsid w:val="53095DC9"/>
    <w:rsid w:val="5334431C"/>
    <w:rsid w:val="534575AC"/>
    <w:rsid w:val="53BA3890"/>
    <w:rsid w:val="53F32429"/>
    <w:rsid w:val="546926EB"/>
    <w:rsid w:val="547A0454"/>
    <w:rsid w:val="54C6402E"/>
    <w:rsid w:val="54EF79E3"/>
    <w:rsid w:val="55197C6D"/>
    <w:rsid w:val="55E93AE3"/>
    <w:rsid w:val="562468CA"/>
    <w:rsid w:val="56467691"/>
    <w:rsid w:val="564E3947"/>
    <w:rsid w:val="56504F2C"/>
    <w:rsid w:val="568423B2"/>
    <w:rsid w:val="56AA500A"/>
    <w:rsid w:val="56C07B07"/>
    <w:rsid w:val="571B7CCD"/>
    <w:rsid w:val="587501B3"/>
    <w:rsid w:val="58CD4FF7"/>
    <w:rsid w:val="595C637A"/>
    <w:rsid w:val="59682F71"/>
    <w:rsid w:val="597440B4"/>
    <w:rsid w:val="597F2FE0"/>
    <w:rsid w:val="598650A1"/>
    <w:rsid w:val="5A6279C1"/>
    <w:rsid w:val="5AA604FA"/>
    <w:rsid w:val="5B006C65"/>
    <w:rsid w:val="5B4D68C3"/>
    <w:rsid w:val="5B8301A0"/>
    <w:rsid w:val="5C884DE2"/>
    <w:rsid w:val="5CB77232"/>
    <w:rsid w:val="5DBB5D44"/>
    <w:rsid w:val="5DFC012C"/>
    <w:rsid w:val="5E0E38BE"/>
    <w:rsid w:val="5ED846F5"/>
    <w:rsid w:val="5EE66E12"/>
    <w:rsid w:val="5FED41D0"/>
    <w:rsid w:val="601822C0"/>
    <w:rsid w:val="60F57742"/>
    <w:rsid w:val="61357BDD"/>
    <w:rsid w:val="6142054C"/>
    <w:rsid w:val="61C62F2B"/>
    <w:rsid w:val="61DE64C6"/>
    <w:rsid w:val="624502F4"/>
    <w:rsid w:val="62856942"/>
    <w:rsid w:val="62E80C7F"/>
    <w:rsid w:val="6323782A"/>
    <w:rsid w:val="63292852"/>
    <w:rsid w:val="6397692D"/>
    <w:rsid w:val="642278D4"/>
    <w:rsid w:val="65244BE0"/>
    <w:rsid w:val="654E74BF"/>
    <w:rsid w:val="654E7F43"/>
    <w:rsid w:val="65532D27"/>
    <w:rsid w:val="65633DF8"/>
    <w:rsid w:val="657445DD"/>
    <w:rsid w:val="67B11F87"/>
    <w:rsid w:val="67C43A69"/>
    <w:rsid w:val="68AD6BF3"/>
    <w:rsid w:val="68B166E3"/>
    <w:rsid w:val="68CC46D1"/>
    <w:rsid w:val="6A002D52"/>
    <w:rsid w:val="6A9368BC"/>
    <w:rsid w:val="6A9A31A7"/>
    <w:rsid w:val="6B1E5B86"/>
    <w:rsid w:val="6B20545A"/>
    <w:rsid w:val="6B7F2FD5"/>
    <w:rsid w:val="6BD804D2"/>
    <w:rsid w:val="6CDC0624"/>
    <w:rsid w:val="6D0165BE"/>
    <w:rsid w:val="6D45389E"/>
    <w:rsid w:val="6D633D24"/>
    <w:rsid w:val="6D702504"/>
    <w:rsid w:val="6D8E35FC"/>
    <w:rsid w:val="6DC52BA1"/>
    <w:rsid w:val="6E42345A"/>
    <w:rsid w:val="6E5B2C4D"/>
    <w:rsid w:val="6EA445F4"/>
    <w:rsid w:val="6EBA3438"/>
    <w:rsid w:val="6F63625D"/>
    <w:rsid w:val="6FA458B6"/>
    <w:rsid w:val="7085106F"/>
    <w:rsid w:val="70F73101"/>
    <w:rsid w:val="7111358D"/>
    <w:rsid w:val="71201E48"/>
    <w:rsid w:val="71755DD4"/>
    <w:rsid w:val="723010E4"/>
    <w:rsid w:val="72CA76E6"/>
    <w:rsid w:val="73462731"/>
    <w:rsid w:val="73667ADF"/>
    <w:rsid w:val="73BD36AC"/>
    <w:rsid w:val="73E6120B"/>
    <w:rsid w:val="74324450"/>
    <w:rsid w:val="745B5755"/>
    <w:rsid w:val="756B5E6B"/>
    <w:rsid w:val="75976C60"/>
    <w:rsid w:val="75AF3FAA"/>
    <w:rsid w:val="75E108C5"/>
    <w:rsid w:val="766A6123"/>
    <w:rsid w:val="76B86E8E"/>
    <w:rsid w:val="771C6B43"/>
    <w:rsid w:val="785C64C6"/>
    <w:rsid w:val="786F5C73"/>
    <w:rsid w:val="79030169"/>
    <w:rsid w:val="795C3B33"/>
    <w:rsid w:val="79A64B3B"/>
    <w:rsid w:val="7A1F79BC"/>
    <w:rsid w:val="7A6F196A"/>
    <w:rsid w:val="7A715CD2"/>
    <w:rsid w:val="7A8A161B"/>
    <w:rsid w:val="7B187EFC"/>
    <w:rsid w:val="7BCD566F"/>
    <w:rsid w:val="7BDF4EBD"/>
    <w:rsid w:val="7CDF65C7"/>
    <w:rsid w:val="7D666B07"/>
    <w:rsid w:val="7DB67EA0"/>
    <w:rsid w:val="7DB96E89"/>
    <w:rsid w:val="7DF4B9C8"/>
    <w:rsid w:val="7EAB552B"/>
    <w:rsid w:val="7F4734A5"/>
    <w:rsid w:val="7F6F7368"/>
    <w:rsid w:val="7FCC5758"/>
    <w:rsid w:val="BB7F625A"/>
    <w:rsid w:val="FB9F118B"/>
    <w:rsid w:val="FFCE6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60" w:lineRule="exact"/>
      <w:ind w:firstLine="600" w:firstLineChars="200"/>
      <w:outlineLvl w:val="0"/>
    </w:pPr>
    <w:rPr>
      <w:rFonts w:eastAsia="仿宋_GB2312"/>
      <w:kern w:val="44"/>
      <w:sz w:val="32"/>
    </w:rPr>
  </w:style>
  <w:style w:type="paragraph" w:styleId="3">
    <w:name w:val="heading 2"/>
    <w:basedOn w:val="1"/>
    <w:next w:val="1"/>
    <w:unhideWhenUsed/>
    <w:qFormat/>
    <w:uiPriority w:val="0"/>
    <w:pPr>
      <w:keepNext/>
      <w:keepLines/>
      <w:spacing w:line="560" w:lineRule="exact"/>
      <w:ind w:firstLine="600" w:firstLineChars="200"/>
      <w:outlineLvl w:val="1"/>
    </w:pPr>
    <w:rPr>
      <w:rFonts w:ascii="Arial" w:hAnsi="Arial" w:eastAsia="仿宋_GB2312"/>
      <w:sz w:val="32"/>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adjustRightInd w:val="0"/>
      <w:snapToGrid w:val="0"/>
      <w:spacing w:line="360" w:lineRule="auto"/>
      <w:ind w:firstLine="420" w:firstLineChars="200"/>
    </w:pPr>
    <w:rPr>
      <w:rFonts w:ascii="Times New Roman" w:hAnsi="Times New Roman" w:eastAsia="仿宋_GB2312" w:cs="Times New Roman"/>
      <w:sz w:val="32"/>
      <w:szCs w:val="32"/>
    </w:rPr>
  </w:style>
  <w:style w:type="paragraph" w:styleId="5">
    <w:name w:val="Body Text"/>
    <w:basedOn w:val="1"/>
    <w:semiHidden/>
    <w:qFormat/>
    <w:uiPriority w:val="0"/>
    <w:rPr>
      <w:rFonts w:ascii="仿宋" w:hAnsi="仿宋" w:eastAsia="仿宋" w:cs="仿宋"/>
      <w:sz w:val="30"/>
      <w:szCs w:val="30"/>
      <w:lang w:eastAsia="en-US"/>
    </w:rPr>
  </w:style>
  <w:style w:type="paragraph" w:styleId="6">
    <w:name w:val="Plain Text"/>
    <w:basedOn w:val="1"/>
    <w:next w:val="1"/>
    <w:qFormat/>
    <w:uiPriority w:val="99"/>
    <w:rPr>
      <w:rFonts w:ascii="宋体" w:hAnsi="Courier New" w:eastAsia="宋体" w:cs="Courier New"/>
      <w:szCs w:val="21"/>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Title"/>
    <w:basedOn w:val="1"/>
    <w:next w:val="1"/>
    <w:qFormat/>
    <w:uiPriority w:val="0"/>
    <w:pPr>
      <w:spacing w:before="240"/>
      <w:ind w:firstLine="723"/>
      <w:jc w:val="center"/>
      <w:outlineLvl w:val="0"/>
    </w:pPr>
    <w:rPr>
      <w:rFonts w:ascii="方正小标宋简体" w:hAnsi="Calibri Light" w:eastAsia="方正小标宋简体" w:cs="Times New Roman"/>
      <w:b/>
      <w:bCs/>
      <w:kern w:val="0"/>
      <w:sz w:val="36"/>
      <w:szCs w:val="36"/>
      <w:lang w:val="zh-C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BodyText"/>
    <w:next w:val="1"/>
    <w:qFormat/>
    <w:uiPriority w:val="0"/>
    <w:pPr>
      <w:widowControl w:val="0"/>
      <w:jc w:val="both"/>
      <w:textAlignment w:val="baseline"/>
    </w:pPr>
    <w:rPr>
      <w:rFonts w:ascii="Times New Roman" w:hAnsi="Times New Roman" w:eastAsia="宋体" w:cs="Times New Roman"/>
      <w:kern w:val="2"/>
      <w:sz w:val="21"/>
      <w:szCs w:val="24"/>
      <w:lang w:val="en-US" w:eastAsia="zh-CN" w:bidi="ar-SA"/>
    </w:rPr>
  </w:style>
  <w:style w:type="paragraph" w:customStyle="1" w:styleId="18">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9">
    <w:name w:val="List Paragraph"/>
    <w:basedOn w:val="1"/>
    <w:unhideWhenUsed/>
    <w:qFormat/>
    <w:uiPriority w:val="99"/>
    <w:pPr>
      <w:ind w:firstLine="420" w:firstLineChars="200"/>
    </w:pPr>
  </w:style>
  <w:style w:type="paragraph" w:customStyle="1" w:styleId="20">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1">
    <w:name w:val="font41"/>
    <w:basedOn w:val="15"/>
    <w:qFormat/>
    <w:uiPriority w:val="0"/>
    <w:rPr>
      <w:rFonts w:hint="eastAsia" w:ascii="宋体" w:hAnsi="宋体" w:eastAsia="宋体" w:cs="宋体"/>
      <w:color w:val="000000"/>
      <w:sz w:val="24"/>
      <w:szCs w:val="24"/>
      <w:u w:val="none"/>
    </w:rPr>
  </w:style>
  <w:style w:type="character" w:customStyle="1" w:styleId="22">
    <w:name w:val="font31"/>
    <w:basedOn w:val="15"/>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283</Words>
  <Characters>286</Characters>
  <Lines>1148</Lines>
  <Paragraphs>830</Paragraphs>
  <TotalTime>79</TotalTime>
  <ScaleCrop>false</ScaleCrop>
  <LinksUpToDate>false</LinksUpToDate>
  <CharactersWithSpaces>286</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2026-08-25T05:46:00Z</dcterms:created>
  <dc:creator>Administrator</dc:creator>
  <cp:lastModifiedBy>Admin</cp:lastModifiedBy>
  <dcterms:modified xsi:type="dcterms:W3CDTF">2026-09-22T11:28:03Z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eyJoZGlkIjoiMGNjZWMxNTg4NzAyNjc0MGY3ODNhOTMzNGE4OGRlYjkiLCJ1c2VySWQiOiI1ODI2MjE3OTgifQ==</vt:lpwstr>
  </property>
  <property fmtid="{D5CDD505-2E9C-101B-9397-08002B2CF9AE}" pid="4" name="ICV">
    <vt:lpwstr>6C5BFDDFE4E14841AD07BC41873C5E80_13</vt:lpwstr>
  </property>
</Properties>
</file>