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jc w:val="both"/>
        <w:textAlignment w:val="auto"/>
        <w:outlineLvl w:val="9"/>
        <w:rPr>
          <w:rFonts w:hint="eastAsia" w:ascii="黑体" w:hAnsi="黑体" w:eastAsia="黑体" w:cs="黑体"/>
          <w:b w:val="0"/>
          <w:bCs w:val="0"/>
          <w:sz w:val="32"/>
          <w:szCs w:val="32"/>
          <w:lang w:val="en-US" w:eastAsia="zh-CN"/>
        </w:rPr>
      </w:pPr>
      <w:r>
        <w:rPr>
          <w:rFonts w:hint="eastAsia" w:ascii="黑体" w:hAnsi="黑体" w:eastAsia="黑体" w:cs="黑体"/>
          <w:sz w:val="32"/>
          <w:szCs w:val="32"/>
        </w:rPr>
        <w:t>附件2</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jc w:val="both"/>
        <w:textAlignment w:val="auto"/>
        <w:outlineLvl w:val="9"/>
        <w:rPr>
          <w:rFonts w:hint="eastAsia" w:ascii="方正小标宋简体" w:hAnsi="方正小标宋简体" w:eastAsia="方正小标宋简体" w:cs="方正小标宋简体"/>
          <w:b w:val="0"/>
          <w:bCs w:val="0"/>
          <w:sz w:val="44"/>
          <w:szCs w:val="44"/>
          <w:lang w:val="en-US" w:eastAsia="zh-CN"/>
        </w:rPr>
      </w:pP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jc w:val="center"/>
        <w:textAlignment w:val="auto"/>
        <w:outlineLvl w:val="9"/>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lang w:val="en-US" w:eastAsia="zh-CN"/>
        </w:rPr>
        <w:t>《门头沟区“十五五”时期城市管理规划</w:t>
      </w:r>
      <w:r>
        <w:rPr>
          <w:rFonts w:hint="eastAsia" w:ascii="方正小标宋简体" w:hAnsi="方正小标宋简体" w:eastAsia="方正小标宋简体" w:cs="方正小标宋简体"/>
          <w:sz w:val="44"/>
          <w:szCs w:val="52"/>
          <w:lang w:val="en-US" w:eastAsia="zh-CN"/>
        </w:rPr>
        <w:t>（征求意见稿）</w:t>
      </w:r>
      <w:r>
        <w:rPr>
          <w:rFonts w:hint="eastAsia" w:ascii="方正小标宋简体" w:hAnsi="方正小标宋简体" w:eastAsia="方正小标宋简体" w:cs="方正小标宋简体"/>
          <w:b w:val="0"/>
          <w:bCs w:val="0"/>
          <w:sz w:val="44"/>
          <w:szCs w:val="44"/>
          <w:lang w:val="en-US" w:eastAsia="zh-CN"/>
        </w:rPr>
        <w:t>》</w:t>
      </w:r>
      <w:r>
        <w:rPr>
          <w:rFonts w:hint="eastAsia" w:ascii="方正小标宋简体" w:hAnsi="方正小标宋简体" w:eastAsia="方正小标宋简体" w:cs="方正小标宋简体"/>
          <w:b w:val="0"/>
          <w:bCs w:val="0"/>
          <w:sz w:val="44"/>
          <w:szCs w:val="44"/>
        </w:rPr>
        <w:t>的</w:t>
      </w:r>
      <w:r>
        <w:rPr>
          <w:rFonts w:hint="eastAsia" w:ascii="方正小标宋简体" w:hAnsi="方正小标宋简体" w:eastAsia="方正小标宋简体" w:cs="方正小标宋简体"/>
          <w:b w:val="0"/>
          <w:bCs w:val="0"/>
          <w:sz w:val="44"/>
          <w:szCs w:val="44"/>
          <w:lang w:eastAsia="zh-CN"/>
        </w:rPr>
        <w:t>起草</w:t>
      </w:r>
      <w:r>
        <w:rPr>
          <w:rFonts w:hint="eastAsia" w:ascii="方正小标宋简体" w:hAnsi="方正小标宋简体" w:eastAsia="方正小标宋简体" w:cs="方正小标宋简体"/>
          <w:b w:val="0"/>
          <w:bCs w:val="0"/>
          <w:sz w:val="44"/>
          <w:szCs w:val="44"/>
        </w:rPr>
        <w:t>说明</w:t>
      </w:r>
    </w:p>
    <w:p>
      <w:pPr>
        <w:pStyle w:val="5"/>
        <w:keepNext w:val="0"/>
        <w:keepLines w:val="0"/>
        <w:pageBreakBefore w:val="0"/>
        <w:widowControl w:val="0"/>
        <w:kinsoku/>
        <w:wordWrap/>
        <w:overflowPunct/>
        <w:topLinePunct w:val="0"/>
        <w:autoSpaceDE/>
        <w:autoSpaceDN/>
        <w:bidi w:val="0"/>
        <w:spacing w:line="560" w:lineRule="exact"/>
        <w:ind w:left="0" w:leftChars="0" w:right="0" w:rightChars="0"/>
        <w:jc w:val="both"/>
        <w:textAlignment w:val="auto"/>
        <w:rPr>
          <w:rFonts w:hint="eastAsia" w:ascii="宋体" w:hAnsi="宋体" w:eastAsia="宋体" w:cs="宋体"/>
          <w:b/>
          <w:bCs/>
          <w:sz w:val="36"/>
          <w:szCs w:val="36"/>
          <w:lang w:val="en-US" w:eastAsia="zh-CN"/>
        </w:rPr>
      </w:pPr>
    </w:p>
    <w:p>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jc w:val="both"/>
        <w:textAlignment w:val="auto"/>
        <w:rPr>
          <w:rFonts w:hint="eastAsia" w:ascii="黑体" w:hAnsi="宋体" w:eastAsia="黑体" w:cs="Times New Roman"/>
          <w:sz w:val="32"/>
          <w:szCs w:val="32"/>
          <w:highlight w:val="none"/>
          <w:lang w:val="en-US" w:eastAsia="zh-CN"/>
        </w:rPr>
      </w:pPr>
      <w:r>
        <w:rPr>
          <w:rFonts w:hint="eastAsia" w:ascii="黑体" w:hAnsi="宋体" w:eastAsia="黑体" w:cs="Times New Roman"/>
          <w:sz w:val="32"/>
          <w:szCs w:val="32"/>
          <w:highlight w:val="none"/>
          <w:lang w:val="en-US" w:eastAsia="zh-CN"/>
        </w:rPr>
        <w:t>一、起草背景</w:t>
      </w:r>
    </w:p>
    <w:p>
      <w:pPr>
        <w:keepNext w:val="0"/>
        <w:keepLines w:val="0"/>
        <w:pageBreakBefore w:val="0"/>
        <w:widowControl w:val="0"/>
        <w:kinsoku/>
        <w:wordWrap/>
        <w:overflowPunct/>
        <w:topLinePunct w:val="0"/>
        <w:autoSpaceDE/>
        <w:autoSpaceDN/>
        <w:bidi w:val="0"/>
        <w:snapToGrid/>
        <w:spacing w:line="560" w:lineRule="exact"/>
        <w:ind w:left="0" w:leftChars="0" w:right="0" w:rightChars="0"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“十五五”时期是基本实现社会主义现代化夯实基础、全面发力的关键时期，</w:t>
      </w:r>
      <w:r>
        <w:rPr>
          <w:rFonts w:hint="eastAsia" w:ascii="仿宋_GB2312" w:hAnsi="仿宋_GB2312" w:eastAsia="仿宋_GB2312" w:cs="仿宋_GB2312"/>
          <w:color w:val="000000" w:themeColor="text1"/>
          <w:sz w:val="32"/>
          <w:szCs w:val="21"/>
          <w:highlight w:val="none"/>
          <w14:textFill>
            <w14:solidFill>
              <w14:schemeClr w14:val="tx1"/>
            </w14:solidFill>
          </w14:textFill>
        </w:rPr>
        <w:t>是北京率先基本实现社会主义现代化的</w:t>
      </w:r>
      <w:r>
        <w:rPr>
          <w:rFonts w:hint="eastAsia" w:ascii="仿宋_GB2312" w:hAnsi="仿宋_GB2312" w:eastAsia="仿宋_GB2312" w:cs="仿宋_GB2312"/>
          <w:color w:val="000000" w:themeColor="text1"/>
          <w:sz w:val="32"/>
          <w:szCs w:val="21"/>
          <w:highlight w:val="none"/>
          <w:lang w:eastAsia="zh-CN"/>
          <w14:textFill>
            <w14:solidFill>
              <w14:schemeClr w14:val="tx1"/>
            </w14:solidFill>
          </w14:textFill>
        </w:rPr>
        <w:t>战略机遇期</w:t>
      </w:r>
      <w:r>
        <w:rPr>
          <w:rFonts w:hint="eastAsia" w:ascii="仿宋_GB2312" w:hAnsi="仿宋_GB2312" w:eastAsia="仿宋_GB2312" w:cs="仿宋_GB2312"/>
          <w:color w:val="000000" w:themeColor="text1"/>
          <w:sz w:val="32"/>
          <w:szCs w:val="21"/>
          <w:highlight w:val="none"/>
          <w14:textFill>
            <w14:solidFill>
              <w14:schemeClr w14:val="tx1"/>
            </w14:solidFill>
          </w14:textFill>
        </w:rPr>
        <w:t>，也是门头沟区加速推进绿色高质量转型发展的</w:t>
      </w:r>
      <w:r>
        <w:rPr>
          <w:rFonts w:hint="eastAsia" w:ascii="仿宋_GB2312" w:hAnsi="仿宋_GB2312" w:eastAsia="仿宋_GB2312" w:cs="仿宋_GB2312"/>
          <w:color w:val="000000" w:themeColor="text1"/>
          <w:sz w:val="32"/>
          <w:szCs w:val="21"/>
          <w:highlight w:val="none"/>
          <w:lang w:eastAsia="zh-CN"/>
          <w14:textFill>
            <w14:solidFill>
              <w14:schemeClr w14:val="tx1"/>
            </w14:solidFill>
          </w14:textFill>
        </w:rPr>
        <w:t>重要</w:t>
      </w:r>
      <w:r>
        <w:rPr>
          <w:rFonts w:hint="eastAsia" w:ascii="仿宋_GB2312" w:hAnsi="仿宋_GB2312" w:eastAsia="仿宋_GB2312" w:cs="仿宋_GB2312"/>
          <w:color w:val="000000" w:themeColor="text1"/>
          <w:sz w:val="32"/>
          <w:szCs w:val="21"/>
          <w:highlight w:val="none"/>
          <w14:textFill>
            <w14:solidFill>
              <w14:schemeClr w14:val="tx1"/>
            </w14:solidFill>
          </w14:textFill>
        </w:rPr>
        <w:t>时期。《门头沟区“十五五”时期城市管理规划（征求意见稿）》（以下简称《规划》）坚持以习近平新时代中国特色社会主义思想为指导</w:t>
      </w:r>
      <w:r>
        <w:rPr>
          <w:rFonts w:hint="eastAsia" w:ascii="仿宋_GB2312" w:hAnsi="仿宋_GB2312" w:eastAsia="仿宋_GB2312" w:cs="仿宋_GB2312"/>
          <w:color w:val="000000" w:themeColor="text1"/>
          <w:sz w:val="32"/>
          <w:szCs w:val="21"/>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21"/>
          <w:highlight w:val="none"/>
          <w14:textFill>
            <w14:solidFill>
              <w14:schemeClr w14:val="tx1"/>
            </w14:solidFill>
          </w14:textFill>
        </w:rPr>
        <w:t>全面贯彻党的二十大和二十届历次全会精神，深入学习贯彻习近平总书记关于城市工作的重要论述及对北京系列重要讲话精神，认真落实2025</w:t>
      </w:r>
      <w:bookmarkStart w:id="0" w:name="_GoBack"/>
      <w:bookmarkEnd w:id="0"/>
      <w:r>
        <w:rPr>
          <w:rFonts w:hint="eastAsia" w:ascii="仿宋_GB2312" w:hAnsi="仿宋_GB2312" w:eastAsia="仿宋_GB2312" w:cs="仿宋_GB2312"/>
          <w:color w:val="000000" w:themeColor="text1"/>
          <w:sz w:val="32"/>
          <w:szCs w:val="21"/>
          <w:highlight w:val="none"/>
          <w14:textFill>
            <w14:solidFill>
              <w14:schemeClr w14:val="tx1"/>
            </w14:solidFill>
          </w14:textFill>
        </w:rPr>
        <w:t>年中央城市工作会议部署，由门头沟区</w:t>
      </w:r>
      <w:r>
        <w:rPr>
          <w:rFonts w:hint="eastAsia" w:ascii="仿宋_GB2312" w:hAnsi="仿宋_GB2312" w:eastAsia="仿宋_GB2312" w:cs="仿宋_GB2312"/>
          <w:color w:val="000000" w:themeColor="text1"/>
          <w:sz w:val="32"/>
          <w:szCs w:val="21"/>
          <w:highlight w:val="none"/>
          <w:lang w:eastAsia="zh-CN"/>
          <w14:textFill>
            <w14:solidFill>
              <w14:schemeClr w14:val="tx1"/>
            </w14:solidFill>
          </w14:textFill>
        </w:rPr>
        <w:t>城市管理委员会</w:t>
      </w:r>
      <w:r>
        <w:rPr>
          <w:rFonts w:hint="eastAsia" w:ascii="仿宋_GB2312" w:hAnsi="仿宋_GB2312" w:eastAsia="仿宋_GB2312" w:cs="仿宋_GB2312"/>
          <w:color w:val="000000" w:themeColor="text1"/>
          <w:sz w:val="32"/>
          <w:szCs w:val="21"/>
          <w:highlight w:val="none"/>
          <w14:textFill>
            <w14:solidFill>
              <w14:schemeClr w14:val="tx1"/>
            </w14:solidFill>
          </w14:textFill>
        </w:rPr>
        <w:t>牵头编制，</w:t>
      </w:r>
      <w:r>
        <w:rPr>
          <w:rFonts w:hint="eastAsia" w:ascii="仿宋_GB2312" w:hAnsi="仿宋_GB2312" w:eastAsia="仿宋_GB2312" w:cs="仿宋_GB2312"/>
          <w:color w:val="000000" w:themeColor="text1"/>
          <w:sz w:val="32"/>
          <w:szCs w:val="21"/>
          <w:highlight w:val="none"/>
          <w:lang w:eastAsia="zh-CN"/>
          <w14:textFill>
            <w14:solidFill>
              <w14:schemeClr w14:val="tx1"/>
            </w14:solidFill>
          </w14:textFill>
        </w:rPr>
        <w:t>是</w:t>
      </w:r>
      <w:r>
        <w:rPr>
          <w:rFonts w:hint="eastAsia" w:ascii="仿宋_GB2312" w:hAnsi="仿宋_GB2312" w:eastAsia="仿宋_GB2312" w:cs="仿宋_GB2312"/>
          <w:color w:val="000000" w:themeColor="text1"/>
          <w:sz w:val="32"/>
          <w:szCs w:val="21"/>
          <w:highlight w:val="none"/>
          <w14:textFill>
            <w14:solidFill>
              <w14:schemeClr w14:val="tx1"/>
            </w14:solidFill>
          </w14:textFill>
        </w:rPr>
        <w:t>指导全区未来五年</w:t>
      </w:r>
      <w:r>
        <w:rPr>
          <w:rFonts w:hint="eastAsia" w:ascii="仿宋_GB2312" w:hAnsi="仿宋_GB2312" w:eastAsia="仿宋_GB2312" w:cs="仿宋_GB2312"/>
          <w:color w:val="000000" w:themeColor="text1"/>
          <w:sz w:val="32"/>
          <w:szCs w:val="21"/>
          <w:highlight w:val="none"/>
          <w:lang w:eastAsia="zh-CN"/>
          <w14:textFill>
            <w14:solidFill>
              <w14:schemeClr w14:val="tx1"/>
            </w14:solidFill>
          </w14:textFill>
        </w:rPr>
        <w:t>城市管理发展</w:t>
      </w:r>
      <w:r>
        <w:rPr>
          <w:rFonts w:hint="eastAsia" w:ascii="仿宋_GB2312" w:hAnsi="仿宋_GB2312" w:eastAsia="仿宋_GB2312" w:cs="仿宋_GB2312"/>
          <w:color w:val="000000" w:themeColor="text1"/>
          <w:sz w:val="32"/>
          <w:szCs w:val="21"/>
          <w:highlight w:val="none"/>
          <w14:textFill>
            <w14:solidFill>
              <w14:schemeClr w14:val="tx1"/>
            </w14:solidFill>
          </w14:textFill>
        </w:rPr>
        <w:t>的纲领性文件。</w:t>
      </w:r>
    </w:p>
    <w:p>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jc w:val="both"/>
        <w:textAlignment w:val="auto"/>
        <w:rPr>
          <w:rFonts w:hint="eastAsia" w:ascii="黑体" w:hAnsi="宋体" w:eastAsia="黑体" w:cs="Times New Roman"/>
          <w:sz w:val="32"/>
          <w:szCs w:val="32"/>
          <w:highlight w:val="none"/>
          <w:lang w:val="en-US" w:eastAsia="zh-CN"/>
        </w:rPr>
      </w:pPr>
      <w:r>
        <w:rPr>
          <w:rFonts w:hint="eastAsia" w:ascii="黑体" w:hAnsi="宋体" w:eastAsia="黑体" w:cs="Times New Roman"/>
          <w:sz w:val="32"/>
          <w:szCs w:val="32"/>
          <w:highlight w:val="none"/>
          <w:lang w:val="en-US" w:eastAsia="zh-CN"/>
        </w:rPr>
        <w:t>二、起草过程</w:t>
      </w:r>
    </w:p>
    <w:p>
      <w:pPr>
        <w:keepNext w:val="0"/>
        <w:keepLines w:val="0"/>
        <w:pageBreakBefore w:val="0"/>
        <w:widowControl w:val="0"/>
        <w:kinsoku/>
        <w:wordWrap/>
        <w:overflowPunct/>
        <w:topLinePunct w:val="0"/>
        <w:autoSpaceDE/>
        <w:autoSpaceDN/>
        <w:bidi w:val="0"/>
        <w:snapToGrid/>
        <w:spacing w:line="560" w:lineRule="exact"/>
        <w:ind w:left="0" w:leftChars="0" w:right="0" w:rightChars="0"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规划》依据《北京市国民经济和社会发展第十五个五年规划纲要》《北京市“十五五”时期城市管理发展规划》《北京市门头沟区国民经济和社会发展第十五个五年规划纲要》等上位规划和文件编制。已面向区属相关单位和镇街征求意见，并征询相关专家建议，经修改完善，最终形成公开征求意见文稿。</w:t>
      </w:r>
    </w:p>
    <w:p>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jc w:val="both"/>
        <w:textAlignment w:val="auto"/>
        <w:rPr>
          <w:rFonts w:ascii="黑体" w:hAnsi="宋体" w:eastAsia="黑体" w:cs="Times New Roman"/>
          <w:sz w:val="32"/>
          <w:szCs w:val="32"/>
          <w:highlight w:val="none"/>
        </w:rPr>
      </w:pPr>
      <w:r>
        <w:rPr>
          <w:rFonts w:hint="eastAsia" w:ascii="黑体" w:hAnsi="宋体" w:eastAsia="黑体" w:cs="Times New Roman"/>
          <w:sz w:val="32"/>
          <w:szCs w:val="32"/>
          <w:highlight w:val="none"/>
          <w:lang w:val="en-US" w:eastAsia="zh-CN"/>
        </w:rPr>
        <w:t>三</w:t>
      </w:r>
      <w:r>
        <w:rPr>
          <w:rFonts w:hint="eastAsia" w:ascii="黑体" w:hAnsi="宋体" w:eastAsia="黑体" w:cs="Times New Roman"/>
          <w:sz w:val="32"/>
          <w:szCs w:val="32"/>
          <w:highlight w:val="none"/>
        </w:rPr>
        <w:t>、主要内容</w:t>
      </w:r>
    </w:p>
    <w:p>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《规划》包括九个章节，具体内容如下：</w:t>
      </w:r>
    </w:p>
    <w:p>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第一章：总体要求。明确指导思想、基本原则和发展目标。</w:t>
      </w:r>
    </w:p>
    <w:p>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第二章：聚力市政设施更新提质，打造畅通便捷的“宜居门头沟”。包括道路桥梁及附属设施管理、规范停车、非机动车秩序优化等任务。</w:t>
      </w:r>
    </w:p>
    <w:p>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第三章：深化环境精细化治理，塑造精致有序的“魅力门头沟”。包括重点区域环境整治、城市家具管理、景观照明、重大活动保障、环境考核等任务。</w:t>
      </w:r>
    </w:p>
    <w:p>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第四章：健全垃圾治理与市容环卫体系，守护绿水青山的“洁净门头沟”。包括生活垃圾精细化治理、建筑垃圾闭环管理、清扫保洁、公厕提质等任务。</w:t>
      </w:r>
    </w:p>
    <w:p>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第五章：强化能源监管与运维，夯实稳定可靠的“安全门头沟”。包括电网高质量发展、清洁供热、燃气保障等任务。</w:t>
      </w:r>
    </w:p>
    <w:p>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第六章：提升应急管理与恢复能力，筑牢协同有力的“韧性门头沟”。包括风险管控、应急处理、设施韧性提升等任务。</w:t>
      </w:r>
    </w:p>
    <w:p>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第七章：强化智慧赋能，建设敏捷高效的“智慧门头沟”。包括城市运行管理智慧平台、智能设施建设等任务。</w:t>
      </w:r>
    </w:p>
    <w:p>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第八章：规范执法与民生服务，营造公平有序的“法治门头沟”。包括专业执法能力提升、执法综合保障、队伍建设等任务。</w:t>
      </w:r>
    </w:p>
    <w:p>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pPr>
      <w:r>
        <w:rPr>
          <w:rFonts w:hint="eastAsia" w:ascii="仿宋_GB2312" w:hAnsi="仿宋_GB2312" w:eastAsia="仿宋_GB2312" w:cs="仿宋_GB2312"/>
          <w:b w:val="0"/>
          <w:bCs w:val="0"/>
          <w:sz w:val="32"/>
          <w:szCs w:val="32"/>
          <w:highlight w:val="none"/>
          <w:lang w:val="en-US" w:eastAsia="zh-CN"/>
        </w:rPr>
        <w:t>第九章：实施保障机制。从组织领导、经费统筹、体制机制改革、队伍建设、氛围营造五个方面提出保障措施。</w:t>
      </w: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7A"/>
    <w:family w:val="auto"/>
    <w:pitch w:val="default"/>
    <w:sig w:usb0="00000000" w:usb1="00000000" w:usb2="00000009" w:usb3="00000000" w:csb0="400001FF" w:csb1="FFFF0000"/>
  </w:font>
  <w:font w:name="宋体">
    <w:altName w:val="方正书宋_GBK"/>
    <w:panose1 w:val="02010600030101010101"/>
    <w:charset w:val="34"/>
    <w:family w:val="auto"/>
    <w:pitch w:val="default"/>
    <w:sig w:usb0="00000000" w:usb1="0000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
    <w:altName w:val="方正仿宋_GBK"/>
    <w:panose1 w:val="02010609060101010101"/>
    <w:charset w:val="86"/>
    <w:family w:val="modern"/>
    <w:pitch w:val="default"/>
    <w:sig w:usb0="00000000" w:usb1="00000000" w:usb2="00000016" w:usb3="00000000" w:csb0="00040001" w:csb1="00000000"/>
  </w:font>
  <w:font w:name="华文中宋">
    <w:altName w:val="汉仪中宋简"/>
    <w:panose1 w:val="02010600040101010101"/>
    <w:charset w:val="86"/>
    <w:family w:val="auto"/>
    <w:pitch w:val="default"/>
    <w:sig w:usb0="00000000" w:usb1="00000000" w:usb2="00000000" w:usb3="00000000" w:csb0="0004009F" w:csb1="DFD70000"/>
  </w:font>
  <w:font w:name="Calibri Light">
    <w:altName w:val="DejaVu Sans"/>
    <w:panose1 w:val="020F0302020204030204"/>
    <w:charset w:val="00"/>
    <w:family w:val="auto"/>
    <w:pitch w:val="default"/>
    <w:sig w:usb0="00000000" w:usb1="00000000" w:usb2="00000009" w:usb3="00000000" w:csb0="200001FF" w:csb1="00000000"/>
  </w:font>
  <w:font w:name="方正小标宋简体">
    <w:panose1 w:val="02000000000000000000"/>
    <w:charset w:val="86"/>
    <w:family w:val="script"/>
    <w:pitch w:val="default"/>
    <w:sig w:usb0="A00002BF" w:usb1="184F6CFA" w:usb2="00000012" w:usb3="00000000" w:csb0="00040001" w:csb1="00000000"/>
  </w:font>
  <w:font w:name="仿宋_GB2312">
    <w:altName w:val="方正仿宋_GBK"/>
    <w:panose1 w:val="02010609030101010101"/>
    <w:charset w:val="86"/>
    <w:family w:val="auto"/>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2375FA"/>
    <w:rsid w:val="05E1708E"/>
    <w:rsid w:val="0673692E"/>
    <w:rsid w:val="0DA63A8D"/>
    <w:rsid w:val="110D49BF"/>
    <w:rsid w:val="16B45A71"/>
    <w:rsid w:val="16E27889"/>
    <w:rsid w:val="252D32C0"/>
    <w:rsid w:val="28C51F27"/>
    <w:rsid w:val="2D0F1723"/>
    <w:rsid w:val="337C7F7C"/>
    <w:rsid w:val="3B0579EB"/>
    <w:rsid w:val="3B4C7B1C"/>
    <w:rsid w:val="3F1D0E83"/>
    <w:rsid w:val="45300B14"/>
    <w:rsid w:val="46E25E12"/>
    <w:rsid w:val="48A73C3A"/>
    <w:rsid w:val="4B012AB6"/>
    <w:rsid w:val="4EFF05CC"/>
    <w:rsid w:val="6BAE0CB8"/>
    <w:rsid w:val="73650954"/>
    <w:rsid w:val="79520015"/>
    <w:rsid w:val="7F3621E9"/>
    <w:rsid w:val="7FC43640"/>
    <w:rsid w:val="C9CFA0FD"/>
    <w:rsid w:val="FF849F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Normal Indent"/>
    <w:basedOn w:val="1"/>
    <w:next w:val="1"/>
    <w:unhideWhenUsed/>
    <w:qFormat/>
    <w:uiPriority w:val="99"/>
    <w:pPr>
      <w:ind w:firstLine="420"/>
    </w:pPr>
    <w:rPr>
      <w:rFonts w:eastAsia="宋体"/>
      <w:sz w:val="21"/>
    </w:rPr>
  </w:style>
  <w:style w:type="paragraph" w:styleId="3">
    <w:name w:val="Body Text"/>
    <w:basedOn w:val="1"/>
    <w:semiHidden/>
    <w:qFormat/>
    <w:uiPriority w:val="0"/>
    <w:rPr>
      <w:rFonts w:ascii="仿宋" w:hAnsi="仿宋" w:eastAsia="仿宋" w:cs="仿宋"/>
      <w:sz w:val="30"/>
      <w:szCs w:val="30"/>
      <w:lang w:eastAsia="en-US"/>
    </w:rPr>
  </w:style>
  <w:style w:type="paragraph" w:styleId="4">
    <w:name w:val="Plain Text"/>
    <w:basedOn w:val="1"/>
    <w:next w:val="1"/>
    <w:qFormat/>
    <w:uiPriority w:val="0"/>
    <w:rPr>
      <w:rFonts w:ascii="宋体" w:hAnsi="Courier New" w:eastAsia="宋体" w:cs="Courier New"/>
      <w:szCs w:val="21"/>
    </w:rPr>
  </w:style>
  <w:style w:type="paragraph" w:styleId="5">
    <w:name w:val="toc 1"/>
    <w:basedOn w:val="1"/>
    <w:next w:val="1"/>
    <w:qFormat/>
    <w:uiPriority w:val="39"/>
  </w:style>
  <w:style w:type="paragraph" w:styleId="6">
    <w:name w:val="Normal (Web)"/>
    <w:basedOn w:val="1"/>
    <w:qFormat/>
    <w:uiPriority w:val="0"/>
    <w:pPr>
      <w:spacing w:beforeAutospacing="1" w:afterAutospacing="1"/>
      <w:jc w:val="left"/>
    </w:pPr>
    <w:rPr>
      <w:rFonts w:cs="Times New Roman"/>
      <w:kern w:val="0"/>
      <w:sz w:val="24"/>
    </w:rPr>
  </w:style>
  <w:style w:type="paragraph" w:styleId="7">
    <w:name w:val="Title"/>
    <w:basedOn w:val="1"/>
    <w:next w:val="1"/>
    <w:qFormat/>
    <w:uiPriority w:val="10"/>
    <w:pPr>
      <w:spacing w:line="660" w:lineRule="exact"/>
      <w:jc w:val="center"/>
      <w:outlineLvl w:val="0"/>
    </w:pPr>
    <w:rPr>
      <w:rFonts w:ascii="华文中宋" w:eastAsia="华文中宋" w:hAnsiTheme="majorHAnsi" w:cstheme="majorBidi"/>
      <w:bCs/>
      <w:sz w:val="44"/>
      <w:szCs w:val="32"/>
    </w:rPr>
  </w:style>
  <w:style w:type="character" w:styleId="10">
    <w:name w:val="Strong"/>
    <w:basedOn w:val="9"/>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458</Words>
  <Characters>461</Characters>
  <Lines>0</Lines>
  <Paragraphs>0</Paragraphs>
  <TotalTime>16</TotalTime>
  <ScaleCrop>false</ScaleCrop>
  <LinksUpToDate>false</LinksUpToDate>
  <CharactersWithSpaces>462</CharactersWithSpaces>
  <Application>WPS Office_11.8.2.10505_F1E327BC-269C-435d-A152-05C5408002CA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2026-09-05T00:12:00Z</dcterms:created>
  <dc:creator>HP</dc:creator>
  <cp:lastModifiedBy>Admin</cp:lastModifiedBy>
  <cp:lastPrinted>2026-09-15T15:20:00Z</cp:lastPrinted>
  <dcterms:modified xsi:type="dcterms:W3CDTF">2026-09-20T10:57:08Z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2052-11.8.2.10505</vt:lpwstr>
  </property>
  <property fmtid="{D5CDD505-2E9C-101B-9397-08002B2CF9AE}" pid="3" name="KSOTemplateDocerSaveRecord">
    <vt:lpwstr>eyJoZGlkIjoiMGNjZWMxNTg4NzAyNjc0MGY3ODNhOTMzNGE4OGRlYjkiLCJ1c2VySWQiOiI1ODI2MjE3OTgifQ==</vt:lpwstr>
  </property>
  <property fmtid="{D5CDD505-2E9C-101B-9397-08002B2CF9AE}" pid="4" name="ICV">
    <vt:lpwstr>F3695AA13B0C4379843D4EBEF908853B_13</vt:lpwstr>
  </property>
</Properties>
</file>