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E33F67">
      <w:pPr>
        <w:keepNext w:val="0"/>
        <w:keepLines w:val="0"/>
        <w:pageBreakBefore w:val="0"/>
        <w:tabs>
          <w:tab w:val="left" w:pos="2631"/>
          <w:tab w:val="center" w:pos="44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u w:val="none"/>
          <w:lang w:val="en-US" w:eastAsia="zh-CN"/>
        </w:rPr>
      </w:pPr>
      <w:bookmarkStart w:id="5" w:name="_GoBack"/>
      <w:bookmarkEnd w:id="5"/>
    </w:p>
    <w:p w14:paraId="5851545F">
      <w:pPr>
        <w:keepNext w:val="0"/>
        <w:keepLines w:val="0"/>
        <w:pageBreakBefore w:val="0"/>
        <w:tabs>
          <w:tab w:val="left" w:pos="2631"/>
          <w:tab w:val="center" w:pos="44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u w:val="none"/>
          <w:lang w:val="en-US" w:eastAsia="zh-CN"/>
        </w:rPr>
      </w:pPr>
    </w:p>
    <w:p w14:paraId="13C1210C">
      <w:pPr>
        <w:keepNext w:val="0"/>
        <w:keepLines w:val="0"/>
        <w:pageBreakBefore w:val="0"/>
        <w:tabs>
          <w:tab w:val="left" w:pos="2631"/>
          <w:tab w:val="center" w:pos="44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u w:val="none"/>
          <w:lang w:val="en-US" w:eastAsia="zh-CN"/>
        </w:rPr>
      </w:pPr>
    </w:p>
    <w:p w14:paraId="5B64D9C5">
      <w:pPr>
        <w:keepNext w:val="0"/>
        <w:keepLines w:val="0"/>
        <w:pageBreakBefore w:val="0"/>
        <w:tabs>
          <w:tab w:val="left" w:pos="2631"/>
          <w:tab w:val="center" w:pos="44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u w:val="none"/>
          <w:lang w:val="en-US" w:eastAsia="zh-CN"/>
        </w:rPr>
      </w:pPr>
    </w:p>
    <w:p w14:paraId="524F7C29">
      <w:pPr>
        <w:keepNext w:val="0"/>
        <w:keepLines w:val="0"/>
        <w:pageBreakBefore w:val="0"/>
        <w:tabs>
          <w:tab w:val="left" w:pos="2631"/>
          <w:tab w:val="center" w:pos="44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u w:val="none"/>
          <w:lang w:val="en-US" w:eastAsia="zh-CN"/>
        </w:rPr>
        <w:t>北京市门头沟区关于</w:t>
      </w:r>
    </w:p>
    <w:p w14:paraId="38510D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u w:val="none"/>
          <w:lang w:val="en-US" w:eastAsia="zh-CN"/>
        </w:rPr>
        <w:t>建设世界级“骑行圣地”的意见</w:t>
      </w:r>
    </w:p>
    <w:p w14:paraId="14BB4156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p w14:paraId="5890ABEB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p w14:paraId="6D8C05F0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p w14:paraId="02B10BEA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p w14:paraId="693DE5C6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p w14:paraId="1F6D69B7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p w14:paraId="67281526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p w14:paraId="4764017A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p w14:paraId="1E35FA5D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p w14:paraId="40A7662F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p w14:paraId="0A8036AA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p w14:paraId="75E43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方正小标宋简体" w:hAnsi="方正小标宋简体" w:eastAsia="方正小标宋简体" w:cs="方正小标宋简体"/>
          <w:bCs/>
          <w:color w:val="000000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2"/>
          <w:szCs w:val="32"/>
          <w:highlight w:val="none"/>
          <w:u w:val="none"/>
          <w:lang w:val="en-US" w:eastAsia="zh-CN"/>
        </w:rPr>
        <w:t>北京市门头沟区人民政府</w:t>
      </w:r>
    </w:p>
    <w:p w14:paraId="103272F6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2"/>
          <w:szCs w:val="32"/>
          <w:highlight w:val="none"/>
          <w:u w:val="none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2"/>
          <w:szCs w:val="32"/>
          <w:highlight w:val="none"/>
          <w:u w:val="none"/>
          <w:lang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2"/>
          <w:szCs w:val="32"/>
          <w:highlight w:val="none"/>
          <w:u w:val="none"/>
          <w:lang w:val="en-US" w:eastAsia="zh-CN"/>
        </w:rPr>
        <w:t>10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2"/>
          <w:szCs w:val="32"/>
          <w:highlight w:val="none"/>
          <w:u w:val="none"/>
          <w:lang w:eastAsia="zh-CN"/>
        </w:rPr>
        <w:t>月</w:t>
      </w:r>
    </w:p>
    <w:p w14:paraId="244E9F82">
      <w:pPr>
        <w:keepNext w:val="0"/>
        <w:keepLines w:val="0"/>
        <w:pageBreakBefore w:val="0"/>
        <w:tabs>
          <w:tab w:val="left" w:pos="2631"/>
          <w:tab w:val="center" w:pos="44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u w:val="none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992" w:gutter="0"/>
          <w:pgNumType w:fmt="decimal"/>
          <w:cols w:space="720" w:num="1"/>
          <w:docGrid w:type="lines" w:linePitch="312" w:charSpace="0"/>
        </w:sectPr>
      </w:pPr>
    </w:p>
    <w:p w14:paraId="2512E8FD">
      <w:pPr>
        <w:keepNext w:val="0"/>
        <w:keepLines w:val="0"/>
        <w:pageBreakBefore w:val="0"/>
        <w:tabs>
          <w:tab w:val="left" w:pos="2631"/>
          <w:tab w:val="center" w:pos="44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u w:val="none"/>
          <w:lang w:val="en-US" w:eastAsia="zh-CN" w:bidi="ar-SA"/>
        </w:rPr>
        <w:t>北京市门头沟区</w:t>
      </w:r>
    </w:p>
    <w:p w14:paraId="40A20460">
      <w:pPr>
        <w:keepNext w:val="0"/>
        <w:keepLines w:val="0"/>
        <w:pageBreakBefore w:val="0"/>
        <w:tabs>
          <w:tab w:val="left" w:pos="2631"/>
          <w:tab w:val="center" w:pos="44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u w:val="none"/>
          <w:lang w:val="en-US" w:eastAsia="zh-CN" w:bidi="ar-SA"/>
        </w:rPr>
        <w:t>关于建设世界级“骑行圣地”的意见</w:t>
      </w:r>
    </w:p>
    <w:p w14:paraId="0899D763">
      <w:pPr>
        <w:keepNext w:val="0"/>
        <w:keepLines w:val="0"/>
        <w:pageBreakBefore w:val="0"/>
        <w:tabs>
          <w:tab w:val="left" w:pos="2631"/>
          <w:tab w:val="center" w:pos="44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u w:val="none"/>
          <w:lang w:val="en-US" w:eastAsia="zh-CN" w:bidi="ar-SA"/>
        </w:rPr>
      </w:pPr>
    </w:p>
    <w:p w14:paraId="32F41FE2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为深入践行“绿水青山就是金山银山”理念，立足首都生态涵养区功能定位，充分发挥本区山水资源禀赋和骑行先发优势，加快建设世界级“骑行圣地”，结合本区实际，制定本意见。</w:t>
      </w:r>
    </w:p>
    <w:p w14:paraId="5F39B3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highlight w:val="none"/>
          <w:u w:val="none"/>
          <w:lang w:val="en-US" w:eastAsia="zh-CN" w:bidi="ar-SA"/>
        </w:rPr>
        <w:t>一、总体要求</w:t>
      </w:r>
    </w:p>
    <w:p w14:paraId="5E3CD717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（一）指导思想</w:t>
      </w:r>
    </w:p>
    <w:p w14:paraId="05346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以习近平新时代中国特色社会主义思想为指导，深入贯彻党的二十大和二十届历次全会精神，以新时代首都发展为统领，锚定世界级“骑行圣地”建设目标，统筹推进空间优化、设施完善、赛事提升、产业培育、服务保障、文化传播等重点任务，构建全域联动、全龄友好、全民共享的骑行发展格局，推动骑行成为门头沟绿色高质量发展的鲜明标识和重要引擎。</w:t>
      </w:r>
    </w:p>
    <w:p w14:paraId="194EF817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（二）发展目标</w:t>
      </w:r>
    </w:p>
    <w:p w14:paraId="2F7F23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到2030年，初步建成国内领先的高品质骑行目的地，形成世界级“骑行圣地”核心竞争力。到2035年，全面建成世界级“骑行圣地”，骑行友好线路不少于1000公里，培育3条标志性线路；专业设施和赛事承载能力达到国际先进水平；每年举办国际、国内顶级赛事不少于2场、各类骑行赛事活动不少于10场；引进培育产业链企业不少于10家、骑行规模以上企业不少于5家；形成具有国际辨识度和文化感召力的世界级骑行城市品牌。</w:t>
      </w:r>
    </w:p>
    <w:p w14:paraId="50490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highlight w:val="none"/>
          <w:u w:val="none"/>
          <w:lang w:val="en-US" w:eastAsia="zh-CN" w:bidi="ar-SA"/>
        </w:rPr>
        <w:t>二、重点举措</w:t>
      </w:r>
    </w:p>
    <w:p w14:paraId="3A6D4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（一）重塑全域空间格局，构筑山水城融合骑行版图</w:t>
      </w:r>
    </w:p>
    <w:p w14:paraId="00316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打造全域骑行友好版图。构建“一核引领、两带贯通、三区协同、五环联动、多点支撑”的空间体系，以门头沟新城为核心，依托京西体育馆打造综合服务枢纽；建设永定河滨水骑行带、109国道京西山地骑行带；打造“潮骑潭戒”“竞骑妙峰”“越骑京西”三大主题骑行片区；整合“经典体验环”“竞技挑战环”“文旅骑游环”及2条“长距离耐力环”共5条精品骑行环线。以精品线路塑造核心竞争力。重点打造戒台寺、潭王路、妙峰山3条短距离特色线路，以及“京西小老鼠”“京西大翅膀”“京西大鱿鱼”“妙峰禅境”4条长距离品牌线路，因地制宜设置骑行专属体验路段，营造纯粹、沉浸式的骑行体验。</w:t>
      </w:r>
    </w:p>
    <w:p w14:paraId="28A75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（二）完善骑行设施体系，夯实世界级骑行发展根基</w:t>
      </w:r>
    </w:p>
    <w:p w14:paraId="7C39D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构建全品类设施体系。高标准建设小轮车全民运动基地，建设符合国际赛事要求的泵道、竞速小轮车和自由式小轮车场地；因地制宜布局山地越野、速降基地。盘活公园、闲置厂房等空间，建设骑行主题公园和潮流运动设施。完善专项服务设施。推进京西骑行运动中心建设，优化新首钢大桥至苛萝坨桥路段交通组织，完善通行及安全设施。利用沿线停车场、商圈及桥下空间，布局“4+2”自驾骑行接驳场地。健全分级驿站体系。统筹公路管护用房、公园管理用房、加油站等存量资源，联动咖啡馆、民宿等服务资源，分级布局骑行驿站和补给点。构建全域标识体系。制定统一骑行标识标准，推动骑行标识与道路交通、旅游服务体系衔接，强化高风险路段安全引导。</w:t>
      </w:r>
    </w:p>
    <w:p w14:paraId="3C42D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（三）强化国际赛事引领，打造全球骑行赛事新高地</w:t>
      </w:r>
    </w:p>
    <w:p w14:paraId="46936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引进国际顶级赛事。以举办2035年UCI自行车超级世锦赛为目标，办好UCI泵道世界锦标赛总决赛、UCI竞速小轮车世界杯、亚洲自由式小轮车锦标赛、亚洲公路自行车锦标赛，配套举办预热赛事，积累办赛经验。集聚全国性品牌赛事。办好中国泵道自行车联赛、中国竞速小轮车联赛、中国自由式小轮车联赛，积极申办中国自行车锦标赛、中国自行车运动超级赛。做强自主品牌赛事。提升环北京·门头沟国际公路自行车赛办赛水平，做强潮流“北骑”品牌，培育“京西爬坡王”“妙峰山挑战赛”等特色赛事；发展线上赛事，探索跨区域联合办赛和高校骑行联赛。丰富群众赛事活动。面向不同群体分类开展骑游活动，鼓励协会、俱乐部等社会力量参与办赛办节；联动景区、商圈开展骑行文化节、骑游大会等活动。</w:t>
      </w:r>
    </w:p>
    <w:p w14:paraId="579ED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（四）壮大骑行产业生态，激活骑行经济发展新动能</w:t>
      </w:r>
    </w:p>
    <w:p w14:paraId="7A20E3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构建全产业链发展格局。聚焦精密零部件、智能装备及测试服务等重点领域布局全链条产业环节，发挥中关村门头沟园产业承载优势，探索打造骑行产业综合体，加强精准招商与主体培育。健全全周期服务体系。依托京西骑行运动中心布局装备展售、新品发布和试骑体验业态；完善维修保养、租赁回收等全周期专业服务；培育机械师、维修技师等专业人才。</w:t>
      </w:r>
    </w:p>
    <w:p w14:paraId="129F0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放大赛事经济带动效应。围绕赛前、赛中、赛后消费需求，联动旅游、住宿、餐饮等业态，丰富观赛体验、装备展销等场景，推出“跟着赛事去旅行”主题线路。建立赛事消费监测评估机制。促进赛展联动和产业转化。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坚持“一赛一展、赛展联动”，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依托Rouleur Live亚洲首展拓展国际行业交流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；办好中国户外运动产业大会门头沟分会场活动，积极参加中国国际服务贸易交易会等展会。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拓展“骑行+”消费场景。推动骑行进商圈、进景区、进乡村、进校园、进社区，做强“乡见·骑遇”村骑品牌，拓展研学培训、便民服务等场景，强化社群运营，释放骑行消费潜力。</w:t>
      </w:r>
    </w:p>
    <w:p w14:paraId="5A5A8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（五）优化骑行服务供给，树立全域骑行友好新标杆</w:t>
      </w:r>
    </w:p>
    <w:p w14:paraId="46E0E5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完善骑行友好服务。强化重点线路“最后一公里”接驳，研究定制公交和携车接驳服务；建设骑行友好街区、景区，制定服务指引，发布服务名录，鼓励酒店、餐饮及民宿提供存车、补给、寄存等服务；联动“京西哨兵”，打造“一站式”骑行智慧服务平台。健全骑行培训体系。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研究制定线路难度分级标准，联合中国自行车运动协会探索参赛等级评定；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培育本土专业车队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，开展分类培训，促进骑行运动普及和专业化发展。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完善多元运营机制。健全政府引导、国企支撑、市场参与、多元协同的运营管理机制，发挥国有企业在核心设施运营中的引领作用，完善赛事市场化运作机制。强化骑行安全治理。完善热门线路防护、警示、照明设施，加强重点点位监测；健全部门、属地、医疗机构和社会救援力量联动机制，合理配置AED等急救设施，提升日常急救和赛时救援能力；常态化开展安全教育和文明引导。</w:t>
      </w:r>
    </w:p>
    <w:p w14:paraId="1B011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（六）塑造骑行文化品牌，彰显世界级“骑行圣地”魅力</w:t>
      </w:r>
    </w:p>
    <w:p w14:paraId="52EA3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做强骑行文化IP。挖掘“京西福地”山水人文资源，塑造“京西骑迹”品牌。深化与国际骑行文化机构、赛事组织等合作，探索与知名骑行城市建立常态化交流机制。营造全域骑行氛围。推动骑行文化融入城市空间和日常生活，常态化开展骑行文化沙龙等活动，营造“处处可感、时时可见、人人认同”的浓厚氛围。完善文化展示网络。构建“一主一副多点”展示体系，依托京西骑行运动中心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打造展示主窗口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，依托戒台寺建设文化展示副中心，在沿线驿站嵌入文化展示功能。强化品牌融合传播。推动赛事品牌与城市品牌相互赋能，构建全媒体、多渠道传播体系，加强骑行圈层与大众传播联动，推动赛事影响力转化为城市品牌影响力。</w:t>
      </w:r>
    </w:p>
    <w:p w14:paraId="4E8D9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highlight w:val="none"/>
          <w:u w:val="none"/>
          <w:lang w:val="en-US" w:eastAsia="zh-CN" w:bidi="ar-SA"/>
        </w:rPr>
        <w:t>三、保障措施</w:t>
      </w:r>
    </w:p>
    <w:p w14:paraId="2B51C8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（一）强化组织领导</w:t>
      </w:r>
    </w:p>
    <w:p w14:paraId="76D006F5">
      <w:pPr>
        <w:spacing w:before="0" w:after="0" w:line="560" w:lineRule="exact"/>
        <w:ind w:firstLine="640"/>
        <w:jc w:val="both"/>
      </w:pPr>
      <w:r>
        <w:rPr>
          <w:rFonts w:ascii="仿宋_GB2312" w:hAnsi="仿宋_GB2312" w:eastAsia="仿宋_GB2312" w:cs="仿宋_GB2312"/>
          <w:sz w:val="32"/>
          <w:szCs w:val="32"/>
        </w:rPr>
        <w:t>成立由区委、区政府主要领导总负责的建设工作专班，统筹空间、设施、赛事、产业、服务、品牌等重大事项；明确相关部门、镇街职责分工，建立联席会议制度；组建骑行产业专班，精准招引产业链企业。</w:t>
      </w:r>
    </w:p>
    <w:p w14:paraId="52252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（二）加强机制保障</w:t>
      </w:r>
    </w:p>
    <w:p w14:paraId="34A85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健全赛事激励、产业扶持等政策机制，统一驿站、标识系统建设要求；加强用地保障，推动重点项目依法依规落地；健全资金保障，积极争取中央、市级专项资金支持，引导社会资本参与；强化人才保障，联动高校、科研机构引进骑行领域人才。</w:t>
      </w:r>
    </w:p>
    <w:p w14:paraId="63993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（三）强化宣传引导</w:t>
      </w:r>
    </w:p>
    <w:p w14:paraId="1782B5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加强宣传解读，凝聚思想共识；发挥社会组织、企业商户、骑行社群等作用，推动骑行文化传播；倡导文明骑行理念，营造安全友好的骑行环境。</w:t>
      </w:r>
    </w:p>
    <w:p w14:paraId="70A91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（四）强化责任落实</w:t>
      </w:r>
    </w:p>
    <w:p w14:paraId="0D19F834">
      <w:pPr>
        <w:spacing w:before="0" w:after="0" w:line="560" w:lineRule="exact"/>
        <w:ind w:firstLine="640"/>
        <w:jc w:val="both"/>
      </w:pPr>
      <w:r>
        <w:rPr>
          <w:rFonts w:ascii="仿宋_GB2312" w:hAnsi="仿宋_GB2312" w:eastAsia="仿宋_GB2312" w:cs="仿宋_GB2312"/>
          <w:sz w:val="32"/>
          <w:szCs w:val="32"/>
        </w:rPr>
        <w:t>建立任务清单和重点项目清单，明确牵头单位、责任单位和完成时限；将“骑行圣地”建设纳入区级重点工作调度和督查督办范围，建立定期调度、动态跟踪机制；加强评估问效，确保各项任务落地见效。</w:t>
      </w:r>
    </w:p>
    <w:p w14:paraId="17945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600" w:firstLineChars="5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7F58EA46">
      <w:pPr>
        <w:pStyle w:val="8"/>
        <w:rPr>
          <w:highlight w:val="none"/>
          <w:u w:val="none"/>
        </w:rPr>
      </w:pPr>
    </w:p>
    <w:p w14:paraId="71912F7E">
      <w:pPr>
        <w:pStyle w:val="8"/>
        <w:rPr>
          <w:rFonts w:hint="default"/>
          <w:highlight w:val="none"/>
          <w:u w:val="none"/>
          <w:lang w:val="en-US" w:eastAsia="zh-CN"/>
        </w:rPr>
        <w:sectPr>
          <w:footerReference r:id="rId5" w:type="default"/>
          <w:pgSz w:w="11906" w:h="16838"/>
          <w:pgMar w:top="2098" w:right="1474" w:bottom="1984" w:left="1587" w:header="851" w:footer="992" w:gutter="0"/>
          <w:pgNumType w:start="1"/>
          <w:cols w:space="0" w:num="1"/>
          <w:rtlGutter w:val="0"/>
          <w:docGrid w:type="lines" w:linePitch="312" w:charSpace="0"/>
        </w:sectPr>
      </w:pPr>
    </w:p>
    <w:p w14:paraId="0A661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left"/>
        <w:textAlignment w:val="auto"/>
        <w:outlineLvl w:val="0"/>
        <w:rPr>
          <w:rFonts w:hint="eastAsia" w:ascii="黑体" w:hAnsi="黑体" w:eastAsia="黑体" w:cs="黑体"/>
          <w:kern w:val="2"/>
          <w:sz w:val="32"/>
          <w:szCs w:val="32"/>
          <w:highlight w:val="none"/>
          <w:u w:val="none"/>
          <w:lang w:val="en-US" w:eastAsia="zh-CN" w:bidi="ar-SA"/>
        </w:rPr>
      </w:pPr>
      <w:bookmarkStart w:id="0" w:name="_Toc842411424"/>
      <w:bookmarkStart w:id="1" w:name="_Toc824201727"/>
      <w:bookmarkStart w:id="2" w:name="_Toc32757"/>
      <w:bookmarkStart w:id="3" w:name="_Toc14978"/>
      <w:bookmarkStart w:id="4" w:name="_Toc241732850"/>
      <w:r>
        <w:rPr>
          <w:rFonts w:hint="eastAsia" w:ascii="黑体" w:hAnsi="黑体" w:eastAsia="黑体" w:cs="黑体"/>
          <w:kern w:val="2"/>
          <w:sz w:val="32"/>
          <w:szCs w:val="32"/>
          <w:highlight w:val="none"/>
          <w:u w:val="none"/>
          <w:lang w:val="en-US" w:eastAsia="zh-CN" w:bidi="ar-SA"/>
        </w:rPr>
        <w:t>附件1</w:t>
      </w:r>
      <w:bookmarkEnd w:id="0"/>
      <w:bookmarkEnd w:id="1"/>
      <w:bookmarkEnd w:id="2"/>
      <w:bookmarkEnd w:id="3"/>
      <w:bookmarkEnd w:id="4"/>
    </w:p>
    <w:p w14:paraId="6BEB6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center"/>
        <w:textAlignment w:val="auto"/>
        <w:outlineLvl w:val="0"/>
        <w:rPr>
          <w:rFonts w:hint="eastAsia" w:eastAsia="宋体"/>
          <w:highlight w:val="none"/>
          <w:u w:val="none"/>
          <w:lang w:eastAsia="zh-CN"/>
        </w:rPr>
      </w:pPr>
      <w:r>
        <w:rPr>
          <w:rFonts w:hint="eastAsia" w:eastAsia="宋体"/>
          <w:highlight w:val="none"/>
          <w:u w:val="none"/>
          <w:lang w:eastAsia="zh-CN"/>
        </w:rPr>
        <w:drawing>
          <wp:inline distT="0" distB="0" distL="114300" distR="114300">
            <wp:extent cx="7405370" cy="5134610"/>
            <wp:effectExtent l="0" t="0" r="0" b="0"/>
            <wp:docPr id="7" name="图片 7" descr="0827门头沟骑行线路（空间结构图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0827门头沟骑行线路（空间结构图）"/>
                    <pic:cNvPicPr>
                      <a:picLocks noChangeAspect="1"/>
                    </pic:cNvPicPr>
                  </pic:nvPicPr>
                  <pic:blipFill>
                    <a:blip r:embed="rId7"/>
                    <a:srcRect l="2564" t="3454" r="2507" b="3443"/>
                    <a:stretch>
                      <a:fillRect/>
                    </a:stretch>
                  </pic:blipFill>
                  <pic:spPr>
                    <a:xfrm>
                      <a:off x="0" y="0"/>
                      <a:ext cx="7405370" cy="513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E2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left"/>
        <w:textAlignment w:val="auto"/>
        <w:outlineLvl w:val="0"/>
        <w:rPr>
          <w:rFonts w:hint="eastAsia" w:ascii="黑体" w:hAnsi="黑体" w:eastAsia="黑体" w:cs="黑体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highlight w:val="none"/>
          <w:u w:val="none"/>
          <w:lang w:val="en-US" w:eastAsia="zh-CN" w:bidi="ar-SA"/>
        </w:rPr>
        <w:t>附件2</w:t>
      </w:r>
    </w:p>
    <w:p w14:paraId="285E4B3E">
      <w:pPr>
        <w:pStyle w:val="1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 w:firstLineChars="200"/>
        <w:jc w:val="center"/>
        <w:textAlignment w:val="auto"/>
        <w:outlineLvl w:val="9"/>
      </w:pPr>
      <w:r>
        <w:rPr>
          <w:rFonts w:hint="eastAsia" w:eastAsia="宋体"/>
          <w:highlight w:val="none"/>
          <w:u w:val="none"/>
          <w:lang w:eastAsia="zh-CN"/>
        </w:rPr>
        <w:drawing>
          <wp:inline distT="0" distB="0" distL="114300" distR="114300">
            <wp:extent cx="7403465" cy="5130165"/>
            <wp:effectExtent l="0" t="0" r="0" b="0"/>
            <wp:docPr id="12" name="图片 12" descr="0828门头沟骑行线路（线路体系布局图）(1)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0828门头沟骑行线路（线路体系布局图）(1)_01"/>
                    <pic:cNvPicPr>
                      <a:picLocks noChangeAspect="1"/>
                    </pic:cNvPicPr>
                  </pic:nvPicPr>
                  <pic:blipFill>
                    <a:blip r:embed="rId8"/>
                    <a:srcRect l="2515" t="3627" r="2580" b="3362"/>
                    <a:stretch>
                      <a:fillRect/>
                    </a:stretch>
                  </pic:blipFill>
                  <pic:spPr>
                    <a:xfrm>
                      <a:off x="0" y="0"/>
                      <a:ext cx="7403465" cy="513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701" w:right="1440" w:bottom="1701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CD90561-5258-4D53-AAE7-F851869E86F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5E1E974-CE00-4532-A318-8A725F72BD3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B3B1E3A-6052-4547-9B19-AC03CF8C8AD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089A53B2-229F-4C15-919B-07C03DECC875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7DBC5F">
    <w:pPr>
      <w:pStyle w:val="10"/>
      <w:tabs>
        <w:tab w:val="left" w:pos="7046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32BBB924">
                          <w:pPr>
                            <w:pStyle w:val="10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CKLKOTSAQAAowMAAA4AAABkcnMvZTJvRG9jLnhtbK1TS27bMBDd&#10;F+gdCO5rKUbSCoLloIWRIEDRFkhyAJoiLQL8gUNb8gXaG3TVTfc9l8/RISU5QbrJohtqhjN8M+/N&#10;aHU9GE0OIoBytqEXi5ISYblrld019PHh5l1FCURmW6adFQ09CqDX67dvVr2vxdJ1TrciEASxUPe+&#10;oV2Mvi4K4J0wDBbOC4tB6YJhEd2wK9rAekQ3uliW5fuid6H1wXEBgLebMUgnxPAaQCel4mLj+N4I&#10;G0fUIDSLSAk65YGuc7dSCh6/SgkiEt1QZBrziUXQ3qazWK9YvQvMd4pPLbDXtPCCk2HKYtEz1IZF&#10;RvZB/QNlFA8OnIwL7kwxEsmKIIuL8oU29x3zInNBqcGfRYf/B8u/HL4FotqGXlJimcGBn37+OP36&#10;c/r9nVwmeXoPNWbde8yLwyc34NLM94CXifUgg0lf5EMwjuIez+KKIRKeHlXLqioxxDE2O4hfPD33&#10;AeKtcIYko6EBp5dFZYfPEMfUOSVVs+5GaZ0nqC3pEfWq+nCVX5xDiK4tFkksxm6TFYftMFHbuvaI&#10;zHpcgYZa3HhK9J1FhdO2zEaYje1s7H1Quy6vU2oF/Md9xHZyl6nCCDsVxtllntOepeV47uesp39r&#10;/R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aYJL0wAAAAUBAAAPAAAAAAAAAAEAIAAAACIAAABk&#10;cnMvZG93bnJldi54bWxQSwECFAAUAAAACACHTuJAIoso5NIBAACjAwAADgAAAAAAAAABACAAAAAi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32BBB924">
                    <w:pPr>
                      <w:pStyle w:val="10"/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158DFD">
    <w:pPr>
      <w:pStyle w:val="10"/>
      <w:tabs>
        <w:tab w:val="left" w:pos="7046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35979D4D">
                          <w:pPr>
                            <w:pStyle w:val="1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35979D4D">
                    <w:pPr>
                      <w:pStyle w:val="1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64F534F8">
                          <w:pPr>
                            <w:pStyle w:val="10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F4lRnTRAQAAowMAAA4AAABkcnMvZTJvRG9jLnhtbK1TzY7TMBC+&#10;I/EOlu802UgLUdR0tahahIQAadkHcB27seQ/edwmfQF4A05cuPNcfQ7GTtJFy2UPe3FmPONv5vtm&#10;sr4ZjSZHEUA529KrVUmJsNx1yu5b+vDt7k1NCURmO6adFS09CaA3m9ev1oNvROV6pzsRCIJYaAbf&#10;0j5G3xQF8F4YBivnhcWgdMGwiG7YF11gA6IbXVRl+bYYXOh8cFwA4O12CtIZMTwH0EmpuNg6fjDC&#10;xgk1CM0iUoJeeaCb3K2UgscvUoKIRLcUmcZ8YhG0d+ksNmvW7APzveJzC+w5LTzhZJiyWPQCtWWR&#10;kUNQ/0EZxYMDJ+OKO1NMRLIiyOKqfKLNfc+8yFxQavAX0eHlYPnn49dAVNfSihLLDA78/PPH+def&#10;8+/vpEryDB4azLr3mBfH927EpVnuAS8T61EGk77Ih2AcxT1dxBVjJDw9qqu6LjHEMbY4iF88PvcB&#10;4gfhDElGSwNOL4vKjp8gTqlLSqpm3Z3SOk9QWzIg6nX97jq/uIQQXVssklhM3SYrjrtxprZz3QmZ&#10;DbgCLbW48ZTojxYVTtuyGGExdotx8EHt+7xOqRXwt4eI7eQuU4UJdi6Ms8s85z1Ly/Gvn7Me/63N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hpgkvTAAAABQEAAA8AAAAAAAAAAQAgAAAAIgAAAGRy&#10;cy9kb3ducmV2LnhtbFBLAQIUABQAAAAIAIdO4kBeJUZ00QEAAKMDAAAOAAAAAAAAAAEAIAAAACIB&#10;AABkcnMvZTJvRG9jLnhtbFBLBQYAAAAABgAGAFkBAABl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64F534F8">
                    <w:pPr>
                      <w:pStyle w:val="10"/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224DF">
    <w:pPr>
      <w:pStyle w:val="11"/>
      <w:pBdr>
        <w:bottom w:val="none" w:color="auto" w:sz="0" w:space="1"/>
      </w:pBdr>
      <w:tabs>
        <w:tab w:val="left" w:pos="1725"/>
      </w:tabs>
      <w:jc w:val="left"/>
      <w:rPr>
        <w:rFonts w:hint="eastAsia" w:eastAsia="宋体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docVars>
    <w:docVar w:name="commondata" w:val="eyJoZGlkIjoiZWQ3ZmM1NTE1MjY4MGE3NWQ5NTRkNjNhOTU2YmRjMTEifQ=="/>
  </w:docVars>
  <w:rsids>
    <w:rsidRoot w:val="00000000"/>
    <w:rsid w:val="072303E8"/>
    <w:rsid w:val="07CB1428"/>
    <w:rsid w:val="092F59BD"/>
    <w:rsid w:val="0DA36614"/>
    <w:rsid w:val="0F694655"/>
    <w:rsid w:val="118242D2"/>
    <w:rsid w:val="15061DB8"/>
    <w:rsid w:val="15B43DE3"/>
    <w:rsid w:val="15CE118E"/>
    <w:rsid w:val="173323B9"/>
    <w:rsid w:val="18F16B22"/>
    <w:rsid w:val="18F77894"/>
    <w:rsid w:val="1A930CA6"/>
    <w:rsid w:val="24854A89"/>
    <w:rsid w:val="24D6035C"/>
    <w:rsid w:val="2FDB4D13"/>
    <w:rsid w:val="300806BC"/>
    <w:rsid w:val="306F48DA"/>
    <w:rsid w:val="397A7369"/>
    <w:rsid w:val="39D2078F"/>
    <w:rsid w:val="3B806E1C"/>
    <w:rsid w:val="3C0E61D6"/>
    <w:rsid w:val="401765C3"/>
    <w:rsid w:val="41233149"/>
    <w:rsid w:val="45A20C0A"/>
    <w:rsid w:val="47C15519"/>
    <w:rsid w:val="4F2E04D0"/>
    <w:rsid w:val="4F7A31F5"/>
    <w:rsid w:val="51545907"/>
    <w:rsid w:val="52291FDC"/>
    <w:rsid w:val="52ED43B9"/>
    <w:rsid w:val="53D108C7"/>
    <w:rsid w:val="57B05C93"/>
    <w:rsid w:val="59522616"/>
    <w:rsid w:val="5ACE5056"/>
    <w:rsid w:val="5C291418"/>
    <w:rsid w:val="5F4D6E91"/>
    <w:rsid w:val="63336D0B"/>
    <w:rsid w:val="63844E4C"/>
    <w:rsid w:val="64F725A5"/>
    <w:rsid w:val="660C057E"/>
    <w:rsid w:val="6BE0181E"/>
    <w:rsid w:val="73235862"/>
    <w:rsid w:val="766F460C"/>
    <w:rsid w:val="79333B0A"/>
    <w:rsid w:val="7F2552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next w:val="1"/>
    <w:qFormat/>
    <w:uiPriority w:val="0"/>
    <w:rPr>
      <w:rFonts w:ascii="Times New Roman" w:hAnsi="Times New Roman" w:eastAsia="宋体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hAnsi="Times New Roman" w:eastAsia="宋体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宋体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宋体" w:cs="Times New Roman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="Times New Roman" w:hAnsi="Times New Roman" w:eastAsia="宋体" w:cs="Times New Roman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="Times New Roman" w:hAnsi="Times New Roman" w:eastAsia="宋体" w:cs="Times New Roman"/>
      <w:color w:val="1F4D78"/>
      <w:sz w:val="21"/>
      <w:szCs w:val="22"/>
    </w:rPr>
  </w:style>
  <w:style w:type="character" w:default="1" w:styleId="16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ody Text"/>
    <w:basedOn w:val="1"/>
    <w:next w:val="1"/>
    <w:qFormat/>
    <w:uiPriority w:val="0"/>
    <w:pPr>
      <w:spacing w:after="120"/>
    </w:pPr>
  </w:style>
  <w:style w:type="paragraph" w:styleId="9">
    <w:name w:val="endnote text"/>
    <w:link w:val="22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footnote text"/>
    <w:link w:val="21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1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4">
    <w:name w:val="Title"/>
    <w:qFormat/>
    <w:uiPriority w:val="0"/>
    <w:rPr>
      <w:rFonts w:ascii="Times New Roman" w:hAnsi="Times New Roman" w:eastAsia="宋体" w:cs="Times New Roman"/>
      <w:sz w:val="56"/>
      <w:szCs w:val="56"/>
    </w:rPr>
  </w:style>
  <w:style w:type="character" w:styleId="17">
    <w:name w:val="endnote reference"/>
    <w:semiHidden/>
    <w:unhideWhenUsed/>
    <w:qFormat/>
    <w:uiPriority w:val="99"/>
    <w:rPr>
      <w:vertAlign w:val="superscript"/>
    </w:rPr>
  </w:style>
  <w:style w:type="character" w:styleId="18">
    <w:name w:val="Hyperlink"/>
    <w:unhideWhenUsed/>
    <w:qFormat/>
    <w:uiPriority w:val="99"/>
    <w:rPr>
      <w:color w:val="0563C1"/>
      <w:u w:val="single"/>
    </w:rPr>
  </w:style>
  <w:style w:type="character" w:styleId="19">
    <w:name w:val="footnote reference"/>
    <w:semiHidden/>
    <w:unhideWhenUsed/>
    <w:qFormat/>
    <w:uiPriority w:val="99"/>
    <w:rPr>
      <w:vertAlign w:val="superscript"/>
    </w:rPr>
  </w:style>
  <w:style w:type="paragraph" w:styleId="20">
    <w:name w:val="List Paragraph"/>
    <w:qFormat/>
    <w:uiPriority w:val="0"/>
    <w:rPr>
      <w:rFonts w:ascii="Times New Roman" w:hAnsi="Times New Roman" w:eastAsia="宋体" w:cs="Times New Roman"/>
      <w:sz w:val="21"/>
      <w:szCs w:val="22"/>
    </w:rPr>
  </w:style>
  <w:style w:type="character" w:customStyle="1" w:styleId="21">
    <w:name w:val="Footnote Text Char"/>
    <w:link w:val="12"/>
    <w:semiHidden/>
    <w:unhideWhenUsed/>
    <w:qFormat/>
    <w:uiPriority w:val="99"/>
    <w:rPr>
      <w:sz w:val="20"/>
      <w:szCs w:val="20"/>
    </w:rPr>
  </w:style>
  <w:style w:type="character" w:customStyle="1" w:styleId="22">
    <w:name w:val="Endnote Text Char"/>
    <w:link w:val="9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ed2895d-49bf-423d-8950-d7542dd00a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2978</Words>
  <Characters>3018</Characters>
  <TotalTime>3</TotalTime>
  <ScaleCrop>false</ScaleCrop>
  <LinksUpToDate>false</LinksUpToDate>
  <CharactersWithSpaces>3019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2026-09-17T10:47:00Z</dcterms:created>
  <dc:creator>Un-named</dc:creator>
  <cp:lastModifiedBy>Mint1398171869</cp:lastModifiedBy>
  <cp:lastPrinted>2026-09-21T02:46:00Z</cp:lastPrinted>
  <dcterms:modified xsi:type="dcterms:W3CDTF">2026-10-28T02:57:09Z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eyJoZGlkIjoiYzExNGJkYjdmYWQ2ZTI1MzgzMmUzNjI5ZjEwMDMyMTYiLCJ1c2VySWQiOiI4MjkzOTg2MDEifQ==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6A65EC88CF154F068B792E5BBB63381B_13</vt:lpwstr>
  </property>
</Properties>
</file>