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农业农村局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年度行政执法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检查工作计划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为深入推进依法行政，高质量完成全年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农业综合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执法工作，按照《北京市人民政府办公厅关于印发&lt;北京市行政执法公示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执法全过程记录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重大执法决定法制审核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&gt;的通知》（京政办发〔20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号），结合我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执法检查工作实际，特制定202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年度行政执法检查工作计划</w:t>
      </w:r>
      <w:r>
        <w:rPr>
          <w:rFonts w:hint="eastAsia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一、检查主体及检查依据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检查主体为北京市门头沟区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。检查依据为《中华人民共和国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动物防疫法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渔业法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《中华人民共和国种子法》《中华人民共和国农业机械化促进法》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中华人民共和国农产品质量安全法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兽药管理条例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《饲料和饲料添加剂管理条例》《农药管理条例》《肥料登记管理办法》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等法律法规。开展时间为202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月至12月。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二、检查方式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及检查项目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1.检查方式。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对纳入双随机检查的监管对象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，采用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市级统一部署的专项行动所对应的环节和监管对象采用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对举报案件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、上级交办案件</w:t>
      </w:r>
      <w:r>
        <w:rPr>
          <w:rFonts w:hint="eastAsia" w:ascii="仿宋_GB2312" w:hAnsi="仿宋_GB2312" w:eastAsia="仿宋_GB2312" w:cs="仿宋_GB2312"/>
          <w:sz w:val="32"/>
          <w:szCs w:val="32"/>
        </w:rPr>
        <w:t>等检查采用先立案后检查方式进行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；对未纳入双随机检查的监管对象，采用日常检查及区域巡查方式进行。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2.检查项目。检查项目见行政检查单。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三、管理对象基数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门头沟区农业综合执法重点监管对象共有1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家，其中畜禽规模养殖场1家，动物诊疗机构1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家，兽药经营企业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家，农产品质量安全检测机构1家，病原微生物实验室1家，饲料经营单位21家，农资生产经营门店12家，设施农业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家，农机维修企业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家，水产养殖户2家，渔具经营场所9家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，农产品生产经营企业（合作社）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四、检查比例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“双随机”检查比例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不低于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检查比例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不低于部门联合“双随机”监管对象库（许可类农业监管对象，主要以农资类、告知承诺类监管对象为主）中监管对象的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20%。</w:t>
      </w:r>
    </w:p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82C3E"/>
    <w:rsid w:val="1978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2024-03-04T02:33:00Z</dcterms:created>
  <dc:creator>dell</dc:creator>
  <cp:lastModifiedBy>dell</cp:lastModifiedBy>
  <dcterms:modified xsi:type="dcterms:W3CDTF">2024-03-04T02:42:17Z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