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wordWrap/>
        <w:adjustRightInd w:val="0"/>
        <w:snapToGrid w:val="0"/>
        <w:spacing w:line="560" w:lineRule="exact"/>
        <w:ind w:right="0"/>
        <w:jc w:val="center"/>
        <w:textAlignment w:val="auto"/>
        <w:outlineLvl w:val="9"/>
        <w:rPr>
          <w:rFonts w:hint="eastAsia" w:ascii="方正小标宋简体" w:hAnsi="方正小标宋简体" w:eastAsia="方正小标宋简体" w:cs="方正小标宋简体"/>
          <w:b w:val="0"/>
          <w:bCs w:val="0"/>
          <w:sz w:val="44"/>
          <w:szCs w:val="44"/>
          <w:lang w:eastAsia="zh-CN"/>
        </w:rPr>
      </w:pPr>
      <w:r>
        <w:rPr>
          <w:rFonts w:hint="eastAsia" w:ascii="方正小标宋简体" w:hAnsi="方正小标宋简体" w:eastAsia="方正小标宋简体" w:cs="方正小标宋简体"/>
          <w:b w:val="0"/>
          <w:bCs w:val="0"/>
          <w:sz w:val="44"/>
          <w:szCs w:val="44"/>
          <w:lang w:val="en-US" w:eastAsia="zh-CN"/>
        </w:rPr>
        <w:t>北京市</w:t>
      </w:r>
      <w:r>
        <w:rPr>
          <w:rFonts w:hint="eastAsia" w:ascii="方正小标宋简体" w:hAnsi="方正小标宋简体" w:eastAsia="方正小标宋简体" w:cs="方正小标宋简体"/>
          <w:b w:val="0"/>
          <w:bCs w:val="0"/>
          <w:sz w:val="44"/>
          <w:szCs w:val="44"/>
          <w:lang w:eastAsia="zh-CN"/>
        </w:rPr>
        <w:t>门头沟区市场监督管理局</w:t>
      </w:r>
      <w:r>
        <w:rPr>
          <w:rFonts w:hint="eastAsia" w:ascii="方正小标宋简体" w:hAnsi="方正小标宋简体" w:eastAsia="方正小标宋简体" w:cs="方正小标宋简体"/>
          <w:b w:val="0"/>
          <w:bCs w:val="0"/>
          <w:sz w:val="44"/>
          <w:szCs w:val="44"/>
          <w:lang w:val="en-US" w:eastAsia="zh-CN"/>
        </w:rPr>
        <w:t>2021年度</w:t>
      </w:r>
    </w:p>
    <w:p>
      <w:pPr>
        <w:widowControl w:val="0"/>
        <w:wordWrap/>
        <w:adjustRightInd w:val="0"/>
        <w:snapToGrid w:val="0"/>
        <w:spacing w:line="560" w:lineRule="exact"/>
        <w:ind w:right="0"/>
        <w:jc w:val="center"/>
        <w:textAlignment w:val="auto"/>
        <w:outlineLvl w:val="9"/>
        <w:rPr>
          <w:rFonts w:hint="eastAsia" w:ascii="方正小标宋简体" w:hAnsi="方正小标宋简体" w:eastAsia="方正小标宋简体" w:cs="方正小标宋简体"/>
          <w:b w:val="0"/>
          <w:bCs w:val="0"/>
          <w:sz w:val="44"/>
          <w:szCs w:val="44"/>
          <w:lang w:eastAsia="zh-CN"/>
        </w:rPr>
      </w:pPr>
      <w:r>
        <w:rPr>
          <w:rFonts w:hint="eastAsia" w:ascii="方正小标宋简体" w:hAnsi="方正小标宋简体" w:eastAsia="方正小标宋简体" w:cs="方正小标宋简体"/>
          <w:b w:val="0"/>
          <w:bCs w:val="0"/>
          <w:sz w:val="44"/>
          <w:szCs w:val="44"/>
          <w:lang w:eastAsia="zh-CN"/>
        </w:rPr>
        <w:t>法治政府建设情况报告</w:t>
      </w:r>
    </w:p>
    <w:p>
      <w:pPr>
        <w:widowControl w:val="0"/>
        <w:wordWrap/>
        <w:adjustRightInd w:val="0"/>
        <w:snapToGrid w:val="0"/>
        <w:spacing w:line="560" w:lineRule="exact"/>
        <w:ind w:right="0"/>
        <w:jc w:val="both"/>
        <w:textAlignment w:val="auto"/>
        <w:outlineLvl w:val="9"/>
        <w:rPr>
          <w:rFonts w:hint="eastAsia" w:ascii="仿宋_GB2312" w:hAnsi="仿宋_GB2312" w:eastAsia="仿宋_GB2312" w:cs="仿宋_GB2312"/>
          <w:b/>
          <w:bCs/>
          <w:sz w:val="32"/>
          <w:szCs w:val="32"/>
          <w:lang w:eastAsia="zh-CN"/>
        </w:rPr>
      </w:pPr>
    </w:p>
    <w:p>
      <w:pPr>
        <w:widowControl w:val="0"/>
        <w:wordWrap/>
        <w:adjustRightInd w:val="0"/>
        <w:snapToGrid w:val="0"/>
        <w:spacing w:line="560" w:lineRule="exact"/>
        <w:ind w:left="0" w:leftChars="0" w:right="0" w:firstLine="640" w:firstLineChars="200"/>
        <w:jc w:val="both"/>
        <w:textAlignment w:val="auto"/>
        <w:outlineLvl w:val="9"/>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202</w:t>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lang w:eastAsia="zh-CN"/>
        </w:rPr>
        <w:t>年是深入推进法治政府建设承上启下的关键之年，</w:t>
      </w:r>
      <w:r>
        <w:rPr>
          <w:rFonts w:hint="eastAsia" w:ascii="仿宋_GB2312" w:hAnsi="仿宋_GB2312" w:eastAsia="仿宋_GB2312" w:cs="仿宋_GB2312"/>
          <w:sz w:val="32"/>
          <w:szCs w:val="32"/>
          <w:lang w:val="en-US" w:eastAsia="zh-CN"/>
        </w:rPr>
        <w:t>门头沟</w:t>
      </w:r>
      <w:r>
        <w:rPr>
          <w:rFonts w:hint="eastAsia" w:ascii="仿宋_GB2312" w:hAnsi="仿宋_GB2312" w:eastAsia="仿宋_GB2312" w:cs="仿宋_GB2312"/>
          <w:sz w:val="32"/>
          <w:szCs w:val="32"/>
          <w:lang w:eastAsia="zh-CN"/>
        </w:rPr>
        <w:t>区市场监管局在区委、区政府的领导下，坚持</w:t>
      </w:r>
      <w:r>
        <w:rPr>
          <w:rFonts w:hint="eastAsia" w:ascii="仿宋_GB2312" w:hAnsi="仿宋_GB2312" w:eastAsia="仿宋_GB2312" w:cs="仿宋_GB2312"/>
          <w:sz w:val="32"/>
          <w:szCs w:val="32"/>
          <w:lang w:val="en-US" w:eastAsia="zh-CN"/>
        </w:rPr>
        <w:t>以</w:t>
      </w:r>
      <w:r>
        <w:rPr>
          <w:rFonts w:hint="eastAsia" w:ascii="仿宋_GB2312" w:hAnsi="仿宋_GB2312" w:eastAsia="仿宋_GB2312" w:cs="仿宋_GB2312"/>
          <w:sz w:val="32"/>
          <w:szCs w:val="32"/>
          <w:lang w:eastAsia="zh-CN"/>
        </w:rPr>
        <w:t>习近平新时代中国特色社会主义思想为指导，深入贯彻落实党的十九大和十九届二中、三中、四中、五中、六中全会精神，</w:t>
      </w:r>
      <w:r>
        <w:rPr>
          <w:rFonts w:hint="eastAsia" w:ascii="仿宋_GB2312" w:hAnsi="仿宋_GB2312" w:eastAsia="仿宋_GB2312" w:cs="仿宋_GB2312"/>
          <w:b w:val="0"/>
          <w:bCs w:val="0"/>
          <w:sz w:val="32"/>
          <w:szCs w:val="32"/>
          <w:lang w:eastAsia="zh-CN"/>
        </w:rPr>
        <w:t>严格落实《法治政府建设与责任落实督查工作规定》，紧密结合门头沟区实际，扎实推进法治政府建设各项工作，为全力开创现代化生态新区建设绿色发展新局面提供坚强有力的法治保障。</w:t>
      </w:r>
    </w:p>
    <w:p>
      <w:pPr>
        <w:widowControl w:val="0"/>
        <w:numPr>
          <w:ilvl w:val="-1"/>
          <w:numId w:val="0"/>
        </w:numPr>
        <w:wordWrap/>
        <w:adjustRightInd w:val="0"/>
        <w:snapToGrid w:val="0"/>
        <w:spacing w:line="560" w:lineRule="exact"/>
        <w:ind w:left="0" w:leftChars="0" w:right="0" w:firstLine="640" w:firstLineChars="200"/>
        <w:jc w:val="both"/>
        <w:textAlignment w:val="auto"/>
        <w:outlineLvl w:val="9"/>
        <w:rPr>
          <w:rFonts w:hint="eastAsia" w:ascii="黑体" w:hAnsi="黑体" w:eastAsia="黑体" w:cs="黑体"/>
          <w:b/>
          <w:bCs/>
          <w:sz w:val="32"/>
          <w:szCs w:val="32"/>
          <w:lang w:eastAsia="zh-CN"/>
        </w:rPr>
      </w:pPr>
      <w:r>
        <w:rPr>
          <w:rFonts w:hint="eastAsia" w:ascii="黑体" w:hAnsi="黑体" w:eastAsia="黑体" w:cs="黑体"/>
          <w:b w:val="0"/>
          <w:bCs w:val="0"/>
          <w:sz w:val="32"/>
          <w:szCs w:val="32"/>
          <w:lang w:val="en-US" w:eastAsia="zh-CN"/>
        </w:rPr>
        <w:t>一、</w:t>
      </w:r>
      <w:r>
        <w:rPr>
          <w:rFonts w:hint="eastAsia" w:ascii="黑体" w:hAnsi="黑体" w:eastAsia="黑体" w:cs="黑体"/>
          <w:b w:val="0"/>
          <w:bCs w:val="0"/>
          <w:sz w:val="32"/>
          <w:szCs w:val="32"/>
          <w:lang w:eastAsia="zh-CN"/>
        </w:rPr>
        <w:t>主要举措和成效</w:t>
      </w:r>
    </w:p>
    <w:p>
      <w:pPr>
        <w:widowControl w:val="0"/>
        <w:numPr>
          <w:ilvl w:val="0"/>
          <w:numId w:val="0"/>
        </w:numPr>
        <w:wordWrap/>
        <w:adjustRightInd w:val="0"/>
        <w:snapToGrid w:val="0"/>
        <w:spacing w:line="560" w:lineRule="exact"/>
        <w:ind w:leftChars="200" w:right="0"/>
        <w:jc w:val="both"/>
        <w:textAlignment w:val="auto"/>
        <w:outlineLvl w:val="9"/>
        <w:rPr>
          <w:rFonts w:hint="eastAsia" w:ascii="楷体_GB2312" w:hAnsi="楷体_GB2312" w:eastAsia="楷体_GB2312" w:cs="楷体_GB2312"/>
          <w:b w:val="0"/>
          <w:bCs w:val="0"/>
          <w:sz w:val="32"/>
          <w:szCs w:val="32"/>
          <w:lang w:val="en-US" w:eastAsia="zh-CN"/>
        </w:rPr>
      </w:pPr>
      <w:r>
        <w:rPr>
          <w:rFonts w:hint="eastAsia" w:ascii="仿宋_GB2312" w:hAnsi="仿宋_GB2312" w:eastAsia="仿宋_GB2312" w:cs="仿宋_GB2312"/>
          <w:b/>
          <w:bCs/>
          <w:sz w:val="32"/>
          <w:szCs w:val="32"/>
          <w:lang w:val="en-US" w:eastAsia="zh-CN"/>
        </w:rPr>
        <w:t xml:space="preserve"> </w:t>
      </w:r>
      <w:r>
        <w:rPr>
          <w:rFonts w:hint="eastAsia" w:ascii="楷体_GB2312" w:hAnsi="楷体_GB2312" w:eastAsia="楷体_GB2312" w:cs="楷体_GB2312"/>
          <w:b w:val="0"/>
          <w:bCs w:val="0"/>
          <w:sz w:val="32"/>
          <w:szCs w:val="32"/>
          <w:lang w:val="en-US" w:eastAsia="zh-CN"/>
        </w:rPr>
        <w:t>（一）全力做好常态化疫情防控工作</w:t>
      </w:r>
    </w:p>
    <w:p>
      <w:pPr>
        <w:widowControl w:val="0"/>
        <w:wordWrap/>
        <w:adjustRightInd w:val="0"/>
        <w:snapToGrid w:val="0"/>
        <w:spacing w:line="560" w:lineRule="exact"/>
        <w:ind w:left="0" w:leftChars="0" w:right="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抓实抓细常态化疫情防控措施。坚持“人”“物”同防，持续开展对19类“兜底”主体的疫情防控检查，依托职能部门，对重点业态、重点场所、重点人群持续开展了重点环节防疫工作执法检查，并指导市场主体严格落实消杀、清洁、通风和人员防护等疫情防疫措施。引导农贸市场、超市、餐饮等市场主体营造干净、卫生、整洁的生产经营环境，强化进口冷链食品监管。同时，从严从快查处囤积居奇、哄抬价格、侵权假冒等违法行为，使常态化疫情防控工作真正落到了实处。</w:t>
      </w:r>
    </w:p>
    <w:p>
      <w:pPr>
        <w:widowControl w:val="0"/>
        <w:numPr>
          <w:ilvl w:val="0"/>
          <w:numId w:val="0"/>
        </w:numPr>
        <w:wordWrap/>
        <w:adjustRightInd w:val="0"/>
        <w:snapToGrid w:val="0"/>
        <w:spacing w:line="560" w:lineRule="exact"/>
        <w:ind w:leftChars="200" w:right="0"/>
        <w:jc w:val="both"/>
        <w:textAlignment w:val="auto"/>
        <w:outlineLvl w:val="9"/>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（二）推进门头沟区事中事后监管法治化进程</w:t>
      </w:r>
    </w:p>
    <w:p>
      <w:pPr>
        <w:widowControl w:val="0"/>
        <w:wordWrap/>
        <w:adjustRightInd w:val="0"/>
        <w:snapToGrid w:val="0"/>
        <w:spacing w:line="560" w:lineRule="exact"/>
        <w:ind w:left="0" w:leftChars="0" w:right="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牵头起草《北京市门头沟区加强和规范事中事后监管实施方案》，为解决对市场主体监管过程中监管体系不完善、监管不到位等问题，进一步深化政府职能转变，持续深化“放管服”改革，推进事中事后监管法治化、制度化、规范化、精准化，门头沟区市场监督管理牵头起草了《北京市门头沟区加强和规范事中事后监管实施方案》。该方案明确了全区各部门的监管责任，厘清了监管事权，旨在构建权责明确、公平公正、公开透明、简约高效的事中事后监管体系，推动实现监管既“无事不扰”又“无处不在”，使市场既充满活力又规范有序。《实施方案》确定了要建立区级联席会议制度，通过召集成员单位召开联席会议，加强对各项任务的指导、督促和检查，研究确定事中事后监管争议事项，推动解决重大问题。目前，《北京市门头沟区加强和规范事中事后监管实施方案》已以区政府名义发文实施，下一步将充分发挥联席会议制度的作用，严格按照任务分工，建立健全组织领导和统筹协调机制，抓好责任落实。</w:t>
      </w:r>
    </w:p>
    <w:p>
      <w:pPr>
        <w:widowControl w:val="0"/>
        <w:wordWrap/>
        <w:adjustRightInd w:val="0"/>
        <w:snapToGrid w:val="0"/>
        <w:spacing w:line="560" w:lineRule="exact"/>
        <w:ind w:left="0" w:leftChars="0" w:right="0" w:firstLine="640" w:firstLineChars="200"/>
        <w:jc w:val="both"/>
        <w:textAlignment w:val="auto"/>
        <w:outlineLvl w:val="9"/>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（三）深化落实行政检查单制度，进一步规范行政检查行为</w:t>
      </w:r>
    </w:p>
    <w:p>
      <w:pPr>
        <w:widowControl w:val="0"/>
        <w:wordWrap/>
        <w:adjustRightInd w:val="0"/>
        <w:snapToGrid w:val="0"/>
        <w:spacing w:line="560" w:lineRule="exact"/>
        <w:ind w:left="0" w:leftChars="0" w:right="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全面推行行政检查单制度，进一步加强和规范监管执法行为。完善行政检查标准，做到行政检查内容透明、标准明确，今年共完善109项区级执法检查事项检查标准，并上传到北京市行政执法信息服务平台。进一步规范“涉企”检查单模板，梳理109项“涉企”行政检查项，完成“涉企”全面检查单模板制作并予公示。截止到12月25日，我局执法检查总量18116次，A岗人员87人，人均执法量220.08件，A岗人员参与率94.21%，实施过的违法行为职权数1808，违法行为纳入检查率96.48%。</w:t>
      </w:r>
    </w:p>
    <w:p>
      <w:pPr>
        <w:widowControl w:val="0"/>
        <w:wordWrap/>
        <w:adjustRightInd w:val="0"/>
        <w:snapToGrid w:val="0"/>
        <w:spacing w:line="560" w:lineRule="exact"/>
        <w:ind w:left="0" w:leftChars="0" w:right="0" w:firstLine="640" w:firstLineChars="200"/>
        <w:jc w:val="both"/>
        <w:textAlignment w:val="auto"/>
        <w:outlineLvl w:val="9"/>
        <w:rPr>
          <w:rFonts w:hint="eastAsia" w:ascii="仿宋_GB2312" w:hAnsi="仿宋_GB2312" w:eastAsia="仿宋_GB2312" w:cs="仿宋_GB2312"/>
          <w:b/>
          <w:bCs/>
          <w:sz w:val="32"/>
          <w:szCs w:val="32"/>
          <w:lang w:val="en-US" w:eastAsia="zh-CN"/>
        </w:rPr>
      </w:pPr>
      <w:r>
        <w:rPr>
          <w:rFonts w:hint="eastAsia" w:ascii="楷体_GB2312" w:hAnsi="楷体_GB2312" w:eastAsia="楷体_GB2312" w:cs="楷体_GB2312"/>
          <w:b w:val="0"/>
          <w:bCs w:val="0"/>
          <w:sz w:val="32"/>
          <w:szCs w:val="32"/>
          <w:lang w:val="en-US" w:eastAsia="zh-CN"/>
        </w:rPr>
        <w:t>（四）加强门头沟区食品药品信用机制管理</w:t>
      </w:r>
    </w:p>
    <w:p>
      <w:pPr>
        <w:widowControl w:val="0"/>
        <w:wordWrap/>
        <w:adjustRightInd w:val="0"/>
        <w:snapToGrid w:val="0"/>
        <w:spacing w:line="560" w:lineRule="exact"/>
        <w:ind w:left="0" w:leftChars="0" w:right="0" w:firstLine="640"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为加强对食品药品生产经营主体的信用管理，完善部门之间的联动监管机制，提高市场主体监管的有效性和针对性。我局与门头沟区人民法院共同建立食品安全犯罪人员登记禁止和限制联动机制，通过机制的建立已将8名食品安全犯罪人员纳入市场主体登记审批管理系统黑名单库，并对其在企业中任职和在食品领域投资进行锁定，上述犯罪人员将终身不得从事食品生产经营管理工作。</w:t>
      </w:r>
    </w:p>
    <w:p>
      <w:pPr>
        <w:widowControl w:val="0"/>
        <w:wordWrap/>
        <w:adjustRightInd w:val="0"/>
        <w:snapToGrid w:val="0"/>
        <w:spacing w:line="560" w:lineRule="exact"/>
        <w:ind w:left="0" w:leftChars="0" w:right="0" w:firstLine="640" w:firstLineChars="200"/>
        <w:jc w:val="both"/>
        <w:textAlignment w:val="auto"/>
        <w:outlineLvl w:val="9"/>
        <w:rPr>
          <w:rFonts w:hint="eastAsia" w:ascii="仿宋_GB2312" w:hAnsi="仿宋_GB2312" w:eastAsia="仿宋_GB2312" w:cs="仿宋_GB2312"/>
          <w:b/>
          <w:bCs/>
          <w:sz w:val="32"/>
          <w:szCs w:val="32"/>
          <w:lang w:val="en-US" w:eastAsia="zh-CN"/>
        </w:rPr>
      </w:pPr>
      <w:r>
        <w:rPr>
          <w:rFonts w:hint="eastAsia" w:ascii="楷体_GB2312" w:hAnsi="楷体_GB2312" w:eastAsia="楷体_GB2312" w:cs="楷体_GB2312"/>
          <w:b w:val="0"/>
          <w:bCs w:val="0"/>
          <w:sz w:val="32"/>
          <w:szCs w:val="32"/>
          <w:lang w:val="en-US" w:eastAsia="zh-CN"/>
        </w:rPr>
        <w:t>（五）完善依法行政制度体系，推动各项制度落到实处</w:t>
      </w:r>
    </w:p>
    <w:p>
      <w:pPr>
        <w:widowControl w:val="0"/>
        <w:wordWrap/>
        <w:adjustRightInd w:val="0"/>
        <w:snapToGrid w:val="0"/>
        <w:spacing w:line="560"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lang w:val="en-US" w:eastAsia="zh-CN"/>
        </w:rPr>
        <w:t>落实区委区政府关于三项制度工作要求，出台我局行政执法公示制度、执法全过程记录制度、重大执法决定法制审核制度。统一我局行政执法标准、程序，明确重大事项法制审核目录，做好执法事项公示工作。确立重大案件集体会商会审制度，对重大执法决定进行审议，</w:t>
      </w:r>
      <w:r>
        <w:rPr>
          <w:rFonts w:hint="eastAsia" w:ascii="仿宋_GB2312" w:hAnsi="仿宋_GB2312" w:eastAsia="仿宋_GB2312" w:cs="仿宋_GB2312"/>
          <w:b w:val="0"/>
          <w:bCs w:val="0"/>
          <w:color w:val="auto"/>
          <w:sz w:val="32"/>
          <w:szCs w:val="32"/>
          <w:highlight w:val="none"/>
          <w:lang w:val="en-US" w:eastAsia="zh-CN"/>
        </w:rPr>
        <w:t>2021年共召开重大案件集体讨论会17次，集中审议案件42件次。</w:t>
      </w:r>
      <w:r>
        <w:rPr>
          <w:rFonts w:hint="eastAsia" w:ascii="仿宋_GB2312" w:hAnsi="仿宋_GB2312" w:eastAsia="仿宋_GB2312" w:cs="仿宋_GB2312"/>
          <w:b w:val="0"/>
          <w:bCs w:val="0"/>
          <w:sz w:val="32"/>
          <w:szCs w:val="32"/>
          <w:lang w:val="en-US" w:eastAsia="zh-CN"/>
        </w:rPr>
        <w:t>完善行政执法监督机制，强化案件评查事后监督指导作用。开展案件评查2次，共评查行政处罚案卷</w:t>
      </w:r>
      <w:r>
        <w:rPr>
          <w:rFonts w:hint="eastAsia" w:ascii="仿宋_GB2312" w:hAnsi="仿宋_GB2312" w:eastAsia="仿宋_GB2312" w:cs="仿宋_GB2312"/>
          <w:b w:val="0"/>
          <w:bCs w:val="0"/>
          <w:sz w:val="32"/>
          <w:szCs w:val="32"/>
          <w:highlight w:val="none"/>
          <w:lang w:val="en-US" w:eastAsia="zh-CN"/>
        </w:rPr>
        <w:t>70件。</w:t>
      </w:r>
    </w:p>
    <w:p>
      <w:pPr>
        <w:widowControl w:val="0"/>
        <w:wordWrap/>
        <w:adjustRightInd w:val="0"/>
        <w:snapToGrid w:val="0"/>
        <w:spacing w:line="560" w:lineRule="exact"/>
        <w:ind w:firstLine="640" w:firstLineChars="200"/>
        <w:textAlignment w:val="auto"/>
        <w:rPr>
          <w:rFonts w:hint="eastAsia" w:ascii="仿宋_GB2312" w:hAnsi="仿宋_GB2312" w:eastAsia="仿宋_GB2312" w:cs="仿宋_GB2312"/>
          <w:b w:val="0"/>
          <w:bCs w:val="0"/>
          <w:sz w:val="32"/>
          <w:szCs w:val="32"/>
          <w:highlight w:val="none"/>
          <w:lang w:val="zh-CN" w:eastAsia="zh-CN"/>
        </w:rPr>
      </w:pPr>
      <w:r>
        <w:rPr>
          <w:rFonts w:hint="eastAsia" w:ascii="仿宋_GB2312" w:hAnsi="仿宋_GB2312" w:eastAsia="仿宋_GB2312" w:cs="仿宋_GB2312"/>
          <w:b w:val="0"/>
          <w:bCs w:val="0"/>
          <w:sz w:val="32"/>
          <w:szCs w:val="32"/>
          <w:highlight w:val="none"/>
          <w:lang w:val="en-US" w:eastAsia="zh-CN"/>
        </w:rPr>
        <w:t>今年新收行政复议11件，行政诉讼12件，上期结转4件，共办理行政复议、诉讼27件，积极执行生效行政复议决定和法院生效裁判，坚持复议、诉讼逐案</w:t>
      </w:r>
      <w:r>
        <w:rPr>
          <w:rFonts w:hint="eastAsia" w:ascii="仿宋_GB2312" w:hAnsi="仿宋_GB2312" w:eastAsia="仿宋_GB2312" w:cs="仿宋_GB2312"/>
          <w:b w:val="0"/>
          <w:bCs w:val="0"/>
          <w:color w:val="111111"/>
          <w:spacing w:val="-6"/>
          <w:kern w:val="0"/>
          <w:sz w:val="32"/>
          <w:szCs w:val="32"/>
          <w:highlight w:val="none"/>
        </w:rPr>
        <w:t>分析，加强败诉案件类型分析和督导。</w:t>
      </w:r>
      <w:r>
        <w:rPr>
          <w:rFonts w:hint="eastAsia" w:ascii="仿宋_GB2312" w:hAnsi="仿宋_GB2312" w:eastAsia="仿宋_GB2312" w:cs="仿宋_GB2312"/>
          <w:b w:val="0"/>
          <w:bCs w:val="0"/>
          <w:sz w:val="32"/>
          <w:szCs w:val="32"/>
          <w:highlight w:val="none"/>
          <w:lang w:val="en-US" w:eastAsia="zh-CN"/>
        </w:rPr>
        <w:t>研究行政执法行为监督与行政执法过错行为责任追究办法，加强</w:t>
      </w:r>
      <w:r>
        <w:rPr>
          <w:rFonts w:hint="eastAsia" w:ascii="仿宋_GB2312" w:hAnsi="仿宋_GB2312" w:eastAsia="仿宋_GB2312" w:cs="仿宋_GB2312"/>
          <w:b w:val="0"/>
          <w:bCs w:val="0"/>
          <w:sz w:val="32"/>
          <w:szCs w:val="32"/>
          <w:highlight w:val="none"/>
          <w:lang w:val="zh-CN" w:eastAsia="zh-CN"/>
        </w:rPr>
        <w:t>执法监督建设。</w:t>
      </w:r>
    </w:p>
    <w:p>
      <w:pPr>
        <w:widowControl w:val="0"/>
        <w:wordWrap/>
        <w:adjustRightInd w:val="0"/>
        <w:snapToGrid w:val="0"/>
        <w:spacing w:line="560" w:lineRule="exact"/>
        <w:ind w:firstLine="616" w:firstLineChars="200"/>
        <w:textAlignment w:val="auto"/>
        <w:rPr>
          <w:rFonts w:hint="eastAsia" w:ascii="仿宋_GB2312" w:hAnsi="仿宋_GB2312" w:eastAsia="仿宋_GB2312" w:cs="仿宋_GB2312"/>
          <w:b/>
          <w:bCs/>
          <w:color w:val="111111"/>
          <w:spacing w:val="-6"/>
          <w:kern w:val="0"/>
          <w:sz w:val="32"/>
          <w:szCs w:val="32"/>
          <w:highlight w:val="none"/>
          <w:lang w:val="en-US" w:eastAsia="zh-CN"/>
        </w:rPr>
      </w:pPr>
      <w:r>
        <w:rPr>
          <w:rFonts w:hint="eastAsia" w:ascii="楷体_GB2312" w:hAnsi="楷体_GB2312" w:eastAsia="楷体_GB2312" w:cs="楷体_GB2312"/>
          <w:b w:val="0"/>
          <w:bCs w:val="0"/>
          <w:color w:val="111111"/>
          <w:spacing w:val="-6"/>
          <w:kern w:val="0"/>
          <w:sz w:val="32"/>
          <w:szCs w:val="32"/>
          <w:highlight w:val="none"/>
          <w:lang w:val="en-US" w:eastAsia="zh-CN"/>
        </w:rPr>
        <w:t>（六）深化法治宣传教育工作、落实“谁执法谁普法”责任</w:t>
      </w:r>
    </w:p>
    <w:p>
      <w:pPr>
        <w:widowControl w:val="0"/>
        <w:wordWrap/>
        <w:adjustRightInd w:val="0"/>
        <w:snapToGrid w:val="0"/>
        <w:spacing w:line="560" w:lineRule="exact"/>
        <w:ind w:firstLine="616" w:firstLineChars="200"/>
        <w:textAlignment w:val="auto"/>
        <w:rPr>
          <w:rFonts w:hint="eastAsia" w:ascii="仿宋_GB2312" w:hAnsi="仿宋_GB2312" w:eastAsia="仿宋_GB2312" w:cs="仿宋_GB2312"/>
          <w:b w:val="0"/>
          <w:bCs w:val="0"/>
          <w:color w:val="111111"/>
          <w:spacing w:val="-6"/>
          <w:kern w:val="0"/>
          <w:sz w:val="32"/>
          <w:szCs w:val="32"/>
          <w:highlight w:val="none"/>
          <w:lang w:val="en-US" w:eastAsia="zh-CN"/>
        </w:rPr>
      </w:pPr>
      <w:r>
        <w:rPr>
          <w:rFonts w:hint="eastAsia" w:ascii="仿宋_GB2312" w:hAnsi="仿宋_GB2312" w:eastAsia="仿宋_GB2312" w:cs="仿宋_GB2312"/>
          <w:b w:val="0"/>
          <w:bCs w:val="0"/>
          <w:color w:val="111111"/>
          <w:spacing w:val="-6"/>
          <w:kern w:val="0"/>
          <w:sz w:val="32"/>
          <w:szCs w:val="32"/>
          <w:highlight w:val="none"/>
          <w:lang w:val="en-US" w:eastAsia="zh-CN"/>
        </w:rPr>
        <w:t>认真贯彻落实普法规划，加强重点人群普法，定期进行业务培训，定期参加“市场监管学习大讲堂”。全面落实局长办公会会前学法机制，2021年共组织会前学法10次。严格贯彻行政机关负责人出庭应诉规定，出庭应诉1次，组织全员开展新修订的行政处罚法培训讲座，组织参加全国市场监管知识竞赛，参加北京市“两品一械”监管知识竞赛暨监管能力大比武活动并获得全市二等奖及最佳组织奖。</w:t>
      </w:r>
    </w:p>
    <w:p>
      <w:pPr>
        <w:widowControl w:val="0"/>
        <w:wordWrap/>
        <w:adjustRightInd w:val="0"/>
        <w:snapToGrid w:val="0"/>
        <w:spacing w:line="560" w:lineRule="exact"/>
        <w:ind w:firstLine="616" w:firstLineChars="200"/>
        <w:textAlignment w:val="auto"/>
        <w:rPr>
          <w:rFonts w:hint="eastAsia" w:ascii="仿宋_GB2312" w:hAnsi="仿宋_GB2312" w:eastAsia="仿宋_GB2312" w:cs="仿宋_GB2312"/>
          <w:b w:val="0"/>
          <w:bCs w:val="0"/>
          <w:color w:val="111111"/>
          <w:spacing w:val="-6"/>
          <w:kern w:val="0"/>
          <w:sz w:val="32"/>
          <w:szCs w:val="32"/>
          <w:highlight w:val="none"/>
          <w:lang w:val="en-US" w:eastAsia="zh-CN"/>
        </w:rPr>
      </w:pPr>
      <w:r>
        <w:rPr>
          <w:rFonts w:hint="eastAsia" w:ascii="仿宋_GB2312" w:hAnsi="仿宋_GB2312" w:eastAsia="仿宋_GB2312" w:cs="仿宋_GB2312"/>
          <w:b w:val="0"/>
          <w:bCs w:val="0"/>
          <w:color w:val="111111"/>
          <w:spacing w:val="-6"/>
          <w:kern w:val="0"/>
          <w:sz w:val="32"/>
          <w:szCs w:val="32"/>
          <w:highlight w:val="none"/>
          <w:lang w:val="en-US" w:eastAsia="zh-CN"/>
        </w:rPr>
        <w:t>落实“谁执法谁普法”普法责任制，将说理式普法融入执法各环节。积极开展“3·15”国际消费者权益日</w:t>
      </w:r>
      <w:bookmarkStart w:id="0" w:name="_GoBack"/>
      <w:bookmarkEnd w:id="0"/>
      <w:r>
        <w:rPr>
          <w:rFonts w:hint="eastAsia" w:ascii="仿宋_GB2312" w:hAnsi="仿宋_GB2312" w:eastAsia="仿宋_GB2312" w:cs="仿宋_GB2312"/>
          <w:b w:val="0"/>
          <w:bCs w:val="0"/>
          <w:color w:val="111111"/>
          <w:spacing w:val="-6"/>
          <w:kern w:val="0"/>
          <w:sz w:val="32"/>
          <w:szCs w:val="32"/>
          <w:highlight w:val="none"/>
          <w:lang w:val="en-US" w:eastAsia="zh-CN"/>
        </w:rPr>
        <w:t>、食品安全宣传周、宪法日暨宪法宣传周等主题法治宣传实践活动，持续深入开展“法律十进”活动，利用微博、微信等新媒体提高宣传覆盖面和影响力。</w:t>
      </w:r>
    </w:p>
    <w:p>
      <w:pPr>
        <w:widowControl w:val="0"/>
        <w:wordWrap/>
        <w:adjustRightInd w:val="0"/>
        <w:snapToGrid w:val="0"/>
        <w:spacing w:line="560" w:lineRule="exact"/>
        <w:ind w:firstLine="616" w:firstLineChars="200"/>
        <w:textAlignment w:val="auto"/>
        <w:rPr>
          <w:rFonts w:hint="eastAsia" w:ascii="仿宋_GB2312" w:hAnsi="仿宋_GB2312" w:eastAsia="仿宋_GB2312" w:cs="仿宋_GB2312"/>
          <w:b w:val="0"/>
          <w:bCs w:val="0"/>
          <w:color w:val="111111"/>
          <w:spacing w:val="-6"/>
          <w:kern w:val="0"/>
          <w:sz w:val="32"/>
          <w:szCs w:val="32"/>
          <w:highlight w:val="none"/>
          <w:lang w:val="en-US" w:eastAsia="zh-CN"/>
        </w:rPr>
      </w:pPr>
      <w:r>
        <w:rPr>
          <w:rFonts w:hint="eastAsia" w:ascii="仿宋_GB2312" w:hAnsi="仿宋_GB2312" w:eastAsia="仿宋_GB2312" w:cs="仿宋_GB2312"/>
          <w:b w:val="0"/>
          <w:bCs w:val="0"/>
          <w:color w:val="111111"/>
          <w:spacing w:val="-6"/>
          <w:kern w:val="0"/>
          <w:sz w:val="32"/>
          <w:szCs w:val="32"/>
          <w:highlight w:val="none"/>
          <w:lang w:val="en-US" w:eastAsia="zh-CN"/>
        </w:rPr>
        <w:t>我局普法成果突出，荣获北京市七五普法先进集体，并被推荐为2016—2020年全国普法工作先进单位。</w:t>
      </w:r>
    </w:p>
    <w:p>
      <w:pPr>
        <w:pStyle w:val="4"/>
        <w:widowControl/>
        <w:numPr>
          <w:ilvl w:val="-1"/>
          <w:numId w:val="0"/>
        </w:numPr>
        <w:wordWrap/>
        <w:adjustRightInd w:val="0"/>
        <w:snapToGrid w:val="0"/>
        <w:spacing w:before="0" w:beforeAutospacing="0" w:after="0" w:afterAutospacing="0" w:line="560" w:lineRule="exact"/>
        <w:ind w:left="0" w:leftChars="0" w:right="0" w:firstLine="640" w:firstLineChars="200"/>
        <w:jc w:val="left"/>
        <w:textAlignment w:val="auto"/>
        <w:outlineLvl w:val="9"/>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二、推进法治政府建设存在的不足和原因</w:t>
      </w:r>
    </w:p>
    <w:p>
      <w:pPr>
        <w:widowControl w:val="0"/>
        <w:wordWrap/>
        <w:adjustRightInd w:val="0"/>
        <w:snapToGrid w:val="0"/>
        <w:spacing w:line="560" w:lineRule="exact"/>
        <w:ind w:firstLine="616" w:firstLineChars="200"/>
        <w:textAlignment w:val="auto"/>
        <w:rPr>
          <w:rFonts w:hint="eastAsia" w:ascii="仿宋_GB2312" w:hAnsi="仿宋_GB2312" w:eastAsia="仿宋_GB2312" w:cs="仿宋_GB2312"/>
          <w:b w:val="0"/>
          <w:bCs w:val="0"/>
          <w:color w:val="111111"/>
          <w:spacing w:val="-6"/>
          <w:kern w:val="0"/>
          <w:sz w:val="32"/>
          <w:szCs w:val="32"/>
          <w:highlight w:val="none"/>
          <w:lang w:val="en-US" w:eastAsia="zh-CN"/>
        </w:rPr>
      </w:pPr>
      <w:r>
        <w:rPr>
          <w:rFonts w:hint="eastAsia" w:ascii="仿宋_GB2312" w:hAnsi="仿宋_GB2312" w:eastAsia="仿宋_GB2312" w:cs="仿宋_GB2312"/>
          <w:b w:val="0"/>
          <w:bCs w:val="0"/>
          <w:color w:val="111111"/>
          <w:spacing w:val="-6"/>
          <w:kern w:val="0"/>
          <w:sz w:val="32"/>
          <w:szCs w:val="32"/>
          <w:highlight w:val="none"/>
          <w:lang w:val="en-US" w:eastAsia="zh-CN"/>
        </w:rPr>
        <w:t xml:space="preserve"> 今年以来我局法治政府建设取得了一定成绩，但仍存在不足，主要表现和原因分析如下。</w:t>
      </w:r>
    </w:p>
    <w:p>
      <w:pPr>
        <w:widowControl w:val="0"/>
        <w:wordWrap/>
        <w:adjustRightInd w:val="0"/>
        <w:snapToGrid w:val="0"/>
        <w:spacing w:line="560" w:lineRule="exact"/>
        <w:ind w:firstLine="616" w:firstLineChars="200"/>
        <w:textAlignment w:val="auto"/>
        <w:rPr>
          <w:rFonts w:hint="eastAsia" w:ascii="仿宋_GB2312" w:hAnsi="仿宋_GB2312" w:eastAsia="仿宋_GB2312" w:cs="仿宋_GB2312"/>
          <w:b/>
          <w:bCs/>
          <w:color w:val="111111"/>
          <w:spacing w:val="-6"/>
          <w:kern w:val="0"/>
          <w:sz w:val="32"/>
          <w:szCs w:val="32"/>
          <w:highlight w:val="none"/>
          <w:lang w:val="en-US" w:eastAsia="zh-CN"/>
        </w:rPr>
      </w:pPr>
      <w:r>
        <w:rPr>
          <w:rFonts w:hint="eastAsia" w:ascii="楷体_GB2312" w:hAnsi="楷体_GB2312" w:eastAsia="楷体_GB2312" w:cs="楷体_GB2312"/>
          <w:b w:val="0"/>
          <w:bCs w:val="0"/>
          <w:color w:val="111111"/>
          <w:spacing w:val="-6"/>
          <w:kern w:val="0"/>
          <w:sz w:val="32"/>
          <w:szCs w:val="32"/>
          <w:highlight w:val="none"/>
          <w:lang w:val="en-US" w:eastAsia="zh-CN"/>
        </w:rPr>
        <w:t>（一）统一的执法理念有待进一步强化，执法规范化建设有待继续提升</w:t>
      </w:r>
    </w:p>
    <w:p>
      <w:pPr>
        <w:widowControl w:val="0"/>
        <w:wordWrap/>
        <w:adjustRightInd w:val="0"/>
        <w:snapToGrid w:val="0"/>
        <w:spacing w:line="560" w:lineRule="exact"/>
        <w:ind w:firstLine="616" w:firstLineChars="200"/>
        <w:textAlignment w:val="auto"/>
        <w:rPr>
          <w:rFonts w:hint="eastAsia" w:ascii="仿宋_GB2312" w:hAnsi="仿宋_GB2312" w:eastAsia="仿宋_GB2312" w:cs="仿宋_GB2312"/>
          <w:b w:val="0"/>
          <w:bCs w:val="0"/>
          <w:color w:val="111111"/>
          <w:spacing w:val="-6"/>
          <w:kern w:val="0"/>
          <w:sz w:val="32"/>
          <w:szCs w:val="32"/>
          <w:highlight w:val="none"/>
          <w:lang w:val="en-US" w:eastAsia="zh-CN"/>
        </w:rPr>
      </w:pPr>
      <w:r>
        <w:rPr>
          <w:rFonts w:hint="eastAsia" w:ascii="仿宋_GB2312" w:hAnsi="仿宋_GB2312" w:eastAsia="仿宋_GB2312" w:cs="仿宋_GB2312"/>
          <w:b w:val="0"/>
          <w:bCs w:val="0"/>
          <w:color w:val="111111"/>
          <w:spacing w:val="-6"/>
          <w:kern w:val="0"/>
          <w:sz w:val="32"/>
          <w:szCs w:val="32"/>
          <w:highlight w:val="none"/>
          <w:lang w:val="en-US" w:eastAsia="zh-CN"/>
        </w:rPr>
        <w:t>市场监管领域涉及法律法规众多，职权事项庞大，跨越多个不同领域，各业务区域执法理念和执法标准还有差别，仍需要继续在执法理念、裁量标准、执法文书的规范使用、案件审核标准等方面加强制度建设，继续打牢规范执法的制度基础。</w:t>
      </w:r>
    </w:p>
    <w:p>
      <w:pPr>
        <w:widowControl w:val="0"/>
        <w:wordWrap/>
        <w:adjustRightInd w:val="0"/>
        <w:snapToGrid w:val="0"/>
        <w:spacing w:line="560" w:lineRule="exact"/>
        <w:ind w:firstLine="616" w:firstLineChars="200"/>
        <w:textAlignment w:val="auto"/>
        <w:rPr>
          <w:rFonts w:hint="eastAsia" w:ascii="仿宋_GB2312" w:hAnsi="仿宋_GB2312" w:eastAsia="仿宋_GB2312" w:cs="仿宋_GB2312"/>
          <w:b/>
          <w:bCs/>
          <w:color w:val="111111"/>
          <w:spacing w:val="-6"/>
          <w:kern w:val="0"/>
          <w:sz w:val="32"/>
          <w:szCs w:val="32"/>
          <w:highlight w:val="none"/>
          <w:lang w:val="en-US" w:eastAsia="zh-CN"/>
        </w:rPr>
      </w:pPr>
      <w:r>
        <w:rPr>
          <w:rFonts w:hint="eastAsia" w:ascii="楷体_GB2312" w:hAnsi="楷体_GB2312" w:eastAsia="楷体_GB2312" w:cs="楷体_GB2312"/>
          <w:b w:val="0"/>
          <w:bCs w:val="0"/>
          <w:color w:val="111111"/>
          <w:spacing w:val="-6"/>
          <w:kern w:val="0"/>
          <w:sz w:val="32"/>
          <w:szCs w:val="32"/>
          <w:highlight w:val="none"/>
          <w:lang w:val="en-US" w:eastAsia="zh-CN"/>
        </w:rPr>
        <w:t>（二）执法能力水平仍有不足</w:t>
      </w:r>
    </w:p>
    <w:p>
      <w:pPr>
        <w:widowControl w:val="0"/>
        <w:wordWrap/>
        <w:adjustRightInd w:val="0"/>
        <w:snapToGrid w:val="0"/>
        <w:spacing w:line="560" w:lineRule="exact"/>
        <w:ind w:firstLine="616" w:firstLineChars="200"/>
        <w:textAlignment w:val="auto"/>
        <w:rPr>
          <w:rFonts w:hint="eastAsia" w:ascii="仿宋_GB2312" w:hAnsi="仿宋_GB2312" w:eastAsia="仿宋_GB2312" w:cs="仿宋_GB2312"/>
          <w:b w:val="0"/>
          <w:bCs w:val="0"/>
          <w:color w:val="111111"/>
          <w:spacing w:val="-6"/>
          <w:kern w:val="0"/>
          <w:sz w:val="32"/>
          <w:szCs w:val="32"/>
          <w:highlight w:val="none"/>
          <w:lang w:val="en-US" w:eastAsia="zh-CN"/>
        </w:rPr>
      </w:pPr>
      <w:r>
        <w:rPr>
          <w:rFonts w:hint="eastAsia" w:ascii="仿宋_GB2312" w:hAnsi="仿宋_GB2312" w:eastAsia="仿宋_GB2312" w:cs="仿宋_GB2312"/>
          <w:b w:val="0"/>
          <w:bCs w:val="0"/>
          <w:color w:val="111111"/>
          <w:spacing w:val="-6"/>
          <w:kern w:val="0"/>
          <w:sz w:val="32"/>
          <w:szCs w:val="32"/>
          <w:highlight w:val="none"/>
          <w:lang w:val="en-US" w:eastAsia="zh-CN"/>
        </w:rPr>
        <w:t>在当前综合执法趋势下，执法领域涉法律多，法律更新频次密集，对执法干部的业务能力和综合素质要求进一步提升。尤其是各街道所、综合执法大队组建成立后，迫切需要加强各类培训和指导，统一执法理念和程序，尽快促进知识更新、业务融合，保障我局干部综合执法能力满足市场监管的实际需求。</w:t>
      </w:r>
    </w:p>
    <w:p>
      <w:pPr>
        <w:widowControl w:val="0"/>
        <w:wordWrap/>
        <w:adjustRightInd w:val="0"/>
        <w:snapToGrid w:val="0"/>
        <w:spacing w:line="560" w:lineRule="exact"/>
        <w:ind w:firstLine="616" w:firstLineChars="200"/>
        <w:textAlignment w:val="auto"/>
        <w:rPr>
          <w:rFonts w:hint="eastAsia" w:ascii="仿宋_GB2312" w:hAnsi="仿宋_GB2312" w:eastAsia="仿宋_GB2312" w:cs="仿宋_GB2312"/>
          <w:b/>
          <w:bCs/>
          <w:color w:val="111111"/>
          <w:spacing w:val="-6"/>
          <w:kern w:val="0"/>
          <w:sz w:val="32"/>
          <w:szCs w:val="32"/>
          <w:highlight w:val="none"/>
          <w:lang w:val="en-US" w:eastAsia="zh-CN"/>
        </w:rPr>
      </w:pPr>
      <w:r>
        <w:rPr>
          <w:rFonts w:hint="eastAsia" w:ascii="楷体_GB2312" w:hAnsi="楷体_GB2312" w:eastAsia="楷体_GB2312" w:cs="楷体_GB2312"/>
          <w:b w:val="0"/>
          <w:bCs w:val="0"/>
          <w:color w:val="111111"/>
          <w:spacing w:val="-6"/>
          <w:kern w:val="0"/>
          <w:sz w:val="32"/>
          <w:szCs w:val="32"/>
          <w:highlight w:val="none"/>
          <w:lang w:val="en-US" w:eastAsia="zh-CN"/>
        </w:rPr>
        <w:t>（三）当前考核指标的设立缺乏科学性，多头考核增加了基层执法人员工作压力</w:t>
      </w:r>
    </w:p>
    <w:p>
      <w:pPr>
        <w:pStyle w:val="2"/>
        <w:adjustRightInd w:val="0"/>
        <w:snapToGrid w:val="0"/>
        <w:spacing w:line="560" w:lineRule="exact"/>
        <w:ind w:firstLine="616" w:firstLineChars="20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color w:val="111111"/>
          <w:spacing w:val="-6"/>
          <w:kern w:val="0"/>
          <w:sz w:val="32"/>
          <w:szCs w:val="32"/>
          <w:highlight w:val="none"/>
          <w:lang w:val="en-US" w:eastAsia="zh-CN"/>
        </w:rPr>
        <w:t>目前人均检查量的指标量化考核且逐年提升一定程度上背离于当前以双随机抽查为主的监管理念，间接增加了基层执法人员干部压力，导致执法工作量和执法效果不匹配。当前行政执法检查分为三条体系，分别依托于市药监、市场监管以及司法体系三套系统，违法行为纳入检查率的覆盖要依托于三套系统的衔接完善以及市级部门对检查单、检查模块创建的完善，事实上自2020年该项指标出台以来，基层执法部门在该项工作的落实执行中处于被动地位，无法利用现有行政检查手段发挥该项指标的实际效果，检查率覆盖执行流于形式。</w:t>
      </w:r>
    </w:p>
    <w:p>
      <w:pPr>
        <w:pStyle w:val="4"/>
        <w:widowControl/>
        <w:numPr>
          <w:ilvl w:val="0"/>
          <w:numId w:val="0"/>
        </w:numPr>
        <w:wordWrap/>
        <w:adjustRightInd w:val="0"/>
        <w:snapToGrid w:val="0"/>
        <w:spacing w:before="0" w:beforeAutospacing="0" w:after="0" w:afterAutospacing="0" w:line="560" w:lineRule="exact"/>
        <w:ind w:left="0" w:leftChars="0" w:right="0" w:firstLine="640" w:firstLineChars="200"/>
        <w:jc w:val="left"/>
        <w:textAlignment w:val="auto"/>
        <w:outlineLvl w:val="9"/>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val="en-US" w:eastAsia="zh-CN"/>
        </w:rPr>
        <w:t>三、</w:t>
      </w:r>
      <w:r>
        <w:rPr>
          <w:rFonts w:hint="eastAsia" w:ascii="黑体" w:hAnsi="黑体" w:eastAsia="黑体" w:cs="黑体"/>
          <w:b w:val="0"/>
          <w:bCs w:val="0"/>
          <w:sz w:val="32"/>
          <w:szCs w:val="32"/>
          <w:lang w:eastAsia="zh-CN"/>
        </w:rPr>
        <w:t>党政主要负责人履行推进法治建设第一责任人职责</w:t>
      </w:r>
    </w:p>
    <w:p>
      <w:pPr>
        <w:widowControl w:val="0"/>
        <w:wordWrap/>
        <w:adjustRightInd w:val="0"/>
        <w:snapToGrid w:val="0"/>
        <w:spacing w:line="560" w:lineRule="exact"/>
        <w:ind w:left="0" w:leftChars="0" w:right="0" w:firstLine="640" w:firstLineChars="200"/>
        <w:jc w:val="both"/>
        <w:textAlignment w:val="auto"/>
        <w:outlineLvl w:val="9"/>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门头沟市场局认真贯彻落实市、区法治政府建设精神，高度重视法治政府建设工作，党政主要负责人认真领会《党政主要负责人履行推进法治建设第一责任人职责规定》要求，局党组多次组织学习讨论《2021-2025法治政府建设实施纲要》和习近平全面依法治国思想，同时结合市场监管部门工作实际进行了具体部署安排，统筹推进全面依法治国理念在市场监管领域的实践和探索。</w:t>
      </w:r>
    </w:p>
    <w:p>
      <w:pPr>
        <w:widowControl w:val="0"/>
        <w:wordWrap/>
        <w:adjustRightInd w:val="0"/>
        <w:snapToGrid w:val="0"/>
        <w:spacing w:line="560" w:lineRule="exact"/>
        <w:ind w:left="0" w:leftChars="0" w:right="0" w:firstLine="640" w:firstLineChars="200"/>
        <w:jc w:val="both"/>
        <w:textAlignment w:val="auto"/>
        <w:outlineLvl w:val="9"/>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党政主要负责人将法治建设摆在全局工作的重要位置，对法治建设中的重要工作亲自部署、重大问题亲自过问、重点环节亲自协调、重要任务亲自督办，始终坚持“法治建设为龙头、一把手负总责”的法治建设原则，贯穿全局各项工作，法治政府建设各项工作有序推进，市场监管各项工作逐步纳入法治化轨道。</w:t>
      </w:r>
    </w:p>
    <w:p>
      <w:pPr>
        <w:widowControl w:val="0"/>
        <w:wordWrap/>
        <w:adjustRightInd w:val="0"/>
        <w:snapToGrid w:val="0"/>
        <w:spacing w:line="560" w:lineRule="exact"/>
        <w:ind w:firstLine="640" w:firstLineChars="200"/>
        <w:textAlignment w:val="auto"/>
        <w:rPr>
          <w:rFonts w:hint="eastAsia" w:ascii="仿宋_GB2312" w:hAnsi="仿宋_GB2312" w:eastAsia="仿宋_GB2312" w:cs="仿宋_GB2312"/>
          <w:b w:val="0"/>
          <w:bCs w:val="0"/>
          <w:color w:val="111111"/>
          <w:spacing w:val="-6"/>
          <w:kern w:val="0"/>
          <w:sz w:val="32"/>
          <w:szCs w:val="32"/>
          <w:highlight w:val="none"/>
          <w:lang w:val="en-US" w:eastAsia="zh-CN"/>
        </w:rPr>
      </w:pPr>
      <w:r>
        <w:rPr>
          <w:rFonts w:hint="eastAsia" w:ascii="仿宋_GB2312" w:hAnsi="仿宋_GB2312" w:eastAsia="仿宋_GB2312" w:cs="仿宋_GB2312"/>
          <w:b w:val="0"/>
          <w:bCs w:val="0"/>
          <w:kern w:val="2"/>
          <w:sz w:val="32"/>
          <w:szCs w:val="32"/>
          <w:lang w:val="en-US" w:eastAsia="zh-CN" w:bidi="ar-SA"/>
        </w:rPr>
        <w:t>我局局长张立新与门头沟区人民法院党组成员闫洪升、刑庭庭长杨畅就完善登记限制工作，建立长效机制开展座谈。</w:t>
      </w:r>
    </w:p>
    <w:p>
      <w:pPr>
        <w:widowControl w:val="0"/>
        <w:numPr>
          <w:ilvl w:val="0"/>
          <w:numId w:val="0"/>
        </w:numPr>
        <w:wordWrap/>
        <w:adjustRightInd w:val="0"/>
        <w:snapToGrid w:val="0"/>
        <w:spacing w:line="560" w:lineRule="exact"/>
        <w:ind w:right="0" w:firstLine="640" w:firstLineChars="200"/>
        <w:jc w:val="both"/>
        <w:textAlignment w:val="auto"/>
        <w:outlineLvl w:val="9"/>
        <w:rPr>
          <w:rFonts w:hint="eastAsia" w:ascii="黑体" w:hAnsi="黑体" w:eastAsia="黑体" w:cs="黑体"/>
          <w:kern w:val="0"/>
          <w:sz w:val="32"/>
          <w:szCs w:val="32"/>
          <w:lang w:val="en-US" w:eastAsia="zh-CN"/>
        </w:rPr>
      </w:pPr>
      <w:r>
        <w:rPr>
          <w:rFonts w:hint="eastAsia" w:ascii="黑体" w:hAnsi="黑体" w:eastAsia="黑体" w:cs="黑体"/>
          <w:kern w:val="0"/>
          <w:sz w:val="32"/>
          <w:szCs w:val="32"/>
          <w:lang w:val="en-US" w:eastAsia="zh-CN"/>
        </w:rPr>
        <w:t>四、2022年推进法治政府建设的主要安排</w:t>
      </w:r>
    </w:p>
    <w:p>
      <w:pPr>
        <w:widowControl w:val="0"/>
        <w:wordWrap/>
        <w:adjustRightInd w:val="0"/>
        <w:snapToGrid w:val="0"/>
        <w:spacing w:line="560" w:lineRule="exact"/>
        <w:ind w:firstLine="616" w:firstLineChars="200"/>
        <w:textAlignment w:val="auto"/>
        <w:rPr>
          <w:rFonts w:hint="eastAsia" w:ascii="楷体_GB2312" w:hAnsi="楷体_GB2312" w:eastAsia="楷体_GB2312" w:cs="楷体_GB2312"/>
          <w:b w:val="0"/>
          <w:bCs w:val="0"/>
          <w:color w:val="111111"/>
          <w:spacing w:val="-6"/>
          <w:kern w:val="0"/>
          <w:sz w:val="32"/>
          <w:szCs w:val="32"/>
          <w:highlight w:val="none"/>
          <w:lang w:val="en-US" w:eastAsia="zh-CN"/>
        </w:rPr>
      </w:pPr>
      <w:r>
        <w:rPr>
          <w:rFonts w:hint="eastAsia" w:ascii="楷体_GB2312" w:hAnsi="楷体_GB2312" w:eastAsia="楷体_GB2312" w:cs="楷体_GB2312"/>
          <w:b w:val="0"/>
          <w:bCs w:val="0"/>
          <w:color w:val="111111"/>
          <w:spacing w:val="-6"/>
          <w:kern w:val="0"/>
          <w:sz w:val="32"/>
          <w:szCs w:val="32"/>
          <w:highlight w:val="none"/>
          <w:lang w:val="en-US" w:eastAsia="zh-CN"/>
        </w:rPr>
        <w:t>（一）落实事权划分文件完善制定工作，推进市场监管综合执法体系建设</w:t>
      </w:r>
    </w:p>
    <w:p>
      <w:pPr>
        <w:widowControl w:val="0"/>
        <w:wordWrap/>
        <w:adjustRightInd w:val="0"/>
        <w:snapToGrid w:val="0"/>
        <w:spacing w:line="560" w:lineRule="exact"/>
        <w:ind w:firstLine="616" w:firstLineChars="200"/>
        <w:textAlignment w:val="auto"/>
        <w:rPr>
          <w:rFonts w:hint="eastAsia" w:ascii="仿宋_GB2312" w:hAnsi="仿宋_GB2312" w:eastAsia="仿宋_GB2312" w:cs="仿宋_GB2312"/>
          <w:b w:val="0"/>
          <w:bCs w:val="0"/>
          <w:color w:val="111111"/>
          <w:spacing w:val="-6"/>
          <w:kern w:val="0"/>
          <w:sz w:val="32"/>
          <w:szCs w:val="32"/>
          <w:highlight w:val="none"/>
          <w:lang w:val="en-US" w:eastAsia="zh-CN"/>
        </w:rPr>
      </w:pPr>
      <w:r>
        <w:rPr>
          <w:rFonts w:hint="eastAsia" w:ascii="仿宋_GB2312" w:hAnsi="仿宋_GB2312" w:eastAsia="仿宋_GB2312" w:cs="仿宋_GB2312"/>
          <w:b w:val="0"/>
          <w:bCs w:val="0"/>
          <w:color w:val="111111"/>
          <w:spacing w:val="-6"/>
          <w:kern w:val="0"/>
          <w:sz w:val="32"/>
          <w:szCs w:val="32"/>
          <w:highlight w:val="none"/>
          <w:lang w:val="en-US" w:eastAsia="zh-CN"/>
        </w:rPr>
        <w:t>目前我局科、所、队三级执法组织体系已经全部落实到位，如何理顺科室、街道（地区）所、综合执法大队事权划分，推进三级执法体系职能协同、激发干部干事热情，推进我局综合执法能力提升，是下一步工作的重点。</w:t>
      </w:r>
    </w:p>
    <w:p>
      <w:pPr>
        <w:widowControl w:val="0"/>
        <w:wordWrap/>
        <w:adjustRightInd w:val="0"/>
        <w:snapToGrid w:val="0"/>
        <w:spacing w:line="560" w:lineRule="exact"/>
        <w:ind w:firstLine="616" w:firstLineChars="200"/>
        <w:textAlignment w:val="auto"/>
        <w:rPr>
          <w:rFonts w:hint="eastAsia" w:ascii="楷体_GB2312" w:hAnsi="楷体_GB2312" w:eastAsia="楷体_GB2312" w:cs="楷体_GB2312"/>
          <w:b w:val="0"/>
          <w:bCs w:val="0"/>
          <w:color w:val="111111"/>
          <w:spacing w:val="-6"/>
          <w:kern w:val="0"/>
          <w:sz w:val="32"/>
          <w:szCs w:val="32"/>
          <w:highlight w:val="none"/>
          <w:lang w:val="en-US" w:eastAsia="zh-CN"/>
        </w:rPr>
      </w:pPr>
      <w:r>
        <w:rPr>
          <w:rFonts w:hint="eastAsia" w:ascii="楷体_GB2312" w:hAnsi="楷体_GB2312" w:eastAsia="楷体_GB2312" w:cs="楷体_GB2312"/>
          <w:b w:val="0"/>
          <w:bCs w:val="0"/>
          <w:color w:val="111111"/>
          <w:spacing w:val="-6"/>
          <w:kern w:val="0"/>
          <w:sz w:val="32"/>
          <w:szCs w:val="32"/>
          <w:highlight w:val="none"/>
          <w:lang w:val="en-US" w:eastAsia="zh-CN"/>
        </w:rPr>
        <w:t>（二）持续完善执法监督考评机制，倒逼执法效能提升</w:t>
      </w:r>
    </w:p>
    <w:p>
      <w:pPr>
        <w:widowControl w:val="0"/>
        <w:wordWrap/>
        <w:adjustRightInd w:val="0"/>
        <w:snapToGrid w:val="0"/>
        <w:spacing w:line="560" w:lineRule="exact"/>
        <w:ind w:firstLine="616" w:firstLineChars="200"/>
        <w:textAlignment w:val="auto"/>
        <w:rPr>
          <w:rFonts w:hint="eastAsia" w:ascii="仿宋_GB2312" w:hAnsi="仿宋_GB2312" w:eastAsia="仿宋_GB2312" w:cs="仿宋_GB2312"/>
          <w:b w:val="0"/>
          <w:bCs w:val="0"/>
          <w:color w:val="111111"/>
          <w:spacing w:val="-6"/>
          <w:kern w:val="0"/>
          <w:sz w:val="32"/>
          <w:szCs w:val="32"/>
          <w:highlight w:val="none"/>
          <w:lang w:val="en-US" w:eastAsia="zh-CN"/>
        </w:rPr>
      </w:pPr>
      <w:r>
        <w:rPr>
          <w:rFonts w:hint="eastAsia" w:ascii="仿宋_GB2312" w:hAnsi="仿宋_GB2312" w:eastAsia="仿宋_GB2312" w:cs="仿宋_GB2312"/>
          <w:b w:val="0"/>
          <w:bCs w:val="0"/>
          <w:color w:val="111111"/>
          <w:spacing w:val="-6"/>
          <w:kern w:val="0"/>
          <w:sz w:val="32"/>
          <w:szCs w:val="32"/>
          <w:highlight w:val="none"/>
          <w:lang w:val="en-US" w:eastAsia="zh-CN"/>
        </w:rPr>
        <w:t>全面解读、梳理、分解考核各项指标，将区委区政府考核文件与我局执法工作实际相结合，在重点考核要素设置上，加强与考核单位、上级主管部门的沟通联络，尽快制定2022年度法制考核方案和工作意见，明确工作重点和进度，细化对三项制度等重点事项落实情况的考核要求，统一规范执法程序，加强对程序规范、审核意见落实、裁量权运用、罚没物品监销、处罚执行、行刑衔接等全过程监督，以岗位责任制倒逼执法效能提升，以绩效考核推进全局依法行政水平和能力的提高。</w:t>
      </w:r>
    </w:p>
    <w:p>
      <w:pPr>
        <w:widowControl w:val="0"/>
        <w:wordWrap/>
        <w:adjustRightInd w:val="0"/>
        <w:snapToGrid w:val="0"/>
        <w:spacing w:line="560" w:lineRule="exact"/>
        <w:ind w:firstLine="616" w:firstLineChars="200"/>
        <w:textAlignment w:val="auto"/>
        <w:rPr>
          <w:rFonts w:hint="eastAsia" w:ascii="楷体_GB2312" w:hAnsi="楷体_GB2312" w:eastAsia="楷体_GB2312" w:cs="楷体_GB2312"/>
          <w:b w:val="0"/>
          <w:bCs w:val="0"/>
          <w:color w:val="111111"/>
          <w:spacing w:val="-6"/>
          <w:kern w:val="0"/>
          <w:sz w:val="32"/>
          <w:szCs w:val="32"/>
          <w:highlight w:val="none"/>
          <w:lang w:val="en-US" w:eastAsia="zh-CN"/>
        </w:rPr>
      </w:pPr>
      <w:r>
        <w:rPr>
          <w:rFonts w:hint="eastAsia" w:ascii="楷体_GB2312" w:hAnsi="楷体_GB2312" w:eastAsia="楷体_GB2312" w:cs="楷体_GB2312"/>
          <w:b w:val="0"/>
          <w:bCs w:val="0"/>
          <w:color w:val="111111"/>
          <w:spacing w:val="-6"/>
          <w:kern w:val="0"/>
          <w:sz w:val="32"/>
          <w:szCs w:val="32"/>
          <w:highlight w:val="none"/>
          <w:lang w:val="en-US" w:eastAsia="zh-CN"/>
        </w:rPr>
        <w:t>（三）加强法制队伍建设，推进依法行政能力水平提升</w:t>
      </w:r>
    </w:p>
    <w:p>
      <w:pPr>
        <w:widowControl w:val="0"/>
        <w:wordWrap/>
        <w:adjustRightInd w:val="0"/>
        <w:snapToGrid w:val="0"/>
        <w:spacing w:line="560" w:lineRule="exact"/>
        <w:ind w:firstLine="616" w:firstLineChars="200"/>
        <w:textAlignment w:val="auto"/>
        <w:rPr>
          <w:rFonts w:hint="eastAsia" w:ascii="仿宋_GB2312" w:hAnsi="仿宋_GB2312" w:eastAsia="仿宋_GB2312" w:cs="仿宋_GB2312"/>
          <w:b w:val="0"/>
          <w:bCs w:val="0"/>
          <w:color w:val="111111"/>
          <w:spacing w:val="-6"/>
          <w:kern w:val="0"/>
          <w:sz w:val="32"/>
          <w:szCs w:val="32"/>
          <w:highlight w:val="none"/>
          <w:lang w:val="en-US" w:eastAsia="zh-CN"/>
        </w:rPr>
      </w:pPr>
      <w:r>
        <w:rPr>
          <w:rFonts w:hint="eastAsia" w:ascii="仿宋_GB2312" w:hAnsi="仿宋_GB2312" w:eastAsia="仿宋_GB2312" w:cs="仿宋_GB2312"/>
          <w:b w:val="0"/>
          <w:bCs w:val="0"/>
          <w:color w:val="111111"/>
          <w:spacing w:val="-6"/>
          <w:kern w:val="0"/>
          <w:sz w:val="32"/>
          <w:szCs w:val="32"/>
          <w:highlight w:val="none"/>
          <w:lang w:val="en-US" w:eastAsia="zh-CN"/>
        </w:rPr>
        <w:t>创新制度措施，把既懂法律专业知识又熟悉市场监管业务的人才充实到法制员队伍，激发集体干事热情，用好用足公职律师、法制员、外聘律师团队力量。</w:t>
      </w:r>
    </w:p>
    <w:p>
      <w:pPr>
        <w:widowControl w:val="0"/>
        <w:wordWrap/>
        <w:adjustRightInd w:val="0"/>
        <w:snapToGrid w:val="0"/>
        <w:spacing w:line="560" w:lineRule="exact"/>
        <w:ind w:firstLine="616" w:firstLineChars="200"/>
        <w:textAlignment w:val="auto"/>
        <w:rPr>
          <w:rFonts w:hint="eastAsia" w:ascii="楷体_GB2312" w:hAnsi="楷体_GB2312" w:eastAsia="楷体_GB2312" w:cs="楷体_GB2312"/>
          <w:b w:val="0"/>
          <w:bCs w:val="0"/>
          <w:color w:val="111111"/>
          <w:spacing w:val="-6"/>
          <w:kern w:val="0"/>
          <w:sz w:val="32"/>
          <w:szCs w:val="32"/>
          <w:highlight w:val="none"/>
          <w:lang w:val="en-US" w:eastAsia="zh-CN"/>
        </w:rPr>
      </w:pPr>
      <w:r>
        <w:rPr>
          <w:rFonts w:hint="eastAsia" w:ascii="楷体_GB2312" w:hAnsi="楷体_GB2312" w:eastAsia="楷体_GB2312" w:cs="楷体_GB2312"/>
          <w:b w:val="0"/>
          <w:bCs w:val="0"/>
          <w:color w:val="111111"/>
          <w:spacing w:val="-6"/>
          <w:kern w:val="0"/>
          <w:sz w:val="32"/>
          <w:szCs w:val="32"/>
          <w:highlight w:val="none"/>
          <w:lang w:val="en-US" w:eastAsia="zh-CN"/>
        </w:rPr>
        <w:t>（四）加强法制业务指导和培训，推进执法规范化建设</w:t>
      </w:r>
    </w:p>
    <w:p>
      <w:pPr>
        <w:widowControl w:val="0"/>
        <w:wordWrap/>
        <w:adjustRightInd w:val="0"/>
        <w:snapToGrid w:val="0"/>
        <w:spacing w:line="560" w:lineRule="exact"/>
        <w:ind w:firstLine="616" w:firstLineChars="200"/>
        <w:textAlignment w:val="auto"/>
        <w:rPr>
          <w:rFonts w:hint="eastAsia" w:ascii="仿宋_GB2312" w:hAnsi="仿宋_GB2312" w:eastAsia="仿宋_GB2312" w:cs="仿宋_GB2312"/>
          <w:b w:val="0"/>
          <w:bCs w:val="0"/>
          <w:color w:val="111111"/>
          <w:spacing w:val="-6"/>
          <w:kern w:val="0"/>
          <w:sz w:val="32"/>
          <w:szCs w:val="32"/>
          <w:highlight w:val="none"/>
          <w:lang w:val="en-US" w:eastAsia="zh-CN"/>
        </w:rPr>
      </w:pPr>
      <w:r>
        <w:rPr>
          <w:rFonts w:hint="eastAsia" w:ascii="仿宋_GB2312" w:hAnsi="仿宋_GB2312" w:eastAsia="仿宋_GB2312" w:cs="仿宋_GB2312"/>
          <w:b w:val="0"/>
          <w:bCs w:val="0"/>
          <w:color w:val="111111"/>
          <w:spacing w:val="-6"/>
          <w:kern w:val="0"/>
          <w:sz w:val="32"/>
          <w:szCs w:val="32"/>
          <w:highlight w:val="none"/>
          <w:lang w:val="en-US" w:eastAsia="zh-CN"/>
        </w:rPr>
        <w:t>结合当前行政复议诉讼环节、不作为投诉举报案件中高发问题，健全执法案例指导制度，通过业务讲堂、法制指导、典型案例等形式，增强执法人员程序规范意识。加强案卷评查结果运用力度，在文书规范、执法统一、证据完善等环节切实发挥指导作用。加强法制培训频次、完善培训形式，组织开展跟班学习、案例分析、诉讼听证旁听、案卷评查等形式，促进干部熟悉掌握行政执法法律法规，提升业务水平。</w:t>
      </w:r>
    </w:p>
    <w:p>
      <w:pPr>
        <w:widowControl w:val="0"/>
        <w:wordWrap/>
        <w:adjustRightInd w:val="0"/>
        <w:snapToGrid w:val="0"/>
        <w:spacing w:line="560" w:lineRule="exact"/>
        <w:ind w:firstLine="616" w:firstLineChars="200"/>
        <w:textAlignment w:val="auto"/>
        <w:rPr>
          <w:rFonts w:hint="eastAsia" w:ascii="楷体_GB2312" w:hAnsi="楷体_GB2312" w:eastAsia="楷体_GB2312" w:cs="楷体_GB2312"/>
          <w:b w:val="0"/>
          <w:bCs w:val="0"/>
          <w:color w:val="111111"/>
          <w:spacing w:val="-6"/>
          <w:kern w:val="0"/>
          <w:sz w:val="32"/>
          <w:szCs w:val="32"/>
          <w:highlight w:val="none"/>
          <w:lang w:val="en-US" w:eastAsia="zh-CN"/>
        </w:rPr>
      </w:pPr>
      <w:r>
        <w:rPr>
          <w:rFonts w:hint="eastAsia" w:ascii="楷体_GB2312" w:hAnsi="楷体_GB2312" w:eastAsia="楷体_GB2312" w:cs="楷体_GB2312"/>
          <w:b w:val="0"/>
          <w:bCs w:val="0"/>
          <w:color w:val="111111"/>
          <w:spacing w:val="-6"/>
          <w:kern w:val="0"/>
          <w:sz w:val="32"/>
          <w:szCs w:val="32"/>
          <w:highlight w:val="none"/>
          <w:lang w:val="en-US" w:eastAsia="zh-CN"/>
        </w:rPr>
        <w:t>（五）做好法治宣传教育工作，营造法治营商环境氛围</w:t>
      </w:r>
    </w:p>
    <w:p>
      <w:pPr>
        <w:widowControl w:val="0"/>
        <w:wordWrap/>
        <w:adjustRightInd w:val="0"/>
        <w:snapToGrid w:val="0"/>
        <w:spacing w:line="560" w:lineRule="exact"/>
        <w:ind w:firstLine="616" w:firstLineChars="200"/>
        <w:textAlignment w:val="auto"/>
        <w:rPr>
          <w:rFonts w:hint="eastAsia" w:ascii="仿宋_GB2312" w:hAnsi="仿宋_GB2312" w:eastAsia="仿宋_GB2312" w:cs="仿宋_GB2312"/>
          <w:b w:val="0"/>
          <w:bCs w:val="0"/>
          <w:color w:val="111111"/>
          <w:spacing w:val="-6"/>
          <w:kern w:val="0"/>
          <w:sz w:val="32"/>
          <w:szCs w:val="32"/>
          <w:highlight w:val="none"/>
          <w:lang w:val="en-US" w:eastAsia="zh-CN"/>
        </w:rPr>
      </w:pPr>
      <w:r>
        <w:rPr>
          <w:rFonts w:hint="eastAsia" w:ascii="仿宋_GB2312" w:hAnsi="仿宋_GB2312" w:eastAsia="仿宋_GB2312" w:cs="仿宋_GB2312"/>
          <w:b w:val="0"/>
          <w:bCs w:val="0"/>
          <w:color w:val="111111"/>
          <w:spacing w:val="-6"/>
          <w:kern w:val="0"/>
          <w:sz w:val="32"/>
          <w:szCs w:val="32"/>
          <w:highlight w:val="none"/>
          <w:lang w:val="en-US" w:eastAsia="zh-CN"/>
        </w:rPr>
        <w:t>结合市局、区政府对普法要求，做好八五普法开篇谋划工作。制定2022年度普法计划和工作要点，明确工作目标、任务和各部门职责，确保普法工作有序开展。建立法制部门牵头、各相关科室和市场所积极协同配合的法制宣传队伍，聚焦类金融风险、防范非法集资、预付卡消费、食品安全等高发性、热点性问题，深入社区、企业开展普法宣传活动普法宣传工作，切实满足社会对政府公共法律服务需求。继续贯彻领导干部学法用法制度，落实局长办公会会前学法和局机关负责人出庭应诉制度，贯彻执行干部培训制度和年度法治培训计划。</w:t>
      </w:r>
    </w:p>
    <w:p>
      <w:pPr>
        <w:widowControl w:val="0"/>
        <w:wordWrap/>
        <w:adjustRightInd w:val="0"/>
        <w:snapToGrid w:val="0"/>
        <w:spacing w:line="560" w:lineRule="exact"/>
        <w:ind w:firstLine="616" w:firstLineChars="200"/>
        <w:textAlignment w:val="auto"/>
        <w:rPr>
          <w:rFonts w:hint="eastAsia" w:ascii="楷体_GB2312" w:hAnsi="楷体_GB2312" w:eastAsia="楷体_GB2312" w:cs="楷体_GB2312"/>
          <w:b w:val="0"/>
          <w:bCs w:val="0"/>
          <w:color w:val="111111"/>
          <w:spacing w:val="-6"/>
          <w:kern w:val="0"/>
          <w:sz w:val="32"/>
          <w:szCs w:val="32"/>
          <w:highlight w:val="none"/>
          <w:lang w:val="en-US" w:eastAsia="zh-CN"/>
        </w:rPr>
      </w:pPr>
      <w:r>
        <w:rPr>
          <w:rFonts w:hint="eastAsia" w:ascii="楷体_GB2312" w:hAnsi="楷体_GB2312" w:eastAsia="楷体_GB2312" w:cs="楷体_GB2312"/>
          <w:b w:val="0"/>
          <w:bCs w:val="0"/>
          <w:color w:val="111111"/>
          <w:spacing w:val="-6"/>
          <w:kern w:val="0"/>
          <w:sz w:val="32"/>
          <w:szCs w:val="32"/>
          <w:highlight w:val="none"/>
          <w:lang w:val="en-US" w:eastAsia="zh-CN"/>
        </w:rPr>
        <w:t>（六）做好执法证换发、新版制服换发等基础服务保障工作</w:t>
      </w:r>
    </w:p>
    <w:p>
      <w:pPr>
        <w:widowControl w:val="0"/>
        <w:wordWrap/>
        <w:adjustRightInd w:val="0"/>
        <w:snapToGrid w:val="0"/>
        <w:spacing w:line="560" w:lineRule="exact"/>
        <w:ind w:firstLine="616" w:firstLineChars="200"/>
        <w:textAlignment w:val="auto"/>
        <w:rPr>
          <w:rFonts w:hint="eastAsia" w:ascii="仿宋_GB2312" w:hAnsi="仿宋_GB2312" w:eastAsia="仿宋_GB2312" w:cs="仿宋_GB2312"/>
          <w:b w:val="0"/>
          <w:bCs w:val="0"/>
          <w:color w:val="111111"/>
          <w:spacing w:val="-6"/>
          <w:kern w:val="0"/>
          <w:sz w:val="32"/>
          <w:szCs w:val="32"/>
          <w:highlight w:val="none"/>
          <w:lang w:val="en-US" w:eastAsia="zh-CN"/>
        </w:rPr>
      </w:pPr>
      <w:r>
        <w:rPr>
          <w:rFonts w:hint="eastAsia" w:ascii="仿宋_GB2312" w:hAnsi="仿宋_GB2312" w:eastAsia="仿宋_GB2312" w:cs="仿宋_GB2312"/>
          <w:b w:val="0"/>
          <w:bCs w:val="0"/>
          <w:color w:val="111111"/>
          <w:spacing w:val="-6"/>
          <w:kern w:val="0"/>
          <w:sz w:val="32"/>
          <w:szCs w:val="32"/>
          <w:highlight w:val="none"/>
          <w:lang w:val="en-US" w:eastAsia="zh-CN"/>
        </w:rPr>
        <w:t>依据国务院关于统一换发行政执法工作服装的通知及《综合行政执法制式服装和标志管理办法》规定，经前期综合行政执法制式服装和标志人员信息统计等基础工作，在市局履行完全市范围集体采购招投标环节后，我局将组织全部执法人员开展新制服量体裁衣工作，尽快完成机构整合后新版执法证申领换发以及制服统一工作，实现全员“换装”，补齐“合”并后的最后一块“短板”，增强广大干部集体凝聚力，树立市场监管队伍“新”形象。</w:t>
      </w:r>
    </w:p>
    <w:p>
      <w:pPr>
        <w:pStyle w:val="2"/>
        <w:adjustRightInd w:val="0"/>
        <w:snapToGrid w:val="0"/>
        <w:spacing w:line="560" w:lineRule="exact"/>
        <w:ind w:firstLine="616" w:firstLineChars="200"/>
        <w:rPr>
          <w:rFonts w:hint="eastAsia" w:ascii="黑体" w:hAnsi="黑体" w:eastAsia="黑体" w:cs="黑体"/>
          <w:b w:val="0"/>
          <w:bCs w:val="0"/>
          <w:color w:val="111111"/>
          <w:spacing w:val="-6"/>
          <w:kern w:val="0"/>
          <w:sz w:val="32"/>
          <w:szCs w:val="32"/>
          <w:highlight w:val="none"/>
          <w:lang w:val="en-US" w:eastAsia="zh-CN"/>
        </w:rPr>
      </w:pPr>
      <w:r>
        <w:rPr>
          <w:rFonts w:hint="eastAsia" w:ascii="黑体" w:hAnsi="黑体" w:eastAsia="黑体" w:cs="黑体"/>
          <w:b w:val="0"/>
          <w:bCs w:val="0"/>
          <w:color w:val="111111"/>
          <w:spacing w:val="-6"/>
          <w:kern w:val="0"/>
          <w:sz w:val="32"/>
          <w:szCs w:val="32"/>
          <w:highlight w:val="none"/>
          <w:lang w:val="en-US" w:eastAsia="zh-CN"/>
        </w:rPr>
        <w:t>五、其他需要报告的情况</w:t>
      </w:r>
    </w:p>
    <w:p>
      <w:pPr>
        <w:pStyle w:val="2"/>
        <w:adjustRightInd w:val="0"/>
        <w:snapToGrid w:val="0"/>
        <w:spacing w:line="560" w:lineRule="exact"/>
        <w:ind w:firstLine="592"/>
        <w:rPr>
          <w:rFonts w:hint="eastAsia" w:ascii="仿宋_GB2312" w:hAnsi="仿宋_GB2312" w:eastAsia="仿宋_GB2312" w:cs="仿宋_GB2312"/>
          <w:b w:val="0"/>
          <w:bCs w:val="0"/>
          <w:color w:val="111111"/>
          <w:spacing w:val="-6"/>
          <w:kern w:val="0"/>
          <w:sz w:val="32"/>
          <w:szCs w:val="32"/>
          <w:highlight w:val="none"/>
          <w:lang w:val="en-US" w:eastAsia="zh-CN"/>
        </w:rPr>
      </w:pPr>
      <w:r>
        <w:rPr>
          <w:rFonts w:hint="eastAsia" w:ascii="仿宋_GB2312" w:hAnsi="仿宋_GB2312" w:eastAsia="仿宋_GB2312" w:cs="仿宋_GB2312"/>
          <w:b w:val="0"/>
          <w:bCs w:val="0"/>
          <w:color w:val="111111"/>
          <w:spacing w:val="-6"/>
          <w:kern w:val="0"/>
          <w:sz w:val="32"/>
          <w:szCs w:val="32"/>
          <w:highlight w:val="none"/>
          <w:lang w:val="en-US" w:eastAsia="zh-CN"/>
        </w:rPr>
        <w:t>无其他需要报告的内容。</w:t>
      </w:r>
    </w:p>
    <w:p>
      <w:pPr>
        <w:pStyle w:val="2"/>
        <w:adjustRightInd w:val="0"/>
        <w:snapToGrid w:val="0"/>
        <w:spacing w:line="560" w:lineRule="exact"/>
        <w:ind w:firstLine="592"/>
        <w:rPr>
          <w:rFonts w:hint="eastAsia" w:ascii="仿宋_GB2312" w:hAnsi="仿宋_GB2312" w:eastAsia="仿宋_GB2312" w:cs="仿宋_GB2312"/>
          <w:b w:val="0"/>
          <w:bCs w:val="0"/>
          <w:color w:val="111111"/>
          <w:spacing w:val="-6"/>
          <w:kern w:val="0"/>
          <w:sz w:val="32"/>
          <w:szCs w:val="32"/>
          <w:highlight w:val="none"/>
          <w:lang w:val="en-US" w:eastAsia="zh-CN"/>
        </w:rPr>
      </w:pPr>
    </w:p>
    <w:p>
      <w:pPr>
        <w:pStyle w:val="3"/>
        <w:keepNext w:val="0"/>
        <w:keepLines w:val="0"/>
        <w:pageBreakBefore w:val="0"/>
        <w:widowControl w:val="0"/>
        <w:kinsoku/>
        <w:wordWrap/>
        <w:overflowPunct/>
        <w:topLinePunct w:val="0"/>
        <w:autoSpaceDE/>
        <w:autoSpaceDN/>
        <w:bidi w:val="0"/>
        <w:adjustRightInd w:val="0"/>
        <w:snapToGrid w:val="0"/>
        <w:spacing w:line="560" w:lineRule="exact"/>
        <w:jc w:val="right"/>
        <w:textAlignment w:val="auto"/>
        <w:rPr>
          <w:rFonts w:hint="default" w:ascii="仿宋_GB2312" w:hAnsi="仿宋_GB2312" w:eastAsia="仿宋_GB2312" w:cs="仿宋_GB2312"/>
          <w:b w:val="0"/>
          <w:bCs w:val="0"/>
          <w:color w:val="111111"/>
          <w:spacing w:val="-6"/>
          <w:kern w:val="0"/>
          <w:sz w:val="32"/>
          <w:szCs w:val="32"/>
          <w:highlight w:val="none"/>
          <w:lang w:val="en-US" w:eastAsia="zh-CN"/>
        </w:rPr>
      </w:pPr>
      <w:r>
        <w:rPr>
          <w:rFonts w:hint="eastAsia" w:ascii="仿宋_GB2312" w:hAnsi="仿宋_GB2312" w:eastAsia="仿宋_GB2312" w:cs="仿宋_GB2312"/>
          <w:b w:val="0"/>
          <w:bCs w:val="0"/>
          <w:color w:val="111111"/>
          <w:spacing w:val="-6"/>
          <w:kern w:val="0"/>
          <w:sz w:val="32"/>
          <w:szCs w:val="32"/>
          <w:highlight w:val="none"/>
          <w:lang w:val="en-US" w:eastAsia="zh-CN"/>
        </w:rPr>
        <w:t xml:space="preserve"> 门头沟区市场监督管理局</w:t>
      </w:r>
    </w:p>
    <w:p>
      <w:pPr>
        <w:pStyle w:val="2"/>
        <w:adjustRightInd w:val="0"/>
        <w:snapToGrid w:val="0"/>
        <w:spacing w:line="560" w:lineRule="exact"/>
        <w:rPr>
          <w:rFonts w:hint="eastAsia" w:ascii="仿宋_GB2312" w:hAnsi="仿宋_GB2312" w:eastAsia="仿宋_GB2312" w:cs="仿宋_GB2312"/>
          <w:b w:val="0"/>
          <w:bCs w:val="0"/>
          <w:color w:val="111111"/>
          <w:spacing w:val="-6"/>
          <w:kern w:val="0"/>
          <w:sz w:val="32"/>
          <w:szCs w:val="32"/>
          <w:highlight w:val="none"/>
          <w:lang w:val="en-US" w:eastAsia="zh-CN"/>
        </w:rPr>
      </w:pPr>
      <w:r>
        <w:rPr>
          <w:rFonts w:hint="eastAsia" w:ascii="仿宋_GB2312" w:hAnsi="仿宋_GB2312" w:eastAsia="仿宋_GB2312" w:cs="仿宋_GB2312"/>
          <w:b w:val="0"/>
          <w:bCs w:val="0"/>
          <w:color w:val="111111"/>
          <w:spacing w:val="-6"/>
          <w:kern w:val="0"/>
          <w:sz w:val="32"/>
          <w:szCs w:val="32"/>
          <w:highlight w:val="none"/>
          <w:lang w:val="en-US" w:eastAsia="zh-CN"/>
        </w:rPr>
        <w:t xml:space="preserve">                                     2022年2月27日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D043E6D"/>
    <w:rsid w:val="372E055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customStyle="1" w:styleId="2">
    <w:name w:val="BodyText"/>
    <w:basedOn w:val="1"/>
    <w:qFormat/>
    <w:uiPriority w:val="0"/>
    <w:rPr>
      <w:rFonts w:ascii="Times New Roman" w:hAnsi="Times New Roman" w:eastAsia="楷体_GB2312" w:cs="Times New Roman"/>
      <w:sz w:val="32"/>
    </w:rPr>
  </w:style>
  <w:style w:type="paragraph" w:styleId="3">
    <w:name w:val="Body Text"/>
    <w:basedOn w:val="1"/>
    <w:qFormat/>
    <w:uiPriority w:val="0"/>
    <w:pPr>
      <w:spacing w:after="140" w:line="276" w:lineRule="auto"/>
    </w:pPr>
  </w:style>
  <w:style w:type="paragraph" w:styleId="4">
    <w:name w:val="Normal (Web)"/>
    <w:basedOn w:val="1"/>
    <w:qFormat/>
    <w:uiPriority w:val="0"/>
    <w:pPr>
      <w:spacing w:before="100" w:beforeAutospacing="1" w:after="100" w:afterAutospacing="1"/>
      <w:ind w:left="0" w:right="0"/>
      <w:jc w:val="left"/>
    </w:pPr>
    <w:rPr>
      <w:kern w:val="0"/>
      <w:sz w:val="24"/>
      <w:lang w:val="en-US" w:eastAsia="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Office_10.8.2.6726_F1E327BC-269C-435d-A152-05C5408002CA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2024-12-16T07:44:26Z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2052-10.8.2.6726</vt:lpwstr>
  </property>
</Properties>
</file>