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b/>
          <w:sz w:val="32"/>
          <w:szCs w:val="32"/>
        </w:rPr>
      </w:pPr>
    </w:p>
    <w:p>
      <w:pPr>
        <w:jc w:val="center"/>
        <w:rPr>
          <w:rFonts w:hint="eastAsia" w:ascii="黑体" w:eastAsia="黑体"/>
          <w:sz w:val="72"/>
          <w:szCs w:val="72"/>
        </w:rPr>
      </w:pPr>
    </w:p>
    <w:p>
      <w:pPr>
        <w:jc w:val="center"/>
        <w:rPr>
          <w:rFonts w:ascii="黑体" w:eastAsia="黑体"/>
          <w:sz w:val="72"/>
          <w:szCs w:val="72"/>
        </w:rPr>
      </w:pPr>
    </w:p>
    <w:p>
      <w:pPr>
        <w:jc w:val="center"/>
        <w:rPr>
          <w:rFonts w:hint="eastAsia" w:ascii="黑体" w:eastAsia="黑体"/>
          <w:sz w:val="72"/>
          <w:szCs w:val="72"/>
        </w:rPr>
      </w:pPr>
    </w:p>
    <w:p>
      <w:pPr>
        <w:jc w:val="center"/>
        <w:rPr>
          <w:rFonts w:hint="eastAsia" w:ascii="黑体" w:eastAsia="黑体"/>
          <w:sz w:val="72"/>
          <w:szCs w:val="72"/>
        </w:rPr>
      </w:pPr>
    </w:p>
    <w:p>
      <w:pPr>
        <w:jc w:val="center"/>
        <w:rPr>
          <w:rFonts w:hint="eastAsia" w:ascii="黑体" w:eastAsia="黑体"/>
          <w:sz w:val="52"/>
          <w:szCs w:val="52"/>
          <w:lang w:eastAsia="zh-CN"/>
        </w:rPr>
      </w:pPr>
      <w:r>
        <w:rPr>
          <w:rFonts w:hint="eastAsia" w:ascii="黑体" w:eastAsia="黑体"/>
          <w:sz w:val="52"/>
          <w:szCs w:val="52"/>
        </w:rPr>
        <w:t>2025年度</w:t>
      </w:r>
      <w:r>
        <w:rPr>
          <w:rFonts w:hint="eastAsia" w:ascii="黑体" w:eastAsia="黑体"/>
          <w:sz w:val="52"/>
          <w:szCs w:val="52"/>
          <w:lang w:eastAsia="zh-CN"/>
        </w:rPr>
        <w:t>北京市门头沟区人民政府办公室</w:t>
      </w:r>
    </w:p>
    <w:p>
      <w:pPr>
        <w:jc w:val="center"/>
        <w:rPr>
          <w:rFonts w:hint="eastAsia" w:ascii="黑体" w:eastAsia="黑体"/>
          <w:sz w:val="52"/>
          <w:szCs w:val="52"/>
        </w:rPr>
      </w:pPr>
      <w:r>
        <w:rPr>
          <w:rFonts w:hint="eastAsia" w:ascii="黑体" w:eastAsia="黑体"/>
          <w:sz w:val="52"/>
          <w:szCs w:val="52"/>
          <w:lang w:eastAsia="zh-CN"/>
        </w:rPr>
        <w:t>及集中财务核算单位</w:t>
      </w:r>
      <w:r>
        <w:rPr>
          <w:rFonts w:hint="eastAsia" w:ascii="黑体" w:eastAsia="黑体"/>
          <w:sz w:val="52"/>
          <w:szCs w:val="52"/>
        </w:rPr>
        <w:t>部门决算</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pStyle w:val="2"/>
        <w:rPr>
          <w:rFonts w:ascii="黑体" w:eastAsia="黑体"/>
          <w:sz w:val="52"/>
          <w:szCs w:val="52"/>
        </w:rPr>
      </w:pPr>
    </w:p>
    <w:p>
      <w:pPr>
        <w:rPr>
          <w:rFonts w:ascii="黑体" w:eastAsia="黑体"/>
          <w:sz w:val="52"/>
          <w:szCs w:val="52"/>
        </w:rPr>
      </w:pPr>
    </w:p>
    <w:p>
      <w:pPr>
        <w:pStyle w:val="2"/>
        <w:rPr>
          <w:rFonts w:ascii="黑体" w:eastAsia="黑体"/>
          <w:sz w:val="52"/>
          <w:szCs w:val="52"/>
        </w:rPr>
      </w:pPr>
    </w:p>
    <w:p/>
    <w:p>
      <w:pPr>
        <w:jc w:val="center"/>
        <w:rPr>
          <w:rFonts w:hint="eastAsia"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left="0" w:leftChars="0" w:firstLine="374" w:firstLineChars="104"/>
        <w:jc w:val="center"/>
        <w:rPr>
          <w:rFonts w:hint="eastAsia" w:ascii="宋体" w:hAnsi="宋体" w:cs="宋体"/>
          <w:b/>
          <w:bCs/>
          <w:kern w:val="0"/>
          <w:sz w:val="36"/>
          <w:szCs w:val="36"/>
        </w:rPr>
      </w:pPr>
    </w:p>
    <w:p>
      <w:pPr>
        <w:tabs>
          <w:tab w:val="center" w:pos="6979"/>
        </w:tabs>
        <w:spacing w:line="500" w:lineRule="exact"/>
        <w:ind w:left="0" w:leftChars="0" w:firstLine="416" w:firstLineChars="104"/>
        <w:jc w:val="left"/>
        <w:rPr>
          <w:rFonts w:hint="eastAsia"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left="0" w:leftChars="0" w:firstLine="416" w:firstLineChars="104"/>
        <w:jc w:val="left"/>
        <w:rPr>
          <w:rFonts w:hint="eastAsia"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left="0" w:leftChars="0" w:firstLine="416" w:firstLineChars="104"/>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left="0" w:leftChars="0" w:firstLine="416" w:firstLineChars="104"/>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left="0" w:leftChars="0" w:firstLine="416" w:firstLineChars="104"/>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left="0" w:leftChars="0" w:firstLine="416" w:firstLineChars="104"/>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left="0" w:leftChars="0" w:firstLine="416" w:firstLineChars="104"/>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left="0" w:leftChars="0" w:firstLine="416" w:firstLineChars="104"/>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left="0" w:leftChars="0" w:firstLine="416" w:firstLineChars="104"/>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left="0" w:leftChars="0" w:firstLine="416" w:firstLineChars="104"/>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left="0" w:leftChars="0" w:firstLine="416" w:firstLineChars="104"/>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left="0" w:leftChars="0" w:firstLine="416" w:firstLineChars="104"/>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left="0" w:leftChars="0" w:firstLine="416" w:firstLineChars="104"/>
        <w:jc w:val="left"/>
        <w:rPr>
          <w:rFonts w:hint="eastAsia"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left="0" w:leftChars="0" w:firstLine="416" w:firstLineChars="104"/>
        <w:jc w:val="left"/>
        <w:rPr>
          <w:rFonts w:hint="eastAsia"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left="0" w:leftChars="0" w:firstLine="416" w:firstLineChars="104"/>
        <w:jc w:val="left"/>
        <w:rPr>
          <w:rFonts w:hint="eastAsia"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ind w:left="0" w:leftChars="0" w:firstLine="416" w:firstLineChars="104"/>
        <w:jc w:val="center"/>
        <w:rPr>
          <w:rFonts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pStyle w:val="2"/>
        <w:rPr>
          <w:rFonts w:hint="eastAsia"/>
        </w:rPr>
      </w:pPr>
    </w:p>
    <w:p>
      <w:pPr>
        <w:rPr>
          <w:rFonts w:hint="eastAsia"/>
        </w:rPr>
      </w:pPr>
    </w:p>
    <w:p>
      <w:pPr>
        <w:pStyle w:val="2"/>
        <w:rPr>
          <w:rFonts w:hint="eastAsia"/>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32"/>
          <w:szCs w:val="32"/>
        </w:rPr>
        <w:t>第一部分 2025年度部门决算报表</w:t>
      </w:r>
    </w:p>
    <w:p>
      <w:pPr>
        <w:tabs>
          <w:tab w:val="center" w:pos="6979"/>
        </w:tabs>
        <w:spacing w:line="500" w:lineRule="exact"/>
        <w:ind w:firstLine="560" w:firstLineChars="200"/>
        <w:jc w:val="left"/>
        <w:rPr>
          <w:rFonts w:hint="eastAsia" w:ascii="黑体" w:eastAsia="黑体"/>
          <w:b/>
          <w:sz w:val="28"/>
          <w:szCs w:val="28"/>
        </w:rPr>
      </w:pPr>
      <w:r>
        <w:rPr>
          <w:rFonts w:hint="eastAsia" w:ascii="黑体" w:eastAsia="黑体"/>
          <w:b/>
          <w:sz w:val="28"/>
          <w:szCs w:val="28"/>
        </w:rPr>
        <w:t>（报表详见附件）</w:t>
      </w:r>
    </w:p>
    <w:p>
      <w:pPr>
        <w:tabs>
          <w:tab w:val="center" w:pos="6979"/>
        </w:tabs>
        <w:rPr>
          <w:rFonts w:hint="eastAsia" w:ascii="宋体" w:hAnsi="宋体" w:cs="宋体"/>
          <w:b/>
          <w:bCs/>
          <w:spacing w:val="40"/>
          <w:kern w:val="0"/>
          <w:sz w:val="32"/>
          <w:szCs w:val="32"/>
        </w:rPr>
        <w:sectPr>
          <w:footerReference r:id="rId3" w:type="default"/>
          <w:footerReference r:id="rId4" w:type="even"/>
          <w:pgSz w:w="11906" w:h="16838"/>
          <w:pgMar w:top="1134" w:right="1134" w:bottom="1134" w:left="1134" w:header="851" w:footer="992" w:gutter="0"/>
          <w:pgBorders>
            <w:top w:val="none" w:sz="0" w:space="0"/>
            <w:left w:val="none" w:sz="0" w:space="0"/>
            <w:bottom w:val="none" w:sz="0" w:space="0"/>
            <w:right w:val="none" w:sz="0" w:space="0"/>
          </w:pgBorders>
          <w:cols w:space="720" w:num="1"/>
          <w:docGrid w:type="linesAndChars" w:linePitch="312" w:charSpace="0"/>
        </w:sectPr>
      </w:pPr>
      <w:r>
        <w:rPr>
          <w:rFonts w:hint="eastAsia" w:ascii="宋体" w:hAnsi="宋体" w:cs="宋体"/>
          <w:b/>
          <w:bCs/>
          <w:spacing w:val="40"/>
          <w:kern w:val="0"/>
          <w:sz w:val="32"/>
          <w:szCs w:val="32"/>
        </w:rPr>
        <w:t xml:space="preserve"> </w:t>
      </w:r>
    </w:p>
    <w:p>
      <w:pPr>
        <w:tabs>
          <w:tab w:val="left" w:pos="1680"/>
        </w:tabs>
        <w:rPr>
          <w:rFonts w:hint="eastAsia" w:ascii="宋体" w:hAnsi="宋体" w:cs="宋体"/>
          <w:sz w:val="32"/>
          <w:szCs w:val="32"/>
        </w:rPr>
      </w:pPr>
    </w:p>
    <w:p>
      <w:pPr>
        <w:tabs>
          <w:tab w:val="center" w:pos="6979"/>
        </w:tabs>
        <w:spacing w:before="156" w:beforeLines="50" w:after="156" w:afterLines="50"/>
        <w:jc w:val="center"/>
        <w:rPr>
          <w:rFonts w:hint="eastAsia"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keepNext w:val="0"/>
        <w:keepLines w:val="0"/>
        <w:pageBreakBefore w:val="0"/>
        <w:widowControl w:val="0"/>
        <w:tabs>
          <w:tab w:val="center" w:pos="6979"/>
        </w:tabs>
        <w:kinsoku/>
        <w:wordWrap/>
        <w:overflowPunct/>
        <w:topLinePunct w:val="0"/>
        <w:autoSpaceDE/>
        <w:autoSpaceDN/>
        <w:bidi w:val="0"/>
        <w:adjustRightInd/>
        <w:spacing w:line="580" w:lineRule="exact"/>
        <w:ind w:firstLine="560" w:firstLineChars="200"/>
        <w:textAlignment w:val="auto"/>
        <w:outlineLvl w:val="9"/>
        <w:rPr>
          <w:rFonts w:hint="eastAsia" w:ascii="黑体" w:eastAsia="黑体"/>
          <w:b/>
          <w:sz w:val="28"/>
          <w:szCs w:val="28"/>
        </w:rPr>
      </w:pPr>
      <w:r>
        <w:rPr>
          <w:rFonts w:hint="eastAsia" w:ascii="黑体" w:eastAsia="黑体"/>
          <w:b/>
          <w:sz w:val="28"/>
          <w:szCs w:val="28"/>
        </w:rPr>
        <w:t>一、部门/单位基本情况</w:t>
      </w:r>
    </w:p>
    <w:p>
      <w:pPr>
        <w:keepNext w:val="0"/>
        <w:keepLines w:val="0"/>
        <w:pageBreakBefore w:val="0"/>
        <w:widowControl w:val="0"/>
        <w:tabs>
          <w:tab w:val="center" w:pos="6979"/>
        </w:tabs>
        <w:kinsoku/>
        <w:wordWrap/>
        <w:overflowPunct/>
        <w:topLinePunct w:val="0"/>
        <w:autoSpaceDE/>
        <w:autoSpaceDN/>
        <w:bidi w:val="0"/>
        <w:adjustRightInd/>
        <w:spacing w:line="580" w:lineRule="exact"/>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keepNext w:val="0"/>
        <w:keepLines w:val="0"/>
        <w:pageBreakBefore w:val="0"/>
        <w:widowControl w:val="0"/>
        <w:tabs>
          <w:tab w:val="center" w:pos="6979"/>
        </w:tabs>
        <w:kinsoku/>
        <w:wordWrap/>
        <w:overflowPunct/>
        <w:topLinePunct w:val="0"/>
        <w:autoSpaceDE/>
        <w:autoSpaceDN/>
        <w:bidi w:val="0"/>
        <w:adjustRightInd/>
        <w:spacing w:line="520" w:lineRule="exact"/>
        <w:ind w:firstLine="560" w:firstLineChars="200"/>
        <w:textAlignment w:val="auto"/>
        <w:outlineLvl w:val="9"/>
        <w:rPr>
          <w:rFonts w:hint="eastAsia" w:ascii="仿宋_GB2312" w:eastAsia="仿宋_GB2312"/>
          <w:sz w:val="28"/>
          <w:szCs w:val="32"/>
        </w:rPr>
      </w:pPr>
      <w:r>
        <w:rPr>
          <w:rFonts w:hint="eastAsia" w:ascii="仿宋_GB2312" w:eastAsia="仿宋_GB2312"/>
          <w:sz w:val="28"/>
          <w:szCs w:val="32"/>
          <w:lang w:eastAsia="zh-CN"/>
        </w:rPr>
        <w:t>区政府办负责十一家单位集中财务核算工作，</w:t>
      </w:r>
      <w:r>
        <w:rPr>
          <w:rFonts w:hint="eastAsia" w:ascii="仿宋_GB2312" w:eastAsia="仿宋_GB2312"/>
          <w:sz w:val="28"/>
          <w:szCs w:val="32"/>
          <w:lang w:val="en-US" w:eastAsia="zh-CN"/>
        </w:rPr>
        <w:t>各部门主要职责简要概括为</w:t>
      </w:r>
      <w:r>
        <w:rPr>
          <w:rFonts w:hint="eastAsia" w:ascii="仿宋_GB2312" w:eastAsia="仿宋_GB2312"/>
          <w:sz w:val="28"/>
          <w:szCs w:val="32"/>
          <w:lang w:eastAsia="zh-CN"/>
        </w:rPr>
        <w:t>协助本部门领导处理部门日常事务工作、专项事务工作、应急性工作、重大事件工作及其他相关工作，包括但不限于：部门会议及会务筹备组织工作，部门材料报告撰写及公文处理工作，部门相关联络及公务接洽工作，部门调研及专项项目工作，部门对接市对口单位年度及专项工作等。</w:t>
      </w:r>
    </w:p>
    <w:p>
      <w:pPr>
        <w:keepNext w:val="0"/>
        <w:keepLines w:val="0"/>
        <w:pageBreakBefore w:val="0"/>
        <w:widowControl w:val="0"/>
        <w:numPr>
          <w:ilvl w:val="0"/>
          <w:numId w:val="1"/>
        </w:numPr>
        <w:tabs>
          <w:tab w:val="center" w:pos="6979"/>
        </w:tabs>
        <w:kinsoku/>
        <w:wordWrap/>
        <w:overflowPunct/>
        <w:topLinePunct w:val="0"/>
        <w:autoSpaceDE/>
        <w:autoSpaceDN/>
        <w:bidi w:val="0"/>
        <w:adjustRightInd/>
        <w:spacing w:line="580" w:lineRule="exact"/>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集中财务核算单位构成如下：</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（1）北京市门头沟区人民政府办公室；</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（2）中国共产党北京市门头沟区委员会办公室；</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（3）中国共产党北京市门头沟区委员会宣传部；</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（4）中国共产党北京市门头沟区委员会研究室；</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（5）中国共产主义青年团北京市门头沟区委员会；</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（6）中国共产党北京市门头沟区委员会统一战线工作部；</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（7）北京市门头沟区信访办公室；</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（8）中国共产党北京市门头沟区委员会组织部；</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（9）中共北京市门头沟区委区直属机关工作委员会；</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（10）中国共产党北京市门头沟区委网络安全和信息化委员会办公室；</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（11）中国共产党北京市门头沟区委员会社会工作部。</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0" w:firstLineChars="200"/>
        <w:textAlignment w:val="auto"/>
        <w:outlineLvl w:val="9"/>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2025年度部门决算集中财务核算单位11家，较2024年度无变化。</w:t>
      </w:r>
    </w:p>
    <w:p>
      <w:pPr>
        <w:keepNext w:val="0"/>
        <w:keepLines w:val="0"/>
        <w:pageBreakBefore w:val="0"/>
        <w:widowControl w:val="0"/>
        <w:tabs>
          <w:tab w:val="center" w:pos="6979"/>
        </w:tabs>
        <w:kinsoku/>
        <w:wordWrap/>
        <w:overflowPunct/>
        <w:topLinePunct w:val="0"/>
        <w:autoSpaceDE/>
        <w:autoSpaceDN/>
        <w:bidi w:val="0"/>
        <w:adjustRightInd/>
        <w:spacing w:line="580" w:lineRule="exact"/>
        <w:ind w:firstLine="560" w:firstLineChars="200"/>
        <w:textAlignment w:val="auto"/>
        <w:outlineLvl w:val="9"/>
        <w:rPr>
          <w:rFonts w:hint="eastAsia" w:ascii="黑体" w:eastAsia="黑体"/>
          <w:b/>
          <w:sz w:val="28"/>
          <w:szCs w:val="28"/>
        </w:rPr>
      </w:pPr>
      <w:r>
        <w:rPr>
          <w:rFonts w:hint="eastAsia" w:ascii="黑体" w:eastAsia="黑体"/>
          <w:b/>
          <w:sz w:val="28"/>
          <w:szCs w:val="28"/>
        </w:rPr>
        <w:t>二、收入支出决算总体情况说明</w:t>
      </w:r>
    </w:p>
    <w:p>
      <w:pPr>
        <w:keepNext w:val="0"/>
        <w:keepLines w:val="0"/>
        <w:pageBreakBefore w:val="0"/>
        <w:widowControl w:val="0"/>
        <w:tabs>
          <w:tab w:val="center" w:pos="6979"/>
        </w:tabs>
        <w:kinsoku/>
        <w:wordWrap/>
        <w:overflowPunct/>
        <w:topLinePunct w:val="0"/>
        <w:autoSpaceDE/>
        <w:autoSpaceDN/>
        <w:bidi w:val="0"/>
        <w:adjustRightInd/>
        <w:spacing w:line="580" w:lineRule="exact"/>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度收、</w:t>
      </w:r>
      <w:r>
        <w:rPr>
          <w:rFonts w:ascii="仿宋_GB2312" w:eastAsia="仿宋_GB2312"/>
          <w:sz w:val="28"/>
          <w:szCs w:val="28"/>
        </w:rPr>
        <w:t>支</w:t>
      </w:r>
      <w:r>
        <w:rPr>
          <w:rFonts w:hint="eastAsia" w:ascii="仿宋_GB2312" w:eastAsia="仿宋_GB2312"/>
          <w:sz w:val="28"/>
          <w:szCs w:val="28"/>
        </w:rPr>
        <w:t>总计</w:t>
      </w:r>
      <w:r>
        <w:rPr>
          <w:rFonts w:hint="eastAsia" w:ascii="仿宋_GB2312" w:eastAsia="仿宋_GB2312"/>
          <w:sz w:val="28"/>
          <w:szCs w:val="28"/>
          <w:lang w:val="en-US" w:eastAsia="zh-CN"/>
        </w:rPr>
        <w:t>159,107,155.32</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15,282,407.19</w:t>
      </w:r>
      <w:r>
        <w:rPr>
          <w:rFonts w:hint="eastAsia" w:ascii="仿宋_GB2312" w:eastAsia="仿宋_GB2312"/>
          <w:sz w:val="28"/>
          <w:szCs w:val="28"/>
        </w:rPr>
        <w:t>元，下降</w:t>
      </w:r>
      <w:r>
        <w:rPr>
          <w:rFonts w:hint="eastAsia" w:ascii="仿宋_GB2312" w:eastAsia="仿宋_GB2312"/>
          <w:sz w:val="28"/>
          <w:szCs w:val="28"/>
          <w:lang w:val="en-US" w:eastAsia="zh-CN"/>
        </w:rPr>
        <w:t>8.8</w:t>
      </w:r>
      <w:r>
        <w:rPr>
          <w:rFonts w:hint="eastAsia" w:ascii="仿宋_GB2312" w:eastAsia="仿宋_GB2312"/>
          <w:sz w:val="28"/>
          <w:szCs w:val="28"/>
        </w:rPr>
        <w:t>%。。</w:t>
      </w:r>
    </w:p>
    <w:p>
      <w:pPr>
        <w:tabs>
          <w:tab w:val="center" w:pos="6979"/>
        </w:tabs>
        <w:spacing w:line="580" w:lineRule="exact"/>
        <w:ind w:firstLine="570"/>
        <w:rPr>
          <w:rFonts w:hint="eastAsia"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收入决算</w:t>
      </w:r>
      <w:r>
        <w:rPr>
          <w:rFonts w:ascii="仿宋_GB2312" w:eastAsia="仿宋_GB2312"/>
          <w:sz w:val="28"/>
          <w:szCs w:val="28"/>
          <w:highlight w:val="none"/>
        </w:rPr>
        <w:t>说明</w:t>
      </w:r>
    </w:p>
    <w:p>
      <w:pPr>
        <w:tabs>
          <w:tab w:val="center" w:pos="6979"/>
        </w:tabs>
        <w:spacing w:line="580" w:lineRule="exact"/>
        <w:ind w:firstLine="570"/>
        <w:rPr>
          <w:rFonts w:hint="eastAsia" w:ascii="仿宋_GB2312" w:eastAsia="仿宋_GB2312"/>
          <w:sz w:val="28"/>
          <w:szCs w:val="28"/>
          <w:lang w:val="en-US" w:eastAsia="zh-CN"/>
        </w:rPr>
      </w:pPr>
      <w:r>
        <w:rPr>
          <w:rFonts w:hint="eastAsia" w:ascii="仿宋_GB2312" w:eastAsia="仿宋_GB2312"/>
          <w:sz w:val="28"/>
          <w:szCs w:val="28"/>
          <w:lang w:eastAsia="zh-CN"/>
        </w:rPr>
        <w:t>2025年</w:t>
      </w:r>
      <w:r>
        <w:rPr>
          <w:rFonts w:hint="eastAsia" w:ascii="仿宋_GB2312" w:eastAsia="仿宋_GB2312"/>
          <w:sz w:val="28"/>
          <w:szCs w:val="28"/>
        </w:rPr>
        <w:t>度本年收入合计</w:t>
      </w:r>
      <w:r>
        <w:rPr>
          <w:rFonts w:hint="eastAsia" w:ascii="仿宋_GB2312" w:eastAsia="仿宋_GB2312"/>
          <w:sz w:val="28"/>
          <w:szCs w:val="28"/>
          <w:lang w:val="en-US" w:eastAsia="zh-CN"/>
        </w:rPr>
        <w:t>157,398,373.04</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 xml:space="preserve">12,724,244.63 </w:t>
      </w:r>
    </w:p>
    <w:p>
      <w:pPr>
        <w:tabs>
          <w:tab w:val="center" w:pos="6979"/>
        </w:tabs>
        <w:spacing w:line="580" w:lineRule="exact"/>
        <w:rPr>
          <w:rFonts w:hint="eastAsia" w:ascii="仿宋_GB2312" w:eastAsia="仿宋_GB2312"/>
          <w:sz w:val="28"/>
          <w:szCs w:val="28"/>
        </w:rPr>
      </w:pPr>
      <w:r>
        <w:rPr>
          <w:rFonts w:hint="eastAsia" w:ascii="仿宋_GB2312" w:eastAsia="仿宋_GB2312"/>
          <w:sz w:val="28"/>
          <w:szCs w:val="28"/>
        </w:rPr>
        <w:t>元，增长下降</w:t>
      </w:r>
      <w:r>
        <w:rPr>
          <w:rFonts w:hint="eastAsia" w:ascii="仿宋_GB2312" w:eastAsia="仿宋_GB2312"/>
          <w:sz w:val="28"/>
          <w:szCs w:val="28"/>
          <w:lang w:val="en-US" w:eastAsia="zh-CN"/>
        </w:rPr>
        <w:t>7.5</w:t>
      </w:r>
      <w:r>
        <w:rPr>
          <w:rFonts w:hint="eastAsia" w:ascii="仿宋_GB2312" w:eastAsia="仿宋_GB2312"/>
          <w:sz w:val="28"/>
          <w:szCs w:val="28"/>
        </w:rPr>
        <w:t>%</w:t>
      </w:r>
      <w:r>
        <w:rPr>
          <w:rFonts w:hint="eastAsia" w:ascii="仿宋_GB2312" w:eastAsia="仿宋_GB2312"/>
          <w:sz w:val="28"/>
          <w:szCs w:val="28"/>
          <w:lang w:eastAsia="zh-CN"/>
        </w:rPr>
        <w:t>。</w:t>
      </w:r>
    </w:p>
    <w:p>
      <w:pPr>
        <w:numPr>
          <w:ilvl w:val="0"/>
          <w:numId w:val="0"/>
        </w:num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w:t>
      </w:r>
      <w:r>
        <w:rPr>
          <w:rFonts w:hint="eastAsia" w:ascii="仿宋_GB2312" w:eastAsia="仿宋_GB2312"/>
          <w:sz w:val="28"/>
          <w:szCs w:val="28"/>
        </w:rPr>
        <w:t>财政拨款收入157,398,373.04元，占收入合计的</w:t>
      </w:r>
      <w:r>
        <w:rPr>
          <w:rFonts w:hint="eastAsia" w:ascii="仿宋_GB2312" w:eastAsia="仿宋_GB2312"/>
          <w:sz w:val="28"/>
          <w:szCs w:val="28"/>
          <w:lang w:eastAsia="zh-CN"/>
        </w:rPr>
        <w:t>100</w:t>
      </w:r>
      <w:r>
        <w:rPr>
          <w:rFonts w:hint="eastAsia" w:ascii="仿宋_GB2312" w:eastAsia="仿宋_GB2312"/>
          <w:sz w:val="28"/>
          <w:szCs w:val="28"/>
          <w:lang w:val="en-US" w:eastAsia="zh-CN"/>
        </w:rPr>
        <w:t>.0</w:t>
      </w:r>
      <w:r>
        <w:rPr>
          <w:rFonts w:hint="eastAsia" w:ascii="仿宋_GB2312" w:eastAsia="仿宋_GB2312"/>
          <w:sz w:val="28"/>
          <w:szCs w:val="28"/>
          <w:lang w:eastAsia="zh-CN"/>
        </w:rPr>
        <w:t>%。</w:t>
      </w:r>
      <w:r>
        <w:rPr>
          <w:rFonts w:hint="eastAsia" w:ascii="仿宋_GB2312" w:eastAsia="仿宋_GB2312"/>
          <w:sz w:val="28"/>
          <w:szCs w:val="28"/>
        </w:rPr>
        <w:t>其中：</w:t>
      </w:r>
      <w:r>
        <w:rPr>
          <w:rFonts w:hint="eastAsia" w:ascii="仿宋_GB2312" w:eastAsia="仿宋_GB2312"/>
          <w:sz w:val="28"/>
          <w:szCs w:val="28"/>
          <w:lang w:eastAsia="zh-CN"/>
        </w:rPr>
        <w:t>一般公共预算财政拨款收入</w:t>
      </w:r>
      <w:r>
        <w:rPr>
          <w:rFonts w:hint="eastAsia" w:ascii="仿宋_GB2312" w:eastAsia="仿宋_GB2312"/>
          <w:sz w:val="28"/>
          <w:szCs w:val="28"/>
        </w:rPr>
        <w:t>157,398,373.04元，占收入合计的</w:t>
      </w:r>
      <w:r>
        <w:rPr>
          <w:rFonts w:hint="eastAsia" w:ascii="仿宋_GB2312" w:eastAsia="仿宋_GB2312"/>
          <w:sz w:val="28"/>
          <w:szCs w:val="28"/>
          <w:lang w:eastAsia="zh-CN"/>
        </w:rPr>
        <w:t>100</w:t>
      </w:r>
      <w:r>
        <w:rPr>
          <w:rFonts w:hint="eastAsia" w:ascii="仿宋_GB2312" w:eastAsia="仿宋_GB2312"/>
          <w:sz w:val="28"/>
          <w:szCs w:val="28"/>
          <w:lang w:val="en-US" w:eastAsia="zh-CN"/>
        </w:rPr>
        <w:t>.0</w:t>
      </w:r>
      <w:r>
        <w:rPr>
          <w:rFonts w:hint="eastAsia" w:ascii="仿宋_GB2312" w:eastAsia="仿宋_GB2312"/>
          <w:sz w:val="28"/>
          <w:szCs w:val="28"/>
        </w:rPr>
        <w:t>%；</w:t>
      </w:r>
      <w:r>
        <w:rPr>
          <w:rFonts w:hint="eastAsia" w:ascii="仿宋_GB2312" w:eastAsia="仿宋_GB2312"/>
          <w:sz w:val="28"/>
          <w:szCs w:val="28"/>
          <w:lang w:eastAsia="zh-CN"/>
        </w:rPr>
        <w:t>政府性基金预算财政拨款收入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w:t>
      </w:r>
      <w:r>
        <w:rPr>
          <w:rFonts w:hint="eastAsia" w:ascii="仿宋_GB2312" w:eastAsia="仿宋_GB2312"/>
          <w:sz w:val="28"/>
          <w:szCs w:val="28"/>
          <w:lang w:eastAsia="zh-CN"/>
        </w:rPr>
        <w:t>国有资本经营预算财政拨款收入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w:t>
      </w:r>
    </w:p>
    <w:p>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上级补助收入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w:t>
      </w:r>
    </w:p>
    <w:p>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事业收入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w:t>
      </w:r>
    </w:p>
    <w:p>
      <w:pPr>
        <w:pStyle w:val="2"/>
        <w:jc w:val="center"/>
      </w:pPr>
      <w:r>
        <w:rPr>
          <w:rFonts w:hint="eastAsia" w:ascii="仿宋_GB2312" w:eastAsia="仿宋_GB2312"/>
          <w:color w:val="000000"/>
          <w:sz w:val="32"/>
        </w:rPr>
        <w:t>图1：收入决算</w:t>
      </w:r>
    </w:p>
    <w:p>
      <w:pPr>
        <w:pStyle w:val="2"/>
        <w:jc w:val="center"/>
        <w:rPr>
          <w:rFonts w:hint="eastAsia" w:ascii="仿宋_GB2312" w:eastAsia="仿宋_GB2312"/>
          <w:color w:val="000000"/>
          <w:sz w:val="32"/>
        </w:rPr>
      </w:pPr>
      <w:r>
        <w:drawing>
          <wp:inline distT="0" distB="0" distL="0" distR="0">
            <wp:extent cx="4036695" cy="2328545"/>
            <wp:effectExtent l="4445" t="4445" r="12700" b="1397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年度本年支出合计158,318,666.61元，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 xml:space="preserve">15,234,291.20 </w:t>
      </w:r>
      <w:r>
        <w:rPr>
          <w:rFonts w:hint="eastAsia" w:ascii="仿宋_GB2312" w:eastAsia="仿宋_GB2312"/>
          <w:sz w:val="28"/>
          <w:szCs w:val="28"/>
        </w:rPr>
        <w:t>元，下降</w:t>
      </w:r>
      <w:r>
        <w:rPr>
          <w:rFonts w:hint="eastAsia" w:ascii="仿宋_GB2312" w:eastAsia="仿宋_GB2312"/>
          <w:sz w:val="28"/>
          <w:szCs w:val="28"/>
          <w:lang w:val="en-US" w:eastAsia="zh-CN"/>
        </w:rPr>
        <w:t>8.8</w:t>
      </w:r>
      <w:r>
        <w:rPr>
          <w:rFonts w:hint="eastAsia" w:ascii="仿宋_GB2312" w:eastAsia="仿宋_GB2312"/>
          <w:sz w:val="28"/>
          <w:szCs w:val="28"/>
        </w:rPr>
        <w:t>%，其中：基本支出</w:t>
      </w:r>
      <w:r>
        <w:rPr>
          <w:rFonts w:hint="eastAsia" w:ascii="仿宋_GB2312" w:eastAsia="仿宋_GB2312"/>
          <w:sz w:val="28"/>
          <w:szCs w:val="28"/>
          <w:lang w:val="en-US" w:eastAsia="zh-CN"/>
        </w:rPr>
        <w:t>101,683,399.34</w:t>
      </w:r>
      <w:r>
        <w:rPr>
          <w:rFonts w:hint="eastAsia" w:ascii="仿宋_GB2312" w:eastAsia="仿宋_GB2312"/>
          <w:sz w:val="28"/>
          <w:szCs w:val="28"/>
        </w:rPr>
        <w:t>元，占支出合计的</w:t>
      </w:r>
      <w:r>
        <w:rPr>
          <w:rFonts w:hint="eastAsia" w:ascii="仿宋_GB2312" w:eastAsia="仿宋_GB2312"/>
          <w:sz w:val="28"/>
          <w:szCs w:val="28"/>
          <w:lang w:eastAsia="zh-CN"/>
        </w:rPr>
        <w:t>64.</w:t>
      </w:r>
      <w:r>
        <w:rPr>
          <w:rFonts w:hint="eastAsia" w:ascii="仿宋_GB2312" w:eastAsia="仿宋_GB2312"/>
          <w:sz w:val="28"/>
          <w:szCs w:val="28"/>
          <w:lang w:val="en-US" w:eastAsia="zh-CN"/>
        </w:rPr>
        <w:t>2</w:t>
      </w:r>
      <w:r>
        <w:rPr>
          <w:rFonts w:hint="eastAsia" w:ascii="仿宋_GB2312" w:eastAsia="仿宋_GB2312"/>
          <w:sz w:val="28"/>
          <w:szCs w:val="28"/>
        </w:rPr>
        <w:t>%；项目支出</w:t>
      </w:r>
      <w:r>
        <w:rPr>
          <w:rFonts w:hint="eastAsia" w:ascii="仿宋_GB2312" w:eastAsia="仿宋_GB2312"/>
          <w:sz w:val="28"/>
          <w:szCs w:val="28"/>
          <w:lang w:val="en-US" w:eastAsia="zh-CN"/>
        </w:rPr>
        <w:t>56,635,267.27</w:t>
      </w:r>
      <w:r>
        <w:rPr>
          <w:rFonts w:hint="eastAsia" w:ascii="仿宋_GB2312" w:eastAsia="仿宋_GB2312"/>
          <w:sz w:val="28"/>
          <w:szCs w:val="28"/>
        </w:rPr>
        <w:t>元，占支出合计的</w:t>
      </w:r>
      <w:r>
        <w:rPr>
          <w:rFonts w:hint="eastAsia" w:ascii="仿宋_GB2312" w:eastAsia="仿宋_GB2312"/>
          <w:sz w:val="28"/>
          <w:szCs w:val="28"/>
          <w:lang w:eastAsia="zh-CN"/>
        </w:rPr>
        <w:t>35.</w:t>
      </w:r>
      <w:r>
        <w:rPr>
          <w:rFonts w:hint="eastAsia" w:ascii="仿宋_GB2312" w:eastAsia="仿宋_GB2312"/>
          <w:sz w:val="28"/>
          <w:szCs w:val="28"/>
          <w:lang w:val="en-US" w:eastAsia="zh-CN"/>
        </w:rPr>
        <w:t>7</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%；经营支出</w:t>
      </w:r>
      <w:r>
        <w:rPr>
          <w:rFonts w:hint="eastAsia" w:ascii="仿宋_GB2312" w:eastAsia="仿宋_GB2312"/>
          <w:sz w:val="28"/>
          <w:szCs w:val="28"/>
          <w:lang w:val="en-US" w:eastAsia="zh-CN"/>
        </w:rPr>
        <w:t>0.00</w:t>
      </w:r>
      <w:r>
        <w:rPr>
          <w:rFonts w:hint="eastAsia" w:ascii="仿宋_GB2312" w:eastAsia="仿宋_GB2312"/>
          <w:sz w:val="28"/>
          <w:szCs w:val="28"/>
        </w:rPr>
        <w:t>元，占支出合计的</w:t>
      </w:r>
      <w:r>
        <w:rPr>
          <w:rFonts w:hint="eastAsia" w:ascii="仿宋_GB2312" w:eastAsia="仿宋_GB2312"/>
          <w:sz w:val="28"/>
          <w:szCs w:val="28"/>
          <w:lang w:val="en-US" w:eastAsia="zh-CN"/>
        </w:rPr>
        <w:t>0.</w:t>
      </w:r>
      <w:r>
        <w:rPr>
          <w:rFonts w:hint="eastAsia" w:ascii="仿宋_GB2312" w:eastAsia="仿宋_GB2312"/>
          <w:sz w:val="28"/>
          <w:szCs w:val="28"/>
          <w:lang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w:t>
      </w:r>
    </w:p>
    <w:p>
      <w:pPr>
        <w:pStyle w:val="2"/>
        <w:jc w:val="center"/>
        <w:rPr>
          <w:rFonts w:hint="eastAsia" w:ascii="仿宋_GB2312" w:eastAsia="仿宋_GB2312"/>
          <w:color w:val="000000"/>
          <w:sz w:val="32"/>
        </w:rPr>
      </w:pPr>
      <w:r>
        <w:rPr>
          <w:rFonts w:hint="eastAsia" w:ascii="仿宋_GB2312" w:eastAsia="仿宋_GB2312"/>
          <w:color w:val="000000"/>
          <w:sz w:val="32"/>
        </w:rPr>
        <w:t>图2：支出决算</w:t>
      </w:r>
    </w:p>
    <w:p>
      <w:pPr>
        <w:jc w:val="center"/>
        <w:rPr>
          <w:rFonts w:hint="eastAsia" w:ascii="黑体" w:eastAsia="黑体"/>
          <w:b/>
          <w:sz w:val="28"/>
          <w:szCs w:val="28"/>
        </w:rPr>
      </w:pPr>
      <w:r>
        <w:drawing>
          <wp:inline distT="0" distB="0" distL="114300" distR="114300">
            <wp:extent cx="4572000" cy="2743200"/>
            <wp:effectExtent l="4445" t="4445" r="10795" b="1079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度财政拨款收、</w:t>
      </w:r>
      <w:r>
        <w:rPr>
          <w:rFonts w:ascii="仿宋_GB2312" w:eastAsia="仿宋_GB2312"/>
          <w:sz w:val="28"/>
          <w:szCs w:val="28"/>
        </w:rPr>
        <w:t>支</w:t>
      </w:r>
      <w:r>
        <w:rPr>
          <w:rFonts w:hint="eastAsia" w:ascii="仿宋_GB2312" w:eastAsia="仿宋_GB2312"/>
          <w:sz w:val="28"/>
          <w:szCs w:val="28"/>
        </w:rPr>
        <w:t>总计158,338,390.37元，比上年减少</w:t>
      </w:r>
      <w:r>
        <w:rPr>
          <w:rFonts w:hint="eastAsia" w:ascii="仿宋_GB2312" w:eastAsia="仿宋_GB2312"/>
          <w:sz w:val="28"/>
          <w:szCs w:val="28"/>
          <w:lang w:val="en-US" w:eastAsia="zh-CN"/>
        </w:rPr>
        <w:t>15,210,107.19</w:t>
      </w:r>
      <w:r>
        <w:rPr>
          <w:rFonts w:hint="eastAsia" w:ascii="仿宋_GB2312" w:eastAsia="仿宋_GB2312"/>
          <w:sz w:val="28"/>
          <w:szCs w:val="28"/>
        </w:rPr>
        <w:t>元，下降</w:t>
      </w:r>
      <w:r>
        <w:rPr>
          <w:rFonts w:hint="eastAsia" w:ascii="仿宋_GB2312" w:eastAsia="仿宋_GB2312"/>
          <w:sz w:val="28"/>
          <w:szCs w:val="28"/>
          <w:lang w:val="en-US" w:eastAsia="zh-CN"/>
        </w:rPr>
        <w:t>8.8%</w:t>
      </w:r>
      <w:r>
        <w:rPr>
          <w:rFonts w:hint="eastAsia" w:ascii="仿宋_GB2312" w:eastAsia="仿宋_GB2312"/>
          <w:sz w:val="28"/>
          <w:szCs w:val="28"/>
        </w:rPr>
        <w:t>。主要原因：</w:t>
      </w:r>
      <w:r>
        <w:rPr>
          <w:rFonts w:hint="eastAsia" w:ascii="仿宋_GB2312" w:eastAsia="仿宋_GB2312"/>
          <w:sz w:val="28"/>
          <w:szCs w:val="28"/>
          <w:lang w:eastAsia="zh-CN"/>
        </w:rPr>
        <w:t>围绕落实区财政过紧日子要求，本年进一步压缩项目经费，项目收入支出减少</w:t>
      </w:r>
      <w:r>
        <w:rPr>
          <w:rFonts w:hint="eastAsia" w:ascii="仿宋_GB2312" w:eastAsia="仿宋_GB2312"/>
          <w:sz w:val="28"/>
          <w:szCs w:val="28"/>
        </w:rPr>
        <w:t>。</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年度一般公共预算财政拨款支出</w:t>
      </w:r>
      <w:r>
        <w:rPr>
          <w:rFonts w:hint="eastAsia" w:ascii="仿宋_GB2312" w:eastAsia="仿宋_GB2312"/>
          <w:sz w:val="28"/>
          <w:szCs w:val="28"/>
          <w:lang w:val="en-US" w:eastAsia="zh-CN"/>
        </w:rPr>
        <w:t>158,318,666.61</w:t>
      </w:r>
      <w:r>
        <w:rPr>
          <w:rFonts w:hint="eastAsia" w:ascii="仿宋_GB2312" w:eastAsia="仿宋_GB2312"/>
          <w:sz w:val="28"/>
          <w:szCs w:val="28"/>
        </w:rPr>
        <w:t>元，主要用于以下方面（按大类）：一般公共服务支出</w:t>
      </w:r>
      <w:r>
        <w:rPr>
          <w:rFonts w:hint="eastAsia" w:ascii="仿宋_GB2312" w:eastAsia="仿宋_GB2312"/>
          <w:sz w:val="28"/>
          <w:szCs w:val="28"/>
          <w:lang w:val="en-US" w:eastAsia="zh-CN"/>
        </w:rPr>
        <w:t>129,348,972.55</w:t>
      </w:r>
      <w:r>
        <w:rPr>
          <w:rFonts w:hint="eastAsia" w:ascii="仿宋_GB2312" w:eastAsia="仿宋_GB2312"/>
          <w:sz w:val="28"/>
          <w:szCs w:val="28"/>
        </w:rPr>
        <w:t>元，占本年财政拨款支出</w:t>
      </w:r>
      <w:r>
        <w:rPr>
          <w:rFonts w:hint="eastAsia" w:ascii="仿宋_GB2312" w:eastAsia="仿宋_GB2312"/>
          <w:sz w:val="28"/>
          <w:szCs w:val="28"/>
          <w:lang w:val="en-US" w:eastAsia="zh-CN"/>
        </w:rPr>
        <w:t>81.7</w:t>
      </w:r>
      <w:r>
        <w:rPr>
          <w:rFonts w:hint="eastAsia" w:ascii="仿宋_GB2312" w:eastAsia="仿宋_GB2312"/>
          <w:sz w:val="28"/>
          <w:szCs w:val="28"/>
        </w:rPr>
        <w:t>%；</w:t>
      </w:r>
      <w:r>
        <w:rPr>
          <w:rFonts w:hint="eastAsia" w:ascii="仿宋_GB2312" w:eastAsia="仿宋_GB2312"/>
          <w:sz w:val="28"/>
          <w:szCs w:val="28"/>
          <w:lang w:eastAsia="zh-CN"/>
        </w:rPr>
        <w:t>教育支出</w:t>
      </w:r>
      <w:r>
        <w:rPr>
          <w:rFonts w:hint="eastAsia" w:ascii="仿宋_GB2312" w:eastAsia="仿宋_GB2312"/>
          <w:sz w:val="28"/>
          <w:szCs w:val="28"/>
          <w:lang w:val="en-US" w:eastAsia="zh-CN"/>
        </w:rPr>
        <w:t>882,765.20元，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0.6</w:t>
      </w:r>
      <w:r>
        <w:rPr>
          <w:rFonts w:hint="eastAsia" w:ascii="仿宋_GB2312" w:eastAsia="仿宋_GB2312"/>
          <w:sz w:val="28"/>
          <w:szCs w:val="28"/>
        </w:rPr>
        <w:t>%；文化旅游体育与传媒支出</w:t>
      </w:r>
      <w:r>
        <w:rPr>
          <w:rFonts w:hint="eastAsia" w:ascii="仿宋_GB2312" w:eastAsia="仿宋_GB2312"/>
          <w:sz w:val="28"/>
          <w:szCs w:val="28"/>
          <w:lang w:val="en-US" w:eastAsia="zh-CN"/>
        </w:rPr>
        <w:t>27,278,309.17元，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17.2</w:t>
      </w:r>
      <w:r>
        <w:rPr>
          <w:rFonts w:hint="eastAsia" w:ascii="仿宋_GB2312" w:eastAsia="仿宋_GB2312"/>
          <w:sz w:val="28"/>
          <w:szCs w:val="28"/>
        </w:rPr>
        <w:t>%</w:t>
      </w:r>
      <w:r>
        <w:rPr>
          <w:rFonts w:hint="eastAsia" w:ascii="仿宋_GB2312" w:eastAsia="仿宋_GB2312"/>
          <w:sz w:val="28"/>
          <w:szCs w:val="28"/>
          <w:lang w:eastAsia="zh-CN"/>
        </w:rPr>
        <w:t>；社会保障和就业支出</w:t>
      </w:r>
      <w:r>
        <w:rPr>
          <w:rFonts w:hint="eastAsia" w:ascii="仿宋_GB2312" w:eastAsia="仿宋_GB2312"/>
          <w:sz w:val="28"/>
          <w:szCs w:val="28"/>
          <w:lang w:val="en-US" w:eastAsia="zh-CN"/>
        </w:rPr>
        <w:t>676,529.69元，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0.4</w:t>
      </w:r>
      <w:r>
        <w:rPr>
          <w:rFonts w:hint="eastAsia" w:ascii="仿宋_GB2312" w:eastAsia="仿宋_GB2312"/>
          <w:sz w:val="28"/>
          <w:szCs w:val="28"/>
        </w:rPr>
        <w:t>%</w:t>
      </w:r>
      <w:r>
        <w:rPr>
          <w:rFonts w:hint="eastAsia" w:ascii="仿宋_GB2312" w:eastAsia="仿宋_GB2312"/>
          <w:sz w:val="28"/>
          <w:szCs w:val="28"/>
          <w:lang w:eastAsia="zh-CN"/>
        </w:rPr>
        <w:t>；资源勘探工业信息等支出</w:t>
      </w:r>
      <w:r>
        <w:rPr>
          <w:rFonts w:hint="eastAsia" w:ascii="仿宋_GB2312" w:eastAsia="仿宋_GB2312"/>
          <w:sz w:val="28"/>
          <w:szCs w:val="28"/>
          <w:lang w:val="en-US" w:eastAsia="zh-CN"/>
        </w:rPr>
        <w:t>132,090.00元，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0.1</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（二）一般公共预算财政拨款支出决算具体情况</w:t>
      </w:r>
    </w:p>
    <w:tbl>
      <w:tblPr>
        <w:tblStyle w:val="13"/>
        <w:tblW w:w="96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757"/>
        <w:gridCol w:w="1134"/>
        <w:gridCol w:w="1134"/>
        <w:gridCol w:w="1136"/>
        <w:gridCol w:w="24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13"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科目名称</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年初预算数</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决算数</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完成年初预算的百分比</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主要原因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合计</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b w:val="0"/>
                <w:bCs/>
                <w:i w:val="0"/>
                <w:color w:val="000000"/>
                <w:sz w:val="13"/>
                <w:szCs w:val="13"/>
                <w:u w:val="none"/>
              </w:rPr>
              <w:t xml:space="preserve"> 134,174,008.50</w:t>
            </w:r>
            <w:r>
              <w:rPr>
                <w:rFonts w:hint="eastAsia" w:ascii="宋体" w:hAnsi="宋体" w:eastAsia="宋体" w:cs="宋体"/>
                <w:b/>
                <w:i w:val="0"/>
                <w:color w:val="000000"/>
                <w:sz w:val="13"/>
                <w:szCs w:val="13"/>
                <w:u w:val="none"/>
              </w:rPr>
              <w:t xml:space="preserve">  </w:t>
            </w:r>
            <w:r>
              <w:rPr>
                <w:rFonts w:hint="eastAsia" w:ascii="宋体" w:hAnsi="宋体" w:eastAsia="宋体" w:cs="宋体"/>
                <w:i w:val="0"/>
                <w:color w:val="000000"/>
                <w:kern w:val="0"/>
                <w:sz w:val="13"/>
                <w:szCs w:val="13"/>
                <w:u w:val="none"/>
                <w:lang w:val="en-US" w:eastAsia="zh-CN" w:bidi="ar"/>
              </w:rPr>
              <w:t xml:space="preserve">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158,318,666.61 </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118.0%</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1、一般公共服务支出（类）</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 xml:space="preserve"> 111,893,934.30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lang w:val="en-US" w:eastAsia="zh-CN"/>
              </w:rPr>
            </w:pPr>
            <w:r>
              <w:rPr>
                <w:rFonts w:hint="eastAsia" w:ascii="宋体" w:hAnsi="宋体" w:eastAsia="宋体" w:cs="宋体"/>
                <w:b w:val="0"/>
                <w:bCs/>
                <w:i w:val="0"/>
                <w:color w:val="000000"/>
                <w:sz w:val="13"/>
                <w:szCs w:val="13"/>
                <w:u w:val="none"/>
              </w:rPr>
              <w:t>129,348,972.5</w:t>
            </w:r>
            <w:r>
              <w:rPr>
                <w:rFonts w:hint="eastAsia" w:ascii="宋体" w:hAnsi="宋体" w:cs="宋体"/>
                <w:b w:val="0"/>
                <w:bCs/>
                <w:i w:val="0"/>
                <w:color w:val="000000"/>
                <w:sz w:val="13"/>
                <w:szCs w:val="13"/>
                <w:u w:val="none"/>
                <w:lang w:val="en-US" w:eastAsia="zh-CN"/>
              </w:rPr>
              <w:t>5</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115.6%</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政府办公厅（室）及相关机构事务（款）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 xml:space="preserve"> 98,743,195.40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107,601,716.29</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109.0%</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年度追加指标，基本支出增加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港澳台事务（款）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sz w:val="13"/>
                <w:szCs w:val="13"/>
                <w:u w:val="none"/>
              </w:rPr>
              <w:t xml:space="preserve"> 710,000.00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 843,608.80</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118.8%</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年度追加指标，项目支出增加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群众团体事务（款）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 xml:space="preserve"> 519,350.00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1,260,249.92</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242.6%</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年度追加指标，项目支出增加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党委办公厅（室）及相关机构事务（款）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sz w:val="13"/>
                <w:szCs w:val="13"/>
                <w:u w:val="none"/>
              </w:rPr>
              <w:t xml:space="preserve"> 785,319.00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7,279,113.62 </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926.9%</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年度追加指标，项目支出增加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组织事务（款）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sz w:val="13"/>
                <w:szCs w:val="13"/>
                <w:u w:val="none"/>
              </w:rPr>
              <w:t xml:space="preserve"> 4,596,632.90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4,632,893.75 </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100.8%</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年度追加指标，项目支出增加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宣传事务（款）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sz w:val="13"/>
                <w:szCs w:val="13"/>
                <w:u w:val="none"/>
              </w:rPr>
              <w:t xml:space="preserve"> 61,000.00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68,937.00 </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113.0%</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年度追加指标，项目支出增加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统战事务（款）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 xml:space="preserve"> 731,074.00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1,871,886.29 </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256.0%</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年度追加指标，项目支出增加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网信事务（款）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 xml:space="preserve"> 550,000.00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988,538.00 </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179.7%</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年度追加指标，项目支出增加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社会工作事务（款）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 xml:space="preserve"> 5,019,400.00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4,211,481.04</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83.9%</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年度指标收回，项目支出减少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信访事务（款）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 xml:space="preserve">  177,963.00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590,547.84</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331.7%</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年度追加指标，项目支出增加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2、教育支出（类）</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sz w:val="13"/>
                <w:szCs w:val="13"/>
                <w:u w:val="none"/>
              </w:rPr>
              <w:t xml:space="preserve">917,664.20 </w:t>
            </w:r>
            <w:r>
              <w:rPr>
                <w:rFonts w:hint="eastAsia" w:ascii="宋体" w:hAnsi="宋体" w:eastAsia="宋体" w:cs="宋体"/>
                <w:i w:val="0"/>
                <w:color w:val="000000"/>
                <w:sz w:val="13"/>
                <w:szCs w:val="13"/>
                <w:u w:val="none"/>
                <w:lang w:val="en-US" w:eastAsia="zh-CN"/>
              </w:rPr>
              <w:t xml:space="preserve">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882,765.20</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96.2%</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进修及培训（款）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sz w:val="13"/>
                <w:szCs w:val="13"/>
                <w:u w:val="none"/>
              </w:rPr>
              <w:t>917,664.20</w:t>
            </w:r>
            <w:r>
              <w:rPr>
                <w:rFonts w:hint="eastAsia" w:ascii="宋体" w:hAnsi="宋体" w:eastAsia="宋体" w:cs="宋体"/>
                <w:i w:val="0"/>
                <w:color w:val="000000"/>
                <w:sz w:val="13"/>
                <w:szCs w:val="13"/>
                <w:u w:val="none"/>
                <w:lang w:val="en-US" w:eastAsia="zh-CN"/>
              </w:rPr>
              <w:t xml:space="preserve">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882,765.20</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96.2%</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年度指标收回，项目支出减少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3、文化旅游体育与传媒支出（类）</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sz w:val="13"/>
                <w:szCs w:val="13"/>
                <w:u w:val="none"/>
              </w:rPr>
              <w:t xml:space="preserve"> 20,764,000.00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27,278,309.17 </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131.4%</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文化和旅游（款）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sz w:val="13"/>
                <w:szCs w:val="13"/>
                <w:u w:val="none"/>
              </w:rPr>
              <w:t xml:space="preserve"> 20,764,000.00</w:t>
            </w:r>
            <w:r>
              <w:rPr>
                <w:rFonts w:hint="eastAsia" w:ascii="宋体" w:hAnsi="宋体" w:eastAsia="宋体" w:cs="宋体"/>
                <w:i w:val="0"/>
                <w:color w:val="000000"/>
                <w:kern w:val="0"/>
                <w:sz w:val="13"/>
                <w:szCs w:val="13"/>
                <w:u w:val="none"/>
                <w:lang w:val="en-US" w:eastAsia="zh-CN" w:bidi="ar"/>
              </w:rPr>
              <w:t xml:space="preserve">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27,278,309.17  </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131.4%</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年度追加指标，项目支出增加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4、社会保障和就业支出（类）</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 xml:space="preserve"> 598,410.00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676,529.69 </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113.1%</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行政事业单位养老支出（款）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 xml:space="preserve"> 598,410.00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676,529.69</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3"/>
                <w:szCs w:val="13"/>
                <w:u w:val="none"/>
              </w:rPr>
            </w:pPr>
            <w:r>
              <w:rPr>
                <w:rFonts w:hint="eastAsia" w:ascii="宋体" w:hAnsi="宋体" w:eastAsia="宋体" w:cs="宋体"/>
                <w:i w:val="0"/>
                <w:color w:val="000000"/>
                <w:kern w:val="0"/>
                <w:sz w:val="13"/>
                <w:szCs w:val="13"/>
                <w:u w:val="none"/>
                <w:lang w:val="en-US" w:eastAsia="zh-CN" w:bidi="ar"/>
              </w:rPr>
              <w:t>113.1%</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年度追加指标，项目支出增加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2"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5、资源勘探工业信息等支出（类）</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3"/>
                <w:szCs w:val="13"/>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132,090.00 </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0" w:hRule="atLeast"/>
        </w:trPr>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制造业（款）</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3"/>
                <w:szCs w:val="13"/>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i w:val="0"/>
                <w:color w:val="000000"/>
                <w:sz w:val="13"/>
                <w:szCs w:val="13"/>
                <w:u w:val="none"/>
              </w:rPr>
            </w:pPr>
            <w:r>
              <w:rPr>
                <w:rFonts w:hint="eastAsia" w:ascii="宋体" w:hAnsi="宋体" w:eastAsia="宋体" w:cs="宋体"/>
                <w:b w:val="0"/>
                <w:bCs/>
                <w:i w:val="0"/>
                <w:color w:val="000000"/>
                <w:sz w:val="13"/>
                <w:szCs w:val="13"/>
                <w:u w:val="none"/>
                <w:lang w:val="en-US" w:eastAsia="zh-CN"/>
              </w:rPr>
              <w:t xml:space="preserve">132,090.00  </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年度追加指标，项目支出增加</w:t>
            </w:r>
          </w:p>
        </w:tc>
      </w:tr>
    </w:tbl>
    <w:p>
      <w:pPr>
        <w:spacing w:line="580" w:lineRule="exact"/>
        <w:ind w:firstLine="560" w:firstLineChars="200"/>
        <w:rPr>
          <w:rFonts w:hint="eastAsia" w:ascii="仿宋_GB2312" w:eastAsia="仿宋_GB2312"/>
          <w:sz w:val="28"/>
          <w:szCs w:val="28"/>
        </w:rPr>
      </w:pPr>
      <w:r>
        <w:rPr>
          <w:rFonts w:hint="eastAsia" w:ascii="黑体" w:eastAsia="黑体"/>
          <w:b/>
          <w:sz w:val="28"/>
          <w:szCs w:val="28"/>
        </w:rPr>
        <w:t>五、政府性基金预算财政拨款支出决算情况说明</w:t>
      </w:r>
    </w:p>
    <w:p>
      <w:pPr>
        <w:spacing w:line="580" w:lineRule="exact"/>
        <w:ind w:firstLine="560" w:firstLineChars="200"/>
        <w:rPr>
          <w:rFonts w:hint="eastAsia" w:ascii="仿宋_GB2312" w:eastAsia="仿宋_GB2312"/>
          <w:sz w:val="28"/>
          <w:szCs w:val="28"/>
        </w:rPr>
      </w:pPr>
      <w:r>
        <w:rPr>
          <w:rFonts w:ascii="仿宋_GB2312" w:hAnsi="宋体" w:eastAsia="仿宋_GB2312" w:cs="仿宋_GB2312"/>
          <w:sz w:val="28"/>
          <w:szCs w:val="28"/>
          <w:shd w:val="clear" w:fill="FFFFFA"/>
        </w:rPr>
        <w:t>本单位无此项经费</w:t>
      </w:r>
      <w:r>
        <w:rPr>
          <w:rFonts w:hint="eastAsia" w:ascii="仿宋_GB2312" w:eastAsia="仿宋_GB2312"/>
          <w:sz w:val="28"/>
          <w:szCs w:val="28"/>
        </w:rPr>
        <w:t>。</w:t>
      </w:r>
    </w:p>
    <w:p>
      <w:pPr>
        <w:spacing w:line="580" w:lineRule="exact"/>
        <w:ind w:firstLine="560" w:firstLineChars="200"/>
        <w:rPr>
          <w:rFonts w:hint="eastAsia"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ascii="仿宋_GB2312" w:hAnsi="宋体" w:eastAsia="仿宋_GB2312" w:cs="仿宋_GB2312"/>
          <w:sz w:val="28"/>
          <w:szCs w:val="28"/>
          <w:shd w:val="clear" w:fill="FFFFFA"/>
        </w:rPr>
        <w:t>本单位无此项经费</w:t>
      </w:r>
      <w:r>
        <w:rPr>
          <w:rFonts w:hint="eastAsia" w:ascii="仿宋_GB2312" w:eastAsia="仿宋_GB2312"/>
          <w:sz w:val="28"/>
          <w:szCs w:val="28"/>
        </w:rPr>
        <w:t>。</w:t>
      </w:r>
    </w:p>
    <w:p>
      <w:pPr>
        <w:spacing w:line="580" w:lineRule="exact"/>
        <w:ind w:firstLine="548" w:firstLineChars="196"/>
        <w:rPr>
          <w:rFonts w:hint="eastAsia"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hint="eastAsia" w:ascii="黑体" w:eastAsia="黑体"/>
          <w:b/>
          <w:sz w:val="28"/>
          <w:szCs w:val="28"/>
        </w:rPr>
      </w:pPr>
      <w:r>
        <w:rPr>
          <w:rFonts w:hint="eastAsia" w:ascii="仿宋_GB2312" w:eastAsia="仿宋_GB2312"/>
          <w:sz w:val="28"/>
          <w:szCs w:val="28"/>
          <w:lang w:eastAsia="zh-CN"/>
        </w:rPr>
        <w:t>2025</w:t>
      </w:r>
      <w:r>
        <w:rPr>
          <w:rFonts w:hint="eastAsia" w:ascii="仿宋_GB2312" w:eastAsia="仿宋_GB2312"/>
          <w:sz w:val="28"/>
          <w:szCs w:val="28"/>
        </w:rPr>
        <w:t>年度使用一般公共预算财政拨款安排基本支出</w:t>
      </w:r>
      <w:r>
        <w:rPr>
          <w:rFonts w:hint="eastAsia" w:ascii="仿宋_GB2312" w:eastAsia="仿宋_GB2312"/>
          <w:sz w:val="28"/>
          <w:szCs w:val="28"/>
          <w:lang w:val="en-US" w:eastAsia="zh-CN"/>
        </w:rPr>
        <w:t>101,683,399.34</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w:t>
      </w:r>
      <w:r>
        <w:rPr>
          <w:rFonts w:ascii="仿宋_GB2312" w:eastAsia="仿宋_GB2312"/>
          <w:sz w:val="28"/>
          <w:szCs w:val="28"/>
          <w:highlight w:val="none"/>
          <w:u w:val="none"/>
        </w:rPr>
        <w:t>其他交通费</w:t>
      </w:r>
      <w:r>
        <w:rPr>
          <w:rFonts w:hint="eastAsia" w:ascii="仿宋_GB2312" w:eastAsia="仿宋_GB2312"/>
          <w:sz w:val="28"/>
          <w:szCs w:val="28"/>
          <w:highlight w:val="none"/>
          <w:u w:val="none"/>
          <w:lang w:eastAsia="zh-CN"/>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jc w:val="center"/>
        <w:rPr>
          <w:rFonts w:hint="eastAsia" w:ascii="宋体" w:hAnsi="宋体" w:cs="宋体"/>
          <w:b/>
          <w:spacing w:val="40"/>
          <w:kern w:val="0"/>
          <w:sz w:val="32"/>
          <w:szCs w:val="32"/>
        </w:rPr>
      </w:pPr>
      <w:r>
        <w:rPr>
          <w:rFonts w:ascii="仿宋_GB2312" w:eastAsia="仿宋_GB2312"/>
          <w:sz w:val="28"/>
          <w:szCs w:val="28"/>
        </w:rPr>
        <w:br w:type="page"/>
      </w: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黑体" w:eastAsia="黑体"/>
          <w:sz w:val="28"/>
          <w:szCs w:val="28"/>
        </w:rPr>
      </w:pPr>
      <w:r>
        <w:rPr>
          <w:rFonts w:hint="eastAsia" w:ascii="黑体" w:eastAsia="黑体"/>
          <w:sz w:val="28"/>
          <w:szCs w:val="28"/>
        </w:rPr>
        <w:t>一、“三公”经费财政拨款决算情况</w:t>
      </w:r>
    </w:p>
    <w:p>
      <w:pPr>
        <w:keepNext w:val="0"/>
        <w:keepLines w:val="0"/>
        <w:pageBreakBefore w:val="0"/>
        <w:widowControl w:val="0"/>
        <w:kinsoku/>
        <w:wordWrap/>
        <w:overflowPunct/>
        <w:topLinePunct w:val="0"/>
        <w:autoSpaceDE/>
        <w:autoSpaceDN/>
        <w:bidi w:val="0"/>
        <w:adjustRightInd/>
        <w:snapToGrid/>
        <w:spacing w:line="560" w:lineRule="exact"/>
        <w:ind w:firstLine="600"/>
        <w:textAlignment w:val="auto"/>
        <w:outlineLvl w:val="9"/>
        <w:rPr>
          <w:rFonts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年度“三公”经费财政拨款决算数</w:t>
      </w:r>
      <w:r>
        <w:rPr>
          <w:rFonts w:hint="eastAsia" w:ascii="仿宋_GB2312" w:eastAsia="仿宋_GB2312"/>
          <w:sz w:val="28"/>
          <w:szCs w:val="28"/>
          <w:lang w:val="en-US" w:eastAsia="zh-CN"/>
        </w:rPr>
        <w:t>1,484,809.82</w:t>
      </w:r>
      <w:r>
        <w:rPr>
          <w:rFonts w:hint="eastAsia" w:ascii="仿宋_GB2312" w:eastAsia="仿宋_GB2312"/>
          <w:sz w:val="28"/>
          <w:szCs w:val="28"/>
        </w:rPr>
        <w:t>元，比</w:t>
      </w:r>
      <w:r>
        <w:rPr>
          <w:rFonts w:hint="eastAsia" w:ascii="仿宋_GB2312" w:eastAsia="仿宋_GB2312"/>
          <w:sz w:val="28"/>
          <w:szCs w:val="28"/>
          <w:lang w:eastAsia="zh-CN"/>
        </w:rPr>
        <w:t>2025</w:t>
      </w:r>
      <w:r>
        <w:rPr>
          <w:rFonts w:hint="eastAsia" w:ascii="仿宋_GB2312" w:eastAsia="仿宋_GB2312"/>
          <w:sz w:val="28"/>
          <w:szCs w:val="28"/>
        </w:rPr>
        <w:t>年度“三公”经费财政拨款年初预算</w:t>
      </w:r>
      <w:r>
        <w:rPr>
          <w:rFonts w:hint="eastAsia" w:ascii="仿宋_GB2312" w:eastAsia="仿宋_GB2312"/>
          <w:sz w:val="28"/>
          <w:szCs w:val="28"/>
          <w:lang w:val="en-US" w:eastAsia="zh-CN"/>
        </w:rPr>
        <w:t>161,110.00</w:t>
      </w:r>
      <w:r>
        <w:rPr>
          <w:rFonts w:hint="eastAsia" w:ascii="仿宋_GB2312" w:eastAsia="仿宋_GB2312"/>
          <w:sz w:val="28"/>
          <w:szCs w:val="28"/>
        </w:rPr>
        <w:t>元增加1,323,699.82元。其中：</w:t>
      </w:r>
    </w:p>
    <w:p>
      <w:pPr>
        <w:keepNext w:val="0"/>
        <w:keepLines w:val="0"/>
        <w:pageBreakBefore w:val="0"/>
        <w:widowControl w:val="0"/>
        <w:kinsoku/>
        <w:wordWrap/>
        <w:overflowPunct/>
        <w:topLinePunct w:val="0"/>
        <w:autoSpaceDE/>
        <w:autoSpaceDN/>
        <w:bidi w:val="0"/>
        <w:adjustRightInd/>
        <w:snapToGrid/>
        <w:spacing w:line="560" w:lineRule="exact"/>
        <w:ind w:firstLine="600"/>
        <w:textAlignment w:val="auto"/>
        <w:outlineLvl w:val="9"/>
        <w:rPr>
          <w:rFonts w:hint="eastAsia" w:ascii="仿宋_GB2312" w:eastAsia="仿宋_GB2312"/>
          <w:sz w:val="28"/>
          <w:szCs w:val="28"/>
        </w:rPr>
      </w:pPr>
      <w:r>
        <w:rPr>
          <w:rFonts w:hint="eastAsia" w:ascii="仿宋_GB2312" w:eastAsia="仿宋_GB2312"/>
          <w:sz w:val="28"/>
          <w:szCs w:val="28"/>
        </w:rPr>
        <w:t>1.因公出国（境）费用。</w:t>
      </w:r>
      <w:r>
        <w:rPr>
          <w:rFonts w:hint="eastAsia" w:ascii="仿宋_GB2312" w:eastAsia="仿宋_GB2312"/>
          <w:sz w:val="28"/>
          <w:szCs w:val="28"/>
          <w:lang w:eastAsia="zh-CN"/>
        </w:rPr>
        <w:t>2025</w:t>
      </w:r>
      <w:r>
        <w:rPr>
          <w:rFonts w:hint="eastAsia" w:ascii="仿宋_GB2312" w:eastAsia="仿宋_GB2312"/>
          <w:sz w:val="28"/>
          <w:szCs w:val="28"/>
        </w:rPr>
        <w:t>年度决算数</w:t>
      </w:r>
      <w:r>
        <w:rPr>
          <w:rFonts w:hint="eastAsia" w:ascii="仿宋_GB2312" w:eastAsia="仿宋_GB2312"/>
          <w:sz w:val="28"/>
          <w:szCs w:val="28"/>
          <w:lang w:val="en-US" w:eastAsia="zh-CN"/>
        </w:rPr>
        <w:t>957,954.94</w:t>
      </w:r>
      <w:r>
        <w:rPr>
          <w:rFonts w:hint="eastAsia" w:ascii="仿宋_GB2312" w:eastAsia="仿宋_GB2312"/>
          <w:sz w:val="28"/>
          <w:szCs w:val="28"/>
        </w:rPr>
        <w:t>元，比</w:t>
      </w:r>
      <w:r>
        <w:rPr>
          <w:rFonts w:hint="eastAsia" w:ascii="仿宋_GB2312" w:eastAsia="仿宋_GB2312"/>
          <w:sz w:val="28"/>
          <w:szCs w:val="28"/>
          <w:lang w:eastAsia="zh-CN"/>
        </w:rPr>
        <w:t>2025</w:t>
      </w:r>
      <w:r>
        <w:rPr>
          <w:rFonts w:hint="eastAsia" w:ascii="仿宋_GB2312" w:eastAsia="仿宋_GB2312"/>
          <w:sz w:val="28"/>
          <w:szCs w:val="28"/>
        </w:rPr>
        <w:t>年度年初预算数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元增加</w:t>
      </w:r>
      <w:r>
        <w:rPr>
          <w:rFonts w:hint="eastAsia" w:ascii="仿宋_GB2312" w:eastAsia="仿宋_GB2312"/>
          <w:sz w:val="28"/>
          <w:szCs w:val="28"/>
          <w:lang w:val="en-US" w:eastAsia="zh-CN"/>
        </w:rPr>
        <w:t>957,954.94</w:t>
      </w:r>
      <w:r>
        <w:rPr>
          <w:rFonts w:hint="eastAsia" w:ascii="仿宋_GB2312" w:eastAsia="仿宋_GB2312"/>
          <w:sz w:val="28"/>
          <w:szCs w:val="28"/>
        </w:rPr>
        <w:t>元。主要原因：因公出国（境）费为区级预留资金无预算数年中根据单位实际需求安排；</w:t>
      </w:r>
      <w:r>
        <w:rPr>
          <w:rFonts w:hint="eastAsia" w:ascii="仿宋_GB2312" w:eastAsia="仿宋_GB2312"/>
          <w:sz w:val="28"/>
          <w:szCs w:val="28"/>
          <w:lang w:eastAsia="zh-CN"/>
        </w:rPr>
        <w:t>2025年</w:t>
      </w:r>
      <w:r>
        <w:rPr>
          <w:rFonts w:hint="eastAsia" w:ascii="仿宋_GB2312" w:eastAsia="仿宋_GB2312"/>
          <w:sz w:val="28"/>
          <w:szCs w:val="28"/>
        </w:rPr>
        <w:t>度因公出国（境）费用主要用于</w:t>
      </w:r>
      <w:r>
        <w:rPr>
          <w:rFonts w:hint="eastAsia" w:ascii="仿宋_GB2312" w:eastAsia="仿宋_GB2312"/>
          <w:sz w:val="28"/>
          <w:szCs w:val="28"/>
          <w:lang w:eastAsia="zh-CN"/>
        </w:rPr>
        <w:t>本部门因公出访</w:t>
      </w:r>
      <w:r>
        <w:rPr>
          <w:rFonts w:hint="eastAsia" w:ascii="仿宋_GB2312" w:eastAsia="仿宋_GB2312"/>
          <w:sz w:val="28"/>
          <w:szCs w:val="28"/>
        </w:rPr>
        <w:t>等方面，</w:t>
      </w:r>
      <w:r>
        <w:rPr>
          <w:rFonts w:hint="eastAsia" w:ascii="仿宋_GB2312" w:eastAsia="仿宋_GB2312"/>
          <w:sz w:val="28"/>
          <w:szCs w:val="28"/>
          <w:lang w:eastAsia="zh-CN"/>
        </w:rPr>
        <w:t>2025年</w:t>
      </w:r>
      <w:r>
        <w:rPr>
          <w:rFonts w:hint="eastAsia" w:ascii="仿宋_GB2312" w:eastAsia="仿宋_GB2312"/>
          <w:sz w:val="28"/>
          <w:szCs w:val="28"/>
        </w:rPr>
        <w:t>度组织因公出国（境）团组</w:t>
      </w:r>
      <w:r>
        <w:rPr>
          <w:rFonts w:hint="eastAsia" w:ascii="仿宋_GB2312" w:eastAsia="仿宋_GB2312"/>
          <w:sz w:val="28"/>
          <w:szCs w:val="28"/>
          <w:lang w:eastAsia="zh-CN"/>
        </w:rPr>
        <w:t>7</w:t>
      </w:r>
      <w:r>
        <w:rPr>
          <w:rFonts w:hint="eastAsia" w:ascii="仿宋_GB2312" w:eastAsia="仿宋_GB2312"/>
          <w:sz w:val="28"/>
          <w:szCs w:val="28"/>
        </w:rPr>
        <w:t>个、</w:t>
      </w:r>
      <w:r>
        <w:rPr>
          <w:rFonts w:hint="eastAsia" w:ascii="仿宋_GB2312" w:eastAsia="仿宋_GB2312"/>
          <w:sz w:val="28"/>
          <w:szCs w:val="28"/>
          <w:lang w:eastAsia="zh-CN"/>
        </w:rPr>
        <w:t>19</w:t>
      </w:r>
      <w:r>
        <w:rPr>
          <w:rFonts w:hint="eastAsia" w:ascii="仿宋_GB2312" w:eastAsia="仿宋_GB2312"/>
          <w:sz w:val="28"/>
          <w:szCs w:val="28"/>
        </w:rPr>
        <w:t>人次。</w:t>
      </w:r>
    </w:p>
    <w:p>
      <w:pPr>
        <w:keepNext w:val="0"/>
        <w:keepLines w:val="0"/>
        <w:pageBreakBefore w:val="0"/>
        <w:widowControl w:val="0"/>
        <w:kinsoku/>
        <w:wordWrap/>
        <w:overflowPunct/>
        <w:topLinePunct w:val="0"/>
        <w:autoSpaceDE/>
        <w:autoSpaceDN/>
        <w:bidi w:val="0"/>
        <w:adjustRightInd/>
        <w:snapToGrid/>
        <w:spacing w:line="560" w:lineRule="exact"/>
        <w:ind w:firstLine="600"/>
        <w:textAlignment w:val="auto"/>
        <w:outlineLvl w:val="9"/>
        <w:rPr>
          <w:rFonts w:hint="eastAsia" w:ascii="仿宋_GB2312" w:eastAsia="仿宋_GB2312"/>
          <w:sz w:val="28"/>
          <w:szCs w:val="28"/>
        </w:rPr>
      </w:pPr>
      <w:r>
        <w:rPr>
          <w:rFonts w:hint="eastAsia" w:ascii="仿宋_GB2312" w:eastAsia="仿宋_GB2312"/>
          <w:sz w:val="28"/>
          <w:szCs w:val="28"/>
        </w:rPr>
        <w:t>2.公务接待费。</w:t>
      </w:r>
      <w:r>
        <w:rPr>
          <w:rFonts w:hint="eastAsia" w:ascii="仿宋_GB2312" w:eastAsia="仿宋_GB2312"/>
          <w:sz w:val="28"/>
          <w:szCs w:val="28"/>
          <w:lang w:eastAsia="zh-CN"/>
        </w:rPr>
        <w:t>2025</w:t>
      </w:r>
      <w:r>
        <w:rPr>
          <w:rFonts w:hint="eastAsia" w:ascii="仿宋_GB2312" w:eastAsia="仿宋_GB2312"/>
          <w:sz w:val="28"/>
          <w:szCs w:val="28"/>
        </w:rPr>
        <w:t>年度决算数</w:t>
      </w:r>
      <w:r>
        <w:rPr>
          <w:rFonts w:hint="eastAsia" w:ascii="仿宋_GB2312" w:eastAsia="仿宋_GB2312"/>
          <w:sz w:val="28"/>
          <w:szCs w:val="28"/>
          <w:lang w:val="en-US" w:eastAsia="zh-CN"/>
        </w:rPr>
        <w:t>31,738.00</w:t>
      </w:r>
      <w:r>
        <w:rPr>
          <w:rFonts w:hint="eastAsia" w:ascii="仿宋_GB2312" w:eastAsia="仿宋_GB2312"/>
          <w:sz w:val="28"/>
          <w:szCs w:val="28"/>
        </w:rPr>
        <w:t>元，比</w:t>
      </w:r>
      <w:r>
        <w:rPr>
          <w:rFonts w:hint="eastAsia" w:ascii="仿宋_GB2312" w:eastAsia="仿宋_GB2312"/>
          <w:sz w:val="28"/>
          <w:szCs w:val="28"/>
          <w:lang w:eastAsia="zh-CN"/>
        </w:rPr>
        <w:t>2025</w:t>
      </w:r>
      <w:r>
        <w:rPr>
          <w:rFonts w:hint="eastAsia" w:ascii="仿宋_GB2312" w:eastAsia="仿宋_GB2312"/>
          <w:sz w:val="28"/>
          <w:szCs w:val="28"/>
        </w:rPr>
        <w:t>年度年初预算数</w:t>
      </w:r>
      <w:r>
        <w:rPr>
          <w:rFonts w:hint="eastAsia" w:ascii="仿宋_GB2312" w:eastAsia="仿宋_GB2312"/>
          <w:sz w:val="28"/>
          <w:szCs w:val="28"/>
          <w:lang w:val="en-US" w:eastAsia="zh-CN"/>
        </w:rPr>
        <w:t>139,110.00</w:t>
      </w:r>
      <w:r>
        <w:rPr>
          <w:rFonts w:hint="eastAsia" w:ascii="仿宋_GB2312" w:eastAsia="仿宋_GB2312"/>
          <w:sz w:val="28"/>
          <w:szCs w:val="28"/>
        </w:rPr>
        <w:t>元减少</w:t>
      </w:r>
      <w:r>
        <w:rPr>
          <w:rFonts w:hint="eastAsia" w:ascii="仿宋_GB2312" w:eastAsia="仿宋_GB2312"/>
          <w:sz w:val="28"/>
          <w:szCs w:val="28"/>
          <w:lang w:val="en-US" w:eastAsia="zh-CN"/>
        </w:rPr>
        <w:t>107,372.00</w:t>
      </w:r>
      <w:r>
        <w:rPr>
          <w:rFonts w:hint="eastAsia" w:ascii="仿宋_GB2312" w:eastAsia="仿宋_GB2312"/>
          <w:sz w:val="28"/>
          <w:szCs w:val="28"/>
        </w:rPr>
        <w:t>元。主要原因：本部门集中财务核算单位根据实际工作需要安排公务接待支出。</w:t>
      </w:r>
      <w:r>
        <w:rPr>
          <w:rFonts w:hint="eastAsia" w:ascii="仿宋_GB2312" w:eastAsia="仿宋_GB2312"/>
          <w:sz w:val="28"/>
          <w:szCs w:val="28"/>
          <w:lang w:eastAsia="zh-CN"/>
        </w:rPr>
        <w:t>2025年</w:t>
      </w:r>
      <w:r>
        <w:rPr>
          <w:rFonts w:hint="eastAsia" w:ascii="仿宋_GB2312" w:eastAsia="仿宋_GB2312"/>
          <w:sz w:val="28"/>
          <w:szCs w:val="28"/>
        </w:rPr>
        <w:t>度公务接待费主要用于</w:t>
      </w:r>
      <w:r>
        <w:rPr>
          <w:rFonts w:hint="eastAsia" w:ascii="仿宋_GB2312" w:eastAsia="仿宋_GB2312"/>
          <w:sz w:val="28"/>
          <w:szCs w:val="28"/>
          <w:lang w:eastAsia="zh-CN"/>
        </w:rPr>
        <w:t>食堂接待餐费</w:t>
      </w:r>
      <w:r>
        <w:rPr>
          <w:rFonts w:hint="eastAsia" w:ascii="仿宋_GB2312" w:eastAsia="仿宋_GB2312"/>
          <w:sz w:val="28"/>
          <w:szCs w:val="28"/>
        </w:rPr>
        <w:t>。公务接待</w:t>
      </w:r>
      <w:r>
        <w:rPr>
          <w:rFonts w:hint="eastAsia" w:ascii="仿宋_GB2312" w:eastAsia="仿宋_GB2312"/>
          <w:sz w:val="28"/>
          <w:szCs w:val="28"/>
          <w:lang w:eastAsia="zh-CN"/>
        </w:rPr>
        <w:t>20</w:t>
      </w:r>
      <w:r>
        <w:rPr>
          <w:rFonts w:hint="eastAsia" w:ascii="仿宋_GB2312" w:eastAsia="仿宋_GB2312"/>
          <w:sz w:val="28"/>
          <w:szCs w:val="28"/>
        </w:rPr>
        <w:t>批次，公务接待</w:t>
      </w:r>
      <w:r>
        <w:rPr>
          <w:rFonts w:hint="eastAsia" w:ascii="仿宋_GB2312" w:eastAsia="仿宋_GB2312"/>
          <w:sz w:val="28"/>
          <w:szCs w:val="28"/>
          <w:lang w:eastAsia="zh-CN"/>
        </w:rPr>
        <w:t>327</w:t>
      </w:r>
      <w:r>
        <w:rPr>
          <w:rFonts w:hint="eastAsia" w:ascii="仿宋_GB2312" w:eastAsia="仿宋_GB2312"/>
          <w:sz w:val="28"/>
          <w:szCs w:val="28"/>
        </w:rPr>
        <w:t>人次。</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3.公务用车购置及运行维护费。</w:t>
      </w:r>
      <w:r>
        <w:rPr>
          <w:rFonts w:hint="eastAsia" w:ascii="仿宋_GB2312" w:eastAsia="仿宋_GB2312"/>
          <w:sz w:val="28"/>
          <w:szCs w:val="28"/>
          <w:lang w:eastAsia="zh-CN"/>
        </w:rPr>
        <w:t>2025</w:t>
      </w:r>
      <w:r>
        <w:rPr>
          <w:rFonts w:hint="eastAsia" w:ascii="仿宋_GB2312" w:eastAsia="仿宋_GB2312"/>
          <w:sz w:val="28"/>
          <w:szCs w:val="28"/>
        </w:rPr>
        <w:t>年度决算数</w:t>
      </w:r>
      <w:r>
        <w:rPr>
          <w:rFonts w:hint="eastAsia" w:ascii="仿宋_GB2312" w:eastAsia="仿宋_GB2312"/>
          <w:sz w:val="28"/>
          <w:szCs w:val="28"/>
          <w:lang w:val="en-US" w:eastAsia="zh-CN"/>
        </w:rPr>
        <w:t>495,116.88</w:t>
      </w:r>
      <w:r>
        <w:rPr>
          <w:rFonts w:hint="eastAsia" w:ascii="仿宋_GB2312" w:eastAsia="仿宋_GB2312"/>
          <w:sz w:val="28"/>
          <w:szCs w:val="28"/>
        </w:rPr>
        <w:t>元，比</w:t>
      </w:r>
      <w:r>
        <w:rPr>
          <w:rFonts w:hint="eastAsia" w:ascii="仿宋_GB2312" w:eastAsia="仿宋_GB2312"/>
          <w:sz w:val="28"/>
          <w:szCs w:val="28"/>
          <w:lang w:eastAsia="zh-CN"/>
        </w:rPr>
        <w:t>2025</w:t>
      </w:r>
      <w:r>
        <w:rPr>
          <w:rFonts w:hint="eastAsia" w:ascii="仿宋_GB2312" w:eastAsia="仿宋_GB2312"/>
          <w:sz w:val="28"/>
          <w:szCs w:val="28"/>
        </w:rPr>
        <w:t>年度年初预算数</w:t>
      </w:r>
      <w:r>
        <w:rPr>
          <w:rFonts w:hint="eastAsia" w:ascii="仿宋_GB2312" w:eastAsia="仿宋_GB2312"/>
          <w:sz w:val="28"/>
          <w:szCs w:val="28"/>
          <w:lang w:val="en-US" w:eastAsia="zh-CN"/>
        </w:rPr>
        <w:t>22,000.00</w:t>
      </w:r>
      <w:r>
        <w:rPr>
          <w:rFonts w:hint="eastAsia" w:ascii="仿宋_GB2312" w:eastAsia="仿宋_GB2312"/>
          <w:sz w:val="28"/>
          <w:szCs w:val="28"/>
        </w:rPr>
        <w:t>元增加473,116.88元。其中，公务用车购置费</w:t>
      </w:r>
      <w:r>
        <w:rPr>
          <w:rFonts w:hint="eastAsia" w:ascii="仿宋_GB2312" w:eastAsia="仿宋_GB2312"/>
          <w:sz w:val="28"/>
          <w:szCs w:val="28"/>
          <w:lang w:eastAsia="zh-CN"/>
        </w:rPr>
        <w:t>2025</w:t>
      </w:r>
      <w:r>
        <w:rPr>
          <w:rFonts w:hint="eastAsia" w:ascii="仿宋_GB2312" w:eastAsia="仿宋_GB2312"/>
          <w:sz w:val="28"/>
          <w:szCs w:val="28"/>
        </w:rPr>
        <w:t>年度决算数</w:t>
      </w:r>
      <w:r>
        <w:rPr>
          <w:rFonts w:hint="eastAsia" w:ascii="仿宋_GB2312" w:eastAsia="仿宋_GB2312"/>
          <w:sz w:val="28"/>
          <w:szCs w:val="28"/>
          <w:lang w:val="en-US" w:eastAsia="zh-CN"/>
        </w:rPr>
        <w:t>489,714.16</w:t>
      </w:r>
      <w:r>
        <w:rPr>
          <w:rFonts w:hint="eastAsia" w:ascii="仿宋_GB2312" w:eastAsia="仿宋_GB2312"/>
          <w:sz w:val="28"/>
          <w:szCs w:val="28"/>
        </w:rPr>
        <w:t>元，主要原因：公务用车购置费为区级预留资金无预算数年中根据单位实际需求安排，</w:t>
      </w:r>
      <w:r>
        <w:rPr>
          <w:rFonts w:hint="eastAsia" w:ascii="仿宋_GB2312" w:eastAsia="仿宋_GB2312"/>
          <w:sz w:val="28"/>
          <w:szCs w:val="28"/>
          <w:lang w:eastAsia="zh-CN"/>
        </w:rPr>
        <w:t>2025</w:t>
      </w:r>
      <w:r>
        <w:rPr>
          <w:rFonts w:hint="eastAsia" w:ascii="仿宋_GB2312" w:eastAsia="仿宋_GB2312"/>
          <w:sz w:val="28"/>
          <w:szCs w:val="28"/>
        </w:rPr>
        <w:t>年度购置（更新）</w:t>
      </w:r>
      <w:r>
        <w:rPr>
          <w:rFonts w:hint="eastAsia" w:ascii="仿宋_GB2312" w:eastAsia="仿宋_GB2312"/>
          <w:sz w:val="28"/>
          <w:szCs w:val="28"/>
          <w:lang w:eastAsia="zh-CN"/>
        </w:rPr>
        <w:t>1</w:t>
      </w:r>
      <w:r>
        <w:rPr>
          <w:rFonts w:hint="eastAsia" w:ascii="仿宋_GB2312" w:eastAsia="仿宋_GB2312"/>
          <w:sz w:val="28"/>
          <w:szCs w:val="28"/>
        </w:rPr>
        <w:t>辆。公务用车运行维护费</w:t>
      </w:r>
      <w:r>
        <w:rPr>
          <w:rFonts w:hint="eastAsia" w:ascii="仿宋_GB2312" w:eastAsia="仿宋_GB2312"/>
          <w:sz w:val="28"/>
          <w:szCs w:val="28"/>
          <w:lang w:eastAsia="zh-CN"/>
        </w:rPr>
        <w:t>2025</w:t>
      </w:r>
      <w:r>
        <w:rPr>
          <w:rFonts w:hint="eastAsia" w:ascii="仿宋_GB2312" w:eastAsia="仿宋_GB2312"/>
          <w:sz w:val="28"/>
          <w:szCs w:val="28"/>
        </w:rPr>
        <w:t>年度决算数</w:t>
      </w:r>
      <w:r>
        <w:rPr>
          <w:rFonts w:hint="eastAsia" w:ascii="仿宋_GB2312" w:eastAsia="仿宋_GB2312"/>
          <w:sz w:val="28"/>
          <w:szCs w:val="28"/>
          <w:lang w:val="en-US" w:eastAsia="zh-CN"/>
        </w:rPr>
        <w:t>5,402.72</w:t>
      </w:r>
      <w:r>
        <w:rPr>
          <w:rFonts w:hint="eastAsia" w:ascii="仿宋_GB2312" w:eastAsia="仿宋_GB2312"/>
          <w:sz w:val="28"/>
          <w:szCs w:val="28"/>
        </w:rPr>
        <w:t>元，主要原因：本年度集中核算单位公务用车维修维护费为新购置车辆保险及车船税费用。</w:t>
      </w:r>
      <w:r>
        <w:rPr>
          <w:rFonts w:hint="eastAsia" w:ascii="仿宋_GB2312" w:eastAsia="仿宋_GB2312"/>
          <w:sz w:val="28"/>
          <w:szCs w:val="28"/>
          <w:lang w:eastAsia="zh-CN"/>
        </w:rPr>
        <w:t>2025</w:t>
      </w:r>
      <w:r>
        <w:rPr>
          <w:rFonts w:hint="eastAsia" w:ascii="仿宋_GB2312" w:eastAsia="仿宋_GB2312"/>
          <w:sz w:val="28"/>
          <w:szCs w:val="28"/>
        </w:rPr>
        <w:t>年度公务用车保有量</w:t>
      </w:r>
      <w:r>
        <w:rPr>
          <w:rFonts w:ascii="仿宋_GB2312" w:eastAsia="仿宋_GB2312"/>
          <w:sz w:val="28"/>
          <w:szCs w:val="28"/>
        </w:rPr>
        <w:t>1</w:t>
      </w:r>
      <w:r>
        <w:rPr>
          <w:rFonts w:hint="eastAsia" w:ascii="仿宋_GB2312" w:eastAsia="仿宋_GB2312"/>
          <w:sz w:val="28"/>
          <w:szCs w:val="28"/>
        </w:rPr>
        <w:t>辆。</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554" w:firstLineChars="198"/>
        <w:textAlignment w:val="auto"/>
        <w:outlineLvl w:val="9"/>
        <w:rPr>
          <w:rFonts w:hint="eastAsia" w:ascii="黑体" w:eastAsia="黑体"/>
          <w:sz w:val="28"/>
          <w:szCs w:val="28"/>
        </w:rPr>
      </w:pPr>
      <w:r>
        <w:rPr>
          <w:rFonts w:hint="eastAsia" w:ascii="黑体" w:eastAsia="黑体"/>
          <w:sz w:val="28"/>
          <w:szCs w:val="28"/>
        </w:rPr>
        <w:t>二、机关运行经费支出情况</w:t>
      </w:r>
    </w:p>
    <w:p>
      <w:pPr>
        <w:keepNext w:val="0"/>
        <w:keepLines w:val="0"/>
        <w:pageBreakBefore w:val="0"/>
        <w:widowControl w:val="0"/>
        <w:kinsoku/>
        <w:wordWrap/>
        <w:overflowPunct/>
        <w:topLinePunct w:val="0"/>
        <w:autoSpaceDE/>
        <w:autoSpaceDN/>
        <w:bidi w:val="0"/>
        <w:adjustRightInd/>
        <w:snapToGrid/>
        <w:spacing w:line="560" w:lineRule="exact"/>
        <w:ind w:firstLine="537" w:firstLineChars="192"/>
        <w:textAlignment w:val="auto"/>
        <w:outlineLvl w:val="9"/>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w:t>
      </w:r>
      <w:r>
        <w:rPr>
          <w:rFonts w:hint="eastAsia" w:ascii="仿宋_GB2312" w:eastAsia="仿宋_GB2312"/>
          <w:sz w:val="28"/>
          <w:szCs w:val="28"/>
          <w:lang w:eastAsia="zh-CN"/>
        </w:rPr>
        <w:t>机关运行经费</w:t>
      </w:r>
      <w:r>
        <w:rPr>
          <w:rFonts w:hint="eastAsia" w:ascii="仿宋_GB2312" w:eastAsia="仿宋_GB2312"/>
          <w:sz w:val="28"/>
          <w:szCs w:val="28"/>
        </w:rPr>
        <w:t>支出合计</w:t>
      </w:r>
      <w:r>
        <w:rPr>
          <w:rFonts w:hint="eastAsia" w:ascii="仿宋_GB2312" w:eastAsia="仿宋_GB2312"/>
          <w:sz w:val="28"/>
          <w:szCs w:val="28"/>
          <w:lang w:val="en-US" w:eastAsia="zh-CN"/>
        </w:rPr>
        <w:t>5,392,303.96</w:t>
      </w:r>
      <w:r>
        <w:rPr>
          <w:rFonts w:hint="eastAsia" w:ascii="仿宋_GB2312" w:eastAsia="仿宋_GB2312"/>
          <w:sz w:val="28"/>
          <w:szCs w:val="28"/>
        </w:rPr>
        <w:t>元，比上年增加</w:t>
      </w:r>
      <w:r>
        <w:rPr>
          <w:rFonts w:hint="eastAsia" w:ascii="仿宋_GB2312" w:eastAsia="仿宋_GB2312"/>
          <w:sz w:val="28"/>
          <w:szCs w:val="28"/>
          <w:lang w:val="en-US" w:eastAsia="zh-CN"/>
        </w:rPr>
        <w:t>255,894.36</w:t>
      </w:r>
      <w:r>
        <w:rPr>
          <w:rFonts w:hint="eastAsia" w:ascii="仿宋_GB2312" w:eastAsia="仿宋_GB2312"/>
          <w:sz w:val="28"/>
          <w:szCs w:val="28"/>
        </w:rPr>
        <w:t>元，增加原因：</w:t>
      </w:r>
      <w:r>
        <w:rPr>
          <w:rFonts w:hint="eastAsia" w:ascii="仿宋_GB2312" w:eastAsia="仿宋_GB2312"/>
          <w:sz w:val="28"/>
          <w:szCs w:val="28"/>
          <w:lang w:eastAsia="zh-CN"/>
        </w:rPr>
        <w:t>根据工作需要，正常安排机关运行经费</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left="540"/>
        <w:textAlignment w:val="auto"/>
        <w:outlineLvl w:val="9"/>
        <w:rPr>
          <w:rFonts w:hint="eastAsia" w:ascii="黑体" w:eastAsia="黑体"/>
          <w:sz w:val="28"/>
          <w:szCs w:val="28"/>
        </w:rPr>
      </w:pPr>
      <w:r>
        <w:rPr>
          <w:rFonts w:hint="eastAsia" w:ascii="黑体" w:eastAsia="黑体"/>
          <w:sz w:val="28"/>
          <w:szCs w:val="28"/>
        </w:rPr>
        <w:t>三、政府采购支出情况</w:t>
      </w:r>
    </w:p>
    <w:p>
      <w:pPr>
        <w:keepNext w:val="0"/>
        <w:keepLines w:val="0"/>
        <w:pageBreakBefore w:val="0"/>
        <w:widowControl w:val="0"/>
        <w:kinsoku/>
        <w:wordWrap/>
        <w:overflowPunct/>
        <w:topLinePunct w:val="0"/>
        <w:autoSpaceDE/>
        <w:autoSpaceDN/>
        <w:bidi w:val="0"/>
        <w:adjustRightInd/>
        <w:snapToGrid/>
        <w:spacing w:line="560" w:lineRule="exact"/>
        <w:ind w:firstLine="537" w:firstLineChars="192"/>
        <w:textAlignment w:val="auto"/>
        <w:outlineLvl w:val="9"/>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年度政府采购支出总额</w:t>
      </w:r>
      <w:r>
        <w:rPr>
          <w:rFonts w:hint="eastAsia" w:ascii="仿宋_GB2312" w:eastAsia="仿宋_GB2312"/>
          <w:sz w:val="28"/>
          <w:szCs w:val="28"/>
          <w:lang w:val="en-US" w:eastAsia="zh-CN"/>
        </w:rPr>
        <w:t>5,234,054.79</w:t>
      </w:r>
      <w:r>
        <w:rPr>
          <w:rFonts w:hint="eastAsia" w:ascii="仿宋_GB2312" w:eastAsia="仿宋_GB2312"/>
          <w:sz w:val="28"/>
          <w:szCs w:val="28"/>
        </w:rPr>
        <w:t>元，其中：政府采购货物支出</w:t>
      </w:r>
      <w:r>
        <w:rPr>
          <w:rFonts w:hint="eastAsia" w:ascii="仿宋_GB2312" w:eastAsia="仿宋_GB2312"/>
          <w:sz w:val="28"/>
          <w:szCs w:val="28"/>
          <w:lang w:val="en-US" w:eastAsia="zh-CN"/>
        </w:rPr>
        <w:t>1,256,929.61</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元，政府采购服务支出</w:t>
      </w:r>
      <w:r>
        <w:rPr>
          <w:rFonts w:hint="eastAsia" w:ascii="仿宋_GB2312" w:eastAsia="仿宋_GB2312"/>
          <w:sz w:val="28"/>
          <w:szCs w:val="28"/>
          <w:lang w:val="en-US" w:eastAsia="zh-CN"/>
        </w:rPr>
        <w:t>3，977，125.18</w:t>
      </w:r>
      <w:r>
        <w:rPr>
          <w:rFonts w:hint="eastAsia" w:ascii="仿宋_GB2312" w:eastAsia="仿宋_GB2312"/>
          <w:sz w:val="28"/>
          <w:szCs w:val="28"/>
        </w:rPr>
        <w:t>元。授予中小企业合同金额</w:t>
      </w:r>
      <w:r>
        <w:rPr>
          <w:rFonts w:hint="eastAsia" w:ascii="仿宋_GB2312" w:eastAsia="仿宋_GB2312"/>
          <w:sz w:val="28"/>
          <w:szCs w:val="28"/>
          <w:lang w:val="en-US" w:eastAsia="zh-CN"/>
        </w:rPr>
        <w:t>5,192,842.07</w:t>
      </w:r>
      <w:r>
        <w:rPr>
          <w:rFonts w:hint="eastAsia" w:ascii="仿宋_GB2312" w:eastAsia="仿宋_GB2312"/>
          <w:sz w:val="28"/>
          <w:szCs w:val="28"/>
        </w:rPr>
        <w:t>元，占政府采购支出总额的</w:t>
      </w:r>
      <w:r>
        <w:rPr>
          <w:rFonts w:hint="eastAsia" w:ascii="仿宋_GB2312" w:eastAsia="仿宋_GB2312"/>
          <w:sz w:val="28"/>
          <w:szCs w:val="28"/>
          <w:lang w:eastAsia="zh-CN"/>
        </w:rPr>
        <w:t>99.</w:t>
      </w:r>
      <w:r>
        <w:rPr>
          <w:rFonts w:hint="eastAsia" w:ascii="仿宋_GB2312" w:eastAsia="仿宋_GB2312"/>
          <w:sz w:val="28"/>
          <w:szCs w:val="28"/>
          <w:lang w:val="en-US" w:eastAsia="zh-CN"/>
        </w:rPr>
        <w:t>2</w:t>
      </w:r>
      <w:r>
        <w:rPr>
          <w:rFonts w:hint="eastAsia" w:ascii="仿宋_GB2312" w:eastAsia="仿宋_GB2312"/>
          <w:sz w:val="28"/>
          <w:szCs w:val="28"/>
        </w:rPr>
        <w:t>%，其中：授予小微企业合同金额</w:t>
      </w:r>
      <w:r>
        <w:rPr>
          <w:rFonts w:hint="eastAsia" w:ascii="仿宋_GB2312" w:eastAsia="仿宋_GB2312"/>
          <w:sz w:val="28"/>
          <w:szCs w:val="28"/>
          <w:lang w:val="en-US" w:eastAsia="zh-CN"/>
        </w:rPr>
        <w:t>4,630,457.07</w:t>
      </w:r>
      <w:r>
        <w:rPr>
          <w:rFonts w:hint="eastAsia" w:ascii="仿宋_GB2312" w:eastAsia="仿宋_GB2312"/>
          <w:sz w:val="28"/>
          <w:szCs w:val="28"/>
        </w:rPr>
        <w:t>元，占政府采购支出总额的</w:t>
      </w:r>
      <w:r>
        <w:rPr>
          <w:rFonts w:ascii="仿宋_GB2312" w:eastAsia="仿宋_GB2312"/>
          <w:sz w:val="28"/>
          <w:szCs w:val="28"/>
        </w:rPr>
        <w:t>88.</w:t>
      </w:r>
      <w:r>
        <w:rPr>
          <w:rFonts w:hint="eastAsia" w:ascii="仿宋_GB2312" w:eastAsia="仿宋_GB2312"/>
          <w:sz w:val="28"/>
          <w:szCs w:val="28"/>
          <w:lang w:val="en-US" w:eastAsia="zh-CN"/>
        </w:rPr>
        <w:t>5</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黑体" w:eastAsia="黑体"/>
          <w:sz w:val="28"/>
          <w:szCs w:val="28"/>
          <w:highlight w:val="yellow"/>
        </w:rPr>
      </w:pPr>
      <w:r>
        <w:rPr>
          <w:rFonts w:hint="eastAsia" w:ascii="黑体" w:eastAsia="黑体"/>
          <w:sz w:val="28"/>
          <w:szCs w:val="28"/>
        </w:rPr>
        <w:t>四、国有资产占用情况</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ascii="仿宋_GB2312" w:eastAsia="仿宋_GB2312"/>
          <w:sz w:val="32"/>
          <w:szCs w:val="32"/>
        </w:rPr>
      </w:pPr>
      <w:r>
        <w:rPr>
          <w:rFonts w:hint="eastAsia" w:ascii="仿宋_GB2312" w:eastAsia="仿宋_GB2312"/>
          <w:sz w:val="28"/>
          <w:szCs w:val="28"/>
          <w:lang w:eastAsia="zh-CN"/>
        </w:rPr>
        <w:t>截至</w:t>
      </w:r>
      <w:r>
        <w:rPr>
          <w:rFonts w:hint="eastAsia" w:ascii="仿宋_GB2312" w:eastAsia="仿宋_GB2312"/>
          <w:sz w:val="28"/>
          <w:szCs w:val="28"/>
          <w:lang w:val="en-US" w:eastAsia="zh-CN"/>
        </w:rPr>
        <w:t>12月31日，北京市门头沟区人民政府办公室</w:t>
      </w:r>
      <w:r>
        <w:rPr>
          <w:rFonts w:hint="eastAsia" w:ascii="仿宋_GB2312" w:eastAsia="仿宋_GB2312"/>
          <w:sz w:val="28"/>
          <w:szCs w:val="28"/>
          <w:lang w:eastAsia="zh-CN"/>
        </w:rPr>
        <w:t>共有</w:t>
      </w:r>
      <w:r>
        <w:rPr>
          <w:rFonts w:hint="eastAsia" w:ascii="仿宋_GB2312" w:eastAsia="仿宋_GB2312"/>
          <w:sz w:val="28"/>
          <w:szCs w:val="28"/>
        </w:rPr>
        <w:t>车辆</w:t>
      </w:r>
      <w:r>
        <w:rPr>
          <w:rFonts w:hint="eastAsia" w:ascii="仿宋_GB2312" w:eastAsia="仿宋_GB2312"/>
          <w:sz w:val="28"/>
          <w:szCs w:val="28"/>
          <w:lang w:val="en-US" w:eastAsia="zh-CN"/>
        </w:rPr>
        <w:t>25</w:t>
      </w:r>
      <w:r>
        <w:rPr>
          <w:rFonts w:hint="eastAsia" w:ascii="仿宋_GB2312" w:eastAsia="仿宋_GB2312"/>
          <w:sz w:val="28"/>
          <w:szCs w:val="28"/>
        </w:rPr>
        <w:t>台；单位价值100万元</w:t>
      </w:r>
      <w:r>
        <w:rPr>
          <w:rFonts w:hint="eastAsia" w:ascii="仿宋_GB2312" w:eastAsia="仿宋_GB2312"/>
          <w:sz w:val="28"/>
          <w:szCs w:val="28"/>
          <w:lang w:eastAsia="zh-CN"/>
        </w:rPr>
        <w:t>（含）</w:t>
      </w:r>
      <w:r>
        <w:rPr>
          <w:rFonts w:hint="eastAsia" w:ascii="仿宋_GB2312" w:eastAsia="仿宋_GB2312"/>
          <w:sz w:val="28"/>
          <w:szCs w:val="28"/>
        </w:rPr>
        <w:t>以上的设备</w:t>
      </w:r>
      <w:r>
        <w:rPr>
          <w:rFonts w:hint="eastAsia" w:ascii="仿宋_GB2312" w:eastAsia="仿宋_GB2312"/>
          <w:sz w:val="28"/>
          <w:szCs w:val="28"/>
          <w:lang w:val="en-US" w:eastAsia="zh-CN"/>
        </w:rPr>
        <w:t>2</w:t>
      </w:r>
      <w:r>
        <w:rPr>
          <w:rFonts w:hint="eastAsia" w:ascii="仿宋_GB2312" w:eastAsia="仿宋_GB2312"/>
          <w:sz w:val="28"/>
          <w:szCs w:val="28"/>
        </w:rPr>
        <w:t>台（套）。</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outlineLvl w:val="9"/>
        <w:rPr>
          <w:rFonts w:hint="eastAsia"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4.政府采购：指各级国家机关、事业单位和团体组织，使用财政性资金采购依法制定的集中目录以内的或者采购限额标准以上的货物、工程和服务的行为，是规范财政支出管理和强化预算约束的有效措施。</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outlineLvl w:val="9"/>
        <w:rPr>
          <w:rFonts w:hint="eastAsia" w:ascii="仿宋_GB2312" w:eastAsia="仿宋_GB2312"/>
          <w:bCs/>
          <w:sz w:val="28"/>
          <w:szCs w:val="28"/>
        </w:rPr>
      </w:pPr>
      <w:r>
        <w:rPr>
          <w:rFonts w:hint="eastAsia" w:ascii="仿宋_GB2312" w:eastAsia="仿宋_GB2312"/>
          <w:sz w:val="28"/>
          <w:szCs w:val="28"/>
        </w:rPr>
        <w:t>5.机关运行经费：</w:t>
      </w:r>
      <w:r>
        <w:rPr>
          <w:rFonts w:ascii="仿宋_GB2312" w:eastAsia="仿宋_GB2312"/>
          <w:sz w:val="28"/>
          <w:szCs w:val="28"/>
        </w:rPr>
        <w:t>反映为保障行政单位（</w:t>
      </w:r>
      <w:r>
        <w:rPr>
          <w:rFonts w:hint="eastAsia" w:ascii="仿宋_GB2312" w:eastAsia="仿宋_GB2312"/>
          <w:sz w:val="28"/>
          <w:szCs w:val="28"/>
        </w:rPr>
        <w:t>包括</w:t>
      </w:r>
      <w:r>
        <w:rPr>
          <w:rFonts w:ascii="仿宋_GB2312" w:eastAsia="仿宋_GB2312"/>
          <w:sz w:val="28"/>
          <w:szCs w:val="28"/>
        </w:rPr>
        <w:t>参照公务员法管理的事业单位）</w:t>
      </w:r>
      <w:r>
        <w:rPr>
          <w:rFonts w:hint="eastAsia" w:ascii="仿宋_GB2312" w:eastAsia="仿宋_GB2312"/>
          <w:sz w:val="28"/>
          <w:szCs w:val="28"/>
        </w:rPr>
        <w:t>运行</w:t>
      </w:r>
      <w:r>
        <w:rPr>
          <w:rFonts w:ascii="仿宋_GB2312" w:eastAsia="仿宋_GB2312"/>
          <w:sz w:val="28"/>
          <w:szCs w:val="28"/>
        </w:rPr>
        <w:t>用于购买货物和服务的各项资金，包括办公费、会议费、培训费、委托业务费、</w:t>
      </w:r>
      <w:r>
        <w:rPr>
          <w:rFonts w:hint="eastAsia" w:ascii="仿宋_GB2312" w:eastAsia="仿宋_GB2312"/>
          <w:sz w:val="28"/>
          <w:szCs w:val="28"/>
        </w:rPr>
        <w:t>公务</w:t>
      </w:r>
      <w:r>
        <w:rPr>
          <w:rFonts w:ascii="仿宋_GB2312" w:eastAsia="仿宋_GB2312"/>
          <w:sz w:val="28"/>
          <w:szCs w:val="28"/>
        </w:rPr>
        <w:t>接待费、公务用车运行维护费、维修（</w:t>
      </w:r>
      <w:r>
        <w:rPr>
          <w:rFonts w:hint="eastAsia" w:ascii="仿宋_GB2312" w:eastAsia="仿宋_GB2312"/>
          <w:sz w:val="28"/>
          <w:szCs w:val="28"/>
        </w:rPr>
        <w:t>护</w:t>
      </w:r>
      <w:r>
        <w:rPr>
          <w:rFonts w:ascii="仿宋_GB2312" w:eastAsia="仿宋_GB2312"/>
          <w:sz w:val="28"/>
          <w:szCs w:val="28"/>
        </w:rPr>
        <w:t>）</w:t>
      </w:r>
      <w:r>
        <w:rPr>
          <w:rFonts w:hint="eastAsia" w:ascii="仿宋_GB2312" w:eastAsia="仿宋_GB2312"/>
          <w:sz w:val="28"/>
          <w:szCs w:val="28"/>
        </w:rPr>
        <w:t>费</w:t>
      </w:r>
      <w:r>
        <w:rPr>
          <w:rFonts w:ascii="仿宋_GB2312" w:eastAsia="仿宋_GB2312"/>
          <w:sz w:val="28"/>
          <w:szCs w:val="28"/>
        </w:rPr>
        <w:t>及其他费用。</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outlineLvl w:val="9"/>
        <w:rPr>
          <w:rFonts w:hint="eastAsia" w:ascii="黑体" w:eastAsia="黑体"/>
          <w:sz w:val="32"/>
          <w:szCs w:val="32"/>
        </w:rPr>
      </w:pPr>
      <w:r>
        <w:rPr>
          <w:rFonts w:hint="eastAsia" w:ascii="仿宋_GB2312" w:eastAsia="仿宋_GB2312"/>
          <w:sz w:val="28"/>
          <w:szCs w:val="28"/>
        </w:rPr>
        <w:t>6.</w:t>
      </w:r>
      <w:r>
        <w:rPr>
          <w:rFonts w:hint="eastAsia" w:ascii="仿宋_GB2312" w:eastAsia="仿宋_GB2312"/>
          <w:sz w:val="28"/>
          <w:szCs w:val="28"/>
          <w:lang w:eastAsia="zh-CN"/>
        </w:rPr>
        <w:t>（</w:t>
      </w:r>
      <w:r>
        <w:rPr>
          <w:rFonts w:hint="eastAsia" w:ascii="仿宋_GB2312" w:eastAsia="仿宋_GB2312"/>
          <w:sz w:val="28"/>
          <w:szCs w:val="28"/>
          <w:lang w:val="en-US" w:eastAsia="zh-CN"/>
        </w:rPr>
        <w:t>1</w:t>
      </w:r>
      <w:r>
        <w:rPr>
          <w:rFonts w:hint="eastAsia" w:ascii="仿宋_GB2312" w:eastAsia="仿宋_GB2312"/>
          <w:sz w:val="28"/>
          <w:szCs w:val="28"/>
          <w:lang w:eastAsia="zh-CN"/>
        </w:rPr>
        <w:t>）</w:t>
      </w:r>
      <w:r>
        <w:rPr>
          <w:rFonts w:hint="eastAsia" w:ascii="仿宋_GB2312" w:eastAsia="仿宋_GB2312"/>
          <w:sz w:val="28"/>
          <w:szCs w:val="28"/>
        </w:rPr>
        <w:t>一般公共服务支出（类）政府办公厅（室）及相关机构事务（款）行政运行（项）：反映</w:t>
      </w:r>
      <w:r>
        <w:rPr>
          <w:rFonts w:hint="eastAsia" w:ascii="仿宋_GB2312" w:eastAsia="仿宋_GB2312"/>
          <w:sz w:val="28"/>
          <w:szCs w:val="28"/>
          <w:lang w:eastAsia="zh-CN"/>
        </w:rPr>
        <w:t>行政</w:t>
      </w:r>
      <w:r>
        <w:rPr>
          <w:rFonts w:hint="eastAsia" w:ascii="仿宋_GB2312" w:eastAsia="仿宋_GB2312"/>
          <w:sz w:val="28"/>
          <w:szCs w:val="28"/>
        </w:rPr>
        <w:t>单位的基本支出。</w:t>
      </w:r>
      <w:r>
        <w:rPr>
          <w:rFonts w:hint="eastAsia" w:ascii="仿宋_GB2312" w:eastAsia="仿宋_GB2312"/>
          <w:sz w:val="28"/>
          <w:szCs w:val="28"/>
          <w:lang w:eastAsia="zh-CN"/>
        </w:rPr>
        <w:t>（</w:t>
      </w:r>
      <w:r>
        <w:rPr>
          <w:rFonts w:hint="eastAsia" w:ascii="仿宋_GB2312" w:eastAsia="仿宋_GB2312"/>
          <w:sz w:val="28"/>
          <w:szCs w:val="28"/>
          <w:lang w:val="en-US" w:eastAsia="zh-CN"/>
        </w:rPr>
        <w:t>2</w:t>
      </w:r>
      <w:r>
        <w:rPr>
          <w:rFonts w:hint="eastAsia" w:ascii="仿宋_GB2312" w:eastAsia="仿宋_GB2312"/>
          <w:sz w:val="28"/>
          <w:szCs w:val="28"/>
          <w:lang w:eastAsia="zh-CN"/>
        </w:rPr>
        <w:t>）</w:t>
      </w:r>
      <w:r>
        <w:rPr>
          <w:rFonts w:hint="eastAsia" w:ascii="仿宋_GB2312" w:eastAsia="仿宋_GB2312"/>
          <w:sz w:val="28"/>
          <w:szCs w:val="28"/>
        </w:rPr>
        <w:t>一般公共服务支出（类）政府办公厅（室）及相关机构事务（款）</w:t>
      </w:r>
      <w:r>
        <w:rPr>
          <w:rFonts w:hint="eastAsia" w:ascii="仿宋_GB2312" w:eastAsia="仿宋_GB2312"/>
          <w:sz w:val="28"/>
          <w:szCs w:val="28"/>
          <w:lang w:eastAsia="zh-CN"/>
        </w:rPr>
        <w:t>事业</w:t>
      </w:r>
      <w:r>
        <w:rPr>
          <w:rFonts w:hint="eastAsia" w:ascii="仿宋_GB2312" w:eastAsia="仿宋_GB2312"/>
          <w:sz w:val="28"/>
          <w:szCs w:val="28"/>
        </w:rPr>
        <w:t>运行（项）：反映</w:t>
      </w:r>
      <w:r>
        <w:rPr>
          <w:rFonts w:hint="eastAsia" w:ascii="仿宋_GB2312" w:eastAsia="仿宋_GB2312"/>
          <w:sz w:val="28"/>
          <w:szCs w:val="28"/>
          <w:lang w:eastAsia="zh-CN"/>
        </w:rPr>
        <w:t>事业</w:t>
      </w:r>
      <w:r>
        <w:rPr>
          <w:rFonts w:hint="eastAsia" w:ascii="仿宋_GB2312" w:eastAsia="仿宋_GB2312"/>
          <w:sz w:val="28"/>
          <w:szCs w:val="28"/>
        </w:rPr>
        <w:t>单位的基本支出。</w:t>
      </w:r>
      <w:r>
        <w:rPr>
          <w:rFonts w:hint="eastAsia" w:ascii="仿宋_GB2312" w:eastAsia="仿宋_GB2312"/>
          <w:sz w:val="28"/>
          <w:szCs w:val="28"/>
          <w:lang w:eastAsia="zh-CN"/>
        </w:rPr>
        <w:t>（</w:t>
      </w:r>
      <w:r>
        <w:rPr>
          <w:rFonts w:hint="eastAsia" w:ascii="仿宋_GB2312" w:eastAsia="仿宋_GB2312"/>
          <w:sz w:val="28"/>
          <w:szCs w:val="28"/>
          <w:lang w:val="en-US" w:eastAsia="zh-CN"/>
        </w:rPr>
        <w:t>3</w:t>
      </w:r>
      <w:r>
        <w:rPr>
          <w:rFonts w:hint="eastAsia" w:ascii="仿宋_GB2312" w:eastAsia="仿宋_GB2312"/>
          <w:sz w:val="28"/>
          <w:szCs w:val="28"/>
          <w:lang w:eastAsia="zh-CN"/>
        </w:rPr>
        <w:t>）社会保障和就业支出</w:t>
      </w:r>
      <w:r>
        <w:rPr>
          <w:rFonts w:hint="eastAsia" w:ascii="仿宋_GB2312" w:eastAsia="仿宋_GB2312"/>
          <w:sz w:val="28"/>
          <w:szCs w:val="28"/>
        </w:rPr>
        <w:t>（类）</w:t>
      </w:r>
      <w:r>
        <w:rPr>
          <w:rFonts w:hint="eastAsia" w:ascii="仿宋_GB2312" w:eastAsia="仿宋_GB2312"/>
          <w:sz w:val="28"/>
          <w:szCs w:val="28"/>
          <w:lang w:eastAsia="zh-CN"/>
        </w:rPr>
        <w:t>行政事业单位养老支出</w:t>
      </w:r>
      <w:r>
        <w:rPr>
          <w:rFonts w:hint="eastAsia" w:ascii="仿宋_GB2312" w:eastAsia="仿宋_GB2312"/>
          <w:sz w:val="28"/>
          <w:szCs w:val="28"/>
        </w:rPr>
        <w:t>（款）</w:t>
      </w:r>
      <w:r>
        <w:rPr>
          <w:rFonts w:hint="eastAsia" w:ascii="仿宋_GB2312" w:eastAsia="仿宋_GB2312"/>
          <w:sz w:val="28"/>
          <w:szCs w:val="28"/>
          <w:lang w:eastAsia="zh-CN"/>
        </w:rPr>
        <w:t>行政单位离退休</w:t>
      </w:r>
      <w:r>
        <w:rPr>
          <w:rFonts w:hint="eastAsia" w:ascii="仿宋_GB2312" w:eastAsia="仿宋_GB2312"/>
          <w:sz w:val="28"/>
          <w:szCs w:val="28"/>
        </w:rPr>
        <w:t>（项）：反映</w:t>
      </w:r>
      <w:r>
        <w:rPr>
          <w:rFonts w:hint="eastAsia" w:ascii="仿宋_GB2312" w:eastAsia="仿宋_GB2312"/>
          <w:sz w:val="28"/>
          <w:szCs w:val="28"/>
          <w:lang w:eastAsia="zh-CN"/>
        </w:rPr>
        <w:t>行政</w:t>
      </w:r>
      <w:r>
        <w:rPr>
          <w:rFonts w:hint="eastAsia" w:ascii="仿宋_GB2312" w:eastAsia="仿宋_GB2312"/>
          <w:sz w:val="28"/>
          <w:szCs w:val="28"/>
        </w:rPr>
        <w:t>单位的基本支出。</w:t>
      </w:r>
      <w:r>
        <w:rPr>
          <w:rFonts w:hint="eastAsia" w:ascii="仿宋_GB2312" w:eastAsia="仿宋_GB2312"/>
          <w:sz w:val="28"/>
          <w:szCs w:val="28"/>
          <w:lang w:eastAsia="zh-CN"/>
        </w:rPr>
        <w:t>（</w:t>
      </w:r>
      <w:r>
        <w:rPr>
          <w:rFonts w:hint="eastAsia" w:ascii="仿宋_GB2312" w:eastAsia="仿宋_GB2312"/>
          <w:sz w:val="28"/>
          <w:szCs w:val="28"/>
          <w:lang w:val="en-US" w:eastAsia="zh-CN"/>
        </w:rPr>
        <w:t>4</w:t>
      </w:r>
      <w:r>
        <w:rPr>
          <w:rFonts w:hint="eastAsia" w:ascii="仿宋_GB2312" w:eastAsia="仿宋_GB2312"/>
          <w:sz w:val="28"/>
          <w:szCs w:val="28"/>
          <w:lang w:eastAsia="zh-CN"/>
        </w:rPr>
        <w:t>）社会保障和就业支出</w:t>
      </w:r>
      <w:r>
        <w:rPr>
          <w:rFonts w:hint="eastAsia" w:ascii="仿宋_GB2312" w:eastAsia="仿宋_GB2312"/>
          <w:sz w:val="28"/>
          <w:szCs w:val="28"/>
        </w:rPr>
        <w:t>（类）</w:t>
      </w:r>
      <w:r>
        <w:rPr>
          <w:rFonts w:hint="eastAsia" w:ascii="仿宋_GB2312" w:eastAsia="仿宋_GB2312"/>
          <w:sz w:val="28"/>
          <w:szCs w:val="28"/>
          <w:lang w:eastAsia="zh-CN"/>
        </w:rPr>
        <w:t>行政事业单位养老支出</w:t>
      </w:r>
      <w:r>
        <w:rPr>
          <w:rFonts w:hint="eastAsia" w:ascii="仿宋_GB2312" w:eastAsia="仿宋_GB2312"/>
          <w:sz w:val="28"/>
          <w:szCs w:val="28"/>
        </w:rPr>
        <w:t>（款）</w:t>
      </w:r>
      <w:r>
        <w:rPr>
          <w:rFonts w:hint="eastAsia" w:ascii="仿宋_GB2312" w:eastAsia="仿宋_GB2312"/>
          <w:sz w:val="28"/>
          <w:szCs w:val="28"/>
          <w:lang w:eastAsia="zh-CN"/>
        </w:rPr>
        <w:t>事业单位离退休</w:t>
      </w:r>
      <w:r>
        <w:rPr>
          <w:rFonts w:hint="eastAsia" w:ascii="仿宋_GB2312" w:eastAsia="仿宋_GB2312"/>
          <w:sz w:val="28"/>
          <w:szCs w:val="28"/>
        </w:rPr>
        <w:t>（项）：反映</w:t>
      </w:r>
      <w:r>
        <w:rPr>
          <w:rFonts w:hint="eastAsia" w:ascii="仿宋_GB2312" w:eastAsia="仿宋_GB2312"/>
          <w:sz w:val="28"/>
          <w:szCs w:val="28"/>
          <w:lang w:eastAsia="zh-CN"/>
        </w:rPr>
        <w:t>事业</w:t>
      </w:r>
      <w:r>
        <w:rPr>
          <w:rFonts w:hint="eastAsia" w:ascii="仿宋_GB2312" w:eastAsia="仿宋_GB2312"/>
          <w:sz w:val="28"/>
          <w:szCs w:val="28"/>
        </w:rPr>
        <w:t>单位的基本支出。</w:t>
      </w:r>
    </w:p>
    <w:p>
      <w:pPr>
        <w:ind w:firstLine="640" w:firstLineChars="200"/>
        <w:jc w:val="center"/>
        <w:rPr>
          <w:rFonts w:hint="eastAsia" w:ascii="黑体" w:eastAsia="黑体"/>
          <w:sz w:val="32"/>
          <w:szCs w:val="32"/>
        </w:rPr>
      </w:pPr>
      <w:r>
        <w:rPr>
          <w:rFonts w:hint="eastAsia" w:ascii="黑体" w:eastAsia="黑体"/>
          <w:sz w:val="32"/>
          <w:szCs w:val="32"/>
        </w:rPr>
        <w:t>第四部分  2025年度部门绩效评价情况</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一、部门整体绩效评价报告</w:t>
      </w:r>
    </w:p>
    <w:p>
      <w:pPr>
        <w:spacing w:line="580" w:lineRule="exact"/>
        <w:ind w:firstLine="640"/>
        <w:rPr>
          <w:rFonts w:ascii="楷体_GB2312"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adjustRightInd w:val="0"/>
        <w:snapToGrid w:val="0"/>
        <w:spacing w:beforeLines="0" w:afterLines="0" w:line="520" w:lineRule="exact"/>
        <w:ind w:firstLine="640" w:firstLineChars="200"/>
        <w:rPr>
          <w:rFonts w:hint="eastAsia" w:ascii="仿宋_GB2312" w:hAnsi="仿宋" w:eastAsia="仿宋_GB2312"/>
          <w:sz w:val="32"/>
        </w:rPr>
      </w:pPr>
      <w:r>
        <w:rPr>
          <w:rFonts w:hint="eastAsia" w:ascii="仿宋_GB2312" w:hAnsi="仿宋" w:eastAsia="仿宋_GB2312"/>
          <w:sz w:val="32"/>
        </w:rPr>
        <w:t>区政府办负责十一家单位集中财务核算工作，各部门主要职责简要概括为协助本部门领导处理部门日常事务工作、专项事务工作、应急性工作、重大事件工作及其他相关工作，包括但不限于：部门会议及会务筹备组织工作，部门材料报告撰写及公文处理工作，部门相关联络及公务接洽工作，部门调研及专项项目工作，部门对接市对口单位年度及专项工作等。</w:t>
      </w:r>
    </w:p>
    <w:p>
      <w:pPr>
        <w:numPr>
          <w:ilvl w:val="0"/>
          <w:numId w:val="2"/>
        </w:numPr>
        <w:spacing w:line="580" w:lineRule="exact"/>
        <w:ind w:firstLine="640"/>
        <w:rPr>
          <w:rFonts w:hint="eastAsia" w:ascii="仿宋_GB2312" w:eastAsia="仿宋_GB2312"/>
          <w:sz w:val="32"/>
          <w:szCs w:val="32"/>
        </w:rPr>
      </w:pPr>
      <w:r>
        <w:rPr>
          <w:rFonts w:hint="eastAsia" w:ascii="仿宋_GB2312" w:eastAsia="仿宋_GB2312"/>
          <w:sz w:val="32"/>
          <w:szCs w:val="32"/>
        </w:rPr>
        <w:t>部门机构设置情况</w:t>
      </w:r>
    </w:p>
    <w:p>
      <w:pPr>
        <w:adjustRightInd w:val="0"/>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集中财务核算单位构成如下：</w:t>
      </w:r>
    </w:p>
    <w:p>
      <w:pPr>
        <w:adjustRightInd w:val="0"/>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（1）北京市门头沟区人民政府办公室；</w:t>
      </w:r>
    </w:p>
    <w:p>
      <w:pPr>
        <w:adjustRightInd w:val="0"/>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（2）中国共产党北京市门头沟区委员会办公室；</w:t>
      </w:r>
    </w:p>
    <w:p>
      <w:pPr>
        <w:adjustRightInd w:val="0"/>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（3）中国共产党北京市门头沟区委员会宣传部；</w:t>
      </w:r>
    </w:p>
    <w:p>
      <w:pPr>
        <w:adjustRightInd w:val="0"/>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（4）中国共产党北京市门头沟区委员会研究室；</w:t>
      </w:r>
    </w:p>
    <w:p>
      <w:pPr>
        <w:adjustRightInd w:val="0"/>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（5）中国共产主义青年团北京市门头沟区委员会；</w:t>
      </w:r>
    </w:p>
    <w:p>
      <w:pPr>
        <w:adjustRightInd w:val="0"/>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（6）中国共产党北京市门头沟区委员会统一战线工作部；</w:t>
      </w:r>
    </w:p>
    <w:p>
      <w:pPr>
        <w:adjustRightInd w:val="0"/>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（7）北京市门头沟区信访办公室；</w:t>
      </w:r>
    </w:p>
    <w:p>
      <w:pPr>
        <w:adjustRightInd w:val="0"/>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（8）中国共产党北京市门头沟区委员会组织部；</w:t>
      </w:r>
    </w:p>
    <w:p>
      <w:pPr>
        <w:adjustRightInd w:val="0"/>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（9）中共北京市门头沟区委区直属机关工作委员会；</w:t>
      </w:r>
    </w:p>
    <w:p>
      <w:pPr>
        <w:adjustRightInd w:val="0"/>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（10）中国共产党北京市门头沟区委网络安全和信息化委员会办公室；</w:t>
      </w:r>
    </w:p>
    <w:p>
      <w:pPr>
        <w:adjustRightInd w:val="0"/>
        <w:snapToGrid w:val="0"/>
        <w:spacing w:beforeLines="0" w:afterLines="0" w:line="520" w:lineRule="exact"/>
        <w:ind w:firstLine="640" w:firstLineChars="200"/>
      </w:pPr>
      <w:r>
        <w:rPr>
          <w:rFonts w:hint="eastAsia" w:ascii="仿宋_GB2312" w:hAnsi="仿宋" w:eastAsia="仿宋_GB2312"/>
          <w:sz w:val="32"/>
        </w:rPr>
        <w:t>（11）中国共产党北京市门头沟区委员会社会工作部。</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pPr>
        <w:snapToGrid w:val="0"/>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2025年集中财务核算单位根据本单位职能依法开展年度工作，严格遵循各项法律及规则制度，贯彻落实党的方针政策，完成市、区及本单位年度工作任务。同时，加大重点及专项工作落实力度，切实做好，保障机构日常运行，推进区级一般专项项目及市级转移支付项目资金支出，力争做到有法可依、有章可循、合理支出。努力提高工作服务水平，构建和谐党群关系。</w:t>
      </w:r>
    </w:p>
    <w:bookmarkEnd w:id="0"/>
    <w:p>
      <w:pPr>
        <w:spacing w:line="580" w:lineRule="exact"/>
        <w:ind w:firstLine="640"/>
        <w:rPr>
          <w:rFonts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3"/>
        <w:tblW w:w="9380" w:type="dxa"/>
        <w:tblInd w:w="113" w:type="dxa"/>
        <w:tblLayout w:type="fixed"/>
        <w:tblCellMar>
          <w:top w:w="0" w:type="dxa"/>
          <w:left w:w="108" w:type="dxa"/>
          <w:bottom w:w="0" w:type="dxa"/>
          <w:right w:w="108" w:type="dxa"/>
        </w:tblCellMar>
      </w:tblPr>
      <w:tblGrid>
        <w:gridCol w:w="1150"/>
        <w:gridCol w:w="3665"/>
        <w:gridCol w:w="3214"/>
        <w:gridCol w:w="1351"/>
      </w:tblGrid>
      <w:tr>
        <w:tblPrEx>
          <w:tblLayout w:type="fixed"/>
          <w:tblCellMar>
            <w:top w:w="0" w:type="dxa"/>
            <w:left w:w="108" w:type="dxa"/>
            <w:bottom w:w="0" w:type="dxa"/>
            <w:right w:w="108" w:type="dxa"/>
          </w:tblCellMar>
        </w:tblPrEx>
        <w:trPr>
          <w:trHeight w:val="536" w:hRule="atLeast"/>
        </w:trPr>
        <w:tc>
          <w:tcPr>
            <w:tcW w:w="115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1"/>
                <w:szCs w:val="21"/>
              </w:rPr>
            </w:pPr>
            <w:r>
              <w:rPr>
                <w:rFonts w:hint="eastAsia" w:ascii="仿宋_GB2312" w:eastAsia="仿宋_GB2312"/>
                <w:sz w:val="21"/>
                <w:szCs w:val="21"/>
              </w:rPr>
              <w:t>序号</w:t>
            </w:r>
          </w:p>
        </w:tc>
        <w:tc>
          <w:tcPr>
            <w:tcW w:w="3665"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1"/>
                <w:szCs w:val="21"/>
              </w:rPr>
            </w:pPr>
            <w:r>
              <w:rPr>
                <w:rFonts w:hint="eastAsia" w:ascii="仿宋_GB2312" w:eastAsia="仿宋_GB2312"/>
                <w:sz w:val="21"/>
                <w:szCs w:val="21"/>
              </w:rPr>
              <w:t>三级指标</w:t>
            </w:r>
          </w:p>
        </w:tc>
        <w:tc>
          <w:tcPr>
            <w:tcW w:w="3214"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1"/>
                <w:szCs w:val="21"/>
              </w:rPr>
            </w:pPr>
            <w:r>
              <w:rPr>
                <w:rFonts w:hint="eastAsia" w:ascii="仿宋_GB2312" w:eastAsia="仿宋_GB2312"/>
                <w:sz w:val="21"/>
                <w:szCs w:val="21"/>
              </w:rPr>
              <w:t>指标值</w:t>
            </w:r>
          </w:p>
        </w:tc>
        <w:tc>
          <w:tcPr>
            <w:tcW w:w="1351"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1"/>
                <w:szCs w:val="21"/>
              </w:rPr>
            </w:pPr>
            <w:r>
              <w:rPr>
                <w:rFonts w:hint="eastAsia" w:ascii="仿宋_GB2312" w:eastAsia="仿宋_GB2312"/>
                <w:sz w:val="21"/>
                <w:szCs w:val="21"/>
              </w:rPr>
              <w:t>度量单位</w:t>
            </w:r>
          </w:p>
        </w:tc>
      </w:tr>
      <w:tr>
        <w:tblPrEx>
          <w:tblLayout w:type="fixed"/>
          <w:tblCellMar>
            <w:top w:w="0" w:type="dxa"/>
            <w:left w:w="108" w:type="dxa"/>
            <w:bottom w:w="0" w:type="dxa"/>
            <w:right w:w="108" w:type="dxa"/>
          </w:tblCellMar>
        </w:tblPrEx>
        <w:trPr>
          <w:trHeight w:val="920" w:hRule="atLeast"/>
        </w:trPr>
        <w:tc>
          <w:tcPr>
            <w:tcW w:w="1150" w:type="dxa"/>
            <w:tcBorders>
              <w:top w:val="nil"/>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1</w:t>
            </w:r>
          </w:p>
        </w:tc>
        <w:tc>
          <w:tcPr>
            <w:tcW w:w="3665" w:type="dxa"/>
            <w:tcBorders>
              <w:top w:val="nil"/>
              <w:left w:val="nil"/>
              <w:bottom w:val="single" w:color="auto" w:sz="4" w:space="0"/>
              <w:right w:val="single" w:color="auto" w:sz="4" w:space="0"/>
            </w:tcBorders>
            <w:vAlign w:val="center"/>
          </w:tcPr>
          <w:p>
            <w:pPr>
              <w:widowControl/>
              <w:spacing w:beforeLines="0" w:afterLines="0" w:line="300" w:lineRule="exact"/>
              <w:rPr>
                <w:rFonts w:ascii="仿宋_GB2312" w:eastAsia="仿宋_GB2312"/>
                <w:sz w:val="28"/>
                <w:szCs w:val="28"/>
              </w:rPr>
            </w:pPr>
            <w:r>
              <w:rPr>
                <w:rFonts w:hint="eastAsia"/>
                <w:color w:val="000000"/>
                <w:sz w:val="20"/>
              </w:rPr>
              <w:t>数量指标：集中财务核算单位根据本单位年度工作计划及年度预算完成本单位年度工作。</w:t>
            </w:r>
          </w:p>
        </w:tc>
        <w:tc>
          <w:tcPr>
            <w:tcW w:w="3214" w:type="dxa"/>
            <w:tcBorders>
              <w:top w:val="nil"/>
              <w:left w:val="nil"/>
              <w:bottom w:val="single" w:color="auto" w:sz="4" w:space="0"/>
              <w:right w:val="single" w:color="auto" w:sz="4" w:space="0"/>
            </w:tcBorders>
            <w:vAlign w:val="center"/>
          </w:tcPr>
          <w:p>
            <w:pPr>
              <w:widowControl/>
              <w:spacing w:beforeLines="0" w:afterLines="0" w:line="300" w:lineRule="exact"/>
              <w:jc w:val="right"/>
              <w:rPr>
                <w:rFonts w:ascii="仿宋_GB2312" w:eastAsia="仿宋_GB2312"/>
                <w:sz w:val="20"/>
                <w:szCs w:val="20"/>
              </w:rPr>
            </w:pPr>
            <w:r>
              <w:rPr>
                <w:rFonts w:hint="eastAsia" w:ascii="仿宋_GB2312" w:hAnsi="仿宋" w:eastAsia="仿宋_GB2312"/>
                <w:sz w:val="20"/>
                <w:szCs w:val="20"/>
              </w:rPr>
              <w:t>15,910.72</w:t>
            </w:r>
          </w:p>
        </w:tc>
        <w:tc>
          <w:tcPr>
            <w:tcW w:w="1351" w:type="dxa"/>
            <w:tcBorders>
              <w:top w:val="nil"/>
              <w:left w:val="nil"/>
              <w:bottom w:val="single" w:color="auto" w:sz="4" w:space="0"/>
              <w:right w:val="single" w:color="auto" w:sz="4" w:space="0"/>
            </w:tcBorders>
            <w:vAlign w:val="center"/>
          </w:tcPr>
          <w:p>
            <w:pPr>
              <w:widowControl/>
              <w:spacing w:beforeLines="0" w:afterLines="0" w:line="300" w:lineRule="exact"/>
              <w:jc w:val="center"/>
              <w:rPr>
                <w:rFonts w:ascii="仿宋_GB2312" w:eastAsia="仿宋_GB2312"/>
                <w:sz w:val="28"/>
                <w:szCs w:val="28"/>
              </w:rPr>
            </w:pPr>
            <w:r>
              <w:rPr>
                <w:rFonts w:hint="eastAsia" w:ascii="仿宋_GB2312" w:hAnsi="仿宋" w:eastAsia="仿宋_GB2312"/>
                <w:sz w:val="20"/>
              </w:rPr>
              <w:t>万元</w:t>
            </w:r>
          </w:p>
        </w:tc>
      </w:tr>
      <w:tr>
        <w:tblPrEx>
          <w:tblLayout w:type="fixed"/>
          <w:tblCellMar>
            <w:top w:w="0" w:type="dxa"/>
            <w:left w:w="108" w:type="dxa"/>
            <w:bottom w:w="0" w:type="dxa"/>
            <w:right w:w="108" w:type="dxa"/>
          </w:tblCellMar>
        </w:tblPrEx>
        <w:trPr>
          <w:trHeight w:val="2135" w:hRule="atLeast"/>
        </w:trPr>
        <w:tc>
          <w:tcPr>
            <w:tcW w:w="115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2</w:t>
            </w:r>
          </w:p>
        </w:tc>
        <w:tc>
          <w:tcPr>
            <w:tcW w:w="3665"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rPr>
                <w:rFonts w:ascii="仿宋_GB2312" w:eastAsia="仿宋_GB2312"/>
                <w:sz w:val="28"/>
                <w:szCs w:val="28"/>
              </w:rPr>
            </w:pPr>
            <w:r>
              <w:rPr>
                <w:rFonts w:hint="eastAsia"/>
                <w:sz w:val="20"/>
              </w:rPr>
              <w:t>质量指标：集中财务核算单位深入贯彻落实党的各项方针政策，严格遵守相关法律法规、行政管理规章制度及专项工作文件要求精神开展本单位年度工作。</w:t>
            </w:r>
          </w:p>
        </w:tc>
        <w:tc>
          <w:tcPr>
            <w:tcW w:w="3214"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rPr>
                <w:rFonts w:ascii="仿宋_GB2312" w:eastAsia="仿宋_GB2312"/>
                <w:sz w:val="20"/>
                <w:szCs w:val="20"/>
              </w:rPr>
            </w:pPr>
            <w:r>
              <w:rPr>
                <w:rFonts w:hint="eastAsia"/>
                <w:sz w:val="20"/>
                <w:szCs w:val="20"/>
              </w:rPr>
              <w:t>深入贯彻落实党的各项方针政策，严格遵守相关法律法规、行政管理规章制度及专项工作文件要求精神开展本单位年度工作</w:t>
            </w:r>
          </w:p>
        </w:tc>
        <w:tc>
          <w:tcPr>
            <w:tcW w:w="1351" w:type="dxa"/>
            <w:tcBorders>
              <w:top w:val="single" w:color="auto" w:sz="4" w:space="0"/>
              <w:left w:val="single" w:color="auto" w:sz="4" w:space="0"/>
              <w:bottom w:val="single" w:color="auto" w:sz="4" w:space="0"/>
              <w:right w:val="single" w:color="auto" w:sz="4" w:space="0"/>
            </w:tcBorders>
            <w:vAlign w:val="center"/>
          </w:tcPr>
          <w:p>
            <w:pPr>
              <w:widowControl/>
              <w:spacing w:beforeLines="0" w:afterLines="0" w:line="300" w:lineRule="exact"/>
              <w:jc w:val="center"/>
              <w:rPr>
                <w:rFonts w:ascii="仿宋_GB2312" w:eastAsia="仿宋_GB2312"/>
                <w:sz w:val="28"/>
                <w:szCs w:val="28"/>
              </w:rPr>
            </w:pPr>
          </w:p>
        </w:tc>
      </w:tr>
      <w:tr>
        <w:tblPrEx>
          <w:tblLayout w:type="fixed"/>
          <w:tblCellMar>
            <w:top w:w="0" w:type="dxa"/>
            <w:left w:w="108" w:type="dxa"/>
            <w:bottom w:w="0" w:type="dxa"/>
            <w:right w:w="108" w:type="dxa"/>
          </w:tblCellMar>
        </w:tblPrEx>
        <w:trPr>
          <w:trHeight w:val="920" w:hRule="atLeast"/>
        </w:trPr>
        <w:tc>
          <w:tcPr>
            <w:tcW w:w="115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3</w:t>
            </w:r>
          </w:p>
        </w:tc>
        <w:tc>
          <w:tcPr>
            <w:tcW w:w="3665"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rPr>
                <w:rFonts w:ascii="仿宋_GB2312" w:eastAsia="仿宋_GB2312"/>
                <w:sz w:val="28"/>
                <w:szCs w:val="28"/>
              </w:rPr>
            </w:pPr>
            <w:r>
              <w:rPr>
                <w:rFonts w:hint="eastAsia"/>
                <w:sz w:val="20"/>
              </w:rPr>
              <w:t>进度指标：集中财务核算单位积极配合财政要求于2025年1月至12月完成年度支出进度。</w:t>
            </w:r>
          </w:p>
        </w:tc>
        <w:tc>
          <w:tcPr>
            <w:tcW w:w="3214"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jc w:val="right"/>
              <w:rPr>
                <w:rFonts w:ascii="仿宋_GB2312" w:eastAsia="仿宋_GB2312"/>
                <w:sz w:val="20"/>
                <w:szCs w:val="20"/>
              </w:rPr>
            </w:pPr>
            <w:r>
              <w:rPr>
                <w:rFonts w:hint="eastAsia" w:ascii="仿宋_GB2312" w:eastAsia="仿宋_GB2312"/>
                <w:sz w:val="20"/>
                <w:szCs w:val="20"/>
              </w:rPr>
              <w:t>15,910.72</w:t>
            </w:r>
          </w:p>
        </w:tc>
        <w:tc>
          <w:tcPr>
            <w:tcW w:w="1351" w:type="dxa"/>
            <w:tcBorders>
              <w:top w:val="single" w:color="auto" w:sz="4" w:space="0"/>
              <w:left w:val="single" w:color="auto" w:sz="4" w:space="0"/>
              <w:bottom w:val="single" w:color="auto" w:sz="4" w:space="0"/>
              <w:right w:val="single" w:color="auto" w:sz="4" w:space="0"/>
            </w:tcBorders>
            <w:vAlign w:val="center"/>
          </w:tcPr>
          <w:p>
            <w:pPr>
              <w:widowControl/>
              <w:spacing w:beforeLines="0" w:afterLines="0" w:line="300" w:lineRule="exact"/>
              <w:jc w:val="center"/>
              <w:rPr>
                <w:rFonts w:ascii="仿宋_GB2312" w:eastAsia="仿宋_GB2312"/>
                <w:sz w:val="28"/>
                <w:szCs w:val="28"/>
              </w:rPr>
            </w:pPr>
            <w:r>
              <w:rPr>
                <w:rFonts w:hint="eastAsia" w:ascii="仿宋_GB2312" w:hAnsi="仿宋" w:eastAsia="仿宋_GB2312"/>
                <w:sz w:val="20"/>
              </w:rPr>
              <w:t>万元</w:t>
            </w:r>
          </w:p>
        </w:tc>
      </w:tr>
      <w:tr>
        <w:tblPrEx>
          <w:tblLayout w:type="fixed"/>
          <w:tblCellMar>
            <w:top w:w="0" w:type="dxa"/>
            <w:left w:w="108" w:type="dxa"/>
            <w:bottom w:w="0" w:type="dxa"/>
            <w:right w:w="108" w:type="dxa"/>
          </w:tblCellMar>
        </w:tblPrEx>
        <w:trPr>
          <w:trHeight w:val="617" w:hRule="atLeast"/>
        </w:trPr>
        <w:tc>
          <w:tcPr>
            <w:tcW w:w="115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4</w:t>
            </w:r>
          </w:p>
        </w:tc>
        <w:tc>
          <w:tcPr>
            <w:tcW w:w="3665"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rPr>
                <w:rFonts w:ascii="仿宋_GB2312" w:eastAsia="仿宋_GB2312"/>
                <w:sz w:val="28"/>
                <w:szCs w:val="28"/>
              </w:rPr>
            </w:pPr>
            <w:r>
              <w:rPr>
                <w:rFonts w:hint="eastAsia"/>
                <w:sz w:val="20"/>
              </w:rPr>
              <w:t>成本指标：集中财务核算单位产出成本严格控制在2025年度部门预算范围内。</w:t>
            </w:r>
          </w:p>
        </w:tc>
        <w:tc>
          <w:tcPr>
            <w:tcW w:w="3214"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rPr>
                <w:rFonts w:ascii="仿宋_GB2312" w:eastAsia="仿宋_GB2312"/>
                <w:sz w:val="28"/>
                <w:szCs w:val="28"/>
              </w:rPr>
            </w:pPr>
            <w:r>
              <w:rPr>
                <w:rFonts w:hint="eastAsia"/>
                <w:sz w:val="20"/>
              </w:rPr>
              <w:t>控制在预算内</w:t>
            </w:r>
          </w:p>
        </w:tc>
        <w:tc>
          <w:tcPr>
            <w:tcW w:w="1351" w:type="dxa"/>
            <w:tcBorders>
              <w:top w:val="single" w:color="auto" w:sz="4" w:space="0"/>
              <w:left w:val="single" w:color="auto" w:sz="4" w:space="0"/>
              <w:bottom w:val="single" w:color="auto" w:sz="4" w:space="0"/>
              <w:right w:val="single" w:color="auto" w:sz="4" w:space="0"/>
            </w:tcBorders>
            <w:vAlign w:val="center"/>
          </w:tcPr>
          <w:p>
            <w:pPr>
              <w:widowControl/>
              <w:spacing w:beforeLines="0" w:afterLines="0" w:line="300" w:lineRule="exact"/>
              <w:jc w:val="center"/>
              <w:rPr>
                <w:rFonts w:ascii="仿宋_GB2312" w:eastAsia="仿宋_GB2312"/>
                <w:sz w:val="28"/>
                <w:szCs w:val="28"/>
              </w:rPr>
            </w:pPr>
          </w:p>
        </w:tc>
      </w:tr>
      <w:tr>
        <w:tblPrEx>
          <w:tblLayout w:type="fixed"/>
          <w:tblCellMar>
            <w:top w:w="0" w:type="dxa"/>
            <w:left w:w="108" w:type="dxa"/>
            <w:bottom w:w="0" w:type="dxa"/>
            <w:right w:w="108" w:type="dxa"/>
          </w:tblCellMar>
        </w:tblPrEx>
        <w:trPr>
          <w:trHeight w:val="1214" w:hRule="atLeast"/>
        </w:trPr>
        <w:tc>
          <w:tcPr>
            <w:tcW w:w="115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5</w:t>
            </w:r>
          </w:p>
        </w:tc>
        <w:tc>
          <w:tcPr>
            <w:tcW w:w="3665"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rPr>
                <w:rFonts w:hint="eastAsia"/>
                <w:sz w:val="20"/>
              </w:rPr>
            </w:pPr>
            <w:r>
              <w:rPr>
                <w:rFonts w:hint="eastAsia"/>
                <w:sz w:val="20"/>
              </w:rPr>
              <w:t>社会效益指标：集中财务核算单位立足本职工作，积极做好服务党群建设、服务行政运行、服务区域发展、服务人民群众。</w:t>
            </w:r>
          </w:p>
        </w:tc>
        <w:tc>
          <w:tcPr>
            <w:tcW w:w="3214"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rPr>
                <w:rFonts w:hint="eastAsia"/>
                <w:sz w:val="20"/>
              </w:rPr>
            </w:pPr>
            <w:r>
              <w:rPr>
                <w:rFonts w:hint="eastAsia"/>
                <w:sz w:val="20"/>
              </w:rPr>
              <w:t>集中财务核算单位立足本职工作，积极做好服务党群建设、服务行政运行、服务区域发展、服务人民群众。</w:t>
            </w:r>
          </w:p>
        </w:tc>
        <w:tc>
          <w:tcPr>
            <w:tcW w:w="1351" w:type="dxa"/>
            <w:tcBorders>
              <w:top w:val="single" w:color="auto" w:sz="4" w:space="0"/>
              <w:left w:val="single" w:color="auto" w:sz="4" w:space="0"/>
              <w:bottom w:val="single" w:color="auto" w:sz="4" w:space="0"/>
              <w:right w:val="single" w:color="auto" w:sz="4" w:space="0"/>
            </w:tcBorders>
            <w:vAlign w:val="center"/>
          </w:tcPr>
          <w:p>
            <w:pPr>
              <w:widowControl/>
              <w:spacing w:beforeLines="0" w:afterLines="0" w:line="300" w:lineRule="exact"/>
              <w:jc w:val="center"/>
              <w:rPr>
                <w:rFonts w:ascii="仿宋_GB2312" w:eastAsia="仿宋_GB2312"/>
                <w:sz w:val="28"/>
                <w:szCs w:val="28"/>
              </w:rPr>
            </w:pPr>
          </w:p>
        </w:tc>
      </w:tr>
      <w:tr>
        <w:tblPrEx>
          <w:tblLayout w:type="fixed"/>
          <w:tblCellMar>
            <w:top w:w="0" w:type="dxa"/>
            <w:left w:w="108" w:type="dxa"/>
            <w:bottom w:w="0" w:type="dxa"/>
            <w:right w:w="108" w:type="dxa"/>
          </w:tblCellMar>
        </w:tblPrEx>
        <w:trPr>
          <w:trHeight w:val="607" w:hRule="atLeast"/>
        </w:trPr>
        <w:tc>
          <w:tcPr>
            <w:tcW w:w="115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6</w:t>
            </w:r>
          </w:p>
        </w:tc>
        <w:tc>
          <w:tcPr>
            <w:tcW w:w="3665"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rPr>
                <w:rFonts w:hint="eastAsia"/>
                <w:sz w:val="20"/>
              </w:rPr>
            </w:pPr>
            <w:r>
              <w:rPr>
                <w:rFonts w:hint="eastAsia"/>
                <w:sz w:val="20"/>
              </w:rPr>
              <w:t>可持续影响指标:集中财务核算单位年度工作可持续影响一年或以上。</w:t>
            </w:r>
          </w:p>
        </w:tc>
        <w:tc>
          <w:tcPr>
            <w:tcW w:w="3214"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rPr>
                <w:rFonts w:hint="eastAsia"/>
                <w:sz w:val="20"/>
              </w:rPr>
            </w:pPr>
            <w:r>
              <w:rPr>
                <w:rFonts w:hint="eastAsia"/>
                <w:sz w:val="20"/>
              </w:rPr>
              <w:t>集中财务核算单位年度工作可持续影响一年或以上。</w:t>
            </w:r>
          </w:p>
        </w:tc>
        <w:tc>
          <w:tcPr>
            <w:tcW w:w="1351" w:type="dxa"/>
            <w:tcBorders>
              <w:top w:val="single" w:color="auto" w:sz="4" w:space="0"/>
              <w:left w:val="single" w:color="auto" w:sz="4" w:space="0"/>
              <w:bottom w:val="single" w:color="auto" w:sz="4" w:space="0"/>
              <w:right w:val="single" w:color="auto" w:sz="4" w:space="0"/>
            </w:tcBorders>
            <w:vAlign w:val="center"/>
          </w:tcPr>
          <w:p>
            <w:pPr>
              <w:widowControl/>
              <w:spacing w:beforeLines="0" w:afterLines="0" w:line="300" w:lineRule="exact"/>
              <w:jc w:val="center"/>
              <w:rPr>
                <w:rFonts w:ascii="仿宋_GB2312" w:eastAsia="仿宋_GB2312"/>
                <w:sz w:val="28"/>
                <w:szCs w:val="28"/>
              </w:rPr>
            </w:pPr>
          </w:p>
        </w:tc>
      </w:tr>
      <w:tr>
        <w:tblPrEx>
          <w:tblLayout w:type="fixed"/>
          <w:tblCellMar>
            <w:top w:w="0" w:type="dxa"/>
            <w:left w:w="108" w:type="dxa"/>
            <w:bottom w:w="0" w:type="dxa"/>
            <w:right w:w="108" w:type="dxa"/>
          </w:tblCellMar>
        </w:tblPrEx>
        <w:trPr>
          <w:trHeight w:val="920" w:hRule="atLeast"/>
        </w:trPr>
        <w:tc>
          <w:tcPr>
            <w:tcW w:w="115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7</w:t>
            </w:r>
          </w:p>
        </w:tc>
        <w:tc>
          <w:tcPr>
            <w:tcW w:w="3665"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rPr>
                <w:rFonts w:hint="eastAsia"/>
                <w:sz w:val="20"/>
              </w:rPr>
            </w:pPr>
            <w:r>
              <w:rPr>
                <w:rFonts w:hint="eastAsia"/>
                <w:sz w:val="20"/>
              </w:rPr>
              <w:t>服务对象满意度指标:集中财务核算单位对外公众及政府满意度达到90%及以上。</w:t>
            </w:r>
          </w:p>
        </w:tc>
        <w:tc>
          <w:tcPr>
            <w:tcW w:w="3214" w:type="dxa"/>
            <w:tcBorders>
              <w:top w:val="single" w:color="auto" w:sz="4" w:space="0"/>
              <w:left w:val="single" w:color="auto" w:sz="4" w:space="0"/>
              <w:bottom w:val="single" w:color="auto" w:sz="4" w:space="0"/>
              <w:right w:val="single" w:color="auto" w:sz="4" w:space="0"/>
            </w:tcBorders>
            <w:vAlign w:val="center"/>
          </w:tcPr>
          <w:p>
            <w:pPr>
              <w:spacing w:beforeLines="0" w:afterLines="0" w:line="300" w:lineRule="exact"/>
              <w:rPr>
                <w:rFonts w:hint="eastAsia"/>
                <w:sz w:val="20"/>
              </w:rPr>
            </w:pPr>
            <w:r>
              <w:rPr>
                <w:rFonts w:hint="eastAsia"/>
                <w:sz w:val="20"/>
              </w:rPr>
              <w:t>集中财务核算单位对外公众及政府满意度达到90%及以上。</w:t>
            </w:r>
          </w:p>
        </w:tc>
        <w:tc>
          <w:tcPr>
            <w:tcW w:w="1351" w:type="dxa"/>
            <w:tcBorders>
              <w:top w:val="single" w:color="auto" w:sz="4" w:space="0"/>
              <w:left w:val="single" w:color="auto" w:sz="4" w:space="0"/>
              <w:bottom w:val="single" w:color="auto" w:sz="4" w:space="0"/>
              <w:right w:val="single" w:color="auto" w:sz="4" w:space="0"/>
            </w:tcBorders>
            <w:vAlign w:val="center"/>
          </w:tcPr>
          <w:p>
            <w:pPr>
              <w:widowControl/>
              <w:spacing w:beforeLines="0" w:afterLines="0" w:line="300" w:lineRule="exact"/>
              <w:jc w:val="center"/>
              <w:rPr>
                <w:rFonts w:ascii="仿宋_GB2312" w:eastAsia="仿宋_GB2312"/>
                <w:sz w:val="28"/>
                <w:szCs w:val="28"/>
              </w:rPr>
            </w:pPr>
          </w:p>
        </w:tc>
      </w:tr>
    </w:tbl>
    <w:p>
      <w:pPr>
        <w:spacing w:line="580" w:lineRule="exact"/>
        <w:ind w:firstLine="641"/>
        <w:rPr>
          <w:rFonts w:hint="eastAsia" w:ascii="楷体_GB2312" w:eastAsia="仿宋_GB2312"/>
          <w:b/>
          <w:sz w:val="32"/>
          <w:szCs w:val="32"/>
          <w:lang w:val="en-US" w:eastAsia="zh-CN"/>
        </w:rPr>
      </w:pPr>
      <w:bookmarkStart w:id="3" w:name="_Toc268005761"/>
      <w:r>
        <w:rPr>
          <w:rFonts w:hint="eastAsia" w:ascii="仿宋_GB2312" w:hAnsi="仿宋" w:eastAsia="仿宋_GB2312"/>
          <w:sz w:val="32"/>
        </w:rPr>
        <w:t>其他内容详见部门整体支出绩效自评表</w:t>
      </w:r>
      <w:r>
        <w:rPr>
          <w:rFonts w:hint="eastAsia" w:ascii="仿宋_GB2312" w:hAnsi="仿宋" w:eastAsia="仿宋_GB2312"/>
          <w:sz w:val="32"/>
          <w:lang w:eastAsia="zh-CN"/>
        </w:rPr>
        <w:t>。</w:t>
      </w:r>
    </w:p>
    <w:p>
      <w:pPr>
        <w:spacing w:line="580" w:lineRule="exact"/>
        <w:ind w:firstLine="641"/>
        <w:rPr>
          <w:rFonts w:ascii="楷体_GB2312" w:eastAsia="楷体_GB2312"/>
          <w:b/>
          <w:sz w:val="32"/>
          <w:szCs w:val="32"/>
        </w:rPr>
      </w:pPr>
      <w:r>
        <w:rPr>
          <w:rFonts w:hint="eastAsia" w:ascii="楷体_GB2312" w:eastAsia="楷体_GB2312"/>
          <w:b/>
          <w:sz w:val="32"/>
          <w:szCs w:val="32"/>
        </w:rPr>
        <w:t>(二)当年预算执行情况</w:t>
      </w:r>
      <w:bookmarkEnd w:id="3"/>
      <w:r>
        <w:rPr>
          <w:rFonts w:ascii="仿宋_GB2312" w:eastAsia="仿宋_GB2312"/>
          <w:sz w:val="32"/>
          <w:szCs w:val="32"/>
        </w:rPr>
        <w:t xml:space="preserve">  </w:t>
      </w:r>
    </w:p>
    <w:p>
      <w:pPr>
        <w:spacing w:line="580" w:lineRule="exact"/>
        <w:ind w:firstLine="641"/>
        <w:rPr>
          <w:rFonts w:ascii="仿宋_GB2312" w:eastAsia="仿宋_GB2312"/>
          <w:sz w:val="32"/>
          <w:szCs w:val="32"/>
        </w:rPr>
      </w:pPr>
      <w:r>
        <w:rPr>
          <w:rFonts w:ascii="仿宋_GB2312" w:eastAsia="仿宋_GB2312"/>
          <w:sz w:val="32"/>
          <w:szCs w:val="32"/>
        </w:rPr>
        <w:t>2025</w:t>
      </w:r>
      <w:r>
        <w:rPr>
          <w:rFonts w:hint="eastAsia" w:ascii="仿宋_GB2312" w:eastAsia="仿宋_GB2312"/>
          <w:sz w:val="32"/>
          <w:szCs w:val="32"/>
        </w:rPr>
        <w:t>年</w:t>
      </w:r>
      <w:r>
        <w:rPr>
          <w:rFonts w:ascii="仿宋_GB2312" w:eastAsia="仿宋_GB2312"/>
          <w:sz w:val="32"/>
          <w:szCs w:val="32"/>
        </w:rPr>
        <w:t>全年预算数</w:t>
      </w:r>
      <w:r>
        <w:rPr>
          <w:rFonts w:hint="eastAsia" w:ascii="仿宋_GB2312" w:eastAsia="仿宋_GB2312"/>
          <w:sz w:val="32"/>
          <w:szCs w:val="32"/>
        </w:rPr>
        <w:t>159,107,155.32元</w:t>
      </w:r>
      <w:r>
        <w:rPr>
          <w:rFonts w:ascii="仿宋_GB2312" w:eastAsia="仿宋_GB2312"/>
          <w:sz w:val="32"/>
          <w:szCs w:val="32"/>
        </w:rPr>
        <w:t>，其中，基本支出预算数</w:t>
      </w:r>
      <w:r>
        <w:rPr>
          <w:rFonts w:hint="eastAsia" w:ascii="仿宋_GB2312" w:eastAsia="仿宋_GB2312"/>
          <w:sz w:val="32"/>
          <w:szCs w:val="32"/>
        </w:rPr>
        <w:t>101,690,623.10元</w:t>
      </w:r>
      <w:r>
        <w:rPr>
          <w:rFonts w:ascii="仿宋_GB2312" w:eastAsia="仿宋_GB2312"/>
          <w:sz w:val="32"/>
          <w:szCs w:val="32"/>
        </w:rPr>
        <w:t>，项目支出</w:t>
      </w:r>
      <w:r>
        <w:rPr>
          <w:rFonts w:hint="eastAsia" w:ascii="仿宋_GB2312" w:eastAsia="仿宋_GB2312"/>
          <w:sz w:val="32"/>
          <w:szCs w:val="32"/>
        </w:rPr>
        <w:t>预算数</w:t>
      </w:r>
      <w:r>
        <w:rPr>
          <w:rFonts w:hint="eastAsia" w:ascii="仿宋_GB2312" w:hAnsi="仿宋" w:eastAsia="仿宋_GB2312"/>
          <w:sz w:val="32"/>
          <w:lang w:val="en-US" w:eastAsia="zh-CN"/>
        </w:rPr>
        <w:t>57,416,532.22</w:t>
      </w:r>
      <w:r>
        <w:rPr>
          <w:rFonts w:hint="eastAsia" w:ascii="仿宋_GB2312" w:eastAsia="仿宋_GB2312"/>
          <w:sz w:val="32"/>
          <w:szCs w:val="32"/>
        </w:rPr>
        <w:t>元</w:t>
      </w:r>
      <w:r>
        <w:rPr>
          <w:rFonts w:ascii="仿宋_GB2312" w:eastAsia="仿宋_GB2312"/>
          <w:sz w:val="32"/>
          <w:szCs w:val="32"/>
        </w:rPr>
        <w:t>。</w:t>
      </w:r>
      <w:r>
        <w:rPr>
          <w:rFonts w:hint="eastAsia" w:ascii="仿宋_GB2312" w:eastAsia="仿宋_GB2312"/>
          <w:sz w:val="32"/>
          <w:szCs w:val="32"/>
        </w:rPr>
        <w:t>全年</w:t>
      </w:r>
      <w:r>
        <w:rPr>
          <w:rFonts w:ascii="仿宋_GB2312" w:eastAsia="仿宋_GB2312"/>
          <w:sz w:val="32"/>
          <w:szCs w:val="32"/>
        </w:rPr>
        <w:t>支出</w:t>
      </w:r>
      <w:r>
        <w:rPr>
          <w:rFonts w:hint="eastAsia" w:ascii="仿宋_GB2312" w:eastAsia="仿宋_GB2312"/>
          <w:sz w:val="32"/>
          <w:szCs w:val="32"/>
        </w:rPr>
        <w:t>158,318,666.61元</w:t>
      </w:r>
      <w:r>
        <w:rPr>
          <w:rFonts w:ascii="仿宋_GB2312" w:eastAsia="仿宋_GB2312"/>
          <w:sz w:val="32"/>
          <w:szCs w:val="32"/>
        </w:rPr>
        <w:t>，其中，基本</w:t>
      </w:r>
      <w:r>
        <w:rPr>
          <w:rFonts w:hint="eastAsia" w:ascii="仿宋_GB2312" w:eastAsia="仿宋_GB2312"/>
          <w:sz w:val="32"/>
          <w:szCs w:val="32"/>
        </w:rPr>
        <w:t>支出</w:t>
      </w:r>
      <w:r>
        <w:rPr>
          <w:rFonts w:hint="eastAsia" w:ascii="仿宋_GB2312" w:eastAsia="仿宋_GB2312"/>
          <w:sz w:val="32"/>
          <w:szCs w:val="32"/>
          <w:lang w:val="en-US" w:eastAsia="zh-CN"/>
        </w:rPr>
        <w:t>101,683,399.34</w:t>
      </w:r>
      <w:r>
        <w:rPr>
          <w:rFonts w:hint="eastAsia" w:ascii="仿宋_GB2312" w:eastAsia="仿宋_GB2312"/>
          <w:sz w:val="32"/>
          <w:szCs w:val="32"/>
        </w:rPr>
        <w:t>元</w:t>
      </w:r>
      <w:r>
        <w:rPr>
          <w:rFonts w:ascii="仿宋_GB2312" w:eastAsia="仿宋_GB2312"/>
          <w:sz w:val="32"/>
          <w:szCs w:val="32"/>
        </w:rPr>
        <w:t>，项目支出</w:t>
      </w:r>
      <w:r>
        <w:rPr>
          <w:rFonts w:hint="eastAsia" w:ascii="仿宋_GB2312" w:eastAsia="仿宋_GB2312"/>
          <w:sz w:val="32"/>
          <w:szCs w:val="32"/>
          <w:lang w:val="en-US" w:eastAsia="zh-CN"/>
        </w:rPr>
        <w:t>56,635,267.27</w:t>
      </w:r>
      <w:r>
        <w:rPr>
          <w:rFonts w:hint="eastAsia" w:ascii="仿宋_GB2312" w:eastAsia="仿宋_GB2312"/>
          <w:sz w:val="32"/>
          <w:szCs w:val="32"/>
        </w:rPr>
        <w:t>元</w:t>
      </w:r>
      <w:r>
        <w:rPr>
          <w:rFonts w:ascii="仿宋_GB2312" w:eastAsia="仿宋_GB2312"/>
          <w:sz w:val="32"/>
          <w:szCs w:val="32"/>
        </w:rPr>
        <w:t>。</w:t>
      </w:r>
      <w:r>
        <w:rPr>
          <w:rFonts w:hint="eastAsia" w:ascii="仿宋_GB2312" w:eastAsia="仿宋_GB2312"/>
          <w:sz w:val="32"/>
          <w:szCs w:val="32"/>
        </w:rPr>
        <w:t>预算</w:t>
      </w:r>
      <w:r>
        <w:rPr>
          <w:rFonts w:ascii="仿宋_GB2312" w:eastAsia="仿宋_GB2312"/>
          <w:sz w:val="32"/>
          <w:szCs w:val="32"/>
        </w:rPr>
        <w:t>执行率为</w:t>
      </w:r>
      <w:r>
        <w:rPr>
          <w:rFonts w:hint="eastAsia" w:ascii="仿宋_GB2312" w:eastAsia="仿宋_GB2312"/>
          <w:sz w:val="32"/>
          <w:szCs w:val="32"/>
          <w:lang w:val="en-US" w:eastAsia="zh-CN"/>
        </w:rPr>
        <w:t>99.5%</w:t>
      </w:r>
      <w:r>
        <w:rPr>
          <w:rFonts w:hint="eastAsia" w:ascii="仿宋_GB2312" w:eastAsia="仿宋_GB2312"/>
          <w:sz w:val="32"/>
          <w:szCs w:val="32"/>
        </w:rPr>
        <w:t>。</w:t>
      </w:r>
      <w:r>
        <w:rPr>
          <w:rFonts w:ascii="仿宋_GB2312" w:eastAsia="仿宋_GB2312"/>
          <w:sz w:val="32"/>
          <w:szCs w:val="32"/>
        </w:rPr>
        <w:t xml:space="preserve">                                  </w:t>
      </w:r>
    </w:p>
    <w:p>
      <w:pPr>
        <w:spacing w:line="580" w:lineRule="exact"/>
        <w:ind w:firstLine="641"/>
        <w:rPr>
          <w:rFonts w:ascii="仿宋_GB2312" w:eastAsia="仿宋_GB2312"/>
          <w:sz w:val="32"/>
          <w:szCs w:val="32"/>
        </w:rPr>
      </w:pPr>
      <w:r>
        <w:rPr>
          <w:rFonts w:ascii="仿宋_GB2312" w:eastAsia="仿宋_GB2312"/>
          <w:sz w:val="32"/>
          <w:szCs w:val="32"/>
        </w:rPr>
        <w:t>202</w:t>
      </w:r>
      <w:r>
        <w:rPr>
          <w:rFonts w:hint="eastAsia" w:ascii="仿宋_GB2312" w:eastAsia="仿宋_GB2312"/>
          <w:sz w:val="32"/>
          <w:szCs w:val="32"/>
        </w:rPr>
        <w:t>5年年末结转结余资金总额为</w:t>
      </w:r>
      <w:r>
        <w:rPr>
          <w:rFonts w:hint="eastAsia" w:ascii="仿宋_GB2312" w:eastAsia="仿宋_GB2312"/>
          <w:sz w:val="32"/>
          <w:szCs w:val="32"/>
          <w:lang w:val="en-US" w:eastAsia="zh-CN"/>
        </w:rPr>
        <w:t>788,488.71</w:t>
      </w:r>
      <w:r>
        <w:rPr>
          <w:rFonts w:hint="eastAsia" w:ascii="仿宋_GB2312" w:eastAsia="仿宋_GB2312"/>
          <w:sz w:val="32"/>
          <w:szCs w:val="32"/>
        </w:rPr>
        <w:t>元，全年支出预算数为</w:t>
      </w:r>
      <w:r>
        <w:rPr>
          <w:rFonts w:hint="eastAsia" w:ascii="仿宋_GB2312" w:hAnsi="仿宋" w:eastAsia="仿宋_GB2312"/>
          <w:sz w:val="32"/>
        </w:rPr>
        <w:t>159,107,155.32</w:t>
      </w:r>
      <w:r>
        <w:rPr>
          <w:rFonts w:hint="eastAsia" w:ascii="仿宋_GB2312" w:eastAsia="仿宋_GB2312"/>
          <w:sz w:val="32"/>
          <w:szCs w:val="32"/>
        </w:rPr>
        <w:t>元，资金结转结余率为</w:t>
      </w:r>
      <w:r>
        <w:rPr>
          <w:rFonts w:hint="eastAsia" w:ascii="仿宋_GB2312" w:eastAsia="仿宋_GB2312"/>
          <w:sz w:val="32"/>
          <w:szCs w:val="32"/>
          <w:lang w:val="en-US" w:eastAsia="zh-CN"/>
        </w:rPr>
        <w:t>0.5</w:t>
      </w:r>
      <w:r>
        <w:rPr>
          <w:rFonts w:ascii="仿宋_GB2312" w:eastAsia="仿宋_GB2312"/>
          <w:sz w:val="32"/>
          <w:szCs w:val="32"/>
        </w:rPr>
        <w:t>%</w:t>
      </w:r>
      <w:r>
        <w:rPr>
          <w:rFonts w:hint="eastAsia" w:ascii="仿宋_GB2312" w:eastAsia="仿宋_GB2312"/>
          <w:sz w:val="32"/>
          <w:szCs w:val="32"/>
        </w:rPr>
        <w:t>；</w:t>
      </w:r>
      <w:r>
        <w:rPr>
          <w:rFonts w:ascii="仿宋_GB2312" w:eastAsia="仿宋_GB2312"/>
          <w:sz w:val="32"/>
          <w:szCs w:val="32"/>
        </w:rPr>
        <w:t>202</w:t>
      </w:r>
      <w:r>
        <w:rPr>
          <w:rFonts w:hint="eastAsia" w:ascii="仿宋_GB2312" w:eastAsia="仿宋_GB2312"/>
          <w:sz w:val="32"/>
          <w:szCs w:val="32"/>
        </w:rPr>
        <w:t>4年年末结转结余资金总额为</w:t>
      </w:r>
      <w:r>
        <w:rPr>
          <w:rFonts w:hint="eastAsia" w:ascii="仿宋_GB2312" w:eastAsia="仿宋_GB2312"/>
          <w:sz w:val="32"/>
          <w:szCs w:val="32"/>
          <w:lang w:val="en-US" w:eastAsia="zh-CN"/>
        </w:rPr>
        <w:t>836,604.70</w:t>
      </w:r>
      <w:r>
        <w:rPr>
          <w:rFonts w:hint="eastAsia" w:ascii="仿宋_GB2312" w:eastAsia="仿宋_GB2312"/>
          <w:sz w:val="32"/>
          <w:szCs w:val="32"/>
        </w:rPr>
        <w:t>元，全年支出预算数为</w:t>
      </w:r>
      <w:r>
        <w:rPr>
          <w:rFonts w:hint="eastAsia" w:ascii="仿宋_GB2312" w:eastAsia="仿宋_GB2312"/>
          <w:sz w:val="32"/>
          <w:szCs w:val="32"/>
          <w:lang w:val="en-US" w:eastAsia="zh-CN"/>
        </w:rPr>
        <w:t>174,389,562.51</w:t>
      </w:r>
      <w:r>
        <w:rPr>
          <w:rFonts w:hint="eastAsia" w:ascii="仿宋_GB2312" w:eastAsia="仿宋_GB2312"/>
          <w:sz w:val="32"/>
          <w:szCs w:val="32"/>
        </w:rPr>
        <w:t>元，资金结转结余率为</w:t>
      </w:r>
      <w:r>
        <w:rPr>
          <w:rFonts w:hint="eastAsia" w:ascii="仿宋_GB2312" w:eastAsia="仿宋_GB2312"/>
          <w:sz w:val="32"/>
          <w:szCs w:val="32"/>
          <w:lang w:val="en-US" w:eastAsia="zh-CN"/>
        </w:rPr>
        <w:t>0.5</w:t>
      </w:r>
      <w:r>
        <w:rPr>
          <w:rFonts w:ascii="仿宋_GB2312" w:eastAsia="仿宋_GB2312"/>
          <w:sz w:val="32"/>
          <w:szCs w:val="32"/>
        </w:rPr>
        <w:t>%</w:t>
      </w:r>
      <w:r>
        <w:rPr>
          <w:rFonts w:hint="eastAsia" w:ascii="仿宋_GB2312" w:eastAsia="仿宋_GB2312"/>
          <w:sz w:val="32"/>
          <w:szCs w:val="32"/>
        </w:rPr>
        <w:t>；</w:t>
      </w:r>
      <w:r>
        <w:rPr>
          <w:rFonts w:ascii="仿宋_GB2312" w:eastAsia="仿宋_GB2312"/>
          <w:sz w:val="32"/>
          <w:szCs w:val="32"/>
        </w:rPr>
        <w:t>202</w:t>
      </w:r>
      <w:r>
        <w:rPr>
          <w:rFonts w:hint="eastAsia" w:ascii="仿宋_GB2312" w:eastAsia="仿宋_GB2312"/>
          <w:sz w:val="32"/>
          <w:szCs w:val="32"/>
        </w:rPr>
        <w:t>5年度部门结转结余率较上一年</w:t>
      </w:r>
      <w:r>
        <w:rPr>
          <w:rFonts w:hint="eastAsia" w:ascii="仿宋_GB2312" w:eastAsia="仿宋_GB2312"/>
          <w:sz w:val="32"/>
          <w:szCs w:val="32"/>
          <w:lang w:eastAsia="zh-CN"/>
        </w:rPr>
        <w:t>无变化</w:t>
      </w:r>
      <w:r>
        <w:rPr>
          <w:rFonts w:hint="eastAsia" w:ascii="仿宋_GB2312" w:eastAsia="仿宋_GB2312"/>
          <w:sz w:val="32"/>
          <w:szCs w:val="32"/>
        </w:rPr>
        <w:t>。</w:t>
      </w:r>
    </w:p>
    <w:p>
      <w:pPr>
        <w:spacing w:line="580" w:lineRule="exact"/>
        <w:ind w:firstLine="641"/>
        <w:rPr>
          <w:rFonts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ascii="仿宋_GB2312" w:eastAsia="仿宋_GB2312"/>
          <w:sz w:val="32"/>
          <w:szCs w:val="32"/>
        </w:rPr>
      </w:pPr>
      <w:r>
        <w:rPr>
          <w:rFonts w:hint="eastAsia" w:ascii="仿宋_GB2312" w:eastAsia="仿宋_GB2312"/>
          <w:sz w:val="32"/>
          <w:szCs w:val="32"/>
        </w:rPr>
        <w:t>（1）产出数量</w:t>
      </w:r>
    </w:p>
    <w:tbl>
      <w:tblPr>
        <w:tblStyle w:val="13"/>
        <w:tblW w:w="9200" w:type="dxa"/>
        <w:tblInd w:w="108" w:type="dxa"/>
        <w:tblLayout w:type="fixed"/>
        <w:tblCellMar>
          <w:top w:w="0" w:type="dxa"/>
          <w:left w:w="108" w:type="dxa"/>
          <w:bottom w:w="0" w:type="dxa"/>
          <w:right w:w="108" w:type="dxa"/>
        </w:tblCellMar>
      </w:tblPr>
      <w:tblGrid>
        <w:gridCol w:w="880"/>
        <w:gridCol w:w="1984"/>
        <w:gridCol w:w="1701"/>
        <w:gridCol w:w="1843"/>
        <w:gridCol w:w="2792"/>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widowControl/>
              <w:spacing w:beforeLines="0" w:afterLines="0" w:line="520" w:lineRule="exact"/>
              <w:jc w:val="center"/>
              <w:rPr>
                <w:rFonts w:ascii="仿宋_GB2312" w:eastAsia="仿宋_GB2312"/>
                <w:sz w:val="28"/>
                <w:szCs w:val="28"/>
              </w:rPr>
            </w:pPr>
            <w:r>
              <w:rPr>
                <w:rFonts w:hint="eastAsia" w:ascii="仿宋_GB2312" w:hAnsi="宋体" w:eastAsia="仿宋_GB2312"/>
                <w:color w:val="000000"/>
                <w:kern w:val="0"/>
                <w:sz w:val="28"/>
              </w:rPr>
              <w:t>1</w:t>
            </w:r>
          </w:p>
        </w:tc>
        <w:tc>
          <w:tcPr>
            <w:tcW w:w="1984" w:type="dxa"/>
            <w:tcBorders>
              <w:top w:val="nil"/>
              <w:left w:val="nil"/>
              <w:bottom w:val="single" w:color="auto" w:sz="4" w:space="0"/>
              <w:right w:val="single" w:color="auto" w:sz="4" w:space="0"/>
            </w:tcBorders>
            <w:vAlign w:val="center"/>
          </w:tcPr>
          <w:p>
            <w:pPr>
              <w:widowControl/>
              <w:spacing w:beforeLines="0" w:afterLines="0" w:line="300" w:lineRule="exact"/>
              <w:jc w:val="left"/>
              <w:rPr>
                <w:rFonts w:ascii="仿宋_GB2312" w:eastAsia="仿宋_GB2312"/>
                <w:sz w:val="28"/>
                <w:szCs w:val="28"/>
              </w:rPr>
            </w:pPr>
            <w:r>
              <w:rPr>
                <w:rFonts w:hint="eastAsia"/>
                <w:color w:val="000000"/>
                <w:sz w:val="20"/>
              </w:rPr>
              <w:t>数量指标：集中财务核算单位根据本单位年度工作计划及年度预算完成本单位年度工作。</w:t>
            </w:r>
          </w:p>
        </w:tc>
        <w:tc>
          <w:tcPr>
            <w:tcW w:w="1701" w:type="dxa"/>
            <w:tcBorders>
              <w:top w:val="nil"/>
              <w:left w:val="nil"/>
              <w:bottom w:val="single" w:color="auto" w:sz="4" w:space="0"/>
              <w:right w:val="single" w:color="auto" w:sz="4" w:space="0"/>
            </w:tcBorders>
            <w:vAlign w:val="center"/>
          </w:tcPr>
          <w:p>
            <w:pPr>
              <w:widowControl/>
              <w:spacing w:beforeLines="0" w:afterLines="0" w:line="300" w:lineRule="exact"/>
              <w:jc w:val="right"/>
              <w:rPr>
                <w:rFonts w:hint="eastAsia" w:ascii="仿宋_GB2312" w:eastAsia="宋体"/>
                <w:sz w:val="28"/>
                <w:szCs w:val="28"/>
                <w:lang w:eastAsia="zh-CN"/>
              </w:rPr>
            </w:pPr>
            <w:r>
              <w:rPr>
                <w:rFonts w:hint="eastAsia"/>
              </w:rPr>
              <w:t>15,910.72</w:t>
            </w:r>
            <w:r>
              <w:rPr>
                <w:rFonts w:hint="eastAsia"/>
                <w:lang w:eastAsia="zh-CN"/>
              </w:rPr>
              <w:t>万元</w:t>
            </w:r>
          </w:p>
        </w:tc>
        <w:tc>
          <w:tcPr>
            <w:tcW w:w="1843" w:type="dxa"/>
            <w:tcBorders>
              <w:top w:val="nil"/>
              <w:left w:val="nil"/>
              <w:bottom w:val="single" w:color="auto" w:sz="4" w:space="0"/>
              <w:right w:val="single" w:color="auto" w:sz="4" w:space="0"/>
            </w:tcBorders>
            <w:vAlign w:val="center"/>
          </w:tcPr>
          <w:p>
            <w:pPr>
              <w:widowControl/>
              <w:spacing w:beforeLines="0" w:afterLines="0" w:line="300" w:lineRule="exact"/>
              <w:jc w:val="right"/>
              <w:rPr>
                <w:rFonts w:ascii="仿宋_GB2312" w:eastAsia="仿宋_GB2312"/>
                <w:sz w:val="28"/>
                <w:szCs w:val="28"/>
              </w:rPr>
            </w:pPr>
            <w:r>
              <w:rPr>
                <w:rFonts w:hint="eastAsia"/>
                <w:color w:val="000000"/>
                <w:sz w:val="20"/>
              </w:rPr>
              <w:t>15,831.87</w:t>
            </w:r>
            <w:r>
              <w:rPr>
                <w:rFonts w:hint="eastAsia"/>
                <w:color w:val="000000"/>
                <w:sz w:val="20"/>
                <w:lang w:eastAsia="zh-CN"/>
              </w:rPr>
              <w:t>万元</w:t>
            </w:r>
            <w:r>
              <w:rPr>
                <w:rFonts w:hint="eastAsia"/>
                <w:color w:val="000000"/>
                <w:sz w:val="20"/>
              </w:rPr>
              <w:t xml:space="preserve"> </w:t>
            </w:r>
          </w:p>
        </w:tc>
        <w:tc>
          <w:tcPr>
            <w:tcW w:w="2792" w:type="dxa"/>
            <w:tcBorders>
              <w:top w:val="nil"/>
              <w:left w:val="nil"/>
              <w:bottom w:val="single" w:color="auto" w:sz="4" w:space="0"/>
              <w:right w:val="single" w:color="auto" w:sz="4" w:space="0"/>
            </w:tcBorders>
            <w:vAlign w:val="center"/>
          </w:tcPr>
          <w:p>
            <w:pPr>
              <w:widowControl/>
              <w:spacing w:beforeLines="0" w:afterLines="0" w:line="300" w:lineRule="exact"/>
              <w:jc w:val="center"/>
              <w:rPr>
                <w:rFonts w:ascii="仿宋_GB2312" w:eastAsia="仿宋_GB2312"/>
                <w:sz w:val="28"/>
                <w:szCs w:val="28"/>
              </w:rPr>
            </w:pPr>
            <w:r>
              <w:rPr>
                <w:rFonts w:hint="eastAsia" w:ascii="仿宋_GB2312" w:hAnsi="宋体" w:eastAsia="仿宋_GB2312"/>
                <w:color w:val="000000"/>
                <w:kern w:val="0"/>
                <w:sz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widowControl/>
              <w:spacing w:beforeLines="0" w:afterLines="0" w:line="520" w:lineRule="exact"/>
              <w:jc w:val="center"/>
              <w:rPr>
                <w:rFonts w:ascii="仿宋_GB2312" w:eastAsia="仿宋_GB2312"/>
                <w:sz w:val="28"/>
                <w:szCs w:val="28"/>
              </w:rPr>
            </w:pPr>
            <w:r>
              <w:rPr>
                <w:rFonts w:hint="eastAsia" w:ascii="仿宋_GB2312" w:hAnsi="宋体" w:eastAsia="仿宋_GB2312"/>
                <w:color w:val="000000"/>
                <w:kern w:val="0"/>
                <w:sz w:val="28"/>
              </w:rPr>
              <w:t>2</w:t>
            </w:r>
          </w:p>
        </w:tc>
        <w:tc>
          <w:tcPr>
            <w:tcW w:w="1984" w:type="dxa"/>
            <w:tcBorders>
              <w:top w:val="nil"/>
              <w:left w:val="nil"/>
              <w:bottom w:val="single" w:color="auto" w:sz="4" w:space="0"/>
              <w:right w:val="single" w:color="auto" w:sz="4" w:space="0"/>
            </w:tcBorders>
            <w:vAlign w:val="center"/>
          </w:tcPr>
          <w:p>
            <w:pPr>
              <w:spacing w:beforeLines="0" w:afterLines="0" w:line="300" w:lineRule="exact"/>
              <w:jc w:val="left"/>
              <w:rPr>
                <w:rFonts w:ascii="仿宋_GB2312" w:eastAsia="仿宋_GB2312"/>
                <w:sz w:val="28"/>
                <w:szCs w:val="28"/>
              </w:rPr>
            </w:pPr>
            <w:r>
              <w:rPr>
                <w:rFonts w:hint="eastAsia"/>
                <w:sz w:val="20"/>
              </w:rPr>
              <w:t>质量指标：集中财务核算单位深入贯彻落实党的各项方针政策，严格遵守相关法律法规、行政管理规章制度及专项工作文件要求精神开展本单位年度工作。</w:t>
            </w:r>
          </w:p>
        </w:tc>
        <w:tc>
          <w:tcPr>
            <w:tcW w:w="1701" w:type="dxa"/>
            <w:tcBorders>
              <w:top w:val="nil"/>
              <w:left w:val="nil"/>
              <w:bottom w:val="single" w:color="auto" w:sz="4" w:space="0"/>
              <w:right w:val="single" w:color="auto" w:sz="4" w:space="0"/>
            </w:tcBorders>
            <w:vAlign w:val="center"/>
          </w:tcPr>
          <w:p>
            <w:pPr>
              <w:spacing w:beforeLines="0" w:afterLines="0" w:line="300" w:lineRule="exact"/>
              <w:rPr>
                <w:rFonts w:ascii="仿宋_GB2312" w:eastAsia="仿宋_GB2312"/>
                <w:sz w:val="28"/>
                <w:szCs w:val="28"/>
              </w:rPr>
            </w:pPr>
            <w:r>
              <w:rPr>
                <w:rFonts w:hint="eastAsia"/>
                <w:sz w:val="20"/>
              </w:rPr>
              <w:t>深入贯彻落实党的各项方针政策，严格遵守相关法律法规、行政管理规章制度及专项工作文件要求精神开展本单位年度工作</w:t>
            </w:r>
          </w:p>
        </w:tc>
        <w:tc>
          <w:tcPr>
            <w:tcW w:w="1843" w:type="dxa"/>
            <w:tcBorders>
              <w:top w:val="nil"/>
              <w:left w:val="nil"/>
              <w:bottom w:val="single" w:color="auto" w:sz="4" w:space="0"/>
              <w:right w:val="single" w:color="auto" w:sz="4" w:space="0"/>
            </w:tcBorders>
            <w:vAlign w:val="center"/>
          </w:tcPr>
          <w:p>
            <w:pPr>
              <w:spacing w:beforeLines="0" w:afterLines="0" w:line="300" w:lineRule="exact"/>
              <w:rPr>
                <w:rFonts w:ascii="仿宋_GB2312" w:eastAsia="仿宋_GB2312"/>
                <w:sz w:val="28"/>
                <w:szCs w:val="28"/>
              </w:rPr>
            </w:pPr>
            <w:r>
              <w:rPr>
                <w:rFonts w:hint="eastAsia"/>
                <w:sz w:val="20"/>
              </w:rPr>
              <w:t>深入贯彻落实党的各项方针政策，严格遵守相关法律法规、行政管理规章制度及专项工作文件要求精神开展本单位年度工作</w:t>
            </w:r>
          </w:p>
        </w:tc>
        <w:tc>
          <w:tcPr>
            <w:tcW w:w="2792" w:type="dxa"/>
            <w:tcBorders>
              <w:top w:val="nil"/>
              <w:left w:val="nil"/>
              <w:bottom w:val="single" w:color="auto" w:sz="4" w:space="0"/>
              <w:right w:val="single" w:color="auto" w:sz="4" w:space="0"/>
            </w:tcBorders>
            <w:vAlign w:val="center"/>
          </w:tcPr>
          <w:p>
            <w:pPr>
              <w:widowControl/>
              <w:spacing w:beforeLines="0" w:afterLines="0" w:line="300" w:lineRule="exact"/>
              <w:jc w:val="center"/>
              <w:rPr>
                <w:rFonts w:ascii="仿宋_GB2312" w:eastAsia="仿宋_GB2312"/>
                <w:sz w:val="28"/>
                <w:szCs w:val="28"/>
              </w:rPr>
            </w:pPr>
            <w:r>
              <w:rPr>
                <w:rFonts w:hint="eastAsia" w:ascii="仿宋_GB2312" w:hAnsi="宋体" w:eastAsia="仿宋_GB2312"/>
                <w:color w:val="000000"/>
                <w:kern w:val="0"/>
                <w:sz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widowControl/>
              <w:spacing w:beforeLines="0" w:afterLines="0" w:line="520" w:lineRule="exact"/>
              <w:jc w:val="center"/>
              <w:rPr>
                <w:rFonts w:ascii="仿宋_GB2312" w:eastAsia="仿宋_GB2312"/>
                <w:sz w:val="28"/>
                <w:szCs w:val="28"/>
              </w:rPr>
            </w:pPr>
            <w:r>
              <w:rPr>
                <w:rFonts w:hint="eastAsia" w:ascii="仿宋_GB2312" w:hAnsi="宋体" w:eastAsia="仿宋_GB2312"/>
                <w:color w:val="000000"/>
                <w:kern w:val="0"/>
                <w:sz w:val="28"/>
              </w:rPr>
              <w:t>3</w:t>
            </w:r>
          </w:p>
        </w:tc>
        <w:tc>
          <w:tcPr>
            <w:tcW w:w="1984" w:type="dxa"/>
            <w:tcBorders>
              <w:top w:val="nil"/>
              <w:left w:val="nil"/>
              <w:bottom w:val="single" w:color="auto" w:sz="4" w:space="0"/>
              <w:right w:val="single" w:color="auto" w:sz="4" w:space="0"/>
            </w:tcBorders>
            <w:vAlign w:val="center"/>
          </w:tcPr>
          <w:p>
            <w:pPr>
              <w:spacing w:beforeLines="0" w:afterLines="0" w:line="300" w:lineRule="exact"/>
              <w:rPr>
                <w:rFonts w:ascii="仿宋_GB2312" w:eastAsia="仿宋_GB2312"/>
                <w:sz w:val="28"/>
                <w:szCs w:val="28"/>
              </w:rPr>
            </w:pPr>
            <w:r>
              <w:rPr>
                <w:rFonts w:hint="eastAsia"/>
                <w:sz w:val="20"/>
              </w:rPr>
              <w:t>进度指标：集中财务核算单位积极配合财政要求于202</w:t>
            </w:r>
            <w:r>
              <w:rPr>
                <w:rFonts w:hint="eastAsia"/>
                <w:sz w:val="20"/>
                <w:lang w:val="en-US" w:eastAsia="zh-CN"/>
              </w:rPr>
              <w:t>5</w:t>
            </w:r>
            <w:r>
              <w:rPr>
                <w:rFonts w:hint="eastAsia"/>
                <w:sz w:val="20"/>
              </w:rPr>
              <w:t>年1月至12月完成年度支出进度。</w:t>
            </w:r>
          </w:p>
        </w:tc>
        <w:tc>
          <w:tcPr>
            <w:tcW w:w="1701" w:type="dxa"/>
            <w:tcBorders>
              <w:top w:val="nil"/>
              <w:left w:val="nil"/>
              <w:bottom w:val="single" w:color="auto" w:sz="4" w:space="0"/>
              <w:right w:val="single" w:color="auto" w:sz="4" w:space="0"/>
            </w:tcBorders>
            <w:vAlign w:val="center"/>
          </w:tcPr>
          <w:p>
            <w:pPr>
              <w:widowControl/>
              <w:spacing w:beforeLines="0" w:afterLines="0" w:line="300" w:lineRule="exact"/>
              <w:jc w:val="right"/>
              <w:rPr>
                <w:rFonts w:hint="eastAsia" w:ascii="仿宋_GB2312" w:eastAsia="宋体"/>
                <w:sz w:val="28"/>
                <w:szCs w:val="28"/>
                <w:lang w:eastAsia="zh-CN"/>
              </w:rPr>
            </w:pPr>
            <w:r>
              <w:rPr>
                <w:rFonts w:hint="eastAsia"/>
              </w:rPr>
              <w:t>15,910.72</w:t>
            </w:r>
            <w:r>
              <w:rPr>
                <w:rFonts w:hint="eastAsia"/>
                <w:lang w:eastAsia="zh-CN"/>
              </w:rPr>
              <w:t>万元</w:t>
            </w:r>
          </w:p>
        </w:tc>
        <w:tc>
          <w:tcPr>
            <w:tcW w:w="1843" w:type="dxa"/>
            <w:tcBorders>
              <w:top w:val="nil"/>
              <w:left w:val="nil"/>
              <w:bottom w:val="single" w:color="auto" w:sz="4" w:space="0"/>
              <w:right w:val="single" w:color="auto" w:sz="4" w:space="0"/>
            </w:tcBorders>
            <w:vAlign w:val="center"/>
          </w:tcPr>
          <w:p>
            <w:pPr>
              <w:widowControl/>
              <w:spacing w:beforeLines="0" w:afterLines="0" w:line="300" w:lineRule="exact"/>
              <w:jc w:val="right"/>
              <w:rPr>
                <w:rFonts w:ascii="仿宋_GB2312" w:eastAsia="仿宋_GB2312"/>
                <w:sz w:val="28"/>
                <w:szCs w:val="28"/>
              </w:rPr>
            </w:pPr>
            <w:r>
              <w:rPr>
                <w:rFonts w:hint="eastAsia"/>
                <w:color w:val="000000"/>
                <w:sz w:val="20"/>
              </w:rPr>
              <w:t>15,831.87</w:t>
            </w:r>
            <w:r>
              <w:rPr>
                <w:rFonts w:hint="eastAsia"/>
                <w:color w:val="000000"/>
                <w:sz w:val="20"/>
                <w:lang w:eastAsia="zh-CN"/>
              </w:rPr>
              <w:t>万元</w:t>
            </w:r>
            <w:bookmarkStart w:id="4" w:name="_GoBack"/>
            <w:bookmarkEnd w:id="4"/>
            <w:r>
              <w:rPr>
                <w:rFonts w:hint="eastAsia"/>
                <w:color w:val="000000"/>
                <w:sz w:val="20"/>
              </w:rPr>
              <w:t xml:space="preserve"> </w:t>
            </w:r>
          </w:p>
        </w:tc>
        <w:tc>
          <w:tcPr>
            <w:tcW w:w="2792" w:type="dxa"/>
            <w:tcBorders>
              <w:top w:val="nil"/>
              <w:left w:val="nil"/>
              <w:bottom w:val="single" w:color="auto" w:sz="4" w:space="0"/>
              <w:right w:val="single" w:color="auto" w:sz="4" w:space="0"/>
            </w:tcBorders>
            <w:vAlign w:val="center"/>
          </w:tcPr>
          <w:p>
            <w:pPr>
              <w:widowControl/>
              <w:spacing w:beforeLines="0" w:afterLines="0" w:line="300" w:lineRule="exact"/>
              <w:jc w:val="center"/>
              <w:rPr>
                <w:rFonts w:ascii="仿宋_GB2312" w:eastAsia="仿宋_GB2312"/>
                <w:sz w:val="28"/>
                <w:szCs w:val="28"/>
              </w:rPr>
            </w:pPr>
            <w:r>
              <w:rPr>
                <w:rFonts w:hint="eastAsia" w:ascii="仿宋_GB2312" w:hAnsi="宋体" w:eastAsia="仿宋_GB2312"/>
                <w:color w:val="000000"/>
                <w:kern w:val="0"/>
                <w:sz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widowControl/>
              <w:spacing w:beforeLines="0" w:afterLines="0" w:line="520" w:lineRule="exact"/>
              <w:jc w:val="center"/>
              <w:rPr>
                <w:rFonts w:ascii="仿宋_GB2312" w:eastAsia="仿宋_GB2312"/>
                <w:sz w:val="28"/>
                <w:szCs w:val="28"/>
              </w:rPr>
            </w:pPr>
            <w:r>
              <w:rPr>
                <w:rFonts w:hint="eastAsia" w:ascii="仿宋_GB2312" w:hAnsi="宋体" w:eastAsia="仿宋_GB2312"/>
                <w:color w:val="000000"/>
                <w:kern w:val="0"/>
                <w:sz w:val="28"/>
              </w:rPr>
              <w:t>4</w:t>
            </w:r>
          </w:p>
        </w:tc>
        <w:tc>
          <w:tcPr>
            <w:tcW w:w="1984" w:type="dxa"/>
            <w:tcBorders>
              <w:top w:val="nil"/>
              <w:left w:val="nil"/>
              <w:bottom w:val="single" w:color="auto" w:sz="4" w:space="0"/>
              <w:right w:val="single" w:color="auto" w:sz="4" w:space="0"/>
            </w:tcBorders>
            <w:vAlign w:val="center"/>
          </w:tcPr>
          <w:p>
            <w:pPr>
              <w:spacing w:beforeLines="0" w:afterLines="0" w:line="300" w:lineRule="exact"/>
              <w:jc w:val="left"/>
              <w:rPr>
                <w:rFonts w:ascii="仿宋_GB2312" w:eastAsia="仿宋_GB2312"/>
                <w:sz w:val="28"/>
                <w:szCs w:val="28"/>
              </w:rPr>
            </w:pPr>
            <w:r>
              <w:rPr>
                <w:rFonts w:hint="eastAsia"/>
                <w:sz w:val="20"/>
              </w:rPr>
              <w:t>成本指标：集中财务核算单位产出成本严格控制在202</w:t>
            </w:r>
            <w:r>
              <w:rPr>
                <w:rFonts w:hint="eastAsia"/>
                <w:sz w:val="20"/>
                <w:lang w:val="en-US" w:eastAsia="zh-CN"/>
              </w:rPr>
              <w:t>5</w:t>
            </w:r>
            <w:r>
              <w:rPr>
                <w:rFonts w:hint="eastAsia"/>
                <w:sz w:val="20"/>
              </w:rPr>
              <w:t>年度部门预算范围内。</w:t>
            </w:r>
          </w:p>
        </w:tc>
        <w:tc>
          <w:tcPr>
            <w:tcW w:w="1701" w:type="dxa"/>
            <w:tcBorders>
              <w:top w:val="nil"/>
              <w:left w:val="nil"/>
              <w:bottom w:val="single" w:color="auto" w:sz="4" w:space="0"/>
              <w:right w:val="single" w:color="auto" w:sz="4" w:space="0"/>
            </w:tcBorders>
            <w:vAlign w:val="center"/>
          </w:tcPr>
          <w:p>
            <w:pPr>
              <w:spacing w:beforeLines="0" w:afterLines="0" w:line="300" w:lineRule="exact"/>
              <w:rPr>
                <w:rFonts w:ascii="仿宋_GB2312" w:eastAsia="仿宋_GB2312"/>
                <w:sz w:val="28"/>
                <w:szCs w:val="28"/>
              </w:rPr>
            </w:pPr>
            <w:r>
              <w:rPr>
                <w:rFonts w:hint="eastAsia"/>
                <w:sz w:val="20"/>
              </w:rPr>
              <w:t>控制在预算内</w:t>
            </w:r>
          </w:p>
        </w:tc>
        <w:tc>
          <w:tcPr>
            <w:tcW w:w="1843" w:type="dxa"/>
            <w:tcBorders>
              <w:top w:val="nil"/>
              <w:left w:val="nil"/>
              <w:bottom w:val="single" w:color="auto" w:sz="4" w:space="0"/>
              <w:right w:val="single" w:color="auto" w:sz="4" w:space="0"/>
            </w:tcBorders>
            <w:vAlign w:val="center"/>
          </w:tcPr>
          <w:p>
            <w:pPr>
              <w:spacing w:beforeLines="0" w:afterLines="0" w:line="300" w:lineRule="exact"/>
              <w:rPr>
                <w:rFonts w:ascii="仿宋_GB2312" w:eastAsia="仿宋_GB2312"/>
                <w:sz w:val="28"/>
                <w:szCs w:val="28"/>
              </w:rPr>
            </w:pPr>
            <w:r>
              <w:rPr>
                <w:rFonts w:hint="eastAsia"/>
                <w:color w:val="000000"/>
                <w:sz w:val="20"/>
              </w:rPr>
              <w:t>控制在预算内</w:t>
            </w:r>
          </w:p>
        </w:tc>
        <w:tc>
          <w:tcPr>
            <w:tcW w:w="2792" w:type="dxa"/>
            <w:tcBorders>
              <w:top w:val="nil"/>
              <w:left w:val="nil"/>
              <w:bottom w:val="single" w:color="auto" w:sz="4" w:space="0"/>
              <w:right w:val="single" w:color="auto" w:sz="4" w:space="0"/>
            </w:tcBorders>
            <w:vAlign w:val="center"/>
          </w:tcPr>
          <w:p>
            <w:pPr>
              <w:widowControl/>
              <w:spacing w:beforeLines="0" w:afterLines="0" w:line="300" w:lineRule="exact"/>
              <w:jc w:val="center"/>
              <w:rPr>
                <w:rFonts w:ascii="仿宋_GB2312" w:eastAsia="仿宋_GB2312"/>
                <w:sz w:val="28"/>
                <w:szCs w:val="28"/>
              </w:rPr>
            </w:pPr>
            <w:r>
              <w:rPr>
                <w:rFonts w:hint="eastAsia" w:ascii="仿宋_GB2312" w:hAnsi="宋体" w:eastAsia="仿宋_GB2312"/>
                <w:color w:val="000000"/>
                <w:kern w:val="0"/>
                <w:sz w:val="28"/>
              </w:rPr>
              <w:t>　</w:t>
            </w:r>
          </w:p>
        </w:tc>
      </w:tr>
    </w:tbl>
    <w:p>
      <w:pPr>
        <w:spacing w:line="520" w:lineRule="exact"/>
        <w:ind w:firstLine="640" w:firstLineChars="200"/>
        <w:rPr>
          <w:rFonts w:hint="default" w:ascii="Times New Roman" w:hAnsi="Times New Roman" w:eastAsia="仿宋_GB2312"/>
          <w:sz w:val="32"/>
        </w:rPr>
      </w:pPr>
      <w:r>
        <w:rPr>
          <w:rFonts w:hint="eastAsia" w:ascii="仿宋_GB2312" w:eastAsia="仿宋_GB2312"/>
          <w:sz w:val="32"/>
          <w:szCs w:val="32"/>
        </w:rPr>
        <w:t>（2）产出质量</w:t>
      </w:r>
      <w:r>
        <w:rPr>
          <w:rFonts w:hint="eastAsia" w:ascii="Times New Roman" w:hAnsi="Times New Roman" w:eastAsia="仿宋_GB2312"/>
          <w:sz w:val="32"/>
        </w:rPr>
        <w:t>：按照市级、区级要求完成全年工作，实现了推动全区经济社会稳步发展，创造安定、祥和、法治、高效的发展新常态的目标。</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（3）产出进度</w:t>
      </w:r>
      <w:r>
        <w:rPr>
          <w:rFonts w:hint="eastAsia" w:ascii="Times New Roman" w:hAnsi="Times New Roman" w:eastAsia="仿宋_GB2312"/>
          <w:sz w:val="32"/>
        </w:rPr>
        <w:t>：2025年底前全部完成</w:t>
      </w:r>
      <w:r>
        <w:rPr>
          <w:rFonts w:hint="eastAsia" w:eastAsia="仿宋_GB2312"/>
          <w:sz w:val="32"/>
          <w:lang w:eastAsia="zh-CN"/>
        </w:rPr>
        <w:t>。</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（4）产出成本</w:t>
      </w:r>
      <w:r>
        <w:rPr>
          <w:rFonts w:hint="eastAsia" w:ascii="Times New Roman" w:hAnsi="Times New Roman" w:eastAsia="仿宋_GB2312"/>
          <w:sz w:val="32"/>
        </w:rPr>
        <w:t>：控制在</w:t>
      </w:r>
      <w:r>
        <w:rPr>
          <w:rFonts w:hint="eastAsia" w:eastAsia="仿宋_GB2312"/>
          <w:sz w:val="32"/>
          <w:lang w:eastAsia="zh-CN"/>
        </w:rPr>
        <w:t>预算内。</w:t>
      </w:r>
    </w:p>
    <w:p>
      <w:pPr>
        <w:spacing w:line="580" w:lineRule="exact"/>
        <w:ind w:firstLine="640"/>
        <w:rPr>
          <w:rFonts w:ascii="仿宋_GB2312" w:eastAsia="仿宋_GB2312"/>
          <w:sz w:val="32"/>
          <w:szCs w:val="32"/>
        </w:rPr>
      </w:pPr>
      <w:r>
        <w:rPr>
          <w:rFonts w:hint="eastAsia" w:ascii="仿宋_GB2312" w:eastAsia="仿宋_GB2312"/>
          <w:sz w:val="32"/>
          <w:szCs w:val="32"/>
        </w:rPr>
        <w:t>2.效果实现情况分析</w:t>
      </w:r>
    </w:p>
    <w:p>
      <w:pPr>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集中财务核算单位2025年度效果目标实现情况良好。各单位围绕项目预算内容、支出进度计划及绩效目标，结合各自实际工作情况稳步落实项目支出，关注重点项目支出及绩效目标开展情况。</w:t>
      </w:r>
    </w:p>
    <w:p>
      <w:pPr>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其中：经济效益指标不涉及；社会效益指标立足本职工作，积极做好服务党群建设、服务行政运行、服务区域发展、服务人民群众；环境效益指标不涉及；可持续影响指标为一年及以上；服务对象满意度指标为对外公众及政府满意度达到90%以上。</w:t>
      </w:r>
    </w:p>
    <w:p>
      <w:pPr>
        <w:spacing w:line="580" w:lineRule="exact"/>
        <w:ind w:firstLine="640"/>
        <w:rPr>
          <w:rFonts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20" w:lineRule="exact"/>
        <w:ind w:firstLine="640" w:firstLineChars="200"/>
        <w:rPr>
          <w:rFonts w:hint="eastAsia" w:ascii="仿宋_GB2312" w:hAnsi="仿宋" w:eastAsia="仿宋_GB2312"/>
          <w:sz w:val="32"/>
        </w:rPr>
      </w:pPr>
      <w:r>
        <w:rPr>
          <w:rFonts w:hint="eastAsia" w:ascii="仿宋_GB2312" w:hAnsi="仿宋" w:eastAsia="仿宋_GB2312"/>
          <w:sz w:val="32"/>
        </w:rPr>
        <w:t>集中财务核算单位部门管理制度建设由各部门独立负责，各部门内部控制制度建设包括预算管理、财务管理、采购管理、合同管理及基建管理，部门根据实际情况实施内部控制制度。</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pPr>
        <w:spacing w:line="520" w:lineRule="exact"/>
        <w:ind w:firstLine="640" w:firstLineChars="200"/>
        <w:rPr>
          <w:rFonts w:hint="default" w:ascii="Times New Roman" w:hAnsi="Times New Roman" w:eastAsia="仿宋_GB2312"/>
          <w:sz w:val="32"/>
        </w:rPr>
      </w:pPr>
      <w:r>
        <w:rPr>
          <w:rFonts w:hint="eastAsia" w:ascii="仿宋_GB2312" w:hAnsi="仿宋" w:eastAsia="仿宋_GB2312"/>
          <w:sz w:val="32"/>
        </w:rPr>
        <w:t>集中财务核算单位</w:t>
      </w:r>
      <w:r>
        <w:rPr>
          <w:rFonts w:hint="eastAsia" w:ascii="Times New Roman" w:hAnsi="Times New Roman" w:eastAsia="仿宋_GB2312"/>
          <w:sz w:val="32"/>
        </w:rPr>
        <w:t>逐步完善资产管理制度，安排实物资产管理责任人与行政事业单位资产动态库（资产账）记录人，不定期进行资产盘点并与资产账核对</w:t>
      </w:r>
      <w:r>
        <w:rPr>
          <w:rFonts w:hint="eastAsia" w:ascii="仿宋_GB2312" w:hAnsi="仿宋" w:eastAsia="仿宋_GB2312"/>
          <w:sz w:val="32"/>
        </w:rPr>
        <w:t>。</w:t>
      </w:r>
    </w:p>
    <w:p>
      <w:pPr>
        <w:spacing w:line="580" w:lineRule="exact"/>
        <w:ind w:firstLine="640"/>
        <w:rPr>
          <w:rFonts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我单位制定全过程预算绩效管理工作机制，在预算申报时进行了绩效目标的设定，在预算执行过程中项目负责单位进行跟踪监督。</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ascii="仿宋_GB2312" w:eastAsia="仿宋_GB2312"/>
          <w:sz w:val="32"/>
          <w:szCs w:val="32"/>
        </w:rPr>
      </w:pPr>
      <w:r>
        <w:rPr>
          <w:rFonts w:ascii="仿宋_GB2312" w:eastAsia="仿宋_GB2312"/>
          <w:sz w:val="32"/>
          <w:szCs w:val="32"/>
        </w:rPr>
        <w:t>202</w:t>
      </w:r>
      <w:r>
        <w:rPr>
          <w:rFonts w:hint="eastAsia" w:ascii="仿宋_GB2312" w:eastAsia="仿宋_GB2312"/>
          <w:sz w:val="32"/>
          <w:szCs w:val="32"/>
        </w:rPr>
        <w:t>5年部门预算项目</w:t>
      </w:r>
      <w:r>
        <w:rPr>
          <w:rFonts w:hint="eastAsia" w:ascii="仿宋_GB2312" w:eastAsia="仿宋_GB2312"/>
          <w:sz w:val="32"/>
          <w:szCs w:val="32"/>
          <w:lang w:val="en-US" w:eastAsia="zh-CN"/>
        </w:rPr>
        <w:t>148</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72</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48.6</w:t>
      </w:r>
      <w:r>
        <w:rPr>
          <w:rFonts w:ascii="仿宋_GB2312" w:eastAsia="仿宋_GB2312"/>
          <w:sz w:val="32"/>
          <w:szCs w:val="32"/>
        </w:rPr>
        <w:t>%</w:t>
      </w:r>
      <w:r>
        <w:rPr>
          <w:rFonts w:hint="eastAsia" w:ascii="仿宋_GB2312" w:eastAsia="仿宋_GB2312"/>
          <w:sz w:val="32"/>
          <w:szCs w:val="32"/>
        </w:rPr>
        <w:t>。</w:t>
      </w:r>
    </w:p>
    <w:p>
      <w:pPr>
        <w:spacing w:line="580" w:lineRule="exact"/>
        <w:ind w:firstLine="64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3</w:t>
      </w:r>
      <w:r>
        <w:rPr>
          <w:rFonts w:hint="eastAsia" w:ascii="仿宋_GB2312" w:eastAsia="仿宋_GB2312"/>
          <w:sz w:val="32"/>
          <w:szCs w:val="32"/>
        </w:rPr>
        <w:t>）绩效自评情况</w:t>
      </w:r>
    </w:p>
    <w:p>
      <w:pPr>
        <w:spacing w:line="580" w:lineRule="exact"/>
        <w:ind w:firstLine="640"/>
        <w:rPr>
          <w:rFonts w:ascii="仿宋_GB2312" w:eastAsia="仿宋_GB2312"/>
          <w:color w:val="auto"/>
          <w:sz w:val="32"/>
          <w:szCs w:val="32"/>
          <w:highlight w:val="yellow"/>
        </w:rPr>
      </w:pPr>
      <w:r>
        <w:rPr>
          <w:rFonts w:hint="eastAsia" w:ascii="仿宋_GB2312" w:eastAsia="仿宋_GB2312"/>
          <w:color w:val="auto"/>
          <w:sz w:val="32"/>
          <w:szCs w:val="32"/>
          <w:highlight w:val="none"/>
        </w:rPr>
        <w:t>2025年对本部门及所属单位202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年项目支出实施了绩效自评，评价项目</w:t>
      </w:r>
      <w:r>
        <w:rPr>
          <w:rFonts w:hint="eastAsia" w:ascii="仿宋_GB2312" w:eastAsia="仿宋_GB2312"/>
          <w:color w:val="auto"/>
          <w:sz w:val="32"/>
          <w:szCs w:val="32"/>
          <w:highlight w:val="none"/>
          <w:lang w:val="en-US" w:eastAsia="zh-CN"/>
        </w:rPr>
        <w:t>98</w:t>
      </w:r>
      <w:r>
        <w:rPr>
          <w:rFonts w:hint="eastAsia" w:ascii="仿宋_GB2312" w:eastAsia="仿宋_GB2312"/>
          <w:color w:val="auto"/>
          <w:sz w:val="32"/>
          <w:szCs w:val="32"/>
          <w:highlight w:val="none"/>
        </w:rPr>
        <w:t>个，涉及金额</w:t>
      </w:r>
      <w:r>
        <w:rPr>
          <w:rFonts w:hint="eastAsia" w:ascii="仿宋_GB2312" w:eastAsia="仿宋_GB2312"/>
          <w:color w:val="auto"/>
          <w:sz w:val="32"/>
          <w:szCs w:val="32"/>
          <w:highlight w:val="none"/>
          <w:lang w:val="en-US" w:eastAsia="zh-CN"/>
        </w:rPr>
        <w:t>3,860.48</w:t>
      </w:r>
      <w:r>
        <w:rPr>
          <w:rFonts w:hint="eastAsia" w:ascii="仿宋_GB2312" w:eastAsia="仿宋_GB2312"/>
          <w:color w:val="auto"/>
          <w:sz w:val="32"/>
          <w:szCs w:val="32"/>
          <w:highlight w:val="none"/>
        </w:rPr>
        <w:t>万元。</w:t>
      </w:r>
    </w:p>
    <w:p>
      <w:pPr>
        <w:spacing w:line="580" w:lineRule="exact"/>
        <w:ind w:firstLine="640"/>
        <w:rPr>
          <w:rFonts w:ascii="楷体_GB2312" w:eastAsia="楷体_GB2312"/>
          <w:b/>
          <w:color w:val="auto"/>
          <w:sz w:val="32"/>
          <w:szCs w:val="32"/>
        </w:rPr>
      </w:pPr>
      <w:r>
        <w:rPr>
          <w:rFonts w:hint="eastAsia" w:ascii="楷体_GB2312" w:eastAsia="楷体_GB2312"/>
          <w:b/>
          <w:color w:val="auto"/>
          <w:sz w:val="32"/>
          <w:szCs w:val="32"/>
        </w:rPr>
        <w:t>（五）总体评价结论</w:t>
      </w:r>
    </w:p>
    <w:p>
      <w:pPr>
        <w:spacing w:line="580" w:lineRule="exact"/>
        <w:ind w:firstLine="640"/>
        <w:rPr>
          <w:rFonts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99</w:t>
      </w:r>
      <w:r>
        <w:rPr>
          <w:rFonts w:hint="eastAsia" w:ascii="仿宋_GB2312" w:eastAsia="仿宋_GB2312"/>
          <w:sz w:val="32"/>
          <w:szCs w:val="32"/>
        </w:rPr>
        <w:t>分</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pPr>
        <w:spacing w:line="580" w:lineRule="exact"/>
        <w:ind w:firstLine="640"/>
        <w:rPr>
          <w:rFonts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集中财务核算单位遵守财政部门规章制度要求，根据部门职能及年度工作计划编报年度预算，结合财务工作管理办法及内部控制制度等落实预算执行工作，从预算管理、财务支出管理、固定资产管理、政府采购管理、合同管理等方面明确岗位职责，防控业务流程风险，建立监督制约机制，加强对资金使用的管理和防控，提高资金使用效率，及时发现预算执行过程中存在的问题并采取有效措施予以调整、纠正。</w:t>
      </w:r>
    </w:p>
    <w:p>
      <w:pPr>
        <w:spacing w:line="580" w:lineRule="exact"/>
        <w:ind w:firstLine="640"/>
        <w:rPr>
          <w:rFonts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hAnsi="仿宋" w:eastAsia="仿宋_GB2312"/>
          <w:sz w:val="32"/>
        </w:rPr>
      </w:pPr>
      <w:r>
        <w:rPr>
          <w:rFonts w:hint="eastAsia" w:ascii="仿宋_GB2312" w:hAnsi="仿宋" w:eastAsia="仿宋_GB2312"/>
          <w:sz w:val="32"/>
        </w:rPr>
        <w:t>集中财务核算单位力求在年度工作基础上总结经验问题，结合部门实际工作情况，梳理业务流程，明确岗位职责，加强风险防控，加大重点、专项项目工作力度，从编审、调整、执行、监督四方面提升部门预算管理工作。总结绩效目标管理工作中存在的问题，落实改进措施，进一步强化绩效目标管理工作。有效结合预算管理与绩效管理工作，从预算编报过程中加强调研，充分考虑相关影响因素，强化事前准备工作，科学设置项目及部门绩效目标及明细指标，完善绩效目标管理体系建设；从绩效目标实现情况反应部门预算实施情况，加强部门预算管理工作监督机制。</w:t>
      </w:r>
    </w:p>
    <w:p>
      <w:pPr>
        <w:spacing w:line="580" w:lineRule="exact"/>
        <w:ind w:firstLine="640"/>
        <w:rPr>
          <w:rFonts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ascii="仿宋_GB2312" w:eastAsia="仿宋_GB2312"/>
          <w:color w:val="auto"/>
          <w:sz w:val="32"/>
          <w:szCs w:val="32"/>
        </w:rPr>
      </w:pPr>
      <w:r>
        <w:rPr>
          <w:rFonts w:hint="eastAsia" w:ascii="仿宋_GB2312" w:eastAsia="仿宋_GB2312"/>
          <w:color w:val="auto"/>
          <w:sz w:val="32"/>
          <w:szCs w:val="32"/>
        </w:rPr>
        <w:t>2025年度区财政批复项目支出</w:t>
      </w:r>
      <w:r>
        <w:rPr>
          <w:rFonts w:ascii="仿宋_GB2312" w:eastAsia="仿宋_GB2312"/>
          <w:color w:val="auto"/>
          <w:sz w:val="32"/>
          <w:szCs w:val="32"/>
        </w:rPr>
        <w:t>预算项目</w:t>
      </w:r>
      <w:r>
        <w:rPr>
          <w:rFonts w:hint="eastAsia" w:ascii="仿宋_GB2312" w:eastAsia="仿宋_GB2312"/>
          <w:color w:val="auto"/>
          <w:sz w:val="32"/>
          <w:szCs w:val="32"/>
          <w:lang w:val="en-US" w:eastAsia="zh-CN"/>
        </w:rPr>
        <w:t>148</w:t>
      </w:r>
      <w:r>
        <w:rPr>
          <w:rFonts w:hint="eastAsia" w:ascii="仿宋_GB2312" w:eastAsia="仿宋_GB2312"/>
          <w:color w:val="auto"/>
          <w:sz w:val="32"/>
          <w:szCs w:val="32"/>
        </w:rPr>
        <w:t>个，涉及金额</w:t>
      </w:r>
      <w:r>
        <w:rPr>
          <w:rFonts w:hint="eastAsia" w:ascii="仿宋_GB2312" w:eastAsia="仿宋_GB2312"/>
          <w:color w:val="auto"/>
          <w:sz w:val="32"/>
          <w:szCs w:val="32"/>
          <w:lang w:val="en-US" w:eastAsia="zh-CN"/>
        </w:rPr>
        <w:t>5,663.53</w:t>
      </w:r>
      <w:r>
        <w:rPr>
          <w:rFonts w:hint="eastAsia" w:ascii="仿宋_GB2312" w:eastAsia="仿宋_GB2312"/>
          <w:color w:val="auto"/>
          <w:sz w:val="32"/>
          <w:szCs w:val="32"/>
        </w:rPr>
        <w:t>万元。本次</w:t>
      </w:r>
      <w:r>
        <w:rPr>
          <w:rFonts w:ascii="仿宋_GB2312" w:eastAsia="仿宋_GB2312"/>
          <w:color w:val="auto"/>
          <w:sz w:val="32"/>
          <w:szCs w:val="32"/>
        </w:rPr>
        <w:t>实施</w:t>
      </w:r>
      <w:r>
        <w:rPr>
          <w:rFonts w:hint="eastAsia" w:ascii="仿宋_GB2312" w:eastAsia="仿宋_GB2312"/>
          <w:color w:val="auto"/>
          <w:sz w:val="32"/>
          <w:szCs w:val="32"/>
        </w:rPr>
        <w:t>绩效自评项目</w:t>
      </w:r>
      <w:r>
        <w:rPr>
          <w:rFonts w:hint="eastAsia" w:ascii="仿宋_GB2312" w:eastAsia="仿宋_GB2312"/>
          <w:color w:val="auto"/>
          <w:sz w:val="32"/>
          <w:szCs w:val="32"/>
          <w:lang w:val="en-US" w:eastAsia="zh-CN"/>
        </w:rPr>
        <w:t>98</w:t>
      </w:r>
      <w:r>
        <w:rPr>
          <w:rFonts w:hint="eastAsia" w:ascii="仿宋_GB2312" w:eastAsia="仿宋_GB2312"/>
          <w:color w:val="auto"/>
          <w:sz w:val="32"/>
          <w:szCs w:val="32"/>
        </w:rPr>
        <w:t>个，涉及金额</w:t>
      </w:r>
      <w:r>
        <w:rPr>
          <w:rFonts w:hint="eastAsia" w:ascii="仿宋_GB2312" w:eastAsia="仿宋_GB2312"/>
          <w:color w:val="auto"/>
          <w:sz w:val="32"/>
          <w:szCs w:val="32"/>
          <w:lang w:val="en-US" w:eastAsia="zh-CN"/>
        </w:rPr>
        <w:t>3,860.48</w:t>
      </w:r>
      <w:r>
        <w:rPr>
          <w:rFonts w:hint="eastAsia" w:ascii="仿宋_GB2312" w:eastAsia="仿宋_GB2312"/>
          <w:color w:val="auto"/>
          <w:sz w:val="32"/>
          <w:szCs w:val="32"/>
        </w:rPr>
        <w:t>万元。评价得分在90分（含90分）以上的</w:t>
      </w:r>
      <w:r>
        <w:rPr>
          <w:rFonts w:hint="eastAsia" w:ascii="仿宋_GB2312" w:eastAsia="仿宋_GB2312"/>
          <w:color w:val="auto"/>
          <w:sz w:val="32"/>
          <w:szCs w:val="32"/>
          <w:lang w:val="en-US" w:eastAsia="zh-CN"/>
        </w:rPr>
        <w:t>97</w:t>
      </w:r>
      <w:r>
        <w:rPr>
          <w:rFonts w:hint="eastAsia" w:ascii="仿宋_GB2312" w:eastAsia="仿宋_GB2312"/>
          <w:color w:val="auto"/>
          <w:sz w:val="32"/>
          <w:szCs w:val="32"/>
        </w:rPr>
        <w:t>个，评价得分在80-90分（含80分）的</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个，评价得分在60-80分（含60分）的</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个，评价得分在60分以下的</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个。</w:t>
      </w:r>
    </w:p>
    <w:p>
      <w:pPr>
        <w:spacing w:line="580" w:lineRule="exact"/>
        <w:ind w:firstLine="809" w:firstLineChars="253"/>
        <w:rPr>
          <w:rFonts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ascii="仿宋_GB2312" w:eastAsia="仿宋_GB2312"/>
          <w:sz w:val="32"/>
          <w:szCs w:val="32"/>
        </w:rPr>
      </w:pPr>
      <w:r>
        <w:rPr>
          <w:rFonts w:hint="eastAsia" w:ascii="仿宋_GB2312" w:eastAsia="仿宋_GB2312"/>
          <w:sz w:val="32"/>
          <w:szCs w:val="32"/>
          <w:lang w:eastAsia="zh-CN"/>
        </w:rPr>
        <w:t>见附件</w:t>
      </w:r>
      <w:r>
        <w:rPr>
          <w:rFonts w:hint="eastAsia" w:ascii="仿宋_GB2312" w:eastAsia="仿宋_GB2312"/>
          <w:sz w:val="32"/>
          <w:szCs w:val="32"/>
        </w:rPr>
        <w:t>。</w:t>
      </w:r>
    </w:p>
    <w:p>
      <w:pPr>
        <w:spacing w:line="580" w:lineRule="exact"/>
        <w:ind w:firstLine="640"/>
        <w:rPr>
          <w:rFonts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eastAsia="仿宋_GB2312"/>
          <w:sz w:val="32"/>
          <w:szCs w:val="32"/>
        </w:rPr>
      </w:pPr>
      <w:r>
        <w:rPr>
          <w:rFonts w:hint="eastAsia" w:ascii="仿宋_GB2312" w:eastAsia="仿宋_GB2312"/>
          <w:sz w:val="32"/>
          <w:szCs w:val="32"/>
          <w:lang w:eastAsia="zh-CN"/>
        </w:rPr>
        <w:t>见附件</w:t>
      </w:r>
      <w:r>
        <w:rPr>
          <w:rFonts w:hint="eastAsia" w:ascii="仿宋_GB2312" w:eastAsia="仿宋_GB2312"/>
          <w:sz w:val="32"/>
          <w:szCs w:val="32"/>
        </w:rPr>
        <w:t>。</w:t>
      </w:r>
    </w:p>
    <w:p>
      <w:pPr>
        <w:pStyle w:val="2"/>
        <w:rPr>
          <w:rFonts w:hint="eastAsia"/>
          <w:lang w:eastAsia="zh-CN"/>
        </w:rPr>
      </w:pPr>
    </w:p>
    <w:p>
      <w:pPr>
        <w:spacing w:line="580" w:lineRule="exact"/>
        <w:ind w:firstLine="800" w:firstLineChars="250"/>
        <w:rPr>
          <w:rFonts w:ascii="仿宋_GB2312" w:eastAsia="仿宋_GB2312"/>
          <w:sz w:val="32"/>
          <w:szCs w:val="32"/>
        </w:rPr>
      </w:pPr>
      <w:r>
        <w:rPr>
          <w:rFonts w:hint="eastAsia" w:ascii="仿宋_GB2312" w:eastAsia="仿宋_GB2312"/>
          <w:sz w:val="32"/>
          <w:szCs w:val="32"/>
        </w:rPr>
        <w:t>附件：1.2025年度部门决算公开报表</w:t>
      </w:r>
    </w:p>
    <w:p>
      <w:pPr>
        <w:spacing w:line="580" w:lineRule="exact"/>
        <w:ind w:firstLine="1760" w:firstLineChars="550"/>
        <w:rPr>
          <w:rFonts w:hint="eastAsia" w:ascii="仿宋_GB2312" w:eastAsia="仿宋_GB2312"/>
          <w:sz w:val="32"/>
          <w:szCs w:val="32"/>
        </w:rPr>
      </w:pPr>
      <w:r>
        <w:rPr>
          <w:rFonts w:ascii="仿宋_GB2312" w:eastAsia="仿宋_GB2312"/>
          <w:sz w:val="32"/>
          <w:szCs w:val="32"/>
        </w:rPr>
        <w:t>2.</w:t>
      </w:r>
      <w:r>
        <w:rPr>
          <w:rFonts w:hint="eastAsia" w:ascii="仿宋_GB2312" w:eastAsia="仿宋_GB2312"/>
          <w:sz w:val="32"/>
          <w:szCs w:val="32"/>
          <w:lang w:val="en-US" w:eastAsia="zh-CN"/>
        </w:rPr>
        <w:t>2025年度</w:t>
      </w:r>
      <w:r>
        <w:rPr>
          <w:rFonts w:hint="eastAsia" w:ascii="仿宋_GB2312" w:eastAsia="仿宋_GB2312"/>
          <w:sz w:val="32"/>
          <w:szCs w:val="32"/>
        </w:rPr>
        <w:t>重点</w:t>
      </w:r>
      <w:r>
        <w:rPr>
          <w:rFonts w:ascii="仿宋_GB2312" w:eastAsia="仿宋_GB2312"/>
          <w:sz w:val="32"/>
          <w:szCs w:val="32"/>
        </w:rPr>
        <w:t>支出</w:t>
      </w:r>
      <w:r>
        <w:rPr>
          <w:rFonts w:hint="eastAsia" w:ascii="仿宋_GB2312" w:eastAsia="仿宋_GB2312"/>
          <w:sz w:val="32"/>
          <w:szCs w:val="32"/>
        </w:rPr>
        <w:t>项目绩效自评报告</w:t>
      </w:r>
    </w:p>
    <w:p>
      <w:pPr>
        <w:spacing w:line="580" w:lineRule="exact"/>
        <w:ind w:firstLine="1760" w:firstLineChars="550"/>
        <w:rPr>
          <w:rFonts w:hint="eastAsia"/>
          <w:lang w:eastAsia="zh-CN"/>
        </w:rPr>
      </w:pPr>
      <w:r>
        <w:rPr>
          <w:rFonts w:hint="eastAsia" w:ascii="仿宋_GB2312" w:eastAsia="仿宋_GB2312"/>
          <w:sz w:val="32"/>
          <w:szCs w:val="32"/>
          <w:lang w:val="en-US" w:eastAsia="zh-CN"/>
        </w:rPr>
        <w:t>3.2025年度</w:t>
      </w:r>
      <w:r>
        <w:rPr>
          <w:rFonts w:hint="eastAsia" w:ascii="仿宋_GB2312" w:eastAsia="仿宋_GB2312"/>
          <w:sz w:val="32"/>
          <w:szCs w:val="32"/>
        </w:rPr>
        <w:t>项目支出绩效自评表</w:t>
      </w:r>
    </w:p>
    <w:p>
      <w:pPr>
        <w:pStyle w:val="2"/>
        <w:rPr>
          <w:rFonts w:hint="eastAsia"/>
        </w:rPr>
      </w:pPr>
    </w:p>
    <w:sectPr>
      <w:footerReference r:id="rId5" w:type="default"/>
      <w:footerReference r:id="rId6" w:type="even"/>
      <w:pgSz w:w="11850" w:h="16783"/>
      <w:pgMar w:top="1134" w:right="1134" w:bottom="1134" w:left="1134" w:header="851" w:footer="992" w:gutter="0"/>
      <w:pgBorders>
        <w:top w:val="none" w:sz="0" w:space="0"/>
        <w:left w:val="none" w:sz="0" w:space="0"/>
        <w:bottom w:val="none" w:sz="0" w:space="0"/>
        <w:right w:val="none" w:sz="0" w:space="0"/>
      </w:pgBorders>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11</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16</w:t>
    </w:r>
    <w:r>
      <w:fldChar w:fldCharType="end"/>
    </w:r>
  </w:p>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15</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D5B7535"/>
    <w:multiLevelType w:val="singleLevel"/>
    <w:tmpl w:val="DD5B7535"/>
    <w:lvl w:ilvl="0" w:tentative="0">
      <w:start w:val="2"/>
      <w:numFmt w:val="decimal"/>
      <w:lvlText w:val="%1."/>
      <w:lvlJc w:val="left"/>
      <w:pPr>
        <w:tabs>
          <w:tab w:val="left" w:pos="312"/>
        </w:tabs>
      </w:pPr>
    </w:lvl>
  </w:abstractNum>
  <w:abstractNum w:abstractNumId="1">
    <w:nsid w:val="51BCCA16"/>
    <w:multiLevelType w:val="singleLevel"/>
    <w:tmpl w:val="51BCCA1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3MjAzOGI1ZWM1NjI3YTE0MjIzZDIwNTMwM2NhZjEifQ=="/>
  </w:docVars>
  <w:rsids>
    <w:rsidRoot w:val="00100246"/>
    <w:rsid w:val="00003B03"/>
    <w:rsid w:val="000040E6"/>
    <w:rsid w:val="00011D72"/>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C7C2C"/>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326DE"/>
    <w:rsid w:val="00234314"/>
    <w:rsid w:val="00241724"/>
    <w:rsid w:val="0024390C"/>
    <w:rsid w:val="002441F4"/>
    <w:rsid w:val="00244204"/>
    <w:rsid w:val="002448A4"/>
    <w:rsid w:val="00245A0A"/>
    <w:rsid w:val="00246C42"/>
    <w:rsid w:val="002515CC"/>
    <w:rsid w:val="00253EC4"/>
    <w:rsid w:val="00254515"/>
    <w:rsid w:val="00254E43"/>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B7D17"/>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023D"/>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55A3C"/>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40F1"/>
    <w:rsid w:val="008F55D9"/>
    <w:rsid w:val="0090133D"/>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4D88"/>
    <w:rsid w:val="0096716C"/>
    <w:rsid w:val="009672B2"/>
    <w:rsid w:val="00971C66"/>
    <w:rsid w:val="00972363"/>
    <w:rsid w:val="0098419C"/>
    <w:rsid w:val="009843EF"/>
    <w:rsid w:val="009867F2"/>
    <w:rsid w:val="00991347"/>
    <w:rsid w:val="00996018"/>
    <w:rsid w:val="0099738E"/>
    <w:rsid w:val="009A3464"/>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E7134"/>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56E44"/>
    <w:rsid w:val="00B6204E"/>
    <w:rsid w:val="00B649EC"/>
    <w:rsid w:val="00B728DD"/>
    <w:rsid w:val="00B72D43"/>
    <w:rsid w:val="00B74121"/>
    <w:rsid w:val="00B859FF"/>
    <w:rsid w:val="00B85C1B"/>
    <w:rsid w:val="00B85FF0"/>
    <w:rsid w:val="00B86150"/>
    <w:rsid w:val="00B878F9"/>
    <w:rsid w:val="00B87C70"/>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7674F"/>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46A7"/>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33023"/>
    <w:rsid w:val="00E331F3"/>
    <w:rsid w:val="00E3498D"/>
    <w:rsid w:val="00E42425"/>
    <w:rsid w:val="00E43E55"/>
    <w:rsid w:val="00E4554E"/>
    <w:rsid w:val="00E46D22"/>
    <w:rsid w:val="00E4768F"/>
    <w:rsid w:val="00E532F1"/>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40C1B1B"/>
    <w:rsid w:val="04B844FD"/>
    <w:rsid w:val="053F05E6"/>
    <w:rsid w:val="0773781D"/>
    <w:rsid w:val="090E03AA"/>
    <w:rsid w:val="09C84442"/>
    <w:rsid w:val="0EE228A3"/>
    <w:rsid w:val="0F8E2C57"/>
    <w:rsid w:val="0FC62336"/>
    <w:rsid w:val="10C83A69"/>
    <w:rsid w:val="17703FC5"/>
    <w:rsid w:val="1776627E"/>
    <w:rsid w:val="178F7340"/>
    <w:rsid w:val="1AEC0734"/>
    <w:rsid w:val="1B5BDBA5"/>
    <w:rsid w:val="1BF4CDD5"/>
    <w:rsid w:val="1E712617"/>
    <w:rsid w:val="1FFD4F80"/>
    <w:rsid w:val="21B13CBF"/>
    <w:rsid w:val="238542FD"/>
    <w:rsid w:val="2ADA2D5E"/>
    <w:rsid w:val="2C1A7FAB"/>
    <w:rsid w:val="2D3940F7"/>
    <w:rsid w:val="2EEC0DA3"/>
    <w:rsid w:val="2EFFE297"/>
    <w:rsid w:val="30C47C02"/>
    <w:rsid w:val="345E211C"/>
    <w:rsid w:val="36FF99E9"/>
    <w:rsid w:val="37DF5F1F"/>
    <w:rsid w:val="37DFF048"/>
    <w:rsid w:val="3EA1013D"/>
    <w:rsid w:val="3FB6105E"/>
    <w:rsid w:val="3FFF8EE8"/>
    <w:rsid w:val="43B10F42"/>
    <w:rsid w:val="469F3C20"/>
    <w:rsid w:val="4BF72BEF"/>
    <w:rsid w:val="53CD3966"/>
    <w:rsid w:val="55762E42"/>
    <w:rsid w:val="562B9117"/>
    <w:rsid w:val="58D8167F"/>
    <w:rsid w:val="596E035F"/>
    <w:rsid w:val="59C79807"/>
    <w:rsid w:val="5B9C37C2"/>
    <w:rsid w:val="5F07144A"/>
    <w:rsid w:val="5FDEC254"/>
    <w:rsid w:val="5FDFEC61"/>
    <w:rsid w:val="611505D3"/>
    <w:rsid w:val="624267B6"/>
    <w:rsid w:val="624A1C91"/>
    <w:rsid w:val="67356D4F"/>
    <w:rsid w:val="6A8930D4"/>
    <w:rsid w:val="6B800D4E"/>
    <w:rsid w:val="6BF709A3"/>
    <w:rsid w:val="6F7B208D"/>
    <w:rsid w:val="74602D6B"/>
    <w:rsid w:val="752F45BB"/>
    <w:rsid w:val="757FB117"/>
    <w:rsid w:val="76FA5695"/>
    <w:rsid w:val="77A61F01"/>
    <w:rsid w:val="7A7F1C49"/>
    <w:rsid w:val="7B5B7AE6"/>
    <w:rsid w:val="7BA7071E"/>
    <w:rsid w:val="7BDF6DA8"/>
    <w:rsid w:val="7C7EDC1A"/>
    <w:rsid w:val="7CB57411"/>
    <w:rsid w:val="7CFDF16A"/>
    <w:rsid w:val="7CFF947E"/>
    <w:rsid w:val="7D08410F"/>
    <w:rsid w:val="7D939D4B"/>
    <w:rsid w:val="7DB96DED"/>
    <w:rsid w:val="7E7DA76A"/>
    <w:rsid w:val="7F6F14F1"/>
    <w:rsid w:val="7F71EB3D"/>
    <w:rsid w:val="7F7FE70F"/>
    <w:rsid w:val="7FA6DD77"/>
    <w:rsid w:val="7FFEB7EE"/>
    <w:rsid w:val="7FFF1C81"/>
    <w:rsid w:val="7FFF772F"/>
    <w:rsid w:val="95F35EF6"/>
    <w:rsid w:val="97BB7C51"/>
    <w:rsid w:val="97E9E539"/>
    <w:rsid w:val="9BFFD860"/>
    <w:rsid w:val="9E7FDBDA"/>
    <w:rsid w:val="AC5F73DE"/>
    <w:rsid w:val="B5DDD2C8"/>
    <w:rsid w:val="B9DFABD9"/>
    <w:rsid w:val="BC0D83FC"/>
    <w:rsid w:val="BF3BDEFB"/>
    <w:rsid w:val="C7F7ED2D"/>
    <w:rsid w:val="D8D7928E"/>
    <w:rsid w:val="D8FE3136"/>
    <w:rsid w:val="DBDF939C"/>
    <w:rsid w:val="DD5F8062"/>
    <w:rsid w:val="DDDE60B7"/>
    <w:rsid w:val="DDE3BADB"/>
    <w:rsid w:val="DE9F6A22"/>
    <w:rsid w:val="DF4FCE6A"/>
    <w:rsid w:val="DFE32D0A"/>
    <w:rsid w:val="E579A373"/>
    <w:rsid w:val="EDAA365C"/>
    <w:rsid w:val="EDADFC12"/>
    <w:rsid w:val="EE7FCEB7"/>
    <w:rsid w:val="EEF845D5"/>
    <w:rsid w:val="EFF50BC2"/>
    <w:rsid w:val="F3F73DC8"/>
    <w:rsid w:val="F53FA1D4"/>
    <w:rsid w:val="F56FBE8D"/>
    <w:rsid w:val="F6F703EA"/>
    <w:rsid w:val="F7F709E9"/>
    <w:rsid w:val="F7FF3690"/>
    <w:rsid w:val="F9BD3900"/>
    <w:rsid w:val="FB498649"/>
    <w:rsid w:val="FBBF8272"/>
    <w:rsid w:val="FC8B9876"/>
    <w:rsid w:val="FD9AF366"/>
    <w:rsid w:val="FE5F8D37"/>
    <w:rsid w:val="FE977BF3"/>
    <w:rsid w:val="FEDFF218"/>
    <w:rsid w:val="FEDFFFFF"/>
    <w:rsid w:val="FEEB1AD5"/>
    <w:rsid w:val="FF0C7C5C"/>
    <w:rsid w:val="FF7B94DA"/>
    <w:rsid w:val="FF7F14ED"/>
    <w:rsid w:val="FF97DB25"/>
    <w:rsid w:val="FFAF6549"/>
    <w:rsid w:val="FFD5DD6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val="0"/>
      <w:spacing w:before="100" w:beforeAutospacing="1" w:after="100" w:afterAutospacing="1"/>
      <w:outlineLvl w:val="1"/>
    </w:pPr>
    <w:rPr>
      <w:rFonts w:ascii="Cambria" w:hAnsi="Cambria" w:eastAsia="黑体" w:cs="Times New Roman"/>
      <w:b/>
      <w:bCs/>
      <w:kern w:val="0"/>
      <w:sz w:val="36"/>
      <w:szCs w:val="32"/>
      <w:lang w:bidi="ar-SA"/>
    </w:rPr>
  </w:style>
  <w:style w:type="character" w:default="1" w:styleId="10">
    <w:name w:val="Default Paragraph Font"/>
    <w:semiHidden/>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1">
    <w:name w:val="Strong"/>
    <w:qFormat/>
    <w:uiPriority w:val="0"/>
    <w:rPr>
      <w:b/>
    </w:rPr>
  </w:style>
  <w:style w:type="character" w:styleId="12">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 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15739.84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10168.34</c:v>
                </c:pt>
                <c:pt idx="1">
                  <c:v>5663.53</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chemeClr val="tx1"/>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4066</Words>
  <Characters>6490</Characters>
  <Lines>36</Lines>
  <Paragraphs>10</Paragraphs>
  <TotalTime>7</TotalTime>
  <ScaleCrop>false</ScaleCrop>
  <LinksUpToDate>false</LinksUpToDate>
  <CharactersWithSpaces>6571</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2017-07-14T15:16:00Z</dcterms:created>
  <dc:creator>常程</dc:creator>
  <cp:lastModifiedBy>Administrator</cp:lastModifiedBy>
  <cp:lastPrinted>2025-08-27T01:15:00Z</cp:lastPrinted>
  <dcterms:modified xsi:type="dcterms:W3CDTF">2026-08-28T01:11:25Z</dcterms:modified>
  <dc:title>北京市财政局关于做好向市人大常委会报送2015年度市级部门决算（草案）</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8C3C5589D8794F64B9C128B83FA4843C_13</vt:lpwstr>
  </property>
  <property fmtid="{D5CDD505-2E9C-101B-9397-08002B2CF9AE}" pid="4" name="KSOTemplateDocerSaveRecord">
    <vt:lpwstr>eyJoZGlkIjoiYjNlN2I2OGQxOGI1NmIxMWI3ZTg2MzgyOGIwNzE1YjAiLCJ1c2VySWQiOiI2NzgwOTI3MjgifQ==</vt:lpwstr>
  </property>
</Properties>
</file>