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rPr>
          <w:rFonts w:hint="eastAsia" w:ascii="方正小标宋简体" w:hAnsi="方正小标宋简体" w:eastAsia="方正小标宋简体" w:cs="方正小标宋简体"/>
          <w:bCs/>
          <w:spacing w:val="-11"/>
          <w:sz w:val="44"/>
          <w:szCs w:val="44"/>
        </w:rPr>
      </w:pPr>
      <w:bookmarkStart w:id="1" w:name="_GoBack"/>
      <w:bookmarkEnd w:id="1"/>
      <w:r>
        <w:rPr>
          <w:rFonts w:hint="eastAsia" w:ascii="方正小标宋简体" w:hAnsi="方正小标宋简体" w:eastAsia="方正小标宋简体" w:cs="方正小标宋简体"/>
          <w:bCs/>
          <w:spacing w:val="-11"/>
          <w:sz w:val="44"/>
          <w:szCs w:val="44"/>
          <w:lang w:val="en-US" w:eastAsia="zh-CN"/>
        </w:rPr>
        <w:t>门头沟区发展和改革委员会</w:t>
      </w:r>
      <w:r>
        <w:rPr>
          <w:rFonts w:hint="eastAsia" w:ascii="方正小标宋简体" w:hAnsi="方正小标宋简体" w:eastAsia="方正小标宋简体" w:cs="方正小标宋简体"/>
          <w:bCs/>
          <w:spacing w:val="-11"/>
          <w:sz w:val="44"/>
          <w:szCs w:val="44"/>
        </w:rPr>
        <w:t>2025预算年度重点</w:t>
      </w:r>
    </w:p>
    <w:p>
      <w:pPr>
        <w:keepNext w:val="0"/>
        <w:keepLines w:val="0"/>
        <w:pageBreakBefore w:val="0"/>
        <w:kinsoku/>
        <w:wordWrap/>
        <w:overflowPunct/>
        <w:topLinePunct w:val="0"/>
        <w:autoSpaceDE/>
        <w:autoSpaceDN/>
        <w:bidi w:val="0"/>
        <w:adjustRightInd/>
        <w:spacing w:line="560" w:lineRule="exact"/>
        <w:jc w:val="center"/>
        <w:rPr>
          <w:rFonts w:ascii="方正小标宋简体" w:hAnsi="方正小标宋简体" w:eastAsia="方正小标宋简体" w:cs="方正小标宋简体"/>
          <w:bCs/>
          <w:spacing w:val="-11"/>
          <w:sz w:val="44"/>
          <w:szCs w:val="44"/>
        </w:rPr>
      </w:pPr>
      <w:r>
        <w:rPr>
          <w:rFonts w:hint="eastAsia" w:ascii="方正小标宋简体" w:hAnsi="方正小标宋简体" w:eastAsia="方正小标宋简体" w:cs="方正小标宋简体"/>
          <w:bCs/>
          <w:spacing w:val="-11"/>
          <w:sz w:val="44"/>
          <w:szCs w:val="44"/>
        </w:rPr>
        <w:t>支出项目绩效</w:t>
      </w:r>
      <w:r>
        <w:rPr>
          <w:rFonts w:ascii="方正小标宋简体" w:hAnsi="方正小标宋简体" w:eastAsia="方正小标宋简体" w:cs="方正小标宋简体"/>
          <w:bCs/>
          <w:spacing w:val="-11"/>
          <w:sz w:val="44"/>
          <w:szCs w:val="44"/>
        </w:rPr>
        <w:t>自评报告</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hint="eastAsia" w:ascii="CESI黑体-GB2312" w:hAnsi="CESI黑体-GB2312" w:eastAsia="CESI黑体-GB2312" w:cs="CESI黑体-GB2312"/>
          <w:sz w:val="32"/>
          <w:szCs w:val="32"/>
        </w:rPr>
      </w:pP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一、基本情况</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（一）项目概况</w:t>
      </w:r>
    </w:p>
    <w:p>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按照北京市发改委《关于下达门头沟区2025年重大投资项目前期规划谋划工作任务书的通知》，经区政府常务会审议通过《门头沟区2025年度重大投资项目规划谋划工作方案》，我委牵头启动2025年度重大投资项目规划谋划工作。本项工作旨在强化全区重大项目谋划储备，以项目引领促进投资落地，持续发挥投资对经济增长的关键拉动作用，推动门头沟区绿色高质量转型发展。围绕“壮大新质生产力、统筹盘活文旅资源、全面提升城乡韧性、织密提质民生保障”4个细分领域</w:t>
      </w:r>
      <w:r>
        <w:rPr>
          <w:rFonts w:hint="eastAsia" w:ascii="仿宋_GB2312" w:eastAsia="仿宋_GB2312"/>
          <w:color w:val="000000"/>
          <w:sz w:val="32"/>
          <w:szCs w:val="32"/>
          <w:lang w:eastAsia="zh-CN"/>
        </w:rPr>
        <w:t>，</w:t>
      </w:r>
      <w:r>
        <w:rPr>
          <w:rFonts w:hint="eastAsia" w:ascii="仿宋_GB2312" w:eastAsia="仿宋_GB2312"/>
          <w:color w:val="000000"/>
          <w:sz w:val="32"/>
          <w:szCs w:val="32"/>
        </w:rPr>
        <w:t>系统开展重大投资项目策划研究、项目筛选论证、投资测算及实施路径研究。</w:t>
      </w:r>
    </w:p>
    <w:p>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本项目</w:t>
      </w:r>
      <w:r>
        <w:rPr>
          <w:rFonts w:hint="eastAsia" w:ascii="仿宋_GB2312" w:eastAsia="仿宋_GB2312"/>
          <w:color w:val="000000"/>
          <w:sz w:val="32"/>
          <w:szCs w:val="32"/>
        </w:rPr>
        <w:t>预算资金为2000万元，全部为市级批复资金，主要用于第三方专业机构咨询服务费用以及与采购组织相关的招标代理服务费用等。截至2025年12月31日，重大项目规划谋划工作经费共支出1005.6745万元，支付率50.28%。</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hint="eastAsia" w:ascii="仿宋_GB2312" w:eastAsia="仿宋_GB2312"/>
          <w:color w:val="000000"/>
          <w:sz w:val="32"/>
          <w:szCs w:val="32"/>
        </w:rPr>
      </w:pPr>
      <w:r>
        <w:rPr>
          <w:rFonts w:hint="eastAsia" w:ascii="仿宋_GB2312" w:eastAsia="仿宋_GB2312"/>
          <w:color w:val="000000"/>
          <w:sz w:val="32"/>
          <w:szCs w:val="32"/>
          <w:lang w:val="en-US" w:eastAsia="zh-CN"/>
        </w:rPr>
        <w:t>实施情况方面，</w:t>
      </w:r>
      <w:r>
        <w:rPr>
          <w:rFonts w:hint="eastAsia" w:ascii="仿宋_GB2312" w:eastAsia="仿宋_GB2312"/>
          <w:color w:val="000000"/>
          <w:sz w:val="32"/>
          <w:szCs w:val="32"/>
        </w:rPr>
        <w:t>我委</w:t>
      </w:r>
      <w:r>
        <w:rPr>
          <w:rFonts w:hint="eastAsia" w:ascii="仿宋_GB2312" w:eastAsia="仿宋_GB2312"/>
          <w:color w:val="000000"/>
          <w:sz w:val="32"/>
          <w:szCs w:val="32"/>
          <w:lang w:eastAsia="zh-CN"/>
        </w:rPr>
        <w:t>委托招标代理机构，通过公开招标方式分三包择优选取第三方专业机构</w:t>
      </w:r>
      <w:r>
        <w:rPr>
          <w:rFonts w:hint="eastAsia" w:ascii="仿宋_GB2312" w:eastAsia="仿宋_GB2312"/>
          <w:color w:val="000000"/>
          <w:sz w:val="32"/>
          <w:szCs w:val="32"/>
          <w:lang w:val="en-US" w:eastAsia="zh-CN"/>
        </w:rPr>
        <w:t>进行规划谋划工作</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于</w:t>
      </w:r>
      <w:r>
        <w:rPr>
          <w:rFonts w:hint="eastAsia" w:ascii="仿宋_GB2312" w:eastAsia="仿宋_GB2312"/>
          <w:color w:val="000000"/>
          <w:sz w:val="32"/>
          <w:szCs w:val="32"/>
        </w:rPr>
        <w:t>2025年10月</w:t>
      </w:r>
      <w:r>
        <w:rPr>
          <w:rFonts w:hint="eastAsia" w:ascii="仿宋_GB2312" w:eastAsia="仿宋_GB2312"/>
          <w:color w:val="000000"/>
          <w:sz w:val="32"/>
          <w:szCs w:val="32"/>
          <w:lang w:val="en-US" w:eastAsia="zh-CN"/>
        </w:rPr>
        <w:t>正式</w:t>
      </w:r>
      <w:r>
        <w:rPr>
          <w:rFonts w:hint="eastAsia" w:ascii="仿宋_GB2312" w:eastAsia="仿宋_GB2312"/>
          <w:color w:val="000000"/>
          <w:sz w:val="32"/>
          <w:szCs w:val="32"/>
        </w:rPr>
        <w:t>启动规划谋划</w:t>
      </w:r>
      <w:r>
        <w:rPr>
          <w:rFonts w:hint="eastAsia" w:ascii="仿宋_GB2312" w:eastAsia="仿宋_GB2312"/>
          <w:color w:val="000000"/>
          <w:sz w:val="32"/>
          <w:szCs w:val="32"/>
          <w:lang w:val="en-US" w:eastAsia="zh-CN"/>
        </w:rPr>
        <w:t>工作</w:t>
      </w:r>
      <w:r>
        <w:rPr>
          <w:rFonts w:hint="eastAsia" w:ascii="仿宋_GB2312" w:eastAsia="仿宋_GB2312"/>
          <w:color w:val="000000"/>
          <w:sz w:val="32"/>
          <w:szCs w:val="32"/>
        </w:rPr>
        <w:t>，12月完成谋划成果中期评估，2026年3月完成终期评审。工作启动以来，经专业公司谋划、专家论证、中期评估、终期评审，形成2025年度重大谋划项目成果，共涉及四个领域79个项目，总投资规模320.85亿元。</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（二）项目资金投入及使用情况</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我委于2025年9月3日发布公开招标公告，经评审专家评审，于2025年9月26日发布中标结果公告，总中标成交金额为1982万元。于2025年9月30日与北京市工程咨询股份有限公司、中咨海外咨询有限公司、北京国际工程咨询有限公司分别签订咨询服务合同,合同总金额合计1982万元。</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hint="default" w:ascii="仿宋_GB2312" w:eastAsia="仿宋_GB2312"/>
          <w:color w:val="000000"/>
          <w:sz w:val="32"/>
          <w:szCs w:val="32"/>
          <w:lang w:val="en-US" w:eastAsia="zh-CN"/>
        </w:rPr>
      </w:pPr>
      <w:r>
        <w:rPr>
          <w:rFonts w:hint="eastAsia" w:ascii="仿宋_GB2312" w:eastAsia="仿宋_GB2312"/>
          <w:color w:val="000000"/>
          <w:sz w:val="32"/>
          <w:szCs w:val="32"/>
        </w:rPr>
        <w:t>2025年市级批复重大项目规划谋划工作经费2000万元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截至2025年12月31日，重大项目规划谋划工作经费共支出1005.6745万元，支付率50.28%。剩余咨询服务费已于2026年全部支出，项目总支出1996.6745万元，包含招标代理服务费14.6745万元，咨询服务费1982万元，资金使用情况详见附件1。</w:t>
      </w:r>
    </w:p>
    <w:p>
      <w:pPr>
        <w:keepNext w:val="0"/>
        <w:keepLines w:val="0"/>
        <w:pageBreakBefore w:val="0"/>
        <w:widowControl w:val="0"/>
        <w:numPr>
          <w:ilvl w:val="0"/>
          <w:numId w:val="1"/>
        </w:numPr>
        <w:kinsoku/>
        <w:wordWrap/>
        <w:overflowPunct/>
        <w:topLinePunct w:val="0"/>
        <w:autoSpaceDE/>
        <w:autoSpaceDN/>
        <w:bidi w:val="0"/>
        <w:adjustRightInd/>
        <w:spacing w:line="520" w:lineRule="exact"/>
        <w:ind w:firstLine="640" w:firstLineChars="200"/>
        <w:textAlignment w:val="auto"/>
        <w:outlineLvl w:val="0"/>
        <w:rPr>
          <w:rFonts w:hint="eastAsia" w:ascii="楷体_GB2312" w:hAnsi="楷体" w:eastAsia="楷体_GB2312" w:cs="仿宋_GB2312"/>
          <w:sz w:val="32"/>
          <w:szCs w:val="32"/>
        </w:rPr>
      </w:pPr>
      <w:r>
        <w:rPr>
          <w:rFonts w:hint="eastAsia" w:ascii="楷体_GB2312" w:hAnsi="楷体" w:eastAsia="楷体_GB2312" w:cs="仿宋_GB2312"/>
          <w:sz w:val="32"/>
          <w:szCs w:val="32"/>
        </w:rPr>
        <w:t>项目资金管理情况分析</w:t>
      </w:r>
    </w:p>
    <w:p>
      <w:pPr>
        <w:pStyle w:val="2"/>
        <w:keepNext w:val="0"/>
        <w:keepLines w:val="0"/>
        <w:pageBreakBefore w:val="0"/>
        <w:widowControl w:val="0"/>
        <w:numPr>
          <w:ilvl w:val="0"/>
          <w:numId w:val="0"/>
        </w:numPr>
        <w:kinsoku/>
        <w:wordWrap/>
        <w:overflowPunct/>
        <w:topLinePunct w:val="0"/>
        <w:autoSpaceDE/>
        <w:autoSpaceDN/>
        <w:bidi w:val="0"/>
        <w:adjustRightInd/>
        <w:spacing w:after="0" w:line="520" w:lineRule="exact"/>
        <w:ind w:firstLine="640" w:firstLineChars="200"/>
        <w:textAlignment w:val="auto"/>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为规范门头沟区2025年度重大投资项目规划谋划工作的资金管理，提高资金使用效率，本区从成果验收、经费支出、采购管理及绩效目标编制四个维度严格落实制度要求，确保项目谋划全过程合规、高效。</w:t>
      </w:r>
    </w:p>
    <w:p>
      <w:pPr>
        <w:pStyle w:val="4"/>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制定明确的谋划成果验收要求，并严格执行。按照《北京市重大投资项目前期工作经费管理办法》，谋划要求生成总投资规模不少于200亿元的重大投资项目，详见附件2。最终谋划共形成重大投资项目79项，总投资320.85亿元，谋划成果符合验收要求。</w:t>
      </w:r>
    </w:p>
    <w:p>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default" w:ascii="仿宋_GB2312" w:hAnsi="宋体" w:eastAsia="仿宋_GB2312" w:cs="Times New Roman"/>
          <w:kern w:val="2"/>
          <w:sz w:val="32"/>
          <w:szCs w:val="32"/>
          <w:highlight w:val="none"/>
          <w:lang w:val="en-US" w:eastAsia="zh-CN" w:bidi="ar-SA"/>
        </w:rPr>
      </w:pPr>
      <w:r>
        <w:rPr>
          <w:rFonts w:hint="eastAsia" w:ascii="仿宋_GB2312" w:hAnsi="宋体" w:eastAsia="仿宋_GB2312" w:cs="Times New Roman"/>
          <w:kern w:val="2"/>
          <w:sz w:val="32"/>
          <w:szCs w:val="32"/>
          <w:highlight w:val="none"/>
          <w:lang w:val="en-US" w:eastAsia="zh-CN" w:bidi="ar-SA"/>
        </w:rPr>
        <w:t>严格落实资金管理制度，资金支出、采购管理规范。谋划经费支出严格执行《门头沟区发展和改革委员会收入和支出管理办法》，资金申请及支出审批表、合同、拨付资金的申请等各项相关材料齐全完善。严格执行《门头沟区发展和改革委员会采购服务类项目中介机构选聘管理办法》，</w:t>
      </w:r>
      <w:r>
        <w:rPr>
          <w:rFonts w:hint="eastAsia" w:ascii="仿宋_GB2312" w:hAnsi="方正仿宋_GBK" w:eastAsia="仿宋_GB2312" w:cs="方正仿宋_GBK"/>
          <w:bCs/>
          <w:sz w:val="32"/>
          <w:szCs w:val="32"/>
          <w:lang w:eastAsia="zh-CN"/>
        </w:rPr>
        <w:t>委托招标代理机构，通过公开招标方式择优选取第三方专业机构，分领域负责重大项目的规划谋划工作。</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pPr>
      <w:r>
        <w:rPr>
          <w:rFonts w:hint="default" w:ascii="仿宋_GB2312" w:hAnsi="宋体" w:eastAsia="仿宋_GB2312" w:cs="Times New Roman"/>
          <w:kern w:val="2"/>
          <w:sz w:val="32"/>
          <w:szCs w:val="32"/>
          <w:highlight w:val="none"/>
          <w:lang w:val="en-US" w:eastAsia="zh-CN" w:bidi="ar-SA"/>
        </w:rPr>
        <w:t>本项目绩效目标编制以年度重点工作任务为导向，按照预算绩效管理要求，围绕“产出—成本—效益—满意度”四个维度构建指标体系，确保目标可量化、可考核、可追踪，为后续绩效运行监控和绩效评价提供明确依据。</w:t>
      </w:r>
      <w:r>
        <w:rPr>
          <w:rFonts w:hint="eastAsia" w:ascii="仿宋_GB2312" w:hAnsi="宋体" w:eastAsia="仿宋_GB2312" w:cs="Times New Roman"/>
          <w:kern w:val="2"/>
          <w:sz w:val="32"/>
          <w:szCs w:val="32"/>
          <w:highlight w:val="none"/>
          <w:lang w:val="en-US" w:eastAsia="zh-CN" w:bidi="ar-SA"/>
        </w:rPr>
        <w:t>并围绕绩效目标指标，开展绩效评估工作。</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二、绩效自评结论</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hAnsi="黑体" w:eastAsia="仿宋_GB2312" w:cs="黑体"/>
          <w:bCs/>
          <w:sz w:val="32"/>
          <w:szCs w:val="32"/>
        </w:rPr>
      </w:pPr>
      <w:r>
        <w:rPr>
          <w:rFonts w:hint="eastAsia" w:ascii="仿宋_GB2312" w:hAnsi="黑体" w:eastAsia="仿宋_GB2312" w:cs="黑体"/>
          <w:bCs/>
          <w:sz w:val="32"/>
          <w:szCs w:val="32"/>
        </w:rPr>
        <w:t>绩效自评总分：</w:t>
      </w:r>
      <w:r>
        <w:rPr>
          <w:rFonts w:hint="eastAsia" w:ascii="仿宋_GB2312" w:hAnsi="黑体" w:eastAsia="仿宋_GB2312" w:cs="黑体"/>
          <w:bCs/>
          <w:sz w:val="32"/>
          <w:szCs w:val="32"/>
          <w:lang w:val="en-US" w:eastAsia="zh-CN"/>
        </w:rPr>
        <w:t>93</w:t>
      </w:r>
      <w:r>
        <w:rPr>
          <w:rFonts w:hint="eastAsia" w:ascii="仿宋_GB2312" w:hAnsi="黑体" w:eastAsia="仿宋_GB2312" w:cs="黑体"/>
          <w:bCs/>
          <w:sz w:val="32"/>
          <w:szCs w:val="32"/>
        </w:rPr>
        <w:t>分</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hAnsi="黑体" w:eastAsia="仿宋_GB2312" w:cs="黑体"/>
          <w:bCs/>
          <w:sz w:val="32"/>
          <w:szCs w:val="32"/>
        </w:rPr>
      </w:pPr>
      <w:r>
        <w:rPr>
          <w:rFonts w:hint="eastAsia" w:ascii="仿宋_GB2312" w:hAnsi="黑体" w:eastAsia="仿宋_GB2312" w:cs="黑体"/>
          <w:bCs/>
          <w:sz w:val="32"/>
          <w:szCs w:val="32"/>
        </w:rPr>
        <w:t>绩效自评等级：优秀</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三、绩效目标完成情况分析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（一）项目绩效目标、绩效指标设定情况</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围绕门头沟区2025年重大投资项目规划谋划工作任务，本项目从</w:t>
      </w:r>
      <w:r>
        <w:rPr>
          <w:rFonts w:hint="eastAsia" w:ascii="仿宋_GB2312" w:eastAsia="仿宋_GB2312"/>
          <w:color w:val="000000"/>
          <w:sz w:val="32"/>
          <w:szCs w:val="32"/>
          <w:lang w:eastAsia="zh-CN"/>
        </w:rPr>
        <w:t>“</w:t>
      </w:r>
      <w:r>
        <w:rPr>
          <w:rFonts w:hint="default" w:ascii="仿宋_GB2312" w:hAnsi="宋体" w:eastAsia="仿宋_GB2312" w:cs="Times New Roman"/>
          <w:kern w:val="2"/>
          <w:sz w:val="32"/>
          <w:szCs w:val="32"/>
          <w:highlight w:val="none"/>
          <w:lang w:val="en-US" w:eastAsia="zh-CN" w:bidi="ar-SA"/>
        </w:rPr>
        <w:t>产出—成本—效益—满意度</w:t>
      </w:r>
      <w:r>
        <w:rPr>
          <w:rFonts w:hint="eastAsia" w:ascii="仿宋_GB2312" w:hAnsi="宋体" w:eastAsia="仿宋_GB2312" w:cs="Times New Roman"/>
          <w:kern w:val="2"/>
          <w:sz w:val="32"/>
          <w:szCs w:val="32"/>
          <w:highlight w:val="none"/>
          <w:lang w:val="en-US" w:eastAsia="zh-CN" w:bidi="ar-SA"/>
        </w:rPr>
        <w:t>”四</w:t>
      </w:r>
      <w:r>
        <w:rPr>
          <w:rFonts w:hint="eastAsia" w:ascii="仿宋_GB2312" w:eastAsia="仿宋_GB2312"/>
          <w:color w:val="000000"/>
          <w:sz w:val="32"/>
          <w:szCs w:val="32"/>
        </w:rPr>
        <w:t>个维度设置绩效目标，突出以成果产出为牵引、以预算约束为边界、以支撑发展为导向，确保规划谋划工作按期形成高质量成果。</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产出指标</w:t>
      </w:r>
      <w:r>
        <w:rPr>
          <w:rFonts w:hint="eastAsia" w:ascii="仿宋_GB2312" w:eastAsia="仿宋_GB2312"/>
          <w:color w:val="000000"/>
          <w:sz w:val="32"/>
          <w:szCs w:val="32"/>
          <w:lang w:val="en-US" w:eastAsia="zh-CN"/>
        </w:rPr>
        <w:t>方面，一是设定</w:t>
      </w:r>
      <w:r>
        <w:rPr>
          <w:rFonts w:hint="eastAsia" w:ascii="仿宋_GB2312" w:eastAsia="仿宋_GB2312"/>
          <w:color w:val="000000"/>
          <w:sz w:val="32"/>
          <w:szCs w:val="32"/>
        </w:rPr>
        <w:t>数量</w:t>
      </w:r>
      <w:r>
        <w:rPr>
          <w:rFonts w:hint="eastAsia" w:ascii="仿宋_GB2312" w:eastAsia="仿宋_GB2312"/>
          <w:color w:val="000000"/>
          <w:sz w:val="32"/>
          <w:szCs w:val="32"/>
          <w:lang w:val="en-US" w:eastAsia="zh-CN"/>
        </w:rPr>
        <w:t>指标，要求</w:t>
      </w:r>
      <w:r>
        <w:rPr>
          <w:rFonts w:hint="eastAsia" w:ascii="仿宋_GB2312" w:eastAsia="仿宋_GB2312"/>
          <w:color w:val="000000"/>
          <w:sz w:val="32"/>
          <w:szCs w:val="32"/>
        </w:rPr>
        <w:t>谋划工作覆盖4个领域，形成一定规模的项目储备，总投资规模目标设定为200亿元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二是设定</w:t>
      </w:r>
      <w:r>
        <w:rPr>
          <w:rFonts w:hint="eastAsia" w:ascii="仿宋_GB2312" w:eastAsia="仿宋_GB2312"/>
          <w:color w:val="000000"/>
          <w:sz w:val="32"/>
          <w:szCs w:val="32"/>
        </w:rPr>
        <w:t>质量</w:t>
      </w:r>
      <w:r>
        <w:rPr>
          <w:rFonts w:hint="eastAsia" w:ascii="仿宋_GB2312" w:eastAsia="仿宋_GB2312"/>
          <w:color w:val="000000"/>
          <w:sz w:val="32"/>
          <w:szCs w:val="32"/>
          <w:lang w:val="en-US" w:eastAsia="zh-CN"/>
        </w:rPr>
        <w:t>指标</w:t>
      </w:r>
      <w:r>
        <w:rPr>
          <w:rFonts w:hint="eastAsia" w:ascii="仿宋_GB2312" w:eastAsia="仿宋_GB2312"/>
          <w:color w:val="000000"/>
          <w:sz w:val="32"/>
          <w:szCs w:val="32"/>
        </w:rPr>
        <w:t>，要求谋划成果通过中期评审和最终评审，并推动谋划项目纳入市级项目储备库；</w:t>
      </w:r>
      <w:r>
        <w:rPr>
          <w:rFonts w:hint="eastAsia" w:ascii="仿宋_GB2312" w:eastAsia="仿宋_GB2312"/>
          <w:color w:val="000000"/>
          <w:sz w:val="32"/>
          <w:szCs w:val="32"/>
          <w:lang w:val="en-US" w:eastAsia="zh-CN"/>
        </w:rPr>
        <w:t>三是设定</w:t>
      </w:r>
      <w:r>
        <w:rPr>
          <w:rFonts w:hint="eastAsia" w:ascii="仿宋_GB2312" w:eastAsia="仿宋_GB2312"/>
          <w:color w:val="000000"/>
          <w:sz w:val="32"/>
          <w:szCs w:val="32"/>
        </w:rPr>
        <w:t>时效</w:t>
      </w:r>
      <w:r>
        <w:rPr>
          <w:rFonts w:hint="eastAsia" w:ascii="仿宋_GB2312" w:eastAsia="仿宋_GB2312"/>
          <w:color w:val="000000"/>
          <w:sz w:val="32"/>
          <w:szCs w:val="32"/>
          <w:lang w:val="en-US" w:eastAsia="zh-CN"/>
        </w:rPr>
        <w:t>指标</w:t>
      </w:r>
      <w:r>
        <w:rPr>
          <w:rFonts w:hint="eastAsia" w:ascii="仿宋_GB2312" w:eastAsia="仿宋_GB2312"/>
          <w:color w:val="000000"/>
          <w:sz w:val="32"/>
          <w:szCs w:val="32"/>
        </w:rPr>
        <w:t>，要求项目实施与成果形成在2025年内按计划完成。</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成本指标</w:t>
      </w:r>
      <w:r>
        <w:rPr>
          <w:rFonts w:hint="eastAsia" w:ascii="仿宋_GB2312" w:eastAsia="仿宋_GB2312"/>
          <w:color w:val="000000"/>
          <w:sz w:val="32"/>
          <w:szCs w:val="32"/>
          <w:lang w:val="en-US" w:eastAsia="zh-CN"/>
        </w:rPr>
        <w:t>方面，设定经济成本指标，</w:t>
      </w:r>
      <w:r>
        <w:rPr>
          <w:rFonts w:hint="eastAsia" w:ascii="仿宋_GB2312" w:eastAsia="仿宋_GB2312"/>
          <w:color w:val="000000"/>
          <w:sz w:val="32"/>
          <w:szCs w:val="32"/>
        </w:rPr>
        <w:t>以项目总预算2</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万元作为经济成本控制目标，确保在预算约束下完成既定工作任务。</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效果指标</w:t>
      </w:r>
      <w:r>
        <w:rPr>
          <w:rFonts w:hint="eastAsia" w:ascii="仿宋_GB2312" w:eastAsia="仿宋_GB2312"/>
          <w:color w:val="000000"/>
          <w:sz w:val="32"/>
          <w:szCs w:val="32"/>
          <w:lang w:val="en-US" w:eastAsia="zh-CN"/>
        </w:rPr>
        <w:t>方面，设定</w:t>
      </w:r>
      <w:r>
        <w:rPr>
          <w:rFonts w:hint="eastAsia" w:ascii="仿宋_GB2312" w:eastAsia="仿宋_GB2312"/>
          <w:color w:val="000000"/>
          <w:sz w:val="32"/>
          <w:szCs w:val="32"/>
        </w:rPr>
        <w:t>社会</w:t>
      </w:r>
      <w:r>
        <w:rPr>
          <w:rFonts w:hint="eastAsia" w:ascii="仿宋_GB2312" w:eastAsia="仿宋_GB2312"/>
          <w:color w:val="000000"/>
          <w:sz w:val="32"/>
          <w:szCs w:val="32"/>
          <w:lang w:val="en-US" w:eastAsia="zh-CN"/>
        </w:rPr>
        <w:t>效益指标</w:t>
      </w:r>
      <w:r>
        <w:rPr>
          <w:rFonts w:hint="eastAsia" w:ascii="仿宋_GB2312" w:eastAsia="仿宋_GB2312"/>
          <w:color w:val="000000"/>
          <w:sz w:val="32"/>
          <w:szCs w:val="32"/>
        </w:rPr>
        <w:t>，强调通过本次谋划推动项目储备、强化重大项目接续支撑，待谋划成果转化实施后进一步促进地区经济社会发展</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满意度</w:t>
      </w:r>
      <w:r>
        <w:rPr>
          <w:rFonts w:hint="eastAsia" w:ascii="仿宋_GB2312" w:eastAsia="仿宋_GB2312"/>
          <w:color w:val="000000"/>
          <w:sz w:val="32"/>
          <w:szCs w:val="32"/>
          <w:lang w:val="en-US" w:eastAsia="zh-CN"/>
        </w:rPr>
        <w:t>指标方面，设定服务对象满意度指标，</w:t>
      </w:r>
      <w:r>
        <w:rPr>
          <w:rFonts w:hint="eastAsia" w:ascii="仿宋_GB2312" w:eastAsia="仿宋_GB2312"/>
          <w:color w:val="000000"/>
          <w:sz w:val="32"/>
          <w:szCs w:val="32"/>
        </w:rPr>
        <w:t>将本单位满意度设定为“满意”，用于衡量成果适用性与支撑效果。</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（二）总体绩效目标完成情况分析</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总体来看，项目按要求完成重大投资项目规划谋划任务，形成覆盖4个领域的谋划成果，项目储备规模超过既定目标，成果质量通过中期评估与终期评审并实现入库，资金使用规范且成本控制有效，社会效益和支撑作用较为明显，本单位满意度达到“满意”。但项目终期评审跨年度完成，与年初设定的时效指标存在一定偏差，下一步将进一步优化工作安排和节点管控，提升年度执行与成果交付时效。</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楷体_GB2312" w:hAnsi="楷体" w:eastAsia="楷体_GB2312" w:cs="仿宋_GB2312"/>
          <w:sz w:val="32"/>
          <w:szCs w:val="32"/>
        </w:rPr>
      </w:pPr>
      <w:r>
        <w:rPr>
          <w:rFonts w:hint="eastAsia" w:ascii="楷体_GB2312" w:hAnsi="楷体" w:eastAsia="楷体_GB2312" w:cs="仿宋_GB2312"/>
          <w:sz w:val="32"/>
          <w:szCs w:val="32"/>
        </w:rPr>
        <w:t>（三）项目绩效指标完成情况分析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1.产出指标完成情况分析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（1）数量指标</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本项目共设置两项数量指标：一是“谋划领域数量”目标值为4个，全年实际完成4个，已按目标完成；二是“总投资规模”目标值为200亿元，全年实际形成谋划项目总投资规模320.85亿元，超过目标值，数量指标总体完成情况良好。</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（2）质量指标</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质量指标为“谋划成果质量”，目标要求通过中期评审、最终评审，并推动谋划项目纳入市级项目储备库。项目执行过程中已按程序完成中期评估与终期评审，4个领域79项重大投资项目均已填报入库，质量指标达到目标要求。</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（3）时效指标</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时效指标为“项目实施时间”，目标值为2025年内完成。实际为规划谋划工作于2025年10月启动，2025年12月完成中期评估，终期评审于2026年3月完成，最终完成时间跨年度，</w:t>
      </w:r>
      <w:r>
        <w:rPr>
          <w:rFonts w:hint="eastAsia" w:ascii="仿宋_GB2312" w:eastAsia="仿宋_GB2312"/>
          <w:sz w:val="32"/>
          <w:szCs w:val="32"/>
          <w:lang w:val="en-US" w:eastAsia="zh-CN"/>
        </w:rPr>
        <w:t>与</w:t>
      </w:r>
      <w:r>
        <w:rPr>
          <w:rFonts w:hint="eastAsia" w:ascii="仿宋_GB2312" w:eastAsia="仿宋_GB2312"/>
          <w:sz w:val="32"/>
          <w:szCs w:val="32"/>
        </w:rPr>
        <w:t>“2025年内完成”的指标要求存在一定偏差。偏差原因主要为谋划论证环节较多、成果完善与评审组织所需周期较长，导致终期评审延后。下一步将进一步优化工作计划和节点管控，前置成果梳理与评审准备工作，强化过程调度，确保同类工作按年度目标如期完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2.成本指标完成情况分析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本项目成本指标为经济成本，控制目标为项目总预算2000万元</w:t>
      </w:r>
      <w:r>
        <w:rPr>
          <w:rFonts w:hint="eastAsia" w:ascii="仿宋_GB2312" w:eastAsia="仿宋_GB2312"/>
          <w:sz w:val="32"/>
          <w:szCs w:val="32"/>
        </w:rPr>
        <w:t>。2025年度实际支出1005.67万元，资金支出与工作进度相匹配，未出现超预算情况，经济成本指标总体可控并达到要求。</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3.效益指标完成情况分析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本项目效益指标为</w:t>
      </w:r>
      <w:r>
        <w:rPr>
          <w:rFonts w:hint="eastAsia" w:ascii="仿宋_GB2312" w:eastAsia="仿宋_GB2312"/>
          <w:sz w:val="32"/>
          <w:szCs w:val="32"/>
        </w:rPr>
        <w:t>社会效益</w:t>
      </w:r>
      <w:r>
        <w:rPr>
          <w:rFonts w:hint="eastAsia" w:ascii="仿宋_GB2312" w:eastAsia="仿宋_GB2312"/>
          <w:sz w:val="32"/>
          <w:szCs w:val="32"/>
          <w:lang w:eastAsia="zh-CN"/>
        </w:rPr>
        <w:t>，</w:t>
      </w:r>
      <w:r>
        <w:rPr>
          <w:rFonts w:hint="eastAsia" w:ascii="仿宋_GB2312" w:eastAsia="仿宋_GB2312"/>
          <w:sz w:val="32"/>
          <w:szCs w:val="32"/>
        </w:rPr>
        <w:t>目标为推动项目储备，强化重大项目接续支撑；谋划成果实施后，推动地区经济社会发展。项目已形成覆盖4个领域的谋划成果并完成评审，形成较为系统的项目储备，为后续分领域推进、滚动实施提供支撑</w:t>
      </w:r>
      <w:r>
        <w:rPr>
          <w:rFonts w:hint="eastAsia" w:ascii="仿宋_GB2312" w:eastAsia="仿宋_GB2312"/>
          <w:sz w:val="32"/>
          <w:szCs w:val="32"/>
          <w:lang w:eastAsia="zh-CN"/>
        </w:rPr>
        <w:t>，</w:t>
      </w:r>
      <w:r>
        <w:rPr>
          <w:rFonts w:hint="eastAsia" w:ascii="仿宋_GB2312" w:eastAsia="仿宋_GB2312"/>
          <w:sz w:val="32"/>
          <w:szCs w:val="32"/>
        </w:rPr>
        <w:t>社会效益目标总体实现。</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4.满意度指标完成情况分析</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rPr>
      </w:pPr>
      <w:r>
        <w:rPr>
          <w:rFonts w:hint="eastAsia" w:ascii="仿宋_GB2312" w:eastAsia="仿宋_GB2312"/>
          <w:sz w:val="32"/>
          <w:szCs w:val="32"/>
        </w:rPr>
        <w:t>满意度指标为“本单位满意度”，目标值为“满意”</w:t>
      </w:r>
      <w:r>
        <w:rPr>
          <w:rFonts w:hint="eastAsia" w:ascii="仿宋_GB2312" w:eastAsia="仿宋_GB2312"/>
          <w:sz w:val="32"/>
          <w:szCs w:val="32"/>
          <w:lang w:eastAsia="zh-CN"/>
        </w:rPr>
        <w:t>。</w:t>
      </w:r>
      <w:r>
        <w:rPr>
          <w:rFonts w:hint="eastAsia" w:ascii="仿宋_GB2312" w:eastAsia="仿宋_GB2312"/>
          <w:sz w:val="32"/>
          <w:szCs w:val="32"/>
        </w:rPr>
        <w:t>总体来看，本次谋划成果对我委开展重大项目储备、论证筛选与后续推进工作具有较强支撑作用，满足使用需求。</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四、发现的主要问题和改进措施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1.项目执行进度与年度目标存在偏差</w:t>
      </w:r>
    </w:p>
    <w:p>
      <w:pPr>
        <w:pStyle w:val="2"/>
        <w:keepNext w:val="0"/>
        <w:keepLines w:val="0"/>
        <w:pageBreakBefore w:val="0"/>
        <w:kinsoku/>
        <w:overflowPunct/>
        <w:autoSpaceDE/>
        <w:autoSpaceDN/>
        <w:bidi w:val="0"/>
        <w:adjustRightInd/>
        <w:spacing w:after="0"/>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规划谋划工作目标2025年内完成，实际于2026年3月完成终期评审。产生偏差的原因主要在于项目启动时间偏晚、谋划项目覆盖领域广且数量较多，需开展多轮专家论证与成果修改完善，评审组织与成果质量打磨占用周期较长。下一步将前移工作启动节点，提前开展基础资料收集、项目库初筛和专家预论证；同时细化年度计划，实行清单化管理和节点督办，确保谋划工作按年度目标完成。</w:t>
      </w:r>
    </w:p>
    <w:p>
      <w:pPr>
        <w:pStyle w:val="2"/>
        <w:keepNext w:val="0"/>
        <w:keepLines w:val="0"/>
        <w:pageBreakBefore w:val="0"/>
        <w:kinsoku/>
        <w:overflowPunct/>
        <w:autoSpaceDE/>
        <w:autoSpaceDN/>
        <w:bidi w:val="0"/>
        <w:adjustRightInd/>
        <w:spacing w:after="0"/>
        <w:ind w:firstLine="640" w:firstLineChars="200"/>
        <w:rPr>
          <w:rFonts w:hint="default"/>
          <w:lang w:val="en-US" w:eastAsia="zh-CN"/>
        </w:rPr>
      </w:pPr>
      <w:r>
        <w:rPr>
          <w:rFonts w:hint="eastAsia" w:ascii="仿宋_GB2312" w:eastAsia="仿宋_GB2312"/>
          <w:sz w:val="32"/>
          <w:szCs w:val="32"/>
          <w:lang w:val="en-US" w:eastAsia="zh-CN"/>
        </w:rPr>
        <w:t>2.年度预算执行率偏低</w:t>
      </w:r>
    </w:p>
    <w:p>
      <w:pPr>
        <w:pStyle w:val="2"/>
        <w:keepNext w:val="0"/>
        <w:keepLines w:val="0"/>
        <w:pageBreakBefore w:val="0"/>
        <w:widowControl w:val="0"/>
        <w:numPr>
          <w:ilvl w:val="0"/>
          <w:numId w:val="0"/>
        </w:numPr>
        <w:kinsoku/>
        <w:wordWrap/>
        <w:overflowPunct/>
        <w:topLinePunct w:val="0"/>
        <w:autoSpaceDE/>
        <w:autoSpaceDN/>
        <w:bidi w:val="0"/>
        <w:adjustRightInd/>
        <w:spacing w:after="0" w:line="520" w:lineRule="exact"/>
        <w:ind w:firstLine="640" w:firstLineChars="200"/>
        <w:textAlignment w:val="auto"/>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2025年度预算执行率偏低。</w:t>
      </w:r>
      <w:r>
        <w:rPr>
          <w:rFonts w:hint="default" w:ascii="仿宋_GB2312" w:eastAsia="仿宋_GB2312" w:hAnsiTheme="minorHAnsi" w:cstheme="minorBidi"/>
          <w:kern w:val="2"/>
          <w:sz w:val="32"/>
          <w:szCs w:val="32"/>
          <w:lang w:val="en-US" w:eastAsia="zh-CN" w:bidi="ar-SA"/>
        </w:rPr>
        <w:t>截至2025年12月31日，重大项目规划谋划工作经费共支出1005.6745万元，支付率50.28%</w:t>
      </w:r>
      <w:r>
        <w:rPr>
          <w:rFonts w:hint="eastAsia" w:ascii="仿宋_GB2312" w:eastAsia="仿宋_GB2312" w:cstheme="minorBidi"/>
          <w:kern w:val="2"/>
          <w:sz w:val="32"/>
          <w:szCs w:val="32"/>
          <w:lang w:val="en-US" w:eastAsia="zh-CN" w:bidi="ar-SA"/>
        </w:rPr>
        <w:t>。预算执行率较低的主要原因是项目谋划工作于2025年10月启动，年底仅完成中期评估，终期评审及成果验收于2026年3月完成，咨询服务费支付与阶段成果提交、评审通过及验收等合同付款条件挂钩，导致部分款项在2025年末尚不具备支付依据，导致跨年度支付。下一步将提前启动采购及谋划工作，倒排工期，强化节点管控，优化阶段成果交付与验收安排，提高年度预算执行率。</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绩效指标体系对“效益”量化反映不足</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本项目效益指标以社会效益定性表述为主，缺少可量化、可对比的衡量标准，导致绩效评价时对成效的客观反映不够充分。主要原因是前期规划谋划类项目效益具有滞后性，且缺少统一的量化口径，导致指标设置偏宏观。下一步将结合前期谋划项目特点，补充可量化的过程性与结果性指标，</w:t>
      </w:r>
      <w:r>
        <w:rPr>
          <w:rFonts w:hint="eastAsia" w:ascii="仿宋_GB2312" w:eastAsia="仿宋_GB2312"/>
          <w:sz w:val="32"/>
          <w:szCs w:val="32"/>
          <w:lang w:val="en-US" w:eastAsia="zh-CN"/>
        </w:rPr>
        <w:t>将</w:t>
      </w:r>
      <w:r>
        <w:rPr>
          <w:rFonts w:hint="eastAsia" w:ascii="仿宋_GB2312" w:eastAsia="仿宋_GB2312"/>
          <w:sz w:val="32"/>
          <w:szCs w:val="32"/>
        </w:rPr>
        <w:t>入库项目数量、入库通过率、形成可研/实施方案数量、纳入区级</w:t>
      </w:r>
      <w:r>
        <w:rPr>
          <w:rFonts w:hint="eastAsia" w:ascii="仿宋_GB2312" w:eastAsia="仿宋_GB2312"/>
          <w:sz w:val="32"/>
          <w:szCs w:val="32"/>
          <w:lang w:val="en-US" w:eastAsia="zh-CN"/>
        </w:rPr>
        <w:t>/</w:t>
      </w:r>
      <w:r>
        <w:rPr>
          <w:rFonts w:hint="eastAsia" w:ascii="仿宋_GB2312" w:eastAsia="仿宋_GB2312"/>
          <w:sz w:val="32"/>
          <w:szCs w:val="32"/>
        </w:rPr>
        <w:t>市级重点项目数量、资金申报成功金额等，提高绩效指标的可衡量性和可评价性。</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outlineLvl w:val="0"/>
        <w:rPr>
          <w:rFonts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五、有关</w:t>
      </w:r>
      <w:r>
        <w:rPr>
          <w:rFonts w:ascii="CESI黑体-GB2312" w:hAnsi="CESI黑体-GB2312" w:eastAsia="CESI黑体-GB2312" w:cs="CESI黑体-GB2312"/>
          <w:sz w:val="32"/>
          <w:szCs w:val="32"/>
        </w:rPr>
        <w:t>建议及</w:t>
      </w:r>
      <w:r>
        <w:rPr>
          <w:rFonts w:hint="eastAsia" w:ascii="CESI黑体-GB2312" w:hAnsi="CESI黑体-GB2312" w:eastAsia="CESI黑体-GB2312" w:cs="CESI黑体-GB2312"/>
          <w:sz w:val="32"/>
          <w:szCs w:val="32"/>
        </w:rPr>
        <w:t>其他需要说明的情况</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rPr>
      </w:pPr>
    </w:p>
    <w:p>
      <w:pPr>
        <w:keepNext w:val="0"/>
        <w:keepLines w:val="0"/>
        <w:pageBreakBefore w:val="0"/>
        <w:kinsoku/>
        <w:wordWrap/>
        <w:overflowPunct/>
        <w:topLinePunct w:val="0"/>
        <w:autoSpaceDE/>
        <w:autoSpaceDN/>
        <w:bidi w:val="0"/>
        <w:adjustRightInd/>
        <w:spacing w:line="560" w:lineRule="exact"/>
        <w:ind w:left="6660" w:leftChars="200" w:hanging="6240" w:hangingChars="1950"/>
        <w:jc w:val="left"/>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kinsoku/>
        <w:overflowPunct/>
        <w:autoSpaceDE/>
        <w:autoSpaceDN/>
        <w:bidi w:val="0"/>
        <w:adjustRightInd/>
        <w:rPr>
          <w:rFonts w:hint="eastAsia" w:ascii="仿宋_GB2312" w:eastAsia="仿宋_GB2312"/>
          <w:sz w:val="32"/>
          <w:szCs w:val="32"/>
        </w:rPr>
      </w:pPr>
      <w:r>
        <w:rPr>
          <w:rFonts w:hint="eastAsia" w:ascii="仿宋_GB2312" w:eastAsia="仿宋_GB2312"/>
          <w:sz w:val="32"/>
          <w:szCs w:val="32"/>
        </w:rPr>
        <w:br w:type="page"/>
      </w:r>
    </w:p>
    <w:p>
      <w:pPr>
        <w:pStyle w:val="2"/>
        <w:keepNext w:val="0"/>
        <w:keepLines w:val="0"/>
        <w:pageBreakBefore w:val="0"/>
        <w:kinsoku/>
        <w:overflowPunct/>
        <w:autoSpaceDE/>
        <w:autoSpaceDN/>
        <w:bidi w:val="0"/>
        <w:adjustRightInd/>
        <w:spacing w:after="0"/>
        <w:rPr>
          <w:rFonts w:hint="eastAsia"/>
        </w:rPr>
      </w:pPr>
    </w:p>
    <w:tbl>
      <w:tblPr>
        <w:tblStyle w:val="6"/>
        <w:tblW w:w="99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99"/>
        <w:gridCol w:w="1574"/>
        <w:gridCol w:w="550"/>
        <w:gridCol w:w="1680"/>
        <w:gridCol w:w="1740"/>
        <w:gridCol w:w="18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9942" w:type="dxa"/>
            <w:gridSpan w:val="6"/>
            <w:tcBorders>
              <w:top w:val="nil"/>
              <w:left w:val="nil"/>
              <w:bottom w:val="nil"/>
              <w:right w:val="nil"/>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附件1 2025年重大投资项目前期规划谋划费用明细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支出明细</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单价（元）</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金额（元）</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收款单位名称</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支付时间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门头沟区2025年重大投资项目前期规划谋划招标代理服务费</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146,745.00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146,745.00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北京建龙通达工程管理有限公司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2025年11月5日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门头沟区2025年重大投资项目前期规划谋划咨询服务费（第一包）预付款</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8,500,000.00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4,250,000.00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北京市工程咨询股份有限公司门头沟分部</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门头沟区2025年重大投资项目前期规划谋划咨询服务费（第二包）预付款</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5,460,000.00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2,730,000.00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中咨海外咨询有限公司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门头沟区2025年重大投资项目前期规划谋划咨询服务费（第三包）预付款</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5,860,000.00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2,930,000.00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北京国际工程咨询有限公司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2025年10月28日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门头沟区2025年重大投资项目前期规划谋划咨询服务费（第一包）第二笔</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8,500,000.00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20%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1,700,000.00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北京市工程咨询股份有限公司门头沟分部</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2026年3月19日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门头沟区2025年重大投资项目前期规划谋划咨询服务费（第二包）第二笔</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5,460,000.00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20%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1,092,000.00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中咨海外咨询有限公司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2026年3月19日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门头沟区2025年重大投资项目前期规划谋划咨询服务费（第三包）第二笔</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5,860,000.00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20%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1,172,000.00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北京国际工程咨询有限公司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2026年3月19日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门头沟区2025年重大投资项目前期规划谋划咨询服务费（第一包）尾款</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8,500,000.00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30%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2,550,000.00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北京市工程咨询股份有限公司门头沟分部</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2026年4月8日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门头沟区2025年重大投资项目前期规划谋划咨询服务费（第二包）尾款</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5,460,000.00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30%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1,638,000.00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中咨海外咨询有限公司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2026年4月8日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门头沟区2025年重大投资项目前期规划谋划咨询服务费（第三包）尾款</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5,860,000.00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30%</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404040"/>
                <w:sz w:val="21"/>
                <w:szCs w:val="21"/>
                <w:u w:val="none"/>
              </w:rPr>
            </w:pPr>
            <w:r>
              <w:rPr>
                <w:rFonts w:hint="eastAsia" w:ascii="宋体" w:hAnsi="宋体" w:eastAsia="宋体" w:cs="宋体"/>
                <w:i w:val="0"/>
                <w:iCs w:val="0"/>
                <w:color w:val="404040"/>
                <w:kern w:val="0"/>
                <w:sz w:val="21"/>
                <w:szCs w:val="21"/>
                <w:u w:val="none"/>
                <w:lang w:val="en-US" w:eastAsia="zh-CN" w:bidi="ar"/>
              </w:rPr>
              <w:t>1,758,000.00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北京国际工程咨询有限公司</w:t>
            </w: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2026年4月8日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overflowPunct/>
              <w:autoSpaceDE/>
              <w:autoSpaceDN/>
              <w:bidi w:val="0"/>
              <w:adjustRightInd/>
              <w:jc w:val="center"/>
              <w:rPr>
                <w:rFonts w:hint="eastAsia" w:ascii="宋体" w:hAnsi="宋体" w:eastAsia="宋体" w:cs="宋体"/>
                <w:i w:val="0"/>
                <w:iCs w:val="0"/>
                <w:color w:val="000000"/>
                <w:sz w:val="21"/>
                <w:szCs w:val="21"/>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overflowPunct/>
              <w:autoSpaceDE/>
              <w:autoSpaceDN/>
              <w:bidi w:val="0"/>
              <w:adjustRightInd/>
              <w:jc w:val="center"/>
              <w:rPr>
                <w:rFonts w:hint="eastAsia" w:ascii="宋体" w:hAnsi="宋体" w:eastAsia="宋体" w:cs="宋体"/>
                <w:i w:val="0"/>
                <w:iCs w:val="0"/>
                <w:color w:val="000000"/>
                <w:sz w:val="21"/>
                <w:szCs w:val="21"/>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overflowPunct/>
              <w:autoSpaceDE/>
              <w:autoSpaceDN/>
              <w:bidi w:val="0"/>
              <w:adjustRightInd/>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19,966,745.00</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overflowPunct/>
              <w:autoSpaceDE/>
              <w:autoSpaceDN/>
              <w:bidi w:val="0"/>
              <w:adjustRightInd/>
              <w:jc w:val="center"/>
              <w:rPr>
                <w:rFonts w:hint="eastAsia" w:ascii="宋体" w:hAnsi="宋体" w:eastAsia="宋体" w:cs="宋体"/>
                <w:i w:val="0"/>
                <w:iCs w:val="0"/>
                <w:color w:val="000000"/>
                <w:sz w:val="21"/>
                <w:szCs w:val="21"/>
                <w:u w:val="none"/>
              </w:rPr>
            </w:pPr>
          </w:p>
        </w:tc>
        <w:tc>
          <w:tcPr>
            <w:tcW w:w="1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overflowPunct/>
              <w:autoSpaceDE/>
              <w:autoSpaceDN/>
              <w:bidi w:val="0"/>
              <w:adjustRightInd/>
              <w:jc w:val="center"/>
              <w:rPr>
                <w:rFonts w:hint="eastAsia" w:ascii="宋体" w:hAnsi="宋体" w:eastAsia="宋体" w:cs="宋体"/>
                <w:i w:val="0"/>
                <w:iCs w:val="0"/>
                <w:color w:val="000000"/>
                <w:sz w:val="21"/>
                <w:szCs w:val="21"/>
                <w:u w:val="none"/>
              </w:rPr>
            </w:pPr>
          </w:p>
        </w:tc>
      </w:tr>
    </w:tbl>
    <w:p>
      <w:pPr>
        <w:keepNext w:val="0"/>
        <w:keepLines w:val="0"/>
        <w:pageBreakBefore w:val="0"/>
        <w:kinsoku/>
        <w:overflowPunct/>
        <w:autoSpaceDE/>
        <w:autoSpaceDN/>
        <w:bidi w:val="0"/>
        <w:adjustRightInd/>
        <w:spacing w:line="520" w:lineRule="exact"/>
        <w:ind w:left="6660" w:leftChars="200" w:hanging="6240" w:hangingChars="1950"/>
        <w:jc w:val="left"/>
        <w:rPr>
          <w:rFonts w:hint="eastAsia" w:ascii="仿宋_GB2312" w:eastAsia="仿宋_GB2312"/>
          <w:sz w:val="32"/>
          <w:szCs w:val="32"/>
        </w:rPr>
      </w:pPr>
      <w:r>
        <w:rPr>
          <w:rFonts w:hint="eastAsia" w:ascii="仿宋_GB2312" w:eastAsia="仿宋_GB2312"/>
          <w:sz w:val="32"/>
          <w:szCs w:val="32"/>
        </w:rPr>
        <w:t xml:space="preserve">                                                        </w:t>
      </w:r>
    </w:p>
    <w:p>
      <w:pPr>
        <w:keepNext w:val="0"/>
        <w:keepLines w:val="0"/>
        <w:pageBreakBefore w:val="0"/>
        <w:kinsoku/>
        <w:overflowPunct/>
        <w:autoSpaceDE/>
        <w:autoSpaceDN/>
        <w:bidi w:val="0"/>
        <w:adjustRightInd/>
      </w:pPr>
      <w:r>
        <w:br w:type="page"/>
      </w:r>
    </w:p>
    <w:p>
      <w:pPr>
        <w:pStyle w:val="2"/>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附件2验收要求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4863"/>
        <w:gridCol w:w="1454"/>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6" w:type="dxa"/>
            <w:vAlign w:val="center"/>
          </w:tcPr>
          <w:p>
            <w:pPr>
              <w:keepNext w:val="0"/>
              <w:keepLines w:val="0"/>
              <w:pageBreakBefore w:val="0"/>
              <w:kinsoku/>
              <w:overflowPunct/>
              <w:autoSpaceDE/>
              <w:autoSpaceDN/>
              <w:bidi w:val="0"/>
              <w:adjustRightInd/>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lang w:eastAsia="zh-CN"/>
              </w:rPr>
              <w:t>谋划领域</w:t>
            </w:r>
          </w:p>
        </w:tc>
        <w:tc>
          <w:tcPr>
            <w:tcW w:w="4863" w:type="dxa"/>
            <w:vAlign w:val="center"/>
          </w:tcPr>
          <w:p>
            <w:pPr>
              <w:keepNext w:val="0"/>
              <w:keepLines w:val="0"/>
              <w:pageBreakBefore w:val="0"/>
              <w:kinsoku/>
              <w:overflowPunct/>
              <w:autoSpaceDE/>
              <w:autoSpaceDN/>
              <w:bidi w:val="0"/>
              <w:adjustRightInd/>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lang w:val="en-US" w:eastAsia="zh-CN"/>
              </w:rPr>
              <w:t>领域内容</w:t>
            </w:r>
          </w:p>
        </w:tc>
        <w:tc>
          <w:tcPr>
            <w:tcW w:w="1454" w:type="dxa"/>
            <w:vAlign w:val="center"/>
          </w:tcPr>
          <w:p>
            <w:pPr>
              <w:keepNext w:val="0"/>
              <w:keepLines w:val="0"/>
              <w:pageBreakBefore w:val="0"/>
              <w:kinsoku/>
              <w:overflowPunct/>
              <w:autoSpaceDE/>
              <w:autoSpaceDN/>
              <w:bidi w:val="0"/>
              <w:adjustRightInd/>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lang w:val="en-US" w:eastAsia="zh-CN"/>
              </w:rPr>
              <w:t>谋划成果验收要求</w:t>
            </w:r>
          </w:p>
        </w:tc>
        <w:tc>
          <w:tcPr>
            <w:tcW w:w="1454" w:type="dxa"/>
            <w:vAlign w:val="center"/>
          </w:tcPr>
          <w:p>
            <w:pPr>
              <w:keepNext w:val="0"/>
              <w:keepLines w:val="0"/>
              <w:pageBreakBefore w:val="0"/>
              <w:kinsoku/>
              <w:overflowPunct/>
              <w:autoSpaceDE/>
              <w:autoSpaceDN/>
              <w:bidi w:val="0"/>
              <w:adjustRightInd/>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谋划成果投资规模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6"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bookmarkStart w:id="0" w:name="OLE_LINK1"/>
            <w:r>
              <w:rPr>
                <w:rFonts w:hint="eastAsia" w:ascii="宋体" w:hAnsi="宋体" w:eastAsia="宋体" w:cs="宋体"/>
                <w:sz w:val="21"/>
                <w:szCs w:val="21"/>
                <w:lang w:eastAsia="zh-CN"/>
              </w:rPr>
              <w:t>织密提质民生保障</w:t>
            </w:r>
            <w:bookmarkEnd w:id="0"/>
          </w:p>
        </w:tc>
        <w:tc>
          <w:tcPr>
            <w:tcW w:w="4863"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坚持以人民为中心的发展思想，按照“补短板、强基础、促均衡、提质量”思路，聚焦“一老一小一医”等民生关键领域，谋划一批惠民性的、高质量的、具有示范引领性的重大公共服务设施项目，着力构建覆盖多元协同、均衡可及的公共服务体系，不断提升全区“七有”“五性”水平，进一步提升民众的获得感、幸福感、安全感</w:t>
            </w:r>
          </w:p>
        </w:tc>
        <w:tc>
          <w:tcPr>
            <w:tcW w:w="1454"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谋划生成投资规模不低于40亿元</w:t>
            </w:r>
          </w:p>
        </w:tc>
        <w:tc>
          <w:tcPr>
            <w:tcW w:w="1454" w:type="dxa"/>
            <w:vAlign w:val="center"/>
          </w:tcPr>
          <w:p>
            <w:pPr>
              <w:keepNext w:val="0"/>
              <w:keepLines w:val="0"/>
              <w:pageBreakBefore w:val="0"/>
              <w:kinsoku/>
              <w:wordWrap w:val="0"/>
              <w:overflowPunct/>
              <w:topLine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rPr>
              <w:t>41.37</w:t>
            </w:r>
            <w:r>
              <w:rPr>
                <w:rFonts w:hint="eastAsia" w:ascii="宋体" w:hAnsi="宋体" w:eastAsia="宋体" w:cs="宋体"/>
                <w:sz w:val="21"/>
                <w:szCs w:val="21"/>
                <w:lang w:val="en-US" w:eastAsia="zh-CN"/>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6"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全面提升城乡韧性</w:t>
            </w:r>
          </w:p>
        </w:tc>
        <w:tc>
          <w:tcPr>
            <w:tcW w:w="4863"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对标现代化基础设施体系建设要求，加快构建综合交通体系，完善市政能源保障体系，筑牢城乡运行安全保障，提高城乡防灾减灾救灾能力；围绕百花山国家级自然保护区、永定河右岸、灵山等重点区域，助力首都打造“生物多样性之都”，提升生态系统的稳定性和可持续性。</w:t>
            </w:r>
          </w:p>
        </w:tc>
        <w:tc>
          <w:tcPr>
            <w:tcW w:w="1454"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谋划生成投资规模不低于50亿元</w:t>
            </w:r>
          </w:p>
        </w:tc>
        <w:tc>
          <w:tcPr>
            <w:tcW w:w="1454" w:type="dxa"/>
            <w:vAlign w:val="center"/>
          </w:tcPr>
          <w:p>
            <w:pPr>
              <w:keepNext w:val="0"/>
              <w:keepLines w:val="0"/>
              <w:pageBreakBefore w:val="0"/>
              <w:kinsoku/>
              <w:wordWrap w:val="0"/>
              <w:overflowPunct/>
              <w:topLinePunct/>
              <w:autoSpaceDE/>
              <w:autoSpaceDN/>
              <w:bidi w:val="0"/>
              <w:adjustRightInd/>
              <w:jc w:val="center"/>
              <w:rPr>
                <w:rFonts w:hint="eastAsia" w:ascii="宋体" w:hAnsi="宋体" w:eastAsia="宋体" w:cs="宋体"/>
                <w:sz w:val="21"/>
                <w:szCs w:val="21"/>
                <w:lang w:eastAsia="zh-CN"/>
              </w:rPr>
            </w:pPr>
            <w:r>
              <w:rPr>
                <w:rFonts w:hint="eastAsia" w:ascii="宋体" w:hAnsi="宋体" w:eastAsia="宋体" w:cs="宋体"/>
                <w:sz w:val="21"/>
                <w:szCs w:val="21"/>
              </w:rPr>
              <w:t>81.71</w:t>
            </w:r>
            <w:r>
              <w:rPr>
                <w:rFonts w:hint="eastAsia" w:ascii="宋体" w:hAnsi="宋体" w:eastAsia="宋体" w:cs="宋体"/>
                <w:sz w:val="21"/>
                <w:szCs w:val="21"/>
                <w:lang w:val="en-US" w:eastAsia="zh-CN"/>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6"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统筹盘活文旅资源</w:t>
            </w:r>
          </w:p>
        </w:tc>
        <w:tc>
          <w:tcPr>
            <w:tcW w:w="4863"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以全域旅游提质升级和五大补短板行动为引领，聚焦“一岸两带两环”文旅布局发展、“两超四强”文旅目的地打造以及“三地”品牌建设和“四力”提升，重点围绕“两园一河”协同联动发展、国家级潭柘旅游休闲度假区、京西古道恢复提升、京畿长城风景道建设以及京蔚高速沿线旅游资源开发等重大战略和重点任务，谋划一批文旅产业要素集聚提升和文商农旅体融合发展的重大项目。</w:t>
            </w:r>
          </w:p>
        </w:tc>
        <w:tc>
          <w:tcPr>
            <w:tcW w:w="1454"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谋划生成投资规模不低于60亿元</w:t>
            </w:r>
          </w:p>
        </w:tc>
        <w:tc>
          <w:tcPr>
            <w:tcW w:w="1454" w:type="dxa"/>
            <w:vAlign w:val="center"/>
          </w:tcPr>
          <w:p>
            <w:pPr>
              <w:keepNext w:val="0"/>
              <w:keepLines w:val="0"/>
              <w:pageBreakBefore w:val="0"/>
              <w:kinsoku/>
              <w:wordWrap w:val="0"/>
              <w:overflowPunct/>
              <w:topLinePunct/>
              <w:autoSpaceDE/>
              <w:autoSpaceDN/>
              <w:bidi w:val="0"/>
              <w:adjustRightInd/>
              <w:jc w:val="center"/>
              <w:rPr>
                <w:rFonts w:hint="eastAsia" w:ascii="宋体" w:hAnsi="宋体" w:eastAsia="宋体" w:cs="宋体"/>
                <w:sz w:val="21"/>
                <w:szCs w:val="21"/>
                <w:lang w:eastAsia="zh-CN"/>
              </w:rPr>
            </w:pPr>
            <w:r>
              <w:rPr>
                <w:rFonts w:hint="eastAsia" w:ascii="宋体" w:hAnsi="宋体" w:eastAsia="宋体" w:cs="宋体"/>
                <w:sz w:val="21"/>
                <w:szCs w:val="21"/>
              </w:rPr>
              <w:t>120.24</w:t>
            </w:r>
            <w:r>
              <w:rPr>
                <w:rFonts w:hint="eastAsia" w:ascii="宋体" w:hAnsi="宋体" w:eastAsia="宋体" w:cs="宋体"/>
                <w:sz w:val="21"/>
                <w:szCs w:val="21"/>
                <w:lang w:val="en-US" w:eastAsia="zh-CN"/>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6"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培育壮大新质生产力</w:t>
            </w:r>
          </w:p>
        </w:tc>
        <w:tc>
          <w:tcPr>
            <w:tcW w:w="4863"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依托三大产业发展基础和实际需求，重点围绕京西智谷、中国“心谷”和央视界产业集聚区打造，聚焦中关村门头沟园、“七平方”等重点产业空间，围绕“两重”“两新”、两业融合、城市更新等政策争取，强化产业链建链补链强链、产业要素聚集以及产业配套设施提升等方面，谋划生成一批重大投资项目</w:t>
            </w:r>
          </w:p>
        </w:tc>
        <w:tc>
          <w:tcPr>
            <w:tcW w:w="1454" w:type="dxa"/>
            <w:vAlign w:val="center"/>
          </w:tcPr>
          <w:p>
            <w:pPr>
              <w:keepNext w:val="0"/>
              <w:keepLines w:val="0"/>
              <w:pageBreakBefore w:val="0"/>
              <w:kinsoku/>
              <w:overflowPunct/>
              <w:autoSpaceDE/>
              <w:autoSpaceDN/>
              <w:bidi w:val="0"/>
              <w:adjustRightInd/>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谋划生成投资规模不低于60亿元。</w:t>
            </w:r>
          </w:p>
          <w:p>
            <w:pPr>
              <w:keepNext w:val="0"/>
              <w:keepLines w:val="0"/>
              <w:pageBreakBefore w:val="0"/>
              <w:kinsoku/>
              <w:overflowPunct/>
              <w:autoSpaceDE/>
              <w:autoSpaceDN/>
              <w:bidi w:val="0"/>
              <w:adjustRightInd/>
              <w:jc w:val="center"/>
              <w:rPr>
                <w:rFonts w:hint="eastAsia" w:ascii="宋体" w:hAnsi="宋体" w:eastAsia="宋体" w:cs="宋体"/>
                <w:sz w:val="21"/>
                <w:szCs w:val="21"/>
                <w:lang w:val="en-US" w:eastAsia="zh-CN"/>
              </w:rPr>
            </w:pPr>
          </w:p>
        </w:tc>
        <w:tc>
          <w:tcPr>
            <w:tcW w:w="1454" w:type="dxa"/>
            <w:vAlign w:val="center"/>
          </w:tcPr>
          <w:p>
            <w:pPr>
              <w:keepNext w:val="0"/>
              <w:keepLines w:val="0"/>
              <w:pageBreakBefore w:val="0"/>
              <w:kinsoku/>
              <w:wordWrap w:val="0"/>
              <w:overflowPunct/>
              <w:topLinePunct/>
              <w:autoSpaceDE/>
              <w:autoSpaceDN/>
              <w:bidi w:val="0"/>
              <w:adjustRightInd/>
              <w:jc w:val="center"/>
              <w:rPr>
                <w:rFonts w:hint="eastAsia" w:ascii="宋体" w:hAnsi="宋体" w:eastAsia="宋体" w:cs="宋体"/>
                <w:sz w:val="21"/>
                <w:szCs w:val="21"/>
                <w:lang w:val="en-US" w:eastAsia="zh-CN"/>
              </w:rPr>
            </w:pPr>
            <w:r>
              <w:rPr>
                <w:rFonts w:hint="eastAsia" w:ascii="宋体" w:hAnsi="宋体" w:eastAsia="宋体" w:cs="宋体"/>
                <w:sz w:val="21"/>
                <w:szCs w:val="21"/>
              </w:rPr>
              <w:t>77.53</w:t>
            </w:r>
            <w:r>
              <w:rPr>
                <w:rFonts w:hint="eastAsia" w:ascii="宋体" w:hAnsi="宋体" w:eastAsia="宋体" w:cs="宋体"/>
                <w:sz w:val="21"/>
                <w:szCs w:val="21"/>
                <w:lang w:val="en-US" w:eastAsia="zh-CN"/>
              </w:rPr>
              <w:t>亿元</w:t>
            </w:r>
          </w:p>
        </w:tc>
      </w:tr>
    </w:tbl>
    <w:p>
      <w:pPr>
        <w:pStyle w:val="2"/>
        <w:keepNext w:val="0"/>
        <w:keepLines w:val="0"/>
        <w:pageBreakBefore w:val="0"/>
        <w:kinsoku/>
        <w:overflowPunct/>
        <w:autoSpaceDE/>
        <w:autoSpaceDN/>
        <w:bidi w:val="0"/>
        <w:adjustRightInd/>
        <w:spacing w:after="0"/>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ESI黑体-GB2312">
    <w:altName w:val="Microsoft YaHei UI"/>
    <w:panose1 w:val="00000000000000000000"/>
    <w:charset w:val="86"/>
    <w:family w:val="auto"/>
    <w:pitch w:val="default"/>
    <w:sig w:usb0="00000000" w:usb1="00000000" w:usb2="00000012" w:usb3="00000000" w:csb0="0004000F"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DB8C6"/>
    <w:multiLevelType w:val="singleLevel"/>
    <w:tmpl w:val="920DB8C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E3D"/>
    <w:rsid w:val="0002025A"/>
    <w:rsid w:val="00022E11"/>
    <w:rsid w:val="000269DC"/>
    <w:rsid w:val="00047DC0"/>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7FE5"/>
    <w:rsid w:val="00923051"/>
    <w:rsid w:val="009976F0"/>
    <w:rsid w:val="009B27A6"/>
    <w:rsid w:val="009D700F"/>
    <w:rsid w:val="00A02654"/>
    <w:rsid w:val="00A127E4"/>
    <w:rsid w:val="00A4171D"/>
    <w:rsid w:val="00A5212E"/>
    <w:rsid w:val="00A52489"/>
    <w:rsid w:val="00A61FC1"/>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207A8"/>
    <w:rsid w:val="00F23525"/>
    <w:rsid w:val="00F24761"/>
    <w:rsid w:val="00F37EB3"/>
    <w:rsid w:val="00F533DD"/>
    <w:rsid w:val="00F922BE"/>
    <w:rsid w:val="00FB0C8F"/>
    <w:rsid w:val="00FF5545"/>
    <w:rsid w:val="01216F98"/>
    <w:rsid w:val="01782A99"/>
    <w:rsid w:val="0452386F"/>
    <w:rsid w:val="09D5629F"/>
    <w:rsid w:val="0A913A45"/>
    <w:rsid w:val="0BAD28E2"/>
    <w:rsid w:val="0FBD6E6C"/>
    <w:rsid w:val="10E732C5"/>
    <w:rsid w:val="16B26FFE"/>
    <w:rsid w:val="182717EF"/>
    <w:rsid w:val="1886335E"/>
    <w:rsid w:val="194E157F"/>
    <w:rsid w:val="1BBB35B3"/>
    <w:rsid w:val="1BD6553D"/>
    <w:rsid w:val="20AC2D10"/>
    <w:rsid w:val="22194AD2"/>
    <w:rsid w:val="22BD57D1"/>
    <w:rsid w:val="25FB0DCE"/>
    <w:rsid w:val="27C1173F"/>
    <w:rsid w:val="284B2E0F"/>
    <w:rsid w:val="2D7F12E7"/>
    <w:rsid w:val="2F345352"/>
    <w:rsid w:val="2FCC2A87"/>
    <w:rsid w:val="30327973"/>
    <w:rsid w:val="34EB4257"/>
    <w:rsid w:val="35C16E06"/>
    <w:rsid w:val="374D44BF"/>
    <w:rsid w:val="38CE755D"/>
    <w:rsid w:val="392448EE"/>
    <w:rsid w:val="42671899"/>
    <w:rsid w:val="45790B64"/>
    <w:rsid w:val="46D16AEB"/>
    <w:rsid w:val="487779A6"/>
    <w:rsid w:val="489F1FC0"/>
    <w:rsid w:val="4A135047"/>
    <w:rsid w:val="51391B7D"/>
    <w:rsid w:val="56341670"/>
    <w:rsid w:val="568850AA"/>
    <w:rsid w:val="57F81DBC"/>
    <w:rsid w:val="5AF53743"/>
    <w:rsid w:val="62E36596"/>
    <w:rsid w:val="633F11E7"/>
    <w:rsid w:val="6BFF5B20"/>
    <w:rsid w:val="6DE17AF9"/>
    <w:rsid w:val="6F9E62BA"/>
    <w:rsid w:val="701E616A"/>
    <w:rsid w:val="70FA04FB"/>
    <w:rsid w:val="71312F91"/>
    <w:rsid w:val="71E17CD3"/>
    <w:rsid w:val="748E5A2E"/>
    <w:rsid w:val="76C467CF"/>
    <w:rsid w:val="77E8477F"/>
    <w:rsid w:val="78964FAD"/>
    <w:rsid w:val="7AB76C67"/>
    <w:rsid w:val="7E77644A"/>
    <w:rsid w:val="7FC72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2"/>
    <w:basedOn w:val="1"/>
    <w:unhideWhenUsed/>
    <w:qFormat/>
    <w:uiPriority w:val="99"/>
    <w:pPr>
      <w:spacing w:after="120" w:line="480" w:lineRule="auto"/>
    </w:pPr>
    <w:rPr>
      <w:lang w:val="zh-CN"/>
    </w:rPr>
  </w:style>
  <w:style w:type="paragraph" w:styleId="3">
    <w:name w:val="Body Text"/>
    <w:basedOn w:val="1"/>
    <w:semiHidden/>
    <w:qFormat/>
    <w:uiPriority w:val="0"/>
    <w:rPr>
      <w:rFonts w:ascii="仿宋" w:hAnsi="仿宋" w:eastAsia="仿宋" w:cs="仿宋"/>
      <w:sz w:val="30"/>
      <w:szCs w:val="30"/>
    </w:rPr>
  </w:style>
  <w:style w:type="paragraph" w:styleId="4">
    <w:name w:val="footer"/>
    <w:basedOn w:val="1"/>
    <w:next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4592</Words>
  <Characters>5150</Characters>
  <Lines>6</Lines>
  <Paragraphs>1</Paragraphs>
  <TotalTime>6</TotalTime>
  <ScaleCrop>false</ScaleCrop>
  <LinksUpToDate>false</LinksUpToDate>
  <CharactersWithSpaces>5208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2026-04-24T06:59:00Z</dcterms:created>
  <dc:creator>井文胜</dc:creator>
  <cp:lastModifiedBy>喜乐姿</cp:lastModifiedBy>
  <cp:lastPrinted>2026-04-30T05:59:00Z</cp:lastPrinted>
  <dcterms:modified xsi:type="dcterms:W3CDTF">2026-08-17T01:42:47Z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eyJoZGlkIjoiMzBjYWU0NDZjODZiNWI4YjllMGRiMWRiYmVkZGNlNTEiLCJ1c2VySWQiOiI2NDAxODAyMTYifQ==</vt:lpwstr>
  </property>
  <property fmtid="{D5CDD505-2E9C-101B-9397-08002B2CF9AE}" pid="3" name="KSOProductBuildVer">
    <vt:lpwstr>2052-11.8.2.12195</vt:lpwstr>
  </property>
  <property fmtid="{D5CDD505-2E9C-101B-9397-08002B2CF9AE}" pid="4" name="ICV">
    <vt:lpwstr>5499B530C968408A90E9022A6BEACFD8_13</vt:lpwstr>
  </property>
</Properties>
</file>