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黑体" w:eastAsia="黑体"/>
          <w:b/>
          <w:sz w:val="28"/>
          <w:szCs w:val="28"/>
        </w:rPr>
      </w:pPr>
      <w:r>
        <w:rPr>
          <w:rFonts w:hint="eastAsia" w:ascii="黑体" w:eastAsia="黑体"/>
          <w:b/>
          <w:sz w:val="28"/>
          <w:szCs w:val="28"/>
        </w:rPr>
        <w:t>一、部门基本情况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贯彻落实国家和北京市关于国民经济和社会发展、经济体制改革的法律、法规、规章和政策，拟定本区国民经济和社会发展中长期和年度计划，协调相关部门编制专项规划，并组织实施。根据北京市宏观调控要求，统筹协调经济社会发展，研究提出本区经济社会发展、经济结构调整的目标和措施，提出综合运用各种调控手段的建议。受区政府委托，向区人民代表大会报告本区国民经济和社会发展计划及执行情况。</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2.负责研究分析经济形势和社会发展态势，监测预测本区国民经济运行情况，综合研究并协调本区国民经济与社会发展方面的重大问题，提出措施与建议。</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3.负责研究全区经济和社会发展前瞻性和经济体制改革的重要问题，组织拟订综合性经济体制改革方案，协调专项经济体制改革方案。协调经济体制改革试点工作。负责人口调控综合协调工作。</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4.负责组织制定全区重点建设项目计划，监测重点项目建设进展情况，协调重点项目建设的相关问题。拟订全社会固定资产投资总规模和投资结构的调控目标及措施，引导民间投资方向。按国家及市政府规定权限审批、核准、备案、审核和上报固定资产投资建设项目、外资项目、境外投资项目。指导和协调招标工作。推进可持续发展战略，参加本区土地利用总体规划和土地供应计划的编制。</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5.统筹规划和综合协调产业发展，推进本区经济结构调整。组织拟订综合性产业政策，做好与国民经济和社会发展规划、计划衔接平衡。统筹推进服务发展，会同有关部门拟订区域产业定位及相关发展规划。组织实施节能监察等工作。</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6.承担本区政府权限范围内的价格管理责任。负责监测分析相应领域的价格运行情况，审核、上报由区政府管理的重要收费标准，并组织实施。对本区价格政策的执行情况提出相关建议，负责价格认证相关工作。</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7.负责本区社会发展与国民经济发展的衔接平衡，组织拟订社会发展战略、总体规划和年度计划。参与拟订本社会公共服务事业等发展政策，推进社会事业建设，参与研究提出本区促进就业、完善社会保障与经济协调发展等建议，协调社会事业发展和改革的重大问题。</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8.负责组织拟订本区基础施设发展战略、中长期规划并协调实施。研究分析区域内基础施设方面的发展状况，提出相关政策建议。负责研究提出城乡经济协调发展的战略和措施建议。</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9.负责组织拟定本区国民经济动员预案，完成市经济动员办公室及区国防动员委员会交办的其它任务。负责区域经济合作工作。</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10.贯彻落实国家和北京市关于金融方面的法律、法规、规章和政策。研究拟订本区金融业发展规划和政策措施，并组织实施。指导、推动本区金融市场体系建设和发展，组织推进多层次资本市场发展。</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11.负责本区公共资源交易场所服务管理工作。研究制定本区公共资源交易场所服务管理标准、细则。负责中介服务网上交易平台和公共资源交易综合分台场所的建设、运行和服务管理工作。</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12.贯彻落实粮食流通和物资储备管理方面的法规、规章，组织研究相关重大问题。承担本区粮食流通和物资储备体制改革工作。拟订本区粮食储备储存的布局、购销及轮换计划和动用方案并组织实施。</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13.负责拟订全区优化营商环境工作方案及年度工作计划并组织实施，研究提出深化营商环境改革相关政策建议。负责统筹本区营商环境、企业扶持等政策发布，拟定全区重点企业“服务包”工作方案及年度计划并组织落实。</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pPr>
      <w:r>
        <w:rPr>
          <w:rFonts w:hint="eastAsia" w:ascii="仿宋_GB2312" w:hAnsi="Times New Roman" w:eastAsia="仿宋_GB2312" w:cs="Times New Roman"/>
          <w:sz w:val="28"/>
          <w:szCs w:val="28"/>
          <w:lang w:val="en-US" w:eastAsia="zh-CN"/>
        </w:rPr>
        <w:t>14.完成区委、区政府交办的其他任务。</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pPr>
      <w:r>
        <w:rPr>
          <w:rFonts w:hint="eastAsia" w:ascii="仿宋_GB2312" w:hAnsi="Times New Roman" w:eastAsia="仿宋_GB2312" w:cs="Times New Roman"/>
          <w:sz w:val="28"/>
          <w:szCs w:val="28"/>
          <w:lang w:val="en-US" w:eastAsia="zh-CN"/>
        </w:rPr>
        <w:t>本部门共设11个内设机构，下设4个财政全额拨款事业单位，为北京市门头沟区区域协同发展促进中心、北京市门头沟区金融发展促进中心、北京市门头沟区优化营商环境促进中心、北京市门头沟区价格认证中心。</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黑体" w:eastAsia="黑体"/>
          <w:b/>
          <w:sz w:val="28"/>
          <w:szCs w:val="28"/>
        </w:rPr>
      </w:pPr>
      <w:r>
        <w:rPr>
          <w:rFonts w:hint="eastAsia" w:ascii="黑体" w:eastAsia="黑体"/>
          <w:b/>
          <w:sz w:val="28"/>
          <w:szCs w:val="28"/>
        </w:rPr>
        <w:t xml:space="preserve">   二、收入支出决算总体情况说明</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66</w:t>
      </w:r>
      <w:r>
        <w:rPr>
          <w:rFonts w:hint="eastAsia" w:ascii="仿宋_GB2312" w:eastAsia="仿宋_GB2312"/>
          <w:sz w:val="28"/>
          <w:szCs w:val="28"/>
          <w:lang w:val="en-US" w:eastAsia="zh-CN"/>
        </w:rPr>
        <w:t>,</w:t>
      </w:r>
      <w:r>
        <w:rPr>
          <w:rFonts w:ascii="仿宋_GB2312" w:eastAsia="仿宋_GB2312"/>
          <w:sz w:val="28"/>
          <w:szCs w:val="28"/>
        </w:rPr>
        <w:t>244</w:t>
      </w:r>
      <w:r>
        <w:rPr>
          <w:rFonts w:hint="eastAsia" w:ascii="仿宋_GB2312" w:eastAsia="仿宋_GB2312"/>
          <w:sz w:val="28"/>
          <w:szCs w:val="28"/>
          <w:lang w:val="en-US" w:eastAsia="zh-CN"/>
        </w:rPr>
        <w:t>,</w:t>
      </w:r>
      <w:r>
        <w:rPr>
          <w:rFonts w:ascii="仿宋_GB2312" w:eastAsia="仿宋_GB2312"/>
          <w:sz w:val="28"/>
          <w:szCs w:val="28"/>
        </w:rPr>
        <w:t>185.99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34,490,262.22</w:t>
      </w:r>
      <w:r>
        <w:rPr>
          <w:rFonts w:hint="eastAsia" w:ascii="仿宋_GB2312" w:eastAsia="仿宋_GB2312"/>
          <w:sz w:val="28"/>
          <w:szCs w:val="28"/>
        </w:rPr>
        <w:t>元，下降</w:t>
      </w:r>
      <w:r>
        <w:rPr>
          <w:rFonts w:hint="eastAsia" w:ascii="仿宋_GB2312" w:eastAsia="仿宋_GB2312"/>
          <w:sz w:val="28"/>
          <w:szCs w:val="28"/>
          <w:lang w:val="en-US" w:eastAsia="zh-CN"/>
        </w:rPr>
        <w:t>34.2</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65</w:t>
      </w:r>
      <w:r>
        <w:rPr>
          <w:rFonts w:hint="eastAsia" w:ascii="仿宋_GB2312" w:eastAsia="仿宋_GB2312"/>
          <w:sz w:val="28"/>
          <w:szCs w:val="28"/>
          <w:lang w:val="en-US" w:eastAsia="zh-CN"/>
        </w:rPr>
        <w:t>,</w:t>
      </w:r>
      <w:r>
        <w:rPr>
          <w:rFonts w:ascii="仿宋_GB2312" w:eastAsia="仿宋_GB2312"/>
          <w:sz w:val="28"/>
          <w:szCs w:val="28"/>
        </w:rPr>
        <w:t>469</w:t>
      </w:r>
      <w:r>
        <w:rPr>
          <w:rFonts w:hint="eastAsia" w:ascii="仿宋_GB2312" w:eastAsia="仿宋_GB2312"/>
          <w:sz w:val="28"/>
          <w:szCs w:val="28"/>
          <w:lang w:val="en-US" w:eastAsia="zh-CN"/>
        </w:rPr>
        <w:t>,</w:t>
      </w:r>
      <w:r>
        <w:rPr>
          <w:rFonts w:ascii="仿宋_GB2312" w:eastAsia="仿宋_GB2312"/>
          <w:sz w:val="28"/>
          <w:szCs w:val="28"/>
        </w:rPr>
        <w:t>496.99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16,279,564.88</w:t>
      </w:r>
      <w:r>
        <w:rPr>
          <w:rFonts w:hint="eastAsia" w:ascii="仿宋_GB2312" w:eastAsia="仿宋_GB2312"/>
          <w:sz w:val="28"/>
          <w:szCs w:val="28"/>
        </w:rPr>
        <w:t>元，下降</w:t>
      </w:r>
      <w:r>
        <w:rPr>
          <w:rFonts w:hint="eastAsia" w:ascii="仿宋_GB2312" w:eastAsia="仿宋_GB2312"/>
          <w:sz w:val="28"/>
          <w:szCs w:val="28"/>
          <w:lang w:val="en-US" w:eastAsia="zh-CN"/>
        </w:rPr>
        <w:t>19.9</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65</w:t>
      </w:r>
      <w:r>
        <w:rPr>
          <w:rFonts w:hint="eastAsia" w:ascii="仿宋_GB2312" w:eastAsia="仿宋_GB2312"/>
          <w:sz w:val="28"/>
          <w:szCs w:val="28"/>
          <w:lang w:val="en-US" w:eastAsia="zh-CN"/>
        </w:rPr>
        <w:t>,</w:t>
      </w:r>
      <w:r>
        <w:rPr>
          <w:rFonts w:ascii="仿宋_GB2312" w:eastAsia="仿宋_GB2312"/>
          <w:sz w:val="28"/>
          <w:szCs w:val="28"/>
        </w:rPr>
        <w:t>454</w:t>
      </w:r>
      <w:r>
        <w:rPr>
          <w:rFonts w:hint="eastAsia" w:ascii="仿宋_GB2312" w:eastAsia="仿宋_GB2312"/>
          <w:sz w:val="28"/>
          <w:szCs w:val="28"/>
          <w:lang w:val="en-US" w:eastAsia="zh-CN"/>
        </w:rPr>
        <w:t>,</w:t>
      </w:r>
      <w:r>
        <w:rPr>
          <w:rFonts w:ascii="仿宋_GB2312" w:eastAsia="仿宋_GB2312"/>
          <w:sz w:val="28"/>
          <w:szCs w:val="28"/>
        </w:rPr>
        <w:t>196.99</w:t>
      </w:r>
      <w:r>
        <w:rPr>
          <w:rFonts w:hint="eastAsia" w:ascii="仿宋_GB2312" w:eastAsia="仿宋_GB2312"/>
          <w:sz w:val="28"/>
          <w:szCs w:val="28"/>
        </w:rPr>
        <w:t>元，占收入合计的</w:t>
      </w:r>
      <w:r>
        <w:rPr>
          <w:rFonts w:hint="eastAsia" w:ascii="仿宋_GB2312" w:eastAsia="仿宋_GB2312"/>
          <w:sz w:val="28"/>
          <w:szCs w:val="28"/>
          <w:highlight w:val="none"/>
        </w:rPr>
        <w:t>99.9%。其中：一般公共预算财政拨款收入</w:t>
      </w:r>
      <w:r>
        <w:rPr>
          <w:rFonts w:ascii="仿宋_GB2312" w:eastAsia="仿宋_GB2312"/>
          <w:sz w:val="28"/>
          <w:szCs w:val="28"/>
          <w:highlight w:val="none"/>
        </w:rPr>
        <w:t>54</w:t>
      </w:r>
      <w:r>
        <w:rPr>
          <w:rFonts w:hint="eastAsia" w:ascii="仿宋_GB2312" w:eastAsia="仿宋_GB2312"/>
          <w:sz w:val="28"/>
          <w:szCs w:val="28"/>
          <w:highlight w:val="none"/>
          <w:lang w:val="en-US" w:eastAsia="zh-CN"/>
        </w:rPr>
        <w:t>,</w:t>
      </w:r>
      <w:r>
        <w:rPr>
          <w:rFonts w:ascii="仿宋_GB2312" w:eastAsia="仿宋_GB2312"/>
          <w:sz w:val="28"/>
          <w:szCs w:val="28"/>
          <w:highlight w:val="none"/>
        </w:rPr>
        <w:t>774</w:t>
      </w:r>
      <w:r>
        <w:rPr>
          <w:rFonts w:hint="eastAsia" w:ascii="仿宋_GB2312" w:eastAsia="仿宋_GB2312"/>
          <w:sz w:val="28"/>
          <w:szCs w:val="28"/>
          <w:highlight w:val="none"/>
          <w:lang w:val="en-US" w:eastAsia="zh-CN"/>
        </w:rPr>
        <w:t>,</w:t>
      </w:r>
      <w:r>
        <w:rPr>
          <w:rFonts w:ascii="仿宋_GB2312" w:eastAsia="仿宋_GB2312"/>
          <w:sz w:val="28"/>
          <w:szCs w:val="28"/>
          <w:highlight w:val="none"/>
        </w:rPr>
        <w:t>196.99</w:t>
      </w:r>
      <w:r>
        <w:rPr>
          <w:rFonts w:hint="eastAsia" w:ascii="仿宋_GB2312" w:eastAsia="仿宋_GB2312"/>
          <w:sz w:val="28"/>
          <w:szCs w:val="28"/>
          <w:highlight w:val="none"/>
        </w:rPr>
        <w:t>元，占收入合计的83.</w:t>
      </w:r>
      <w:r>
        <w:rPr>
          <w:rFonts w:hint="eastAsia" w:ascii="仿宋_GB2312" w:eastAsia="仿宋_GB2312"/>
          <w:sz w:val="28"/>
          <w:szCs w:val="28"/>
          <w:highlight w:val="none"/>
          <w:lang w:val="en-US" w:eastAsia="zh-CN"/>
        </w:rPr>
        <w:t>7</w:t>
      </w:r>
      <w:r>
        <w:rPr>
          <w:rFonts w:hint="eastAsia" w:ascii="仿宋_GB2312" w:eastAsia="仿宋_GB2312"/>
          <w:sz w:val="28"/>
          <w:szCs w:val="28"/>
          <w:highlight w:val="none"/>
        </w:rPr>
        <w:t>%；政府性基金预算财政拨款收入</w:t>
      </w:r>
      <w:r>
        <w:rPr>
          <w:rFonts w:ascii="仿宋_GB2312" w:eastAsia="仿宋_GB2312"/>
          <w:sz w:val="28"/>
          <w:szCs w:val="28"/>
          <w:highlight w:val="none"/>
        </w:rPr>
        <w:t>10</w:t>
      </w:r>
      <w:r>
        <w:rPr>
          <w:rFonts w:hint="eastAsia" w:ascii="仿宋_GB2312" w:eastAsia="仿宋_GB2312"/>
          <w:sz w:val="28"/>
          <w:szCs w:val="28"/>
          <w:highlight w:val="none"/>
          <w:lang w:val="en-US" w:eastAsia="zh-CN"/>
        </w:rPr>
        <w:t>,</w:t>
      </w:r>
      <w:r>
        <w:rPr>
          <w:rFonts w:ascii="仿宋_GB2312" w:eastAsia="仿宋_GB2312"/>
          <w:sz w:val="28"/>
          <w:szCs w:val="28"/>
          <w:highlight w:val="none"/>
        </w:rPr>
        <w:t>680</w:t>
      </w:r>
      <w:r>
        <w:rPr>
          <w:rFonts w:hint="eastAsia" w:ascii="仿宋_GB2312" w:eastAsia="仿宋_GB2312"/>
          <w:sz w:val="28"/>
          <w:szCs w:val="28"/>
          <w:highlight w:val="none"/>
          <w:lang w:val="en-US" w:eastAsia="zh-CN"/>
        </w:rPr>
        <w:t>,</w:t>
      </w:r>
      <w:r>
        <w:rPr>
          <w:rFonts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元，占收入合计的16.3%；</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highlight w:val="none"/>
        </w:rPr>
      </w:pPr>
      <w:r>
        <w:rPr>
          <w:rFonts w:hint="eastAsia" w:ascii="仿宋_GB2312" w:eastAsia="仿宋_GB2312"/>
          <w:sz w:val="28"/>
          <w:szCs w:val="28"/>
        </w:rPr>
        <w:t>6.其他收入</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300</w:t>
      </w:r>
      <w:r>
        <w:rPr>
          <w:rFonts w:hint="eastAsia" w:ascii="仿宋_GB2312" w:eastAsia="仿宋_GB2312"/>
          <w:sz w:val="28"/>
          <w:szCs w:val="28"/>
          <w:lang w:val="en-US" w:eastAsia="zh-CN"/>
        </w:rPr>
        <w:t>.00</w:t>
      </w:r>
      <w:r>
        <w:rPr>
          <w:rFonts w:hint="eastAsia" w:ascii="仿宋_GB2312" w:eastAsia="仿宋_GB2312"/>
          <w:sz w:val="28"/>
          <w:szCs w:val="28"/>
        </w:rPr>
        <w:t>元，占收入合</w:t>
      </w:r>
      <w:r>
        <w:rPr>
          <w:rFonts w:hint="eastAsia" w:ascii="仿宋_GB2312" w:eastAsia="仿宋_GB2312"/>
          <w:sz w:val="28"/>
          <w:szCs w:val="28"/>
          <w:highlight w:val="none"/>
        </w:rPr>
        <w:t>计的0.0%。</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3"/>
        <w:ind w:firstLine="420"/>
        <w:jc w:val="center"/>
        <w:rPr>
          <w:rFonts w:hint="eastAsia" w:ascii="仿宋_GB2312" w:hAnsi="Times New Roman" w:eastAsia="仿宋_GB2312" w:cs="Times New Roman"/>
          <w:kern w:val="2"/>
          <w:sz w:val="21"/>
          <w:szCs w:val="21"/>
          <w:lang w:val="en-US" w:eastAsia="zh-CN" w:bidi="ar-SA"/>
        </w:rPr>
      </w:pPr>
      <w:r>
        <w:rPr>
          <w:rFonts w:hint="eastAsia" w:ascii="仿宋_GB2312" w:hAnsi="Times New Roman" w:eastAsia="仿宋_GB2312" w:cs="Times New Roman"/>
          <w:kern w:val="2"/>
          <w:sz w:val="21"/>
          <w:szCs w:val="21"/>
          <w:lang w:val="en-US" w:eastAsia="zh-CN" w:bidi="ar-SA"/>
        </w:rPr>
        <w:t>（注：占比因四舍五入，合计不等于 100%。）</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（二）支出决算说明</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2025年度本年支出合计65</w:t>
      </w:r>
      <w:r>
        <w:rPr>
          <w:rFonts w:hint="eastAsia" w:ascii="仿宋_GB2312" w:eastAsia="仿宋_GB2312"/>
          <w:sz w:val="28"/>
          <w:szCs w:val="28"/>
          <w:lang w:val="en-US" w:eastAsia="zh-CN"/>
        </w:rPr>
        <w:t>,</w:t>
      </w:r>
      <w:r>
        <w:rPr>
          <w:rFonts w:hint="eastAsia" w:ascii="仿宋_GB2312" w:eastAsia="仿宋_GB2312"/>
          <w:sz w:val="28"/>
          <w:szCs w:val="28"/>
        </w:rPr>
        <w:t>457</w:t>
      </w:r>
      <w:r>
        <w:rPr>
          <w:rFonts w:hint="eastAsia" w:ascii="仿宋_GB2312" w:eastAsia="仿宋_GB2312"/>
          <w:sz w:val="28"/>
          <w:szCs w:val="28"/>
          <w:lang w:val="en-US" w:eastAsia="zh-CN"/>
        </w:rPr>
        <w:t>,</w:t>
      </w:r>
      <w:r>
        <w:rPr>
          <w:rFonts w:hint="eastAsia" w:ascii="仿宋_GB2312" w:eastAsia="仿宋_GB2312"/>
          <w:sz w:val="28"/>
          <w:szCs w:val="28"/>
        </w:rPr>
        <w:t>496.99元，比上年减少</w:t>
      </w:r>
      <w:r>
        <w:rPr>
          <w:rFonts w:hint="eastAsia" w:ascii="仿宋_GB2312" w:eastAsia="仿宋_GB2312"/>
          <w:sz w:val="28"/>
          <w:szCs w:val="28"/>
          <w:lang w:val="en-US" w:eastAsia="zh-CN"/>
        </w:rPr>
        <w:t>33,747,357.24</w:t>
      </w:r>
      <w:r>
        <w:rPr>
          <w:rFonts w:hint="eastAsia" w:ascii="仿宋_GB2312" w:eastAsia="仿宋_GB2312"/>
          <w:sz w:val="28"/>
          <w:szCs w:val="28"/>
        </w:rPr>
        <w:t>元，下降</w:t>
      </w:r>
      <w:r>
        <w:rPr>
          <w:rFonts w:hint="eastAsia" w:ascii="仿宋_GB2312" w:eastAsia="仿宋_GB2312"/>
          <w:sz w:val="28"/>
          <w:szCs w:val="28"/>
          <w:lang w:val="en-US" w:eastAsia="zh-CN"/>
        </w:rPr>
        <w:t>34.0</w:t>
      </w:r>
      <w:r>
        <w:rPr>
          <w:rFonts w:hint="eastAsia" w:ascii="仿宋_GB2312" w:eastAsia="仿宋_GB2312"/>
          <w:sz w:val="28"/>
          <w:szCs w:val="28"/>
        </w:rPr>
        <w:t>%，其中：基本支出19</w:t>
      </w:r>
      <w:r>
        <w:rPr>
          <w:rFonts w:hint="eastAsia" w:ascii="仿宋_GB2312" w:eastAsia="仿宋_GB2312"/>
          <w:sz w:val="28"/>
          <w:szCs w:val="28"/>
          <w:lang w:val="en-US" w:eastAsia="zh-CN"/>
        </w:rPr>
        <w:t>,</w:t>
      </w:r>
      <w:r>
        <w:rPr>
          <w:rFonts w:hint="eastAsia" w:ascii="仿宋_GB2312" w:eastAsia="仿宋_GB2312"/>
          <w:sz w:val="28"/>
          <w:szCs w:val="28"/>
        </w:rPr>
        <w:t>958</w:t>
      </w:r>
      <w:r>
        <w:rPr>
          <w:rFonts w:hint="eastAsia" w:ascii="仿宋_GB2312" w:eastAsia="仿宋_GB2312"/>
          <w:sz w:val="28"/>
          <w:szCs w:val="28"/>
          <w:lang w:val="en-US" w:eastAsia="zh-CN"/>
        </w:rPr>
        <w:t>,</w:t>
      </w:r>
      <w:r>
        <w:rPr>
          <w:rFonts w:hint="eastAsia" w:ascii="仿宋_GB2312" w:eastAsia="仿宋_GB2312"/>
          <w:sz w:val="28"/>
          <w:szCs w:val="28"/>
        </w:rPr>
        <w:t>011.53元，占支出合计的30.</w:t>
      </w:r>
      <w:r>
        <w:rPr>
          <w:rFonts w:hint="eastAsia" w:ascii="仿宋_GB2312" w:eastAsia="仿宋_GB2312"/>
          <w:sz w:val="28"/>
          <w:szCs w:val="28"/>
          <w:lang w:val="en-US" w:eastAsia="zh-CN"/>
        </w:rPr>
        <w:t>5</w:t>
      </w:r>
      <w:r>
        <w:rPr>
          <w:rFonts w:hint="eastAsia" w:ascii="仿宋_GB2312" w:eastAsia="仿宋_GB2312"/>
          <w:sz w:val="28"/>
          <w:szCs w:val="28"/>
        </w:rPr>
        <w:t>%；项目支出45</w:t>
      </w:r>
      <w:r>
        <w:rPr>
          <w:rFonts w:hint="eastAsia" w:ascii="仿宋_GB2312" w:eastAsia="仿宋_GB2312"/>
          <w:sz w:val="28"/>
          <w:szCs w:val="28"/>
          <w:lang w:val="en-US" w:eastAsia="zh-CN"/>
        </w:rPr>
        <w:t>,</w:t>
      </w:r>
      <w:r>
        <w:rPr>
          <w:rFonts w:hint="eastAsia" w:ascii="仿宋_GB2312" w:eastAsia="仿宋_GB2312"/>
          <w:sz w:val="28"/>
          <w:szCs w:val="28"/>
        </w:rPr>
        <w:t>499</w:t>
      </w:r>
      <w:r>
        <w:rPr>
          <w:rFonts w:hint="eastAsia" w:ascii="仿宋_GB2312" w:eastAsia="仿宋_GB2312"/>
          <w:sz w:val="28"/>
          <w:szCs w:val="28"/>
          <w:lang w:val="en-US" w:eastAsia="zh-CN"/>
        </w:rPr>
        <w:t>,</w:t>
      </w:r>
      <w:r>
        <w:rPr>
          <w:rFonts w:hint="eastAsia" w:ascii="仿宋_GB2312" w:eastAsia="仿宋_GB2312"/>
          <w:sz w:val="28"/>
          <w:szCs w:val="28"/>
        </w:rPr>
        <w:t>485.46元，占支出合计的69.5%;上缴上级支出0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%；经营支出0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jc w:val="center"/>
        <w:rPr>
          <w:rFonts w:hint="eastAsia"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黑体" w:eastAsia="黑体"/>
          <w:b/>
          <w:sz w:val="28"/>
          <w:szCs w:val="28"/>
        </w:rPr>
      </w:pPr>
      <w:r>
        <w:rPr>
          <w:rFonts w:hint="eastAsia" w:ascii="黑体" w:eastAsia="黑体"/>
          <w:b/>
          <w:sz w:val="28"/>
          <w:szCs w:val="28"/>
        </w:rPr>
        <w:t>三、财政拨款收入支出决算总体情况说明</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rPr>
        <w:t>2025年度财政拨款收、支总计66</w:t>
      </w:r>
      <w:r>
        <w:rPr>
          <w:rFonts w:hint="eastAsia" w:ascii="仿宋_GB2312" w:hAnsi="Times New Roman" w:eastAsia="仿宋_GB2312" w:cs="Times New Roman"/>
          <w:sz w:val="28"/>
          <w:szCs w:val="28"/>
          <w:lang w:val="en-US" w:eastAsia="zh-CN"/>
        </w:rPr>
        <w:t>,</w:t>
      </w:r>
      <w:r>
        <w:rPr>
          <w:rFonts w:hint="eastAsia" w:ascii="仿宋_GB2312" w:hAnsi="Times New Roman" w:eastAsia="仿宋_GB2312" w:cs="Times New Roman"/>
          <w:sz w:val="28"/>
          <w:szCs w:val="28"/>
        </w:rPr>
        <w:t>228</w:t>
      </w:r>
      <w:r>
        <w:rPr>
          <w:rFonts w:hint="eastAsia" w:ascii="仿宋_GB2312" w:hAnsi="Times New Roman" w:eastAsia="仿宋_GB2312" w:cs="Times New Roman"/>
          <w:sz w:val="28"/>
          <w:szCs w:val="28"/>
          <w:lang w:val="en-US" w:eastAsia="zh-CN"/>
        </w:rPr>
        <w:t>,</w:t>
      </w:r>
      <w:r>
        <w:rPr>
          <w:rFonts w:hint="eastAsia" w:ascii="仿宋_GB2312" w:hAnsi="Times New Roman" w:eastAsia="仿宋_GB2312" w:cs="Times New Roman"/>
          <w:sz w:val="28"/>
          <w:szCs w:val="28"/>
        </w:rPr>
        <w:t>885.99元，比上年减少</w:t>
      </w:r>
      <w:r>
        <w:rPr>
          <w:rFonts w:hint="eastAsia" w:ascii="仿宋_GB2312" w:hAnsi="Times New Roman" w:eastAsia="仿宋_GB2312" w:cs="Times New Roman"/>
          <w:sz w:val="28"/>
          <w:szCs w:val="28"/>
          <w:lang w:val="en-US" w:eastAsia="zh-CN"/>
        </w:rPr>
        <w:t>32,597,999.24</w:t>
      </w:r>
      <w:r>
        <w:rPr>
          <w:rFonts w:hint="eastAsia" w:ascii="仿宋_GB2312" w:hAnsi="Times New Roman" w:eastAsia="仿宋_GB2312" w:cs="Times New Roman"/>
          <w:sz w:val="28"/>
          <w:szCs w:val="28"/>
        </w:rPr>
        <w:t>元，下降</w:t>
      </w:r>
      <w:r>
        <w:rPr>
          <w:rFonts w:hint="eastAsia" w:ascii="仿宋_GB2312" w:hAnsi="Times New Roman" w:eastAsia="仿宋_GB2312" w:cs="Times New Roman"/>
          <w:sz w:val="28"/>
          <w:szCs w:val="28"/>
          <w:lang w:val="en-US" w:eastAsia="zh-CN"/>
        </w:rPr>
        <w:t>32.9</w:t>
      </w:r>
      <w:r>
        <w:rPr>
          <w:rFonts w:hint="eastAsia" w:ascii="仿宋_GB2312" w:hAnsi="Times New Roman" w:eastAsia="仿宋_GB2312" w:cs="Times New Roman"/>
          <w:sz w:val="28"/>
          <w:szCs w:val="28"/>
        </w:rPr>
        <w:t>%。主要原因：</w:t>
      </w:r>
      <w:r>
        <w:rPr>
          <w:rFonts w:hint="eastAsia" w:ascii="仿宋_GB2312" w:hAnsi="Times New Roman" w:eastAsia="仿宋_GB2312" w:cs="Times New Roman"/>
          <w:sz w:val="28"/>
          <w:szCs w:val="28"/>
          <w:lang w:val="en-US" w:eastAsia="zh-CN"/>
        </w:rPr>
        <w:t>上年度按照相关会议部署，结合工作实际集中处置历史遗留工程问题，统筹安排资金清偿新城、S1 线高压线迁改架空线路工程项目以前年度欠款，并配合区园林局完成新城滨河森林公园涉案专项资金划扣，刚性支出规模较大。本年度无同类大额历史遗留项目清偿事项，对比基数回落，故本年收支决算数较上年出现明显下降。</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黑体" w:eastAsia="黑体"/>
          <w:b/>
          <w:sz w:val="28"/>
          <w:szCs w:val="28"/>
        </w:rPr>
      </w:pPr>
      <w:r>
        <w:rPr>
          <w:rFonts w:hint="eastAsia" w:ascii="黑体" w:eastAsia="黑体"/>
          <w:b/>
          <w:sz w:val="28"/>
          <w:szCs w:val="28"/>
        </w:rPr>
        <w:t>四、一般公共预算财政拨款支出决算情况说明</w:t>
      </w:r>
    </w:p>
    <w:p>
      <w:pPr>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jc w:val="both"/>
        <w:textAlignment w:val="auto"/>
        <w:rPr>
          <w:rFonts w:ascii="仿宋_GB2312" w:eastAsia="仿宋_GB2312"/>
          <w:sz w:val="28"/>
          <w:szCs w:val="28"/>
        </w:rPr>
      </w:pPr>
      <w:r>
        <w:rPr>
          <w:rFonts w:hint="eastAsia" w:ascii="仿宋_GB2312" w:eastAsia="仿宋_GB2312"/>
          <w:sz w:val="28"/>
          <w:szCs w:val="28"/>
        </w:rPr>
        <w:t>（一）一般公共预算财政拨款支出决算总体情况</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一般公共预算财政拨款支出54，774，196.99元，主要用于以下方面（按大类）：一般公共服务支出30,189,621.39元，占本年财政拨款支出46.1%；社会保障和就业支出354,256.00元，占本年财政拨款支出0.5%；城乡社区支出24,197,099.60元，占本年财政拨款支出37.0%；资源勘探工业信息等支出33,220.00元，占本年财政拨款支出0.1%</w:t>
      </w:r>
    </w:p>
    <w:p>
      <w:pPr>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jc w:val="both"/>
        <w:textAlignment w:val="auto"/>
        <w:rPr>
          <w:rFonts w:ascii="仿宋_GB2312" w:eastAsia="仿宋_GB2312"/>
          <w:sz w:val="28"/>
          <w:szCs w:val="28"/>
        </w:rPr>
      </w:pPr>
      <w:r>
        <w:rPr>
          <w:rFonts w:hint="eastAsia" w:ascii="仿宋_GB2312" w:eastAsia="仿宋_GB2312"/>
          <w:sz w:val="28"/>
          <w:szCs w:val="28"/>
        </w:rPr>
        <w:t>（二）一般公共预算财政拨款支出决算具体情况</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1、“一般公共服务支出”（类）2025年度年初预算22,221,569.13元，2025年度决算30,189,621.39元，完成年初预算的135.9%。</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其中：</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发展与改革事务”2025年度年初预算22,221,569.13元，2025年度决算30,189,621.39元，完成年初预算的135.9%。主要原因：一是预算执行期间，落实区委、区政府工作部署，围绕阶段性重点任务及新增临时性履职事项，严格履行预算调整相关程序，依规追加部分项目经费，保障各项工作正常开展。二是本年度单位人员有所增加，人员经费、日常公用经费等基本支出相应增长，基本支出实际保障规模较年初预算有所扩大。综上，受新增项目工作经费、人员基本支出增加双重因素叠加，全年实际支出高于年初预算。</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2、“社会保障和就业支出”（类）2025年度年初预算194,590.00元，2025年度决算354,256.00元，完成年初预算的182.1%。其中：</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“行政事业单位养老支出”2025年度年初预算194,590.00元，2025年度决算354,256.00元，完成年初预算的182.1%。主要原因：本年度退休老干部因病去世一名，为其追加并发放一次性抚恤金及丧葬费。</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3、“城乡社区支出”（类）2025年度年初预算0.00元，2025年度决算24,197,099.60元。其中：</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“城乡社区公共设施”2025年</w:t>
      </w:r>
      <w:bookmarkStart w:id="0" w:name="OLE_LINK4"/>
      <w:r>
        <w:rPr>
          <w:rFonts w:hint="eastAsia" w:ascii="仿宋_GB2312" w:hAnsi="Times New Roman" w:eastAsia="仿宋_GB2312" w:cs="Times New Roman"/>
          <w:sz w:val="28"/>
          <w:szCs w:val="28"/>
          <w:lang w:val="en-US" w:eastAsia="zh-CN"/>
        </w:rPr>
        <w:t>度年初预算0.00元，2025年度决算24,197,099.60元</w:t>
      </w:r>
      <w:bookmarkEnd w:id="0"/>
      <w:r>
        <w:rPr>
          <w:rFonts w:hint="eastAsia" w:ascii="仿宋_GB2312" w:hAnsi="Times New Roman" w:eastAsia="仿宋_GB2312" w:cs="Times New Roman"/>
          <w:sz w:val="28"/>
          <w:szCs w:val="28"/>
          <w:lang w:val="en-US" w:eastAsia="zh-CN"/>
        </w:rPr>
        <w:t>。主要原因：一是预算执行中按程序统筹资金，落实区级企业固定资产投资补助，主要用于中石油昆仑网电小园地铁公共充电桩项目等补助支出，该部分资金年初无预算；二是本年度按照项目实施进度，兑付2024年度重大投资项目前期规划谋划咨询服务费中期款及尾款、2025年度重大投资项目前期规划谋划咨询服务费首付款，项目按实结算支出有所增加；三是配合化解历史遗留问题，按要求划扣门头沟新城滨河森林公园项目涉案工程专项资金，相应增加当期支出。</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default"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4、“资源勘探工业信息等支出”（类）2025年度年初预算0.00元，2025年度决算33,220.00元。其中：</w:t>
      </w:r>
    </w:p>
    <w:p>
      <w:pPr>
        <w:keepNext w:val="0"/>
        <w:keepLines w:val="0"/>
        <w:pageBreakBefore w:val="0"/>
        <w:widowControl w:val="0"/>
        <w:tabs>
          <w:tab w:val="center" w:pos="6979"/>
        </w:tabs>
        <w:kinsoku/>
        <w:wordWrap/>
        <w:overflowPunct/>
        <w:topLinePunct w:val="0"/>
        <w:bidi w:val="0"/>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“制造业”2025年度年初预算0.00元，2025年度决算33,220.00元，主要原因：根据区统一安排，临时下达的项目资金，资金功能分类科目为其他制造业支出。</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（一）政府性基金预算财政拨款支出决算总体情况</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2025年度政府性基金预算财政拨款支出10,680,000.00元，主要用于以下方面（按大类）：城乡社区支出10,680,000.00元，占本年财政拨款支出16.3%。</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（二）政府性基金预算财政拨款支出决算具体情况</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“城乡社区支出”（类）2025年度年初预算0.00元，2025年度决算10,680,000.00元。其中：</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国有土地使用权出让收入安排的支出”2025年度年初预算0.00元，2025年度决算10,680,000.00元，该项目为本年度预算执行过程中，为区内符合条件企业安排固定资产投资补助，资金性质为政府性基金预算，相关预算指标于本年度下达，资金按程序审核拨付至相关企业。</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本年度无此项支出。</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黑体" w:eastAsia="黑体"/>
          <w:b/>
          <w:sz w:val="28"/>
          <w:szCs w:val="28"/>
        </w:rPr>
      </w:pPr>
      <w:r>
        <w:rPr>
          <w:rFonts w:hint="eastAsia" w:ascii="黑体" w:eastAsia="黑体"/>
          <w:b/>
          <w:sz w:val="28"/>
          <w:szCs w:val="28"/>
        </w:rPr>
        <w:t>七、财政拨款基本支出决算情况说明</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使用一般公共预算财政拨款安排基本支出19,958,011.53元，使用政府性基金财政拨款安排基本支出0.00元，（1）工资福利支出包括基本工资、津贴补贴、奖金、伙食补助费、绩效工资、其他社会保障缴费、其他工资福利等支出；（2）商品和服务支出包括办公费、印刷费、手续费、水费、电费、邮电费、取暖费、物业管理费、差旅费、因公出国（境）费、维修（护）费、租赁费、会议费、培训费、公务接待费、专用材料费、劳务费、委托业务费、工会经费、福利费、公务用车运行维护费、其他交通费用、其他商品和服务等支出；（3）对个人和家庭补助支出包括离休费、退休费、抚恤金、生活补助、救济费、医疗费补助、助学金、奖励金、其他对个人和家庭的补助等支出。（4）其他资本性支出包括办公设备购置、专用设备购置等。</w:t>
      </w:r>
    </w:p>
    <w:p>
      <w:pPr>
        <w:tabs>
          <w:tab w:val="center" w:pos="6979"/>
        </w:tabs>
        <w:spacing w:line="58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ascii="黑体" w:eastAsia="黑体"/>
          <w:sz w:val="28"/>
          <w:szCs w:val="28"/>
        </w:rPr>
      </w:pPr>
      <w:r>
        <w:rPr>
          <w:rFonts w:hint="eastAsia" w:ascii="黑体" w:eastAsia="黑体"/>
          <w:sz w:val="28"/>
          <w:szCs w:val="28"/>
        </w:rPr>
        <w:t>一、“三公”经费财政拨款决算情况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2025年度“三公”经费财政拨款决算数7,966.32元，比2025年度“三公”经费财政拨款年初预算77,416元减少69,449.68元。其中：</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1.因公出国（境）费用。2025年度决算数0.00元，与2025年度年初预算数0.00元保持一致。主要原因：本年度未开展因公出国（境）活动；</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2.公务接待费。2025年度决算数0.00元，比2025年度年初预算数41,416.00元减少41,416.00元。主要原因：本年度未开展公务接待活动；</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3.公务用车购置及运行维护费。2025年度决算数7,966.32元，比2025年度年初预算数36,000.00元减少28,033.68元。其中，公务用车购置费2025年度决算数0.00元。公务用车运行维护费2025年度决算数7,966.32元，主要原因：加强对车辆的管理，合理规划用车任务，降低燃油费、维修费等支出。2025年度公务用车保有量2辆。</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黑体" w:eastAsia="黑体"/>
          <w:sz w:val="28"/>
          <w:szCs w:val="28"/>
        </w:rPr>
      </w:pPr>
      <w:r>
        <w:rPr>
          <w:rFonts w:hint="eastAsia" w:ascii="黑体" w:eastAsia="黑体"/>
          <w:sz w:val="28"/>
          <w:szCs w:val="28"/>
        </w:rPr>
        <w:t>二、机关运行经费支出情况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机关运行经费支出合计1,451,915.57元，比上年减少462,851.67元，减少原因：主要为规范预算经济分类科目使用，将原在劳务费中列支的社会化用工工资及管理费，按规定调整至其他工资福利支出科目中核算，导致机关运行经费较上年度大幅度下降。</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黑体" w:eastAsia="黑体"/>
          <w:sz w:val="28"/>
          <w:szCs w:val="28"/>
        </w:rPr>
      </w:pPr>
      <w:r>
        <w:rPr>
          <w:rFonts w:hint="eastAsia" w:ascii="黑体" w:eastAsia="黑体"/>
          <w:sz w:val="28"/>
          <w:szCs w:val="28"/>
        </w:rPr>
        <w:t>三、政府采购支出情况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政府采购支出总额23,623,877.32元，其中：政府采购货物支出150,246.00元，政府采购工程支出0.00元，政府采购服务支出23,473,631.32元。授予中小企业合同金额1,958,418.00元，占政府采购支出总额的8.3%，其中：授予小微企业合同金额1,958,418.00元，占政府采购支出总额的8.3%。</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黑体" w:eastAsia="黑体"/>
          <w:sz w:val="28"/>
          <w:szCs w:val="28"/>
          <w:highlight w:val="yellow"/>
        </w:rPr>
      </w:pPr>
      <w:r>
        <w:rPr>
          <w:rFonts w:hint="eastAsia" w:ascii="黑体" w:eastAsia="黑体"/>
          <w:sz w:val="28"/>
          <w:szCs w:val="28"/>
        </w:rPr>
        <w:t>四、国有资产占用情况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仿宋_GB2312" w:eastAsia="仿宋_GB2312"/>
          <w:sz w:val="32"/>
          <w:szCs w:val="32"/>
        </w:rPr>
      </w:pPr>
      <w:r>
        <w:rPr>
          <w:rFonts w:hint="eastAsia" w:ascii="仿宋_GB2312" w:eastAsia="仿宋_GB2312"/>
          <w:sz w:val="28"/>
          <w:szCs w:val="28"/>
        </w:rPr>
        <w:t>截至12月31日，北京市门头沟区发展和改革委员会（部门）共有车辆4台；单位价值100</w:t>
      </w:r>
      <w:r>
        <w:rPr>
          <w:rFonts w:hint="eastAsia" w:ascii="仿宋_GB2312" w:eastAsia="仿宋_GB2312"/>
          <w:sz w:val="28"/>
          <w:szCs w:val="28"/>
          <w:lang w:val="en-US" w:eastAsia="zh-CN"/>
        </w:rPr>
        <w:t>万</w:t>
      </w:r>
      <w:r>
        <w:rPr>
          <w:rFonts w:hint="eastAsia" w:ascii="仿宋_GB2312" w:eastAsia="仿宋_GB2312"/>
          <w:sz w:val="28"/>
          <w:szCs w:val="28"/>
        </w:rPr>
        <w:t>元（含）以上的设备0台（套）。</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1.基本支出：指为保障机构正常运转、完成日常工作任务而发生的人员支出和公用支出。</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2.项目支出：指在基本支出之外为完成特定行政任务或事业发展目标所发生的支出。</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3.“三公”经费：是指单位通过财政拨款资金安排的因公出国（境）费、公务用车购置及运行费和公务接待费。</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5.政府采购：指各级国家机关、事业单位和团体组织，使用财政性资金采购依法制定的集中目录以内的或者采购限额标准以上的货物、工程和服务的行为，是规范财政支出管理和强化预算约束的有效措施。</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6.各单位需根据自身业务职能，补充当年使用的所有支出功能分类项级科目名词解释，例如：</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7.一般公共服务支出：反映政府提供一般公共服务的支出；社会和保障就业支出：反映政府在社会保障与就业方面的支出；节能环保支出：反映政府节能环保支出；城乡社区支出：反映政府城乡社区管理事务支出。</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rPr>
      </w:pPr>
      <w:bookmarkStart w:id="1" w:name="_Toc268005759"/>
      <w:bookmarkStart w:id="2" w:name="_Toc263686375"/>
      <w:r>
        <w:rPr>
          <w:rFonts w:hint="eastAsia" w:ascii="仿宋_GB2312" w:eastAsia="仿宋_GB2312"/>
          <w:sz w:val="28"/>
          <w:szCs w:val="28"/>
        </w:rPr>
        <w:t>1.部门职责情况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贯彻落实国家和北京市关于国民经济和社会发展、经济体制改革的法律、法规、规章和政策，拟定本区国民经济和社会发展中长期和年度计划，协调相关部门编制专项规划，并组织实施。根据北京市宏观调控要求，统筹协调经济社会发展，研究提出本区经济社会发展、经济结构调整的目标和措施，提出综合运用各种调控手段的建议。受区政府委托，向区人民代表大会报告本区国民经济和社会发展计划及执行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（2）负责研究分析经济形势和社会发展态势，监测预测本区国民经济运行情况，综合研究并协调本区国民经济与社会发展方面的重大问题，提出措施与建议。</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（3）负责研究全区经济和社会发展前瞻性和经济体制改革的重要问题，组织拟订综合性经济体制改革方案，协调专项经济体制改革方案。协调经济体制改革试点工作。负责人口调控综合协调工作。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4）负责组织制定全区重点建设项目计划，监测重点项目建设进展情况，协调重点项目建设的相关问题。拟订全社会固定资产投资总规模和投资结构的调控目标及措施，引导民间投资方向。按国家及市政府规定权限审批、核准、备案、审核和上报固定资产投资建设项目、外资项目、境外投资项目。指导和协调招标工作。推进可持续发展战略，参加本区土地利用总体规划和土地供应计划的编制。</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5）统筹规划和综合协调产业发展，推进本区经济结构调整。组织拟订综合性产业政策，做好与国民经济和社会发展规划、计划衔接平衡。统筹推进服务发展，会同有关部门拟订区域产业定位及相关发展规划。组织实施节能监察等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6）承担本区政府权限范围内的价格管理责任。负责监测分析相应领域的价格运行情况，审核、上报由区政府管理的重要收费标准，并组织实施。对本区价格政策的执行情况提出相关建议，负责价格认证相关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7）负责本区社会发展与国民经济发展的衔接平衡，组织拟订社会发展战略、总体规划和年度计划。参与拟订本社会公共服务事业等发展政策，推进社会事业建设，参与研究提出本区促进就业、完善社会保障与经济协调发展等建议，协调社会事业发展和改革的重大问题。</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（8）负责组织拟订本区基础施设发展战略、中长期规划并协调实施。研究分析区域内基础施设方面的发展状况，提出相关政策建议。负责研究提出城乡经济协调发展的战略和措施建议。</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（9）负责组织拟定本区国民经济动员预案，完成市经济动员办公室及区国防动员委员会交办的其它任务。负责区域经济合作工作。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（10）贯彻落实国家和北京市关于金融方面的法律、法规、规章和政策。研究拟订本区金融业发展规划和政策措施，并组织实施。指导、推动本区金融市场体系建设和发展，组织推进多层次资本市场发展。</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（11）负责本区公共资源交易场所服务管理工作。研究制定本区公共资源交易场所服务管理标准、细则。负责中介服务网上交易平台和公共资源交易综合分台场所的建设、运行和服务管理工作。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（12）贯彻落实粮食流通和物资储备管理方面的法规、规章，组织研究相关重大问题。承担本区粮食流通和物资储备体制改革工作。拟订本区粮食储备储存的布局、购销及轮换计划和动用方案并组织实施。</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13）负责拟订全区优化营商环境工作方案及年度工作计划并组织实施，研究提出深化营商环境改革相关政策建议。负责统筹本区营商环境、企业扶持等政策发布，拟定全区重点企业“服务包”工作方案及年度计划并组织落实。</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rPr>
      </w:pPr>
      <w:r>
        <w:rPr>
          <w:rFonts w:hint="eastAsia" w:ascii="仿宋_GB2312" w:eastAsia="仿宋_GB2312" w:cs="Times New Roman"/>
          <w:sz w:val="28"/>
          <w:szCs w:val="28"/>
          <w:lang w:val="en-US" w:eastAsia="zh-CN"/>
        </w:rPr>
        <w:t>（14）完成区委、区政府交办的其他任务。</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rPr>
      </w:pPr>
      <w:r>
        <w:rPr>
          <w:rFonts w:hint="eastAsia" w:ascii="仿宋_GB2312" w:eastAsia="仿宋_GB2312"/>
          <w:sz w:val="28"/>
          <w:szCs w:val="28"/>
        </w:rPr>
        <w:t>2.部门机构设置情况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rPr>
      </w:pPr>
      <w:r>
        <w:rPr>
          <w:rFonts w:hint="eastAsia" w:ascii="仿宋_GB2312" w:eastAsia="仿宋_GB2312" w:cs="Times New Roman"/>
          <w:sz w:val="28"/>
          <w:szCs w:val="28"/>
          <w:lang w:val="en-US" w:eastAsia="zh-CN"/>
        </w:rPr>
        <w:t>本部门共设11个内设机构，下设4个财政全额拨款事业单位，分别为北京市门头沟区价格认证中心、北京市门头沟区金融发展促进中心、北京市门头沟区区域协同发展促进中心、北京市门头沟区优化营商环境促进中心。</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rPr>
      </w:pPr>
      <w:r>
        <w:rPr>
          <w:rFonts w:hint="eastAsia" w:ascii="仿宋_GB2312" w:eastAsia="仿宋_GB2312"/>
          <w:sz w:val="28"/>
          <w:szCs w:val="28"/>
        </w:rPr>
        <w:t>3.2025年主要工作任务</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2025年,本单位紧紧围绕区域中心工作，以高度的政治自觉和务实的行动举措，统筹推进各项事业发展，在多个关键领域取得显著成效，圆满完成了年度既定目标。</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（1）强化政治引领，自身建设取得扎实进展</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本单位将作风建设与巡视整改作为首要政治任务，通过系统性的学习研讨、警示教育与廉政谈话，全面强化规矩意识与担当精神，成功完成巡察整改，并以整改实效推动内部管理革新与工作效能提升。</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（2）聚力中心任务，经济发展与灾后重建实现双突破</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面对复杂形</w:t>
      </w:r>
      <w:bookmarkStart w:id="6" w:name="_GoBack"/>
      <w:bookmarkEnd w:id="6"/>
      <w:r>
        <w:rPr>
          <w:rFonts w:hint="eastAsia" w:ascii="仿宋_GB2312" w:eastAsia="仿宋_GB2312" w:cs="Times New Roman"/>
          <w:sz w:val="28"/>
          <w:szCs w:val="28"/>
          <w:lang w:val="en-US" w:eastAsia="zh-CN"/>
        </w:rPr>
        <w:t>势，本单位牢牢锚定高质量发展目标，实现区域经济稳健运行。全年实现GDP同比增长5.2%，超额完成市级任务；规上企业新增68家，总数达630家。在灾后重建方面，114个恢复重建项目统筹有力，81个“三年全面提升”项目完工率达71.6%，区域振兴基础得到切实巩固。项目建设成效显著，谋划生成超200亿元重大投资项目，区级重点工程开工率达85.8%。</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（3）勇于开拓创新，资金赋能与金融改革激发新动能</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全年成功争取国家及市级资金38.83亿元，为区域发展提供了强有力的资金保障。在金融领域大胆探索，创新推出全国首笔自然景物数据资产质押融资等金融产品，建设科技金融京西试验区，依托政府产业引导基金设立子基金支持区域三大产业发展，初步构建起服务科技企业的特色投融资体系，为培育新质生产力注入金融活水。</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（4）坚持前瞻布局，长远发展规划编制基本成型</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高质量推进“十五五”规划编制，构建了“1+24”专项规划体系。坚持开门问策，广泛吸纳公众意见，截至年底已形成规划纲要草案，明确了未来五年的发展目标与核心任务，为区域长远发展擘画了科学蓝图。</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（5）厚植为民情怀，民生保障与社会治理水平稳步提升</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在民生领域多点发力：高质量完成对口支援与合作任务，助力消费帮扶超2亿元；“疏解整治促提升”任务进度达91.1%；牢牢守住粮食安全底线，保障了生活必需品价格稳定；同时，有效开展企业风险监测与非法金融活动防范，维护了区域经济社会的安全稳定。</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（6）深化改革开放，营商环境系统性持续优化</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以“2+10+N”改革体系为抓手，制定182项具体任务，系统性优化营商环境。通过“服务包”等机制精准服务企业，诉求办结率与满意率均接近100%，并成功推动一批高质量项目与机构落地。全市首个特定区域开发（VEP）试点项目取得关键进展，成为改革创新的亮点。</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32"/>
          <w:szCs w:val="32"/>
        </w:rPr>
      </w:pPr>
      <w:r>
        <w:rPr>
          <w:rFonts w:hint="eastAsia" w:ascii="仿宋_GB2312" w:eastAsia="仿宋_GB2312" w:cs="Times New Roman"/>
          <w:sz w:val="28"/>
          <w:szCs w:val="28"/>
          <w:lang w:val="en-US" w:eastAsia="zh-CN"/>
        </w:rPr>
        <w:t>总之，本单位在2025年履职尽责、担当作为，各项工作均取得积极进展，为区域全面振兴与高质量发展奠定了坚实基础。</w:t>
      </w:r>
      <w:bookmarkEnd w:id="1"/>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4.部门整体绩效目标设立情况</w:t>
      </w:r>
    </w:p>
    <w:tbl>
      <w:tblPr>
        <w:tblStyle w:val="11"/>
        <w:tblW w:w="9243" w:type="dxa"/>
        <w:jc w:val="center"/>
        <w:tblLayout w:type="fixed"/>
        <w:tblCellMar>
          <w:top w:w="0" w:type="dxa"/>
          <w:left w:w="108" w:type="dxa"/>
          <w:bottom w:w="0" w:type="dxa"/>
          <w:right w:w="108" w:type="dxa"/>
        </w:tblCellMar>
      </w:tblPr>
      <w:tblGrid>
        <w:gridCol w:w="926"/>
        <w:gridCol w:w="2224"/>
        <w:gridCol w:w="1151"/>
        <w:gridCol w:w="2175"/>
        <w:gridCol w:w="1328"/>
        <w:gridCol w:w="1439"/>
      </w:tblGrid>
      <w:tr>
        <w:tblPrEx>
          <w:tblCellMar>
            <w:top w:w="0" w:type="dxa"/>
            <w:left w:w="108" w:type="dxa"/>
            <w:bottom w:w="0" w:type="dxa"/>
            <w:right w:w="108" w:type="dxa"/>
          </w:tblCellMar>
        </w:tblPrEx>
        <w:trPr>
          <w:trHeight w:val="283" w:hRule="atLeast"/>
          <w:jc w:val="center"/>
        </w:trPr>
        <w:tc>
          <w:tcPr>
            <w:tcW w:w="92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jc w:val="center"/>
              <w:textAlignment w:val="auto"/>
              <w:rPr>
                <w:rFonts w:ascii="仿宋_GB2312" w:hAnsi="仿宋" w:eastAsia="仿宋_GB2312" w:cs="Times New Roman"/>
                <w:sz w:val="15"/>
                <w:szCs w:val="15"/>
              </w:rPr>
            </w:pPr>
            <w:r>
              <w:rPr>
                <w:rFonts w:hint="eastAsia" w:ascii="仿宋_GB2312" w:hAnsi="仿宋" w:eastAsia="仿宋_GB2312" w:cs="Times New Roman"/>
                <w:sz w:val="15"/>
                <w:szCs w:val="15"/>
              </w:rPr>
              <w:t>序号</w:t>
            </w:r>
          </w:p>
        </w:tc>
        <w:tc>
          <w:tcPr>
            <w:tcW w:w="2224" w:type="dxa"/>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hint="eastAsia" w:ascii="仿宋_GB2312" w:hAnsi="仿宋" w:eastAsia="仿宋_GB2312" w:cs="Times New Roman"/>
                <w:sz w:val="15"/>
                <w:szCs w:val="15"/>
              </w:rPr>
              <w:t>三级指标</w:t>
            </w:r>
          </w:p>
        </w:tc>
        <w:tc>
          <w:tcPr>
            <w:tcW w:w="1151" w:type="dxa"/>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hint="eastAsia" w:ascii="仿宋_GB2312" w:hAnsi="仿宋" w:eastAsia="仿宋_GB2312" w:cs="Times New Roman"/>
                <w:sz w:val="15"/>
                <w:szCs w:val="15"/>
              </w:rPr>
              <w:t>指标性质</w:t>
            </w:r>
          </w:p>
        </w:tc>
        <w:tc>
          <w:tcPr>
            <w:tcW w:w="2175" w:type="dxa"/>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hint="eastAsia" w:ascii="仿宋_GB2312" w:hAnsi="仿宋" w:eastAsia="仿宋_GB2312" w:cs="Times New Roman"/>
                <w:sz w:val="15"/>
                <w:szCs w:val="15"/>
              </w:rPr>
              <w:t>指标值</w:t>
            </w:r>
          </w:p>
        </w:tc>
        <w:tc>
          <w:tcPr>
            <w:tcW w:w="1328"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hint="eastAsia" w:ascii="仿宋_GB2312" w:hAnsi="仿宋" w:eastAsia="仿宋_GB2312" w:cs="Times New Roman"/>
                <w:sz w:val="15"/>
                <w:szCs w:val="15"/>
              </w:rPr>
              <w:t>度量单位</w:t>
            </w:r>
          </w:p>
        </w:tc>
        <w:tc>
          <w:tcPr>
            <w:tcW w:w="1439"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hint="eastAsia" w:ascii="仿宋_GB2312" w:hAnsi="仿宋" w:eastAsia="仿宋_GB2312" w:cs="Times New Roman"/>
                <w:sz w:val="15"/>
                <w:szCs w:val="15"/>
              </w:rPr>
              <w:t>指标权重</w:t>
            </w:r>
          </w:p>
        </w:tc>
      </w:tr>
      <w:tr>
        <w:tblPrEx>
          <w:tblCellMar>
            <w:top w:w="0" w:type="dxa"/>
            <w:left w:w="108" w:type="dxa"/>
            <w:bottom w:w="0" w:type="dxa"/>
            <w:right w:w="108" w:type="dxa"/>
          </w:tblCellMar>
        </w:tblPrEx>
        <w:trPr>
          <w:trHeight w:val="283" w:hRule="atLeast"/>
          <w:jc w:val="center"/>
        </w:trPr>
        <w:tc>
          <w:tcPr>
            <w:tcW w:w="926"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ascii="仿宋_GB2312" w:hAnsi="仿宋" w:eastAsia="仿宋_GB2312" w:cs="Times New Roman"/>
                <w:sz w:val="15"/>
                <w:szCs w:val="15"/>
              </w:rPr>
              <w:t>1</w:t>
            </w:r>
          </w:p>
        </w:tc>
        <w:tc>
          <w:tcPr>
            <w:tcW w:w="222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jc w:val="both"/>
              <w:textAlignment w:val="auto"/>
              <w:rPr>
                <w:rFonts w:hint="default" w:ascii="仿宋_GB2312" w:hAnsi="仿宋" w:eastAsia="仿宋_GB2312" w:cs="Times New Roman"/>
                <w:sz w:val="15"/>
                <w:szCs w:val="15"/>
                <w:lang w:val="en-US"/>
              </w:rPr>
            </w:pPr>
            <w:r>
              <w:rPr>
                <w:rFonts w:hint="eastAsia" w:ascii="仿宋_GB2312" w:hAnsi="等线" w:eastAsia="仿宋_GB2312" w:cs="仿宋_GB2312"/>
                <w:i w:val="0"/>
                <w:iCs w:val="0"/>
                <w:color w:val="000000"/>
                <w:kern w:val="0"/>
                <w:sz w:val="15"/>
                <w:szCs w:val="15"/>
                <w:u w:val="none"/>
                <w:lang w:val="en-US" w:eastAsia="zh-CN" w:bidi="ar"/>
              </w:rPr>
              <w:t>数量指标-开展东西部协作和支援合作地区进行调研对接次数</w:t>
            </w:r>
          </w:p>
        </w:tc>
        <w:tc>
          <w:tcPr>
            <w:tcW w:w="1151" w:type="dxa"/>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仿宋" w:eastAsia="仿宋_GB2312" w:cs="Times New Roman"/>
                <w:sz w:val="15"/>
                <w:szCs w:val="15"/>
                <w:lang w:val="en-US" w:eastAsia="zh-CN"/>
              </w:rPr>
            </w:pPr>
            <w:r>
              <w:rPr>
                <w:rFonts w:hint="eastAsia" w:ascii="仿宋_GB2312" w:hAnsi="仿宋" w:eastAsia="仿宋_GB2312" w:cs="Times New Roman"/>
                <w:sz w:val="15"/>
                <w:szCs w:val="15"/>
                <w:lang w:val="en-US" w:eastAsia="zh-CN"/>
              </w:rPr>
              <w:t>≥</w:t>
            </w:r>
          </w:p>
        </w:tc>
        <w:tc>
          <w:tcPr>
            <w:tcW w:w="2175" w:type="dxa"/>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仿宋" w:eastAsia="仿宋_GB2312" w:cs="Times New Roman"/>
                <w:sz w:val="15"/>
                <w:szCs w:val="15"/>
                <w:lang w:val="en-US" w:eastAsia="zh-CN"/>
              </w:rPr>
            </w:pPr>
            <w:r>
              <w:rPr>
                <w:rFonts w:hint="eastAsia" w:ascii="仿宋_GB2312" w:hAnsi="仿宋" w:eastAsia="仿宋_GB2312" w:cs="Times New Roman"/>
                <w:sz w:val="15"/>
                <w:szCs w:val="15"/>
                <w:lang w:val="en-US" w:eastAsia="zh-CN"/>
              </w:rPr>
              <w:t>1</w:t>
            </w:r>
          </w:p>
        </w:tc>
        <w:tc>
          <w:tcPr>
            <w:tcW w:w="132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仿宋" w:eastAsia="仿宋_GB2312" w:cs="Times New Roman"/>
                <w:sz w:val="15"/>
                <w:szCs w:val="15"/>
                <w:lang w:val="en-US" w:eastAsia="zh-CN"/>
              </w:rPr>
            </w:pPr>
            <w:r>
              <w:rPr>
                <w:rFonts w:hint="eastAsia" w:ascii="仿宋_GB2312" w:hAnsi="仿宋" w:eastAsia="仿宋_GB2312" w:cs="Times New Roman"/>
                <w:sz w:val="15"/>
                <w:szCs w:val="15"/>
                <w:lang w:val="en-US" w:eastAsia="zh-CN"/>
              </w:rPr>
              <w:t>次</w:t>
            </w:r>
          </w:p>
        </w:tc>
        <w:tc>
          <w:tcPr>
            <w:tcW w:w="143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仿宋" w:eastAsia="仿宋_GB2312" w:cs="Times New Roman"/>
                <w:sz w:val="15"/>
                <w:szCs w:val="15"/>
                <w:lang w:val="en-US" w:eastAsia="zh-CN"/>
              </w:rPr>
            </w:pPr>
            <w:r>
              <w:rPr>
                <w:rFonts w:hint="eastAsia" w:ascii="仿宋_GB2312" w:hAnsi="仿宋" w:eastAsia="仿宋_GB2312" w:cs="Times New Roman"/>
                <w:sz w:val="15"/>
                <w:szCs w:val="15"/>
                <w:lang w:val="en-US" w:eastAsia="zh-CN"/>
              </w:rPr>
              <w:t>20</w:t>
            </w:r>
          </w:p>
        </w:tc>
      </w:tr>
      <w:tr>
        <w:tblPrEx>
          <w:tblCellMar>
            <w:top w:w="0" w:type="dxa"/>
            <w:left w:w="108" w:type="dxa"/>
            <w:bottom w:w="0" w:type="dxa"/>
            <w:right w:w="108" w:type="dxa"/>
          </w:tblCellMar>
        </w:tblPrEx>
        <w:trPr>
          <w:trHeight w:val="283" w:hRule="atLeast"/>
          <w:jc w:val="center"/>
        </w:trPr>
        <w:tc>
          <w:tcPr>
            <w:tcW w:w="926"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ascii="仿宋_GB2312" w:hAnsi="仿宋" w:eastAsia="仿宋_GB2312" w:cs="Times New Roman"/>
                <w:sz w:val="15"/>
                <w:szCs w:val="15"/>
              </w:rPr>
              <w:t>2</w:t>
            </w:r>
          </w:p>
        </w:tc>
        <w:tc>
          <w:tcPr>
            <w:tcW w:w="222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jc w:val="both"/>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数量指标-完成“十五五”规划《纲要（草案）》数量</w:t>
            </w:r>
          </w:p>
        </w:tc>
        <w:tc>
          <w:tcPr>
            <w:tcW w:w="1151"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w:t>
            </w:r>
          </w:p>
        </w:tc>
        <w:tc>
          <w:tcPr>
            <w:tcW w:w="2175"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1</w:t>
            </w:r>
          </w:p>
        </w:tc>
        <w:tc>
          <w:tcPr>
            <w:tcW w:w="1328"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份</w:t>
            </w:r>
          </w:p>
        </w:tc>
        <w:tc>
          <w:tcPr>
            <w:tcW w:w="1439"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20</w:t>
            </w:r>
          </w:p>
        </w:tc>
      </w:tr>
      <w:tr>
        <w:tblPrEx>
          <w:tblCellMar>
            <w:top w:w="0" w:type="dxa"/>
            <w:left w:w="108" w:type="dxa"/>
            <w:bottom w:w="0" w:type="dxa"/>
            <w:right w:w="108" w:type="dxa"/>
          </w:tblCellMar>
        </w:tblPrEx>
        <w:trPr>
          <w:trHeight w:val="283" w:hRule="atLeast"/>
          <w:jc w:val="center"/>
        </w:trPr>
        <w:tc>
          <w:tcPr>
            <w:tcW w:w="926"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100" w:lineRule="atLeast"/>
              <w:ind w:firstLine="300" w:firstLineChars="200"/>
              <w:jc w:val="center"/>
              <w:textAlignment w:val="auto"/>
              <w:rPr>
                <w:rFonts w:ascii="仿宋_GB2312" w:hAnsi="仿宋" w:eastAsia="仿宋_GB2312" w:cs="Times New Roman"/>
                <w:sz w:val="15"/>
                <w:szCs w:val="15"/>
              </w:rPr>
            </w:pPr>
            <w:r>
              <w:rPr>
                <w:rFonts w:ascii="仿宋_GB2312" w:hAnsi="仿宋" w:eastAsia="仿宋_GB2312" w:cs="Times New Roman"/>
                <w:sz w:val="15"/>
                <w:szCs w:val="15"/>
              </w:rPr>
              <w:t>3</w:t>
            </w:r>
          </w:p>
        </w:tc>
        <w:tc>
          <w:tcPr>
            <w:tcW w:w="222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jc w:val="both"/>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质量指标-项目评审合格率</w:t>
            </w:r>
          </w:p>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both"/>
              <w:textAlignment w:val="auto"/>
              <w:rPr>
                <w:rFonts w:hint="eastAsia" w:ascii="仿宋_GB2312" w:hAnsi="等线" w:eastAsia="仿宋_GB2312" w:cs="仿宋_GB2312"/>
                <w:i w:val="0"/>
                <w:iCs w:val="0"/>
                <w:color w:val="000000"/>
                <w:kern w:val="0"/>
                <w:sz w:val="15"/>
                <w:szCs w:val="15"/>
                <w:u w:val="none"/>
                <w:lang w:val="en-US" w:eastAsia="zh-CN" w:bidi="ar"/>
              </w:rPr>
            </w:pPr>
          </w:p>
        </w:tc>
        <w:tc>
          <w:tcPr>
            <w:tcW w:w="1151"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w:t>
            </w:r>
          </w:p>
        </w:tc>
        <w:tc>
          <w:tcPr>
            <w:tcW w:w="2175"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100</w:t>
            </w:r>
          </w:p>
        </w:tc>
        <w:tc>
          <w:tcPr>
            <w:tcW w:w="1328"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w:t>
            </w:r>
          </w:p>
        </w:tc>
        <w:tc>
          <w:tcPr>
            <w:tcW w:w="1439"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20</w:t>
            </w:r>
          </w:p>
        </w:tc>
      </w:tr>
      <w:tr>
        <w:tblPrEx>
          <w:tblCellMar>
            <w:top w:w="0" w:type="dxa"/>
            <w:left w:w="108" w:type="dxa"/>
            <w:bottom w:w="0" w:type="dxa"/>
            <w:right w:w="108" w:type="dxa"/>
          </w:tblCellMar>
        </w:tblPrEx>
        <w:trPr>
          <w:trHeight w:val="283" w:hRule="atLeast"/>
          <w:jc w:val="center"/>
        </w:trPr>
        <w:tc>
          <w:tcPr>
            <w:tcW w:w="926"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仿宋" w:eastAsia="仿宋_GB2312" w:cs="Times New Roman"/>
                <w:sz w:val="15"/>
                <w:szCs w:val="15"/>
                <w:lang w:val="en-US" w:eastAsia="zh-CN"/>
              </w:rPr>
              <w:t>4</w:t>
            </w:r>
          </w:p>
        </w:tc>
        <w:tc>
          <w:tcPr>
            <w:tcW w:w="222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both"/>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效益指标-项目审批管理</w:t>
            </w:r>
          </w:p>
        </w:tc>
        <w:tc>
          <w:tcPr>
            <w:tcW w:w="1151"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定性</w:t>
            </w:r>
          </w:p>
        </w:tc>
        <w:tc>
          <w:tcPr>
            <w:tcW w:w="2175"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项目审批按时办结率100%，政府性投资项目资金使用合规率100%</w:t>
            </w:r>
          </w:p>
        </w:tc>
        <w:tc>
          <w:tcPr>
            <w:tcW w:w="1328"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w:t>
            </w:r>
          </w:p>
        </w:tc>
        <w:tc>
          <w:tcPr>
            <w:tcW w:w="1439"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20</w:t>
            </w:r>
          </w:p>
        </w:tc>
      </w:tr>
      <w:tr>
        <w:tblPrEx>
          <w:tblCellMar>
            <w:top w:w="0" w:type="dxa"/>
            <w:left w:w="108" w:type="dxa"/>
            <w:bottom w:w="0" w:type="dxa"/>
            <w:right w:w="108" w:type="dxa"/>
          </w:tblCellMar>
        </w:tblPrEx>
        <w:trPr>
          <w:trHeight w:val="283" w:hRule="atLeast"/>
          <w:jc w:val="center"/>
        </w:trPr>
        <w:tc>
          <w:tcPr>
            <w:tcW w:w="926"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仿宋" w:eastAsia="仿宋_GB2312" w:cs="Times New Roman"/>
                <w:sz w:val="15"/>
                <w:szCs w:val="15"/>
                <w:lang w:val="en-US" w:eastAsia="zh-CN"/>
              </w:rPr>
              <w:t>5</w:t>
            </w:r>
          </w:p>
        </w:tc>
        <w:tc>
          <w:tcPr>
            <w:tcW w:w="222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both"/>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效益指标-基本经费</w:t>
            </w:r>
          </w:p>
        </w:tc>
        <w:tc>
          <w:tcPr>
            <w:tcW w:w="1151"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定性</w:t>
            </w:r>
          </w:p>
        </w:tc>
        <w:tc>
          <w:tcPr>
            <w:tcW w:w="2175"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及时足额保障干部职工工资、保险等，保障机关正常运转</w:t>
            </w:r>
          </w:p>
        </w:tc>
        <w:tc>
          <w:tcPr>
            <w:tcW w:w="1328"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w:t>
            </w:r>
          </w:p>
        </w:tc>
        <w:tc>
          <w:tcPr>
            <w:tcW w:w="1439"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100" w:lineRule="atLeast"/>
              <w:ind w:firstLine="300" w:firstLineChars="200"/>
              <w:jc w:val="center"/>
              <w:textAlignment w:val="auto"/>
              <w:rPr>
                <w:rFonts w:hint="default"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20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2025年全年预算数66,228,885.99元，其中，基本支出预算数19,958,011.53元，项目支出预算数46,270,874.46元。全年支出65,454,196.99元，其中，基本支出19,958,011.53元，项目支出45,496,185.46元。预算执行率为98.8%。                                 </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2025年年末结转结余资金总额为774,689.00元，全年支出预算数为66,228,885.99元，资金结转结余率为1.2%；2024年年末结转结余资金总额为774,689.00元，全年支出预算数为98,826,885.23元，资金结转结余率为0.8%；2025年度部门结转结余率较上一年上升0.4%。</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eastAsia="楷体_GB2312"/>
          <w:b/>
          <w:sz w:val="32"/>
          <w:szCs w:val="32"/>
        </w:rPr>
      </w:pPr>
      <w:r>
        <w:rPr>
          <w:rFonts w:hint="eastAsia" w:ascii="楷体_GB2312" w:eastAsia="楷体_GB2312"/>
          <w:b/>
          <w:sz w:val="32"/>
          <w:szCs w:val="32"/>
        </w:rPr>
        <w:t>（三）整体绩效目标实现情况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仿宋_GB2312" w:eastAsia="仿宋_GB2312"/>
          <w:sz w:val="28"/>
          <w:szCs w:val="28"/>
        </w:rPr>
      </w:pPr>
      <w:r>
        <w:rPr>
          <w:rFonts w:hint="eastAsia" w:ascii="仿宋_GB2312" w:eastAsia="仿宋_GB2312"/>
          <w:sz w:val="28"/>
          <w:szCs w:val="28"/>
        </w:rPr>
        <w:t>1.产出完成情况分析</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仿宋_GB2312" w:eastAsia="仿宋_GB2312"/>
          <w:sz w:val="28"/>
          <w:szCs w:val="28"/>
        </w:rPr>
      </w:pPr>
      <w:r>
        <w:rPr>
          <w:rFonts w:hint="eastAsia" w:ascii="仿宋_GB2312" w:eastAsia="仿宋_GB2312"/>
          <w:sz w:val="28"/>
          <w:szCs w:val="28"/>
        </w:rPr>
        <w:t>（1）产出数量</w:t>
      </w:r>
    </w:p>
    <w:tbl>
      <w:tblPr>
        <w:tblStyle w:val="11"/>
        <w:tblW w:w="9200" w:type="dxa"/>
        <w:tblInd w:w="108" w:type="dxa"/>
        <w:tblLayout w:type="autofit"/>
        <w:tblCellMar>
          <w:top w:w="0" w:type="dxa"/>
          <w:left w:w="108" w:type="dxa"/>
          <w:bottom w:w="0" w:type="dxa"/>
          <w:right w:w="108" w:type="dxa"/>
        </w:tblCellMar>
      </w:tblPr>
      <w:tblGrid>
        <w:gridCol w:w="800"/>
        <w:gridCol w:w="2100"/>
        <w:gridCol w:w="2100"/>
        <w:gridCol w:w="2100"/>
        <w:gridCol w:w="2100"/>
      </w:tblGrid>
      <w:tr>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15"/>
                <w:szCs w:val="15"/>
              </w:rPr>
            </w:pPr>
            <w:r>
              <w:rPr>
                <w:rFonts w:ascii="仿宋_GB2312" w:hAnsi="宋体" w:eastAsia="仿宋_GB2312" w:cs="宋体"/>
                <w:color w:val="000000"/>
                <w:kern w:val="0"/>
                <w:sz w:val="15"/>
                <w:szCs w:val="15"/>
              </w:rPr>
              <w:t>1</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等线" w:eastAsia="仿宋_GB2312" w:cs="仿宋_GB2312"/>
                <w:i w:val="0"/>
                <w:iCs w:val="0"/>
                <w:color w:val="000000"/>
                <w:kern w:val="0"/>
                <w:sz w:val="15"/>
                <w:szCs w:val="15"/>
                <w:u w:val="none"/>
                <w:lang w:val="en-US" w:eastAsia="zh-CN" w:bidi="ar"/>
              </w:rPr>
              <w:t>开展东西部协作和支援合作地区进行调研对接次数</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≥1次</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3次</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宋体" w:eastAsia="仿宋_GB2312" w:cs="宋体"/>
                <w:color w:val="000000"/>
                <w:kern w:val="0"/>
                <w:sz w:val="15"/>
                <w:szCs w:val="15"/>
                <w:lang w:val="en-US" w:eastAsia="zh-CN"/>
              </w:rPr>
            </w:pPr>
            <w:r>
              <w:rPr>
                <w:rFonts w:hint="eastAsia" w:ascii="仿宋_GB2312" w:hAnsi="宋体" w:eastAsia="仿宋_GB2312" w:cs="宋体"/>
                <w:color w:val="000000"/>
                <w:kern w:val="0"/>
                <w:sz w:val="15"/>
                <w:szCs w:val="15"/>
                <w:lang w:val="en-US" w:eastAsia="zh-CN"/>
              </w:rPr>
              <w:t>无偏差</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15"/>
                <w:szCs w:val="15"/>
              </w:rPr>
            </w:pPr>
            <w:r>
              <w:rPr>
                <w:rFonts w:ascii="仿宋_GB2312" w:hAnsi="宋体" w:eastAsia="仿宋_GB2312" w:cs="宋体"/>
                <w:color w:val="000000"/>
                <w:kern w:val="0"/>
                <w:sz w:val="15"/>
                <w:szCs w:val="15"/>
              </w:rPr>
              <w:t>2</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等线" w:eastAsia="仿宋_GB2312" w:cs="仿宋_GB2312"/>
                <w:i w:val="0"/>
                <w:iCs w:val="0"/>
                <w:color w:val="000000"/>
                <w:kern w:val="0"/>
                <w:sz w:val="15"/>
                <w:szCs w:val="15"/>
                <w:u w:val="none"/>
                <w:lang w:val="en-US" w:eastAsia="zh-CN" w:bidi="ar"/>
              </w:rPr>
              <w:t>完成“十五五”规划《纲要（草案）》数量</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1份</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1份</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无偏差</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15"/>
                <w:szCs w:val="15"/>
              </w:rPr>
            </w:pPr>
            <w:r>
              <w:rPr>
                <w:rFonts w:ascii="仿宋_GB2312" w:hAnsi="宋体" w:eastAsia="仿宋_GB2312" w:cs="宋体"/>
                <w:color w:val="000000"/>
                <w:kern w:val="0"/>
                <w:sz w:val="15"/>
                <w:szCs w:val="15"/>
              </w:rPr>
              <w:t>3</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等线" w:eastAsia="仿宋_GB2312" w:cs="仿宋_GB2312"/>
                <w:i w:val="0"/>
                <w:iCs w:val="0"/>
                <w:color w:val="000000"/>
                <w:kern w:val="0"/>
                <w:sz w:val="15"/>
                <w:szCs w:val="15"/>
                <w:u w:val="none"/>
                <w:lang w:val="en-US" w:eastAsia="zh-CN" w:bidi="ar"/>
              </w:rPr>
              <w:t>加强项目审批管理，把控项目投资成本，提高政府性投资项目投资效益，规范投资行为，加强成本管控，项目审批及时准确办结</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优</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优</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无偏差</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15"/>
                <w:szCs w:val="15"/>
                <w:lang w:eastAsia="zh-CN"/>
              </w:rPr>
            </w:pPr>
            <w:r>
              <w:rPr>
                <w:rFonts w:hint="eastAsia" w:ascii="仿宋_GB2312" w:hAnsi="宋体" w:eastAsia="仿宋_GB2312" w:cs="宋体"/>
                <w:color w:val="000000"/>
                <w:kern w:val="0"/>
                <w:sz w:val="15"/>
                <w:szCs w:val="15"/>
                <w:lang w:val="en-US" w:eastAsia="zh-CN"/>
              </w:rPr>
              <w:t>4</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_GB2312" w:hAnsi="等线" w:eastAsia="仿宋_GB2312" w:cs="仿宋_GB2312"/>
                <w:i w:val="0"/>
                <w:iCs w:val="0"/>
                <w:color w:val="000000"/>
                <w:kern w:val="0"/>
                <w:sz w:val="15"/>
                <w:szCs w:val="15"/>
                <w:u w:val="none"/>
                <w:lang w:val="en-US" w:eastAsia="zh-CN" w:bidi="ar"/>
              </w:rPr>
            </w:pPr>
            <w:r>
              <w:rPr>
                <w:rFonts w:hint="eastAsia" w:ascii="仿宋_GB2312" w:hAnsi="等线" w:eastAsia="仿宋_GB2312" w:cs="仿宋_GB2312"/>
                <w:i w:val="0"/>
                <w:iCs w:val="0"/>
                <w:color w:val="000000"/>
                <w:kern w:val="0"/>
                <w:sz w:val="15"/>
                <w:szCs w:val="15"/>
                <w:u w:val="none"/>
                <w:lang w:val="en-US" w:eastAsia="zh-CN" w:bidi="ar"/>
              </w:rPr>
              <w:t>项目评审合格率</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100%</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100%</w:t>
            </w:r>
          </w:p>
        </w:tc>
        <w:tc>
          <w:tcPr>
            <w:tcW w:w="210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color w:val="000000"/>
                <w:kern w:val="0"/>
                <w:sz w:val="15"/>
                <w:szCs w:val="15"/>
              </w:rPr>
            </w:pPr>
            <w:r>
              <w:rPr>
                <w:rFonts w:hint="eastAsia" w:ascii="仿宋_GB2312" w:hAnsi="宋体" w:eastAsia="仿宋_GB2312" w:cs="宋体"/>
                <w:color w:val="000000"/>
                <w:kern w:val="0"/>
                <w:sz w:val="15"/>
                <w:szCs w:val="15"/>
                <w:lang w:val="en-US" w:eastAsia="zh-CN"/>
              </w:rPr>
              <w:t>无偏差</w:t>
            </w:r>
          </w:p>
        </w:tc>
      </w:tr>
    </w:tbl>
    <w:p>
      <w:pPr>
        <w:pStyle w:val="9"/>
        <w:keepNext w:val="0"/>
        <w:keepLines w:val="0"/>
        <w:pageBreakBefore w:val="0"/>
        <w:widowControl w:val="0"/>
        <w:kinsoku/>
        <w:wordWrap/>
        <w:overflowPunct/>
        <w:topLinePunct w:val="0"/>
        <w:autoSpaceDE/>
        <w:autoSpaceDN/>
        <w:bidi w:val="0"/>
        <w:adjustRightInd/>
        <w:snapToGrid/>
        <w:spacing w:line="580" w:lineRule="exact"/>
        <w:ind w:left="0" w:leftChars="0" w:firstLine="560" w:firstLineChars="200"/>
        <w:jc w:val="both"/>
        <w:textAlignment w:val="auto"/>
        <w:rPr>
          <w:rFonts w:ascii="仿宋_GB2312" w:eastAsia="仿宋_GB2312"/>
          <w:sz w:val="28"/>
          <w:szCs w:val="28"/>
        </w:rPr>
      </w:pPr>
      <w:r>
        <w:rPr>
          <w:rFonts w:hint="eastAsia" w:ascii="仿宋_GB2312" w:eastAsia="仿宋_GB2312"/>
          <w:sz w:val="28"/>
          <w:szCs w:val="28"/>
        </w:rPr>
        <w:t>（2）产出质量</w:t>
      </w:r>
      <w:r>
        <w:rPr>
          <w:rFonts w:hint="eastAsia" w:ascii="仿宋_GB2312" w:eastAsia="仿宋_GB2312"/>
          <w:sz w:val="28"/>
          <w:szCs w:val="28"/>
          <w:lang w:eastAsia="zh-CN"/>
        </w:rPr>
        <w:t>：</w:t>
      </w:r>
      <w:r>
        <w:rPr>
          <w:rFonts w:hint="eastAsia" w:ascii="仿宋_GB2312" w:eastAsia="仿宋_GB2312"/>
          <w:sz w:val="28"/>
          <w:szCs w:val="28"/>
          <w:lang w:val="en-US" w:eastAsia="zh-CN"/>
        </w:rPr>
        <w:t>各类项目均达到既定标准，咨询服务类项目已全部通过验收，其余项目也均符合合同条款及行业标准，顺利通过验收，圆满完成年初设定的产出质量绩效目标；</w:t>
      </w:r>
    </w:p>
    <w:p>
      <w:pPr>
        <w:pStyle w:val="9"/>
        <w:keepNext w:val="0"/>
        <w:keepLines w:val="0"/>
        <w:pageBreakBefore w:val="0"/>
        <w:widowControl w:val="0"/>
        <w:kinsoku/>
        <w:wordWrap/>
        <w:overflowPunct/>
        <w:topLinePunct w:val="0"/>
        <w:autoSpaceDE/>
        <w:autoSpaceDN/>
        <w:bidi w:val="0"/>
        <w:adjustRightInd/>
        <w:snapToGrid/>
        <w:spacing w:line="580" w:lineRule="exact"/>
        <w:ind w:left="0" w:leftChars="0" w:firstLine="560" w:firstLineChars="200"/>
        <w:jc w:val="both"/>
        <w:textAlignment w:val="auto"/>
        <w:rPr>
          <w:rFonts w:hint="eastAsia" w:ascii="仿宋_GB2312" w:eastAsia="仿宋_GB2312"/>
          <w:sz w:val="28"/>
          <w:szCs w:val="28"/>
          <w:lang w:eastAsia="zh-CN"/>
        </w:rPr>
      </w:pPr>
      <w:r>
        <w:rPr>
          <w:rFonts w:hint="eastAsia" w:ascii="仿宋_GB2312" w:eastAsia="仿宋_GB2312"/>
          <w:sz w:val="28"/>
          <w:szCs w:val="28"/>
        </w:rPr>
        <w:t>（3）产出进度</w:t>
      </w:r>
      <w:r>
        <w:rPr>
          <w:rFonts w:hint="eastAsia" w:ascii="仿宋_GB2312" w:eastAsia="仿宋_GB2312"/>
          <w:sz w:val="28"/>
          <w:szCs w:val="28"/>
          <w:lang w:eastAsia="zh-CN"/>
        </w:rPr>
        <w:t>：</w:t>
      </w:r>
      <w:r>
        <w:rPr>
          <w:rFonts w:hint="eastAsia" w:ascii="仿宋_GB2312" w:eastAsia="仿宋_GB2312"/>
          <w:sz w:val="28"/>
          <w:szCs w:val="28"/>
          <w:lang w:val="en-US" w:eastAsia="zh-CN"/>
        </w:rPr>
        <w:t>全年各项重点工作均严格按照年初制定的工作计划及时间节点推进，多数工作按期完成、落地见效；个别项目因市级资金下达时间较晚、前期手续完善周期延长等客观因素，进度略有滞后，已及时制定整改推进方案，明确后续推进时限，确保尽快完成收尾工作；</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eastAsia="zh-CN"/>
        </w:rPr>
      </w:pPr>
      <w:r>
        <w:rPr>
          <w:rFonts w:hint="eastAsia" w:ascii="仿宋_GB2312" w:eastAsia="仿宋_GB2312"/>
          <w:sz w:val="28"/>
          <w:szCs w:val="28"/>
        </w:rPr>
        <w:t>（4）产出成本</w:t>
      </w:r>
      <w:r>
        <w:rPr>
          <w:rFonts w:hint="eastAsia" w:ascii="仿宋_GB2312" w:eastAsia="仿宋_GB2312"/>
          <w:sz w:val="28"/>
          <w:szCs w:val="28"/>
          <w:lang w:eastAsia="zh-CN"/>
        </w:rPr>
        <w:t>：</w:t>
      </w:r>
      <w:r>
        <w:rPr>
          <w:rFonts w:hint="eastAsia" w:ascii="仿宋_GB2312" w:eastAsia="仿宋_GB2312"/>
          <w:sz w:val="28"/>
          <w:szCs w:val="28"/>
          <w:lang w:val="en-US" w:eastAsia="zh-CN"/>
        </w:rPr>
        <w:t>所有经费均按照财政批复金额执行，特殊事项中，年初无预算、临时追加的项目，均已按照预算调整流程完成资金追加，确保经费使用合规、规范。</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仿宋_GB2312" w:eastAsia="仿宋_GB2312"/>
          <w:sz w:val="28"/>
          <w:szCs w:val="28"/>
        </w:rPr>
      </w:pPr>
      <w:r>
        <w:rPr>
          <w:rFonts w:hint="eastAsia" w:ascii="仿宋_GB2312" w:eastAsia="仿宋_GB2312"/>
          <w:sz w:val="28"/>
          <w:szCs w:val="28"/>
        </w:rPr>
        <w:t>2.效果实现情况分析</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default" w:ascii="仿宋_GB2312" w:eastAsia="仿宋_GB2312"/>
          <w:sz w:val="28"/>
          <w:szCs w:val="28"/>
          <w:lang w:val="en-US"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1</w:t>
      </w:r>
      <w:r>
        <w:rPr>
          <w:rFonts w:hint="eastAsia" w:ascii="仿宋_GB2312" w:eastAsia="仿宋_GB2312"/>
          <w:sz w:val="28"/>
          <w:szCs w:val="28"/>
          <w:lang w:eastAsia="zh-CN"/>
        </w:rPr>
        <w:t>）</w:t>
      </w:r>
      <w:r>
        <w:rPr>
          <w:rFonts w:hint="eastAsia" w:ascii="仿宋_GB2312" w:eastAsia="仿宋_GB2312"/>
          <w:sz w:val="28"/>
          <w:szCs w:val="28"/>
        </w:rPr>
        <w:t>经济效益</w:t>
      </w:r>
      <w:r>
        <w:rPr>
          <w:rFonts w:hint="eastAsia" w:ascii="仿宋_GB2312" w:eastAsia="仿宋_GB2312"/>
          <w:sz w:val="28"/>
          <w:szCs w:val="28"/>
          <w:lang w:eastAsia="zh-CN"/>
        </w:rPr>
        <w:t>：</w:t>
      </w:r>
      <w:r>
        <w:rPr>
          <w:rFonts w:hint="eastAsia" w:ascii="仿宋_GB2312" w:eastAsia="仿宋_GB2312"/>
          <w:sz w:val="28"/>
          <w:szCs w:val="28"/>
          <w:lang w:val="en-US" w:eastAsia="zh-CN"/>
        </w:rPr>
        <w:t>不涉及</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2</w:t>
      </w:r>
      <w:r>
        <w:rPr>
          <w:rFonts w:hint="eastAsia" w:ascii="仿宋_GB2312" w:eastAsia="仿宋_GB2312"/>
          <w:sz w:val="28"/>
          <w:szCs w:val="28"/>
          <w:lang w:eastAsia="zh-CN"/>
        </w:rPr>
        <w:t>）</w:t>
      </w:r>
      <w:r>
        <w:rPr>
          <w:rFonts w:hint="eastAsia" w:ascii="仿宋_GB2312" w:eastAsia="仿宋_GB2312"/>
          <w:sz w:val="28"/>
          <w:szCs w:val="28"/>
        </w:rPr>
        <w:t>社会效益</w:t>
      </w:r>
      <w:r>
        <w:rPr>
          <w:rFonts w:hint="eastAsia" w:ascii="仿宋_GB2312" w:eastAsia="仿宋_GB2312"/>
          <w:sz w:val="28"/>
          <w:szCs w:val="28"/>
          <w:lang w:eastAsia="zh-CN"/>
        </w:rPr>
        <w:t>：</w:t>
      </w:r>
      <w:r>
        <w:rPr>
          <w:rFonts w:hint="eastAsia" w:ascii="仿宋_GB2312" w:eastAsia="仿宋_GB2312"/>
          <w:sz w:val="28"/>
          <w:szCs w:val="28"/>
          <w:lang w:val="en-US" w:eastAsia="zh-CN"/>
        </w:rPr>
        <w:t>一是</w:t>
      </w:r>
      <w:r>
        <w:rPr>
          <w:rFonts w:hint="eastAsia" w:ascii="仿宋_GB2312" w:eastAsia="仿宋_GB2312"/>
          <w:sz w:val="28"/>
          <w:szCs w:val="28"/>
          <w:lang w:eastAsia="zh-CN"/>
        </w:rPr>
        <w:t>区域均衡发展：投入671.2万元实施帮扶项目11个，带动结对地区1700余人就业，消费帮扶销售2.08亿元，动员社会捐款703万元。“疏整促”17项市级任务进度91.1%，超去年同期0.3个百分点，城市品质持续提升；</w:t>
      </w:r>
      <w:r>
        <w:rPr>
          <w:rFonts w:hint="eastAsia" w:ascii="仿宋_GB2312" w:eastAsia="仿宋_GB2312"/>
          <w:sz w:val="28"/>
          <w:szCs w:val="28"/>
          <w:lang w:val="en-US" w:eastAsia="zh-CN"/>
        </w:rPr>
        <w:t>二是</w:t>
      </w:r>
      <w:r>
        <w:rPr>
          <w:rFonts w:hint="eastAsia" w:ascii="仿宋_GB2312" w:eastAsia="仿宋_GB2312"/>
          <w:sz w:val="28"/>
          <w:szCs w:val="28"/>
          <w:lang w:eastAsia="zh-CN"/>
        </w:rPr>
        <w:t>民生安全底线：完成储备粮轮换和质量检查，确保应急时“调得动用得上”；全区生活必需品价格保持全市较低位；</w:t>
      </w:r>
      <w:bookmarkStart w:id="4" w:name="OLE_LINK2"/>
      <w:r>
        <w:rPr>
          <w:rFonts w:hint="eastAsia" w:ascii="仿宋_GB2312" w:eastAsia="仿宋_GB2312"/>
          <w:sz w:val="28"/>
          <w:szCs w:val="28"/>
          <w:lang w:eastAsia="zh-CN"/>
        </w:rPr>
        <w:t>开展金融防非宣传307次，受众1.7万人次，稳妥化解3家高风险企业风险，守住安全底线；</w:t>
      </w:r>
      <w:bookmarkEnd w:id="4"/>
      <w:r>
        <w:rPr>
          <w:rFonts w:hint="eastAsia" w:ascii="仿宋_GB2312" w:eastAsia="仿宋_GB2312"/>
          <w:sz w:val="28"/>
          <w:szCs w:val="28"/>
          <w:lang w:val="en-US" w:eastAsia="zh-CN"/>
        </w:rPr>
        <w:t>三是</w:t>
      </w:r>
      <w:r>
        <w:rPr>
          <w:rFonts w:hint="eastAsia" w:ascii="仿宋_GB2312" w:eastAsia="仿宋_GB2312"/>
          <w:sz w:val="28"/>
          <w:szCs w:val="28"/>
          <w:lang w:eastAsia="zh-CN"/>
        </w:rPr>
        <w:t>应急韧性提升：统筹推进114个灾后重建项目，81个“三年提升”项目中58个已完工（完工率71.6%），受灾区域公共服务功能有效恢复；谋划重大项目超200亿元，为长远发展夯实基础；</w:t>
      </w:r>
      <w:r>
        <w:rPr>
          <w:rFonts w:hint="eastAsia" w:ascii="仿宋_GB2312" w:eastAsia="仿宋_GB2312"/>
          <w:sz w:val="28"/>
          <w:szCs w:val="28"/>
          <w:lang w:val="en-US" w:eastAsia="zh-CN"/>
        </w:rPr>
        <w:t>四是</w:t>
      </w:r>
      <w:r>
        <w:rPr>
          <w:rFonts w:hint="eastAsia" w:ascii="仿宋_GB2312" w:eastAsia="仿宋_GB2312"/>
          <w:sz w:val="28"/>
          <w:szCs w:val="28"/>
          <w:lang w:eastAsia="zh-CN"/>
        </w:rPr>
        <w:t>规划公众参与：“十五五”规划征集公众意见118条，60余条高质量建议被吸收进《纲要》草案，实现“开门编规划”。</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default" w:ascii="仿宋_GB2312" w:eastAsia="仿宋_GB2312"/>
          <w:sz w:val="28"/>
          <w:szCs w:val="28"/>
          <w:lang w:val="en-US"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3</w:t>
      </w:r>
      <w:r>
        <w:rPr>
          <w:rFonts w:hint="eastAsia" w:ascii="仿宋_GB2312" w:eastAsia="仿宋_GB2312"/>
          <w:sz w:val="28"/>
          <w:szCs w:val="28"/>
          <w:lang w:eastAsia="zh-CN"/>
        </w:rPr>
        <w:t>）</w:t>
      </w:r>
      <w:r>
        <w:rPr>
          <w:rFonts w:hint="eastAsia" w:ascii="仿宋_GB2312" w:eastAsia="仿宋_GB2312"/>
          <w:sz w:val="28"/>
          <w:szCs w:val="28"/>
        </w:rPr>
        <w:t>环境效益</w:t>
      </w:r>
      <w:r>
        <w:rPr>
          <w:rFonts w:hint="eastAsia" w:ascii="仿宋_GB2312" w:eastAsia="仿宋_GB2312"/>
          <w:sz w:val="28"/>
          <w:szCs w:val="28"/>
          <w:lang w:eastAsia="zh-CN"/>
        </w:rPr>
        <w:t>：</w:t>
      </w:r>
      <w:r>
        <w:rPr>
          <w:rFonts w:hint="eastAsia" w:ascii="仿宋_GB2312" w:eastAsia="仿宋_GB2312"/>
          <w:sz w:val="28"/>
          <w:szCs w:val="28"/>
          <w:lang w:val="en-US" w:eastAsia="zh-CN"/>
        </w:rPr>
        <w:t>不涉及</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default" w:ascii="仿宋_GB2312" w:eastAsia="仿宋_GB2312"/>
          <w:sz w:val="28"/>
          <w:szCs w:val="28"/>
          <w:lang w:val="en-US"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4</w:t>
      </w:r>
      <w:r>
        <w:rPr>
          <w:rFonts w:hint="eastAsia" w:ascii="仿宋_GB2312" w:eastAsia="仿宋_GB2312"/>
          <w:sz w:val="28"/>
          <w:szCs w:val="28"/>
          <w:lang w:eastAsia="zh-CN"/>
        </w:rPr>
        <w:t>）</w:t>
      </w:r>
      <w:r>
        <w:rPr>
          <w:rFonts w:hint="eastAsia" w:ascii="仿宋_GB2312" w:eastAsia="仿宋_GB2312"/>
          <w:sz w:val="28"/>
          <w:szCs w:val="28"/>
        </w:rPr>
        <w:t>可持续影响</w:t>
      </w:r>
      <w:r>
        <w:rPr>
          <w:rFonts w:hint="eastAsia" w:ascii="仿宋_GB2312" w:eastAsia="仿宋_GB2312"/>
          <w:sz w:val="28"/>
          <w:szCs w:val="28"/>
          <w:lang w:eastAsia="zh-CN"/>
        </w:rPr>
        <w:t>：</w:t>
      </w:r>
      <w:r>
        <w:rPr>
          <w:rFonts w:hint="eastAsia" w:ascii="仿宋_GB2312" w:eastAsia="仿宋_GB2312"/>
          <w:sz w:val="28"/>
          <w:szCs w:val="28"/>
          <w:lang w:val="en-US" w:eastAsia="zh-CN"/>
        </w:rPr>
        <w:t>不涉及</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5</w:t>
      </w:r>
      <w:r>
        <w:rPr>
          <w:rFonts w:hint="eastAsia" w:ascii="仿宋_GB2312" w:eastAsia="仿宋_GB2312"/>
          <w:sz w:val="28"/>
          <w:szCs w:val="28"/>
          <w:lang w:eastAsia="zh-CN"/>
        </w:rPr>
        <w:t>）</w:t>
      </w:r>
      <w:r>
        <w:rPr>
          <w:rFonts w:hint="eastAsia" w:ascii="仿宋_GB2312" w:eastAsia="仿宋_GB2312"/>
          <w:sz w:val="28"/>
          <w:szCs w:val="28"/>
        </w:rPr>
        <w:t>服务对象满意度</w:t>
      </w:r>
      <w:r>
        <w:rPr>
          <w:rFonts w:hint="eastAsia" w:ascii="仿宋_GB2312" w:eastAsia="仿宋_GB2312"/>
          <w:sz w:val="28"/>
          <w:szCs w:val="28"/>
          <w:lang w:eastAsia="zh-CN"/>
        </w:rPr>
        <w:t>：</w:t>
      </w:r>
      <w:r>
        <w:rPr>
          <w:rFonts w:hint="eastAsia" w:ascii="仿宋_GB2312" w:eastAsia="仿宋_GB2312"/>
          <w:sz w:val="28"/>
          <w:szCs w:val="28"/>
          <w:lang w:val="en-US" w:eastAsia="zh-CN"/>
        </w:rPr>
        <w:t>满意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eastAsia="楷体_GB2312"/>
          <w:b/>
          <w:sz w:val="32"/>
          <w:szCs w:val="32"/>
        </w:rPr>
      </w:pPr>
      <w:r>
        <w:rPr>
          <w:rFonts w:hint="eastAsia" w:ascii="楷体_GB2312" w:eastAsia="楷体_GB2312"/>
          <w:b/>
          <w:sz w:val="32"/>
          <w:szCs w:val="32"/>
        </w:rPr>
        <w:t>（四）预算管理情况分析</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1.财务管理</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2025年，我部门严格落实管理有序、保障有力、求实创新、统筹协调的财务管理工作要求，扎实推进各项财务服务与保障工作，为全区发展改革工作顺利开展提供坚实支撑。一是健全财务制度体系，夯实管理基础。围绕预算管理、收支管理、政府采购、资产管理、合同管理等关键领域，完善决策、执行、监督全流程财务制度体系。2025 年聚焦资金支出流程规范与合同管理提质，修订完善2项管理办法，进一步扎紧制度笼子，提升财政资金使用效益与规范化水平。二是严守资金使用底线，确保合规安全。严格执行资金支出审批流程，坚持谁主管、谁审批、谁负责原则，实行业务审批与财务审批并行管理，按权限规范履行经费审批程序，确保预算资金使用合法合规、精准高效。扎实开展内部控制评价与财务风险评估，聚焦事项决策、采购执行、经费结算、资产管理、合同签订等重点环节排查潜在风险，通过完善制度、健全机制、强化管控等措施，有效防范化解资金使用与管理各类风险。</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2.资产管理</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严格按照内控制度《北京市门头沟区发展和改革委固定资产管理办法》对我部门资产进行管理，明确职责分工，细化工作流程，建立固定资产购置、登记、发放、调拨、报废、清查的全过程监管机制。同时，系统梳理了资产管理过程中各岗位的职责分工和工作流程，对现行财务规章制度进行了梳理，确保资产管理工作有据可依、有章可循。</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3.绩效管理</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（1）预算绩效管理制度情况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根据财政支出绩效评价的工作要求，严格按照预算绩效管理有关规定，对照绩效目标，对预算执行过程以及资金使用和管理情况进行跟踪监控。各主责科室按照绩效目标，责任到人，提高支出执行的及时性、均衡性和有效性。在日常工作中及时掌握财政支出绩效目标的完成情况、实施进程和资金支出进度,与年初填报的项目绩效目标进行监控,对专项资金偏离预算绩效目标的支出,及时采取有效措施予以纠正,进一步规范专项资金使用绩效，办公室定期进行督办。</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（2）绩效目标管理情况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2025年部门预算项目9个，部门预算公开绩效目标的预算项目9个，占本部门全部预算项目的100%。</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（3）绩效自评情况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仿宋_GB2312" w:eastAsia="仿宋_GB2312"/>
          <w:sz w:val="28"/>
          <w:szCs w:val="28"/>
          <w:lang w:val="en-US" w:eastAsia="zh-CN"/>
        </w:rPr>
      </w:pPr>
      <w:r>
        <w:rPr>
          <w:rFonts w:hint="eastAsia" w:ascii="仿宋_GB2312" w:eastAsia="仿宋_GB2312"/>
          <w:sz w:val="28"/>
          <w:szCs w:val="28"/>
          <w:lang w:val="en-US" w:eastAsia="zh-CN"/>
        </w:rPr>
        <w:t>2025</w:t>
      </w:r>
      <w:r>
        <w:rPr>
          <w:rFonts w:hint="eastAsia" w:ascii="仿宋_GB2312" w:eastAsia="仿宋_GB2312"/>
          <w:sz w:val="28"/>
          <w:szCs w:val="28"/>
          <w:highlight w:val="none"/>
          <w:lang w:val="en-US" w:eastAsia="zh-CN"/>
        </w:rPr>
        <w:t>年对本部门及所属单位2024年项目支出实施了绩效自评，评价项目21个，涉及金额8,974.03万元。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eastAsia="楷体_GB2312"/>
          <w:b/>
          <w:sz w:val="32"/>
          <w:szCs w:val="32"/>
        </w:rPr>
      </w:pPr>
      <w:r>
        <w:rPr>
          <w:rFonts w:hint="eastAsia" w:ascii="楷体_GB2312" w:eastAsia="楷体_GB2312"/>
          <w:b/>
          <w:sz w:val="32"/>
          <w:szCs w:val="32"/>
        </w:rPr>
        <w:t>（五）总体评价结论</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1.评价得分情况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94</w:t>
      </w:r>
      <w:r>
        <w:rPr>
          <w:rFonts w:hint="eastAsia" w:ascii="仿宋_GB2312" w:eastAsia="仿宋_GB2312"/>
          <w:sz w:val="28"/>
          <w:szCs w:val="28"/>
        </w:rPr>
        <w:t>分</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lang w:val="en-US" w:eastAsia="zh-CN"/>
        </w:rPr>
      </w:pPr>
      <w:r>
        <w:rPr>
          <w:rFonts w:hint="eastAsia" w:ascii="仿宋_GB2312" w:eastAsia="仿宋_GB2312"/>
          <w:sz w:val="28"/>
          <w:szCs w:val="28"/>
        </w:rPr>
        <w:t>绩效自评等级：</w:t>
      </w:r>
      <w:r>
        <w:rPr>
          <w:rFonts w:hint="eastAsia" w:ascii="仿宋_GB2312" w:eastAsia="仿宋_GB2312"/>
          <w:sz w:val="28"/>
          <w:szCs w:val="28"/>
          <w:lang w:val="en-US" w:eastAsia="zh-CN"/>
        </w:rPr>
        <w:t>优秀</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四类评价等级：优秀（90（含）-100分）、良好80（含）-90分、一般60（含）-80分、较差60分以下</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2.存在的问题及原因分析</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eastAsia="仿宋_GB2312"/>
          <w:sz w:val="28"/>
          <w:szCs w:val="28"/>
        </w:rPr>
        <w:t>从本次绩效评价整体来看，</w:t>
      </w:r>
      <w:r>
        <w:rPr>
          <w:rFonts w:hint="eastAsia" w:ascii="仿宋_GB2312" w:eastAsia="仿宋_GB2312"/>
          <w:sz w:val="28"/>
          <w:szCs w:val="28"/>
          <w:lang w:val="en-US" w:eastAsia="zh-CN"/>
        </w:rPr>
        <w:t>我部门</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年度财政项目支出和任务开展操作规范、依据明确，能够紧紧围绕全委中心工作，合理安排项目推进步骤，科学使用各项预算经费，资金使用合规，项目效益</w:t>
      </w:r>
      <w:r>
        <w:rPr>
          <w:rFonts w:hint="eastAsia" w:ascii="仿宋_GB2312" w:eastAsia="仿宋_GB2312"/>
          <w:sz w:val="28"/>
          <w:szCs w:val="28"/>
          <w:lang w:val="en-US" w:eastAsia="zh-CN"/>
        </w:rPr>
        <w:t>明确</w:t>
      </w:r>
      <w:r>
        <w:rPr>
          <w:rFonts w:hint="eastAsia" w:ascii="仿宋_GB2312" w:eastAsia="仿宋_GB2312"/>
          <w:sz w:val="28"/>
          <w:szCs w:val="28"/>
        </w:rPr>
        <w:t>，为各项发展改革工作有序开展提供了有力支撑。但在绩效评价过程中，也发现个别绩效指标设置的系统性、完整性还不够强，需要进一步完善和改进。</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3.改进措施</w:t>
      </w:r>
    </w:p>
    <w:bookmarkEnd w:id="2"/>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lang w:val="en-US" w:eastAsia="zh-CN"/>
        </w:rPr>
        <w:t>一是</w:t>
      </w:r>
      <w:r>
        <w:rPr>
          <w:rFonts w:hint="eastAsia" w:ascii="仿宋_GB2312" w:eastAsia="仿宋_GB2312"/>
          <w:sz w:val="28"/>
          <w:szCs w:val="28"/>
        </w:rPr>
        <w:t>加强财政预算绩效管理理念及目标导向意识，科学填报项目总体目标及各项绩效指标，保证绩效目标的明确性、全面性、合理性、细化量化及可考量性。在预算调整后应及时调整绩效目标，充分发挥绩效评价结果导向性作用，提升财政资金的使用效益。</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lang w:val="en-US" w:eastAsia="zh-CN"/>
        </w:rPr>
        <w:t>二是</w:t>
      </w:r>
      <w:r>
        <w:rPr>
          <w:rFonts w:hint="eastAsia" w:ascii="仿宋_GB2312" w:eastAsia="仿宋_GB2312"/>
          <w:sz w:val="28"/>
          <w:szCs w:val="28"/>
        </w:rPr>
        <w:t>结合部门职责及历年支出情况，进一步细化具体的量化指标，梳理建立预算支出核心绩效指标及绩效标准，在编制</w:t>
      </w:r>
      <w:r>
        <w:rPr>
          <w:rFonts w:hint="eastAsia" w:ascii="仿宋_GB2312" w:eastAsia="仿宋_GB2312"/>
          <w:sz w:val="28"/>
          <w:szCs w:val="28"/>
          <w:lang w:val="en-US" w:eastAsia="zh-CN"/>
        </w:rPr>
        <w:t>年度</w:t>
      </w:r>
      <w:r>
        <w:rPr>
          <w:rFonts w:hint="eastAsia" w:ascii="仿宋_GB2312" w:eastAsia="仿宋_GB2312"/>
          <w:sz w:val="28"/>
          <w:szCs w:val="28"/>
        </w:rPr>
        <w:t>预算绩效目标时加以应用，努力实现绩效目标设定的规划化、系统化、全面化，做到申报目标与预算资金、实施效果相匹配。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二、项目支出绩效自评情况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2025年度区财政批复项目支出预算项目</w:t>
      </w:r>
      <w:r>
        <w:rPr>
          <w:rFonts w:hint="eastAsia" w:ascii="仿宋_GB2312" w:eastAsia="仿宋_GB2312"/>
          <w:sz w:val="28"/>
          <w:szCs w:val="28"/>
          <w:lang w:val="en-US" w:eastAsia="zh-CN"/>
        </w:rPr>
        <w:t>11</w:t>
      </w:r>
      <w:r>
        <w:rPr>
          <w:rFonts w:hint="eastAsia" w:ascii="仿宋_GB2312" w:eastAsia="仿宋_GB2312"/>
          <w:sz w:val="28"/>
          <w:szCs w:val="28"/>
        </w:rPr>
        <w:t>个，涉及金</w:t>
      </w:r>
      <w:r>
        <w:rPr>
          <w:rFonts w:hint="eastAsia" w:ascii="仿宋_GB2312" w:eastAsia="仿宋_GB2312"/>
          <w:sz w:val="28"/>
          <w:szCs w:val="28"/>
          <w:highlight w:val="none"/>
        </w:rPr>
        <w:t>额</w:t>
      </w:r>
      <w:r>
        <w:rPr>
          <w:rFonts w:hint="eastAsia" w:ascii="仿宋_GB2312" w:eastAsia="仿宋_GB2312"/>
          <w:sz w:val="28"/>
          <w:szCs w:val="28"/>
          <w:highlight w:val="none"/>
          <w:lang w:val="en-US" w:eastAsia="zh-CN"/>
        </w:rPr>
        <w:t>5,283,305.84</w:t>
      </w:r>
      <w:r>
        <w:rPr>
          <w:rFonts w:hint="eastAsia" w:ascii="仿宋_GB2312" w:eastAsia="仿宋_GB2312"/>
          <w:sz w:val="28"/>
          <w:szCs w:val="28"/>
          <w:highlight w:val="none"/>
        </w:rPr>
        <w:t>元</w:t>
      </w:r>
      <w:r>
        <w:rPr>
          <w:rFonts w:hint="eastAsia" w:ascii="仿宋_GB2312" w:eastAsia="仿宋_GB2312"/>
          <w:sz w:val="28"/>
          <w:szCs w:val="28"/>
          <w:highlight w:val="none"/>
          <w:lang w:val="en-US" w:eastAsia="zh-CN"/>
        </w:rPr>
        <w:t>(包含上年结转项目2个，金额1,281,267.44元）</w:t>
      </w:r>
      <w:r>
        <w:rPr>
          <w:rFonts w:hint="eastAsia" w:ascii="仿宋_GB2312" w:eastAsia="仿宋_GB2312"/>
          <w:sz w:val="28"/>
          <w:szCs w:val="28"/>
          <w:highlight w:val="none"/>
        </w:rPr>
        <w:t>。本次实施绩效自评项目</w:t>
      </w:r>
      <w:r>
        <w:rPr>
          <w:rFonts w:hint="eastAsia" w:ascii="仿宋_GB2312" w:eastAsia="仿宋_GB2312"/>
          <w:sz w:val="28"/>
          <w:szCs w:val="28"/>
          <w:highlight w:val="none"/>
          <w:lang w:val="en-US" w:eastAsia="zh-CN"/>
        </w:rPr>
        <w:t>22</w:t>
      </w:r>
      <w:r>
        <w:rPr>
          <w:rFonts w:hint="eastAsia" w:ascii="仿宋_GB2312" w:eastAsia="仿宋_GB2312"/>
          <w:sz w:val="28"/>
          <w:szCs w:val="28"/>
          <w:highlight w:val="none"/>
        </w:rPr>
        <w:t>个，涉及金额</w:t>
      </w:r>
      <w:r>
        <w:rPr>
          <w:rFonts w:hint="eastAsia" w:ascii="仿宋_GB2312" w:eastAsia="仿宋_GB2312"/>
          <w:sz w:val="28"/>
          <w:szCs w:val="28"/>
          <w:highlight w:val="none"/>
          <w:lang w:val="en-US" w:eastAsia="zh-CN"/>
        </w:rPr>
        <w:t>60,409,860.46元</w:t>
      </w:r>
      <w:r>
        <w:rPr>
          <w:rFonts w:hint="eastAsia" w:ascii="仿宋_GB2312" w:eastAsia="仿宋_GB2312"/>
          <w:sz w:val="28"/>
          <w:szCs w:val="28"/>
          <w:highlight w:val="none"/>
        </w:rPr>
        <w:t>。评价得分在90分（含90</w:t>
      </w:r>
      <w:r>
        <w:rPr>
          <w:rFonts w:hint="eastAsia" w:ascii="仿宋_GB2312" w:eastAsia="仿宋_GB2312"/>
          <w:sz w:val="28"/>
          <w:szCs w:val="28"/>
        </w:rPr>
        <w:t>分）以上的</w:t>
      </w:r>
      <w:r>
        <w:rPr>
          <w:rFonts w:hint="eastAsia" w:ascii="仿宋_GB2312" w:eastAsia="仿宋_GB2312"/>
          <w:sz w:val="28"/>
          <w:szCs w:val="28"/>
          <w:lang w:val="en-US" w:eastAsia="zh-CN"/>
        </w:rPr>
        <w:t>22</w:t>
      </w:r>
      <w:r>
        <w:rPr>
          <w:rFonts w:hint="eastAsia" w:ascii="仿宋_GB2312" w:eastAsia="仿宋_GB2312"/>
          <w:sz w:val="28"/>
          <w:szCs w:val="28"/>
        </w:rPr>
        <w:t>个，评价得分在80-90分（含80分）的</w:t>
      </w:r>
      <w:r>
        <w:rPr>
          <w:rFonts w:hint="eastAsia" w:ascii="仿宋_GB2312" w:eastAsia="仿宋_GB2312"/>
          <w:sz w:val="28"/>
          <w:szCs w:val="28"/>
          <w:lang w:val="en-US" w:eastAsia="zh-CN"/>
        </w:rPr>
        <w:t>0</w:t>
      </w:r>
      <w:r>
        <w:rPr>
          <w:rFonts w:hint="eastAsia" w:ascii="仿宋_GB2312" w:eastAsia="仿宋_GB2312"/>
          <w:sz w:val="28"/>
          <w:szCs w:val="28"/>
        </w:rPr>
        <w:t>个，评价得分在60-80分（含60分）的</w:t>
      </w:r>
      <w:r>
        <w:rPr>
          <w:rFonts w:hint="eastAsia" w:ascii="仿宋_GB2312" w:eastAsia="仿宋_GB2312"/>
          <w:sz w:val="28"/>
          <w:szCs w:val="28"/>
          <w:lang w:val="en-US" w:eastAsia="zh-CN"/>
        </w:rPr>
        <w:t>0</w:t>
      </w:r>
      <w:r>
        <w:rPr>
          <w:rFonts w:hint="eastAsia" w:ascii="仿宋_GB2312" w:eastAsia="仿宋_GB2312"/>
          <w:sz w:val="28"/>
          <w:szCs w:val="28"/>
        </w:rPr>
        <w:t>个，评价得分在60分以下的</w:t>
      </w:r>
      <w:r>
        <w:rPr>
          <w:rFonts w:hint="eastAsia" w:ascii="仿宋_GB2312" w:eastAsia="仿宋_GB2312"/>
          <w:sz w:val="28"/>
          <w:szCs w:val="28"/>
          <w:lang w:val="en-US" w:eastAsia="zh-CN"/>
        </w:rPr>
        <w:t>0</w:t>
      </w:r>
      <w:r>
        <w:rPr>
          <w:rFonts w:hint="eastAsia" w:ascii="仿宋_GB2312" w:eastAsia="仿宋_GB2312"/>
          <w:sz w:val="28"/>
          <w:szCs w:val="28"/>
        </w:rPr>
        <w:t>个。</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highlight w:val="none"/>
          <w:lang w:val="en-US" w:eastAsia="zh-CN"/>
        </w:rPr>
      </w:pPr>
      <w:bookmarkStart w:id="5" w:name="OLE_LINK1"/>
      <w:r>
        <w:rPr>
          <w:rFonts w:hint="eastAsia" w:ascii="仿宋_GB2312" w:eastAsia="仿宋_GB2312"/>
          <w:sz w:val="28"/>
          <w:szCs w:val="28"/>
          <w:highlight w:val="none"/>
          <w:lang w:val="en-US" w:eastAsia="zh-CN"/>
        </w:rPr>
        <w:t>详见附件1</w:t>
      </w:r>
      <w:bookmarkEnd w:id="5"/>
      <w:r>
        <w:rPr>
          <w:rFonts w:hint="eastAsia" w:ascii="仿宋_GB2312" w:eastAsia="仿宋_GB2312"/>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详见附件2。</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附件：1.重点支出项目绩效自评报告</w:t>
      </w:r>
    </w:p>
    <w:p>
      <w:pPr>
        <w:keepNext w:val="0"/>
        <w:keepLines w:val="0"/>
        <w:pageBreakBefore w:val="0"/>
        <w:widowControl w:val="0"/>
        <w:kinsoku/>
        <w:wordWrap/>
        <w:overflowPunct/>
        <w:topLinePunct w:val="0"/>
        <w:autoSpaceDE/>
        <w:autoSpaceDN/>
        <w:bidi w:val="0"/>
        <w:adjustRightInd/>
        <w:snapToGrid/>
        <w:spacing w:line="580" w:lineRule="exact"/>
        <w:ind w:firstLine="1400" w:firstLineChars="500"/>
        <w:textAlignment w:val="auto"/>
        <w:rPr>
          <w:rFonts w:hint="eastAsia" w:ascii="仿宋_GB2312" w:eastAsia="仿宋_GB2312"/>
          <w:sz w:val="28"/>
          <w:szCs w:val="28"/>
        </w:rPr>
      </w:pPr>
      <w:r>
        <w:rPr>
          <w:rFonts w:hint="eastAsia" w:ascii="仿宋_GB2312" w:eastAsia="仿宋_GB2312"/>
          <w:sz w:val="28"/>
          <w:szCs w:val="28"/>
        </w:rPr>
        <w:t>2.项目支出绩效自评表</w:t>
      </w:r>
    </w:p>
    <w:sectPr>
      <w:footerReference r:id="rId4" w:type="default"/>
      <w:footerReference r:id="rId5" w:type="even"/>
      <w:pgSz w:w="11906" w:h="16838"/>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5630532"/>
    <w:rsid w:val="06DE2E05"/>
    <w:rsid w:val="07354BE2"/>
    <w:rsid w:val="076D7229"/>
    <w:rsid w:val="079004AC"/>
    <w:rsid w:val="07C10049"/>
    <w:rsid w:val="08DE171A"/>
    <w:rsid w:val="094B7B50"/>
    <w:rsid w:val="095600DF"/>
    <w:rsid w:val="09742F12"/>
    <w:rsid w:val="09F04A5A"/>
    <w:rsid w:val="0A88373E"/>
    <w:rsid w:val="0AE13A40"/>
    <w:rsid w:val="0BA148CA"/>
    <w:rsid w:val="0BE22C8C"/>
    <w:rsid w:val="0C1165C4"/>
    <w:rsid w:val="0D6D544B"/>
    <w:rsid w:val="0DBC1618"/>
    <w:rsid w:val="0DD136FE"/>
    <w:rsid w:val="0F8E2C57"/>
    <w:rsid w:val="1059665E"/>
    <w:rsid w:val="109475A3"/>
    <w:rsid w:val="10AC13BA"/>
    <w:rsid w:val="11980797"/>
    <w:rsid w:val="13706BF0"/>
    <w:rsid w:val="14166484"/>
    <w:rsid w:val="145A6C1B"/>
    <w:rsid w:val="14B73493"/>
    <w:rsid w:val="158C3A67"/>
    <w:rsid w:val="167A2FF9"/>
    <w:rsid w:val="17D648F7"/>
    <w:rsid w:val="17E05399"/>
    <w:rsid w:val="18581C69"/>
    <w:rsid w:val="186D28E5"/>
    <w:rsid w:val="19386A1E"/>
    <w:rsid w:val="197775EC"/>
    <w:rsid w:val="1AEC0734"/>
    <w:rsid w:val="1C203C3A"/>
    <w:rsid w:val="1DEF20B0"/>
    <w:rsid w:val="1E720B56"/>
    <w:rsid w:val="214243FA"/>
    <w:rsid w:val="215F6895"/>
    <w:rsid w:val="21AD613C"/>
    <w:rsid w:val="2217240B"/>
    <w:rsid w:val="221E4A02"/>
    <w:rsid w:val="22467189"/>
    <w:rsid w:val="229B25D6"/>
    <w:rsid w:val="22EB482C"/>
    <w:rsid w:val="23512FFE"/>
    <w:rsid w:val="24960346"/>
    <w:rsid w:val="24BA4B4F"/>
    <w:rsid w:val="257A14F5"/>
    <w:rsid w:val="27196C26"/>
    <w:rsid w:val="27945687"/>
    <w:rsid w:val="27A31991"/>
    <w:rsid w:val="287C7778"/>
    <w:rsid w:val="29EF086F"/>
    <w:rsid w:val="2A014A0F"/>
    <w:rsid w:val="2B9F159F"/>
    <w:rsid w:val="2E304DA2"/>
    <w:rsid w:val="2E6F393B"/>
    <w:rsid w:val="2EB021A6"/>
    <w:rsid w:val="2EFFE297"/>
    <w:rsid w:val="2F724463"/>
    <w:rsid w:val="301437CA"/>
    <w:rsid w:val="31681265"/>
    <w:rsid w:val="32791381"/>
    <w:rsid w:val="32A663BF"/>
    <w:rsid w:val="349D1F0A"/>
    <w:rsid w:val="34DD0473"/>
    <w:rsid w:val="35137C92"/>
    <w:rsid w:val="35152E25"/>
    <w:rsid w:val="364B2A2B"/>
    <w:rsid w:val="365740EB"/>
    <w:rsid w:val="375D3F85"/>
    <w:rsid w:val="383D3652"/>
    <w:rsid w:val="3C181CA7"/>
    <w:rsid w:val="3C684897"/>
    <w:rsid w:val="3CAB49AB"/>
    <w:rsid w:val="3E0337EE"/>
    <w:rsid w:val="3EB46EC5"/>
    <w:rsid w:val="3F914AB9"/>
    <w:rsid w:val="41C6204F"/>
    <w:rsid w:val="426B35F4"/>
    <w:rsid w:val="42BF1B92"/>
    <w:rsid w:val="433E495C"/>
    <w:rsid w:val="435300C0"/>
    <w:rsid w:val="44402F88"/>
    <w:rsid w:val="446C0CAD"/>
    <w:rsid w:val="460F7D00"/>
    <w:rsid w:val="47343CFC"/>
    <w:rsid w:val="489F2FD7"/>
    <w:rsid w:val="4AC27CB3"/>
    <w:rsid w:val="4BDD27EC"/>
    <w:rsid w:val="4BF72BEF"/>
    <w:rsid w:val="4C0F7955"/>
    <w:rsid w:val="4E645C2C"/>
    <w:rsid w:val="4EBA2DB7"/>
    <w:rsid w:val="4FA90297"/>
    <w:rsid w:val="4FC41A43"/>
    <w:rsid w:val="51DB3C59"/>
    <w:rsid w:val="52CC06CD"/>
    <w:rsid w:val="550C0952"/>
    <w:rsid w:val="55762E42"/>
    <w:rsid w:val="55BF57CF"/>
    <w:rsid w:val="56E62BF7"/>
    <w:rsid w:val="57A7B272"/>
    <w:rsid w:val="58470068"/>
    <w:rsid w:val="58747CAC"/>
    <w:rsid w:val="5A1720F9"/>
    <w:rsid w:val="5A176A5C"/>
    <w:rsid w:val="5A4612E9"/>
    <w:rsid w:val="5AC83328"/>
    <w:rsid w:val="5B7E704A"/>
    <w:rsid w:val="5B9C37C2"/>
    <w:rsid w:val="5BA7C654"/>
    <w:rsid w:val="5BB43243"/>
    <w:rsid w:val="5C605FDD"/>
    <w:rsid w:val="5C6E6BB0"/>
    <w:rsid w:val="5C825851"/>
    <w:rsid w:val="6095372D"/>
    <w:rsid w:val="60A54109"/>
    <w:rsid w:val="61032E37"/>
    <w:rsid w:val="61D01CDF"/>
    <w:rsid w:val="63A92D9A"/>
    <w:rsid w:val="64C0607C"/>
    <w:rsid w:val="65756C86"/>
    <w:rsid w:val="674D385B"/>
    <w:rsid w:val="676F09E1"/>
    <w:rsid w:val="698337EF"/>
    <w:rsid w:val="6A3D00DC"/>
    <w:rsid w:val="6B0D5727"/>
    <w:rsid w:val="6C792479"/>
    <w:rsid w:val="6FF80A6D"/>
    <w:rsid w:val="71793A80"/>
    <w:rsid w:val="71C57BB8"/>
    <w:rsid w:val="72B82377"/>
    <w:rsid w:val="73064EEE"/>
    <w:rsid w:val="732D1359"/>
    <w:rsid w:val="7357290B"/>
    <w:rsid w:val="73A070BE"/>
    <w:rsid w:val="76CF4CF7"/>
    <w:rsid w:val="76D13A7D"/>
    <w:rsid w:val="78E421E4"/>
    <w:rsid w:val="798524E4"/>
    <w:rsid w:val="7A651C7D"/>
    <w:rsid w:val="7A7E6D51"/>
    <w:rsid w:val="7A7F1C49"/>
    <w:rsid w:val="7B5B7AE6"/>
    <w:rsid w:val="7B7B6628"/>
    <w:rsid w:val="7BA7071E"/>
    <w:rsid w:val="7BDF6DA8"/>
    <w:rsid w:val="7BDF7589"/>
    <w:rsid w:val="7C7EDC1A"/>
    <w:rsid w:val="7CCED98D"/>
    <w:rsid w:val="7D08410F"/>
    <w:rsid w:val="7D2759BE"/>
    <w:rsid w:val="7DB96DED"/>
    <w:rsid w:val="7DC74051"/>
    <w:rsid w:val="7DD3AD81"/>
    <w:rsid w:val="7E4B67B9"/>
    <w:rsid w:val="7F7C2A59"/>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index 9"/>
    <w:basedOn w:val="1"/>
    <w:next w:val="1"/>
    <w:unhideWhenUsed/>
    <w:qFormat/>
    <w:uiPriority w:val="0"/>
    <w:pPr>
      <w:ind w:left="1600" w:leftChars="1600"/>
    </w:pPr>
    <w:rPr>
      <w:rFonts w:hint="eastAsia"/>
      <w:sz w:val="28"/>
      <w:szCs w:val="24"/>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5">
    <w:name w:val="页脚 Char"/>
    <w:link w:val="7"/>
    <w:qFormat/>
    <w:uiPriority w:val="0"/>
    <w:rPr>
      <w:rFonts w:eastAsia="宋体"/>
      <w:kern w:val="2"/>
      <w:sz w:val="18"/>
      <w:szCs w:val="18"/>
      <w:lang w:val="en-US" w:eastAsia="zh-CN" w:bidi="ar-SA"/>
    </w:rPr>
  </w:style>
  <w:style w:type="character" w:customStyle="1" w:styleId="16">
    <w:name w:val="页眉 Char"/>
    <w:link w:val="8"/>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99.9%</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6545.42</c:v>
                </c:pt>
                <c:pt idx="1">
                  <c:v>0</c:v>
                </c:pt>
                <c:pt idx="2">
                  <c:v>0</c:v>
                </c:pt>
                <c:pt idx="3">
                  <c:v>0</c:v>
                </c:pt>
                <c:pt idx="4">
                  <c:v>0</c:v>
                </c:pt>
                <c:pt idx="5">
                  <c:v>1.53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30.</a:t>
                    </a:r>
                    <a:r>
                      <a:rPr lang="en-US" altLang="zh-CN"/>
                      <a:t>5</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69.5%</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1995.8</c:v>
                </c:pt>
                <c:pt idx="1">
                  <c:v>4549.95</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10192</Words>
  <Characters>11458</Characters>
  <Lines>47</Lines>
  <Paragraphs>13</Paragraphs>
  <TotalTime>337</TotalTime>
  <ScaleCrop>false</ScaleCrop>
  <LinksUpToDate>false</LinksUpToDate>
  <CharactersWithSpaces>11516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喜乐姿</cp:lastModifiedBy>
  <cp:lastPrinted>2026-08-20T08:57:22Z</cp:lastPrinted>
  <dcterms:modified xsi:type="dcterms:W3CDTF">2026-08-20T09:12:24Z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