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_GB2312" w:eastAsia="仿宋_GB2312"/>
          <w:b/>
          <w:sz w:val="32"/>
          <w:szCs w:val="3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p>
    <w:p>
      <w:pPr>
        <w:jc w:val="center"/>
        <w:rPr>
          <w:rFonts w:ascii="黑体" w:eastAsia="黑体"/>
          <w:sz w:val="72"/>
          <w:szCs w:val="72"/>
        </w:rPr>
      </w:pPr>
      <w:r>
        <w:rPr>
          <w:rFonts w:hint="eastAsia" w:ascii="黑体" w:eastAsia="黑体"/>
          <w:sz w:val="72"/>
          <w:szCs w:val="72"/>
        </w:rPr>
        <w:t>2025年度部门决算（公开</w:t>
      </w:r>
      <w:r>
        <w:rPr>
          <w:rFonts w:ascii="黑体" w:eastAsia="黑体"/>
          <w:sz w:val="72"/>
          <w:szCs w:val="72"/>
        </w:rPr>
        <w:t>）</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32"/>
          <w:szCs w:val="32"/>
        </w:rPr>
      </w:pPr>
    </w:p>
    <w:p>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pPr>
        <w:spacing w:line="500" w:lineRule="exact"/>
        <w:ind w:firstLine="645"/>
        <w:jc w:val="center"/>
        <w:rPr>
          <w:rFonts w:ascii="宋体" w:hAnsi="宋体" w:cs="宋体"/>
          <w:b/>
          <w:bCs/>
          <w:kern w:val="0"/>
          <w:sz w:val="36"/>
          <w:szCs w:val="36"/>
        </w:rPr>
      </w:pP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p>
    <w:p>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pPr>
        <w:pStyle w:val="3"/>
        <w:rPr>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28"/>
          <w:szCs w:val="28"/>
        </w:rPr>
        <w:t xml:space="preserve">   </w:t>
      </w:r>
      <w:r>
        <w:rPr>
          <w:rFonts w:hint="eastAsia" w:ascii="仿宋_GB2312" w:eastAsia="仿宋_GB2312"/>
          <w:b w:val="0"/>
          <w:bCs w:val="0"/>
          <w:sz w:val="28"/>
          <w:szCs w:val="28"/>
        </w:rPr>
        <w:t>报表详见附件。</w:t>
      </w:r>
    </w:p>
    <w:p>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32"/>
          <w:szCs w:val="32"/>
        </w:rPr>
        <w:t xml:space="preserve">第二部分 </w:t>
      </w:r>
      <w:r>
        <w:rPr>
          <w:rFonts w:hint="eastAsia" w:ascii="宋体" w:hAnsi="宋体"/>
          <w:b/>
          <w:spacing w:val="40"/>
          <w:sz w:val="32"/>
          <w:szCs w:val="32"/>
        </w:rPr>
        <w:t>2025年度部门决算说明</w:t>
      </w:r>
    </w:p>
    <w:p>
      <w:pPr>
        <w:tabs>
          <w:tab w:val="center" w:pos="6979"/>
        </w:tabs>
        <w:spacing w:line="580" w:lineRule="exact"/>
        <w:ind w:firstLine="548" w:firstLineChars="196"/>
        <w:rPr>
          <w:rFonts w:ascii="黑体" w:eastAsia="黑体"/>
          <w:b/>
          <w:sz w:val="28"/>
          <w:szCs w:val="28"/>
        </w:rPr>
      </w:pPr>
      <w:r>
        <w:rPr>
          <w:rFonts w:hint="eastAsia" w:ascii="黑体" w:eastAsia="黑体"/>
          <w:b/>
          <w:sz w:val="28"/>
          <w:szCs w:val="28"/>
        </w:rPr>
        <w:t>一、部门基本情况</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本部门职责情况</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w:t>
      </w:r>
      <w:r>
        <w:rPr>
          <w:rFonts w:hint="eastAsia" w:ascii="仿宋_GB2312" w:eastAsia="仿宋_GB2312"/>
          <w:sz w:val="28"/>
          <w:szCs w:val="28"/>
          <w:lang w:eastAsia="zh-CN"/>
        </w:rPr>
        <w:t>贯彻执行国家关于“三农”工作的发展战略、中长期规划、重大政策及有关法律法规、规章。贯彻落实北京市涉农的价格、收储、金融保险等政策。组织制定本区农业农村相关政策，并协调落实。指导农业综合执法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2、</w:t>
      </w:r>
      <w:r>
        <w:rPr>
          <w:rFonts w:hint="eastAsia" w:ascii="仿宋_GB2312" w:eastAsia="仿宋_GB2312"/>
          <w:sz w:val="28"/>
          <w:szCs w:val="28"/>
          <w:lang w:eastAsia="zh-CN"/>
        </w:rPr>
        <w:t>统筹推动发展本区农村社会事业、农村公共服务、农村文化、农村基础设施。牵头组织改善农村人居环境相关工作。参与编制、修订村镇建设规划，协调推进村镇建设。指导传统村落保护发展工作。统筹协调农民增收和低收入农户帮扶工作。组织农业资源区划工作，指导农业区域协调发展。</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3、</w:t>
      </w:r>
      <w:r>
        <w:rPr>
          <w:rFonts w:hint="eastAsia" w:ascii="仿宋_GB2312" w:eastAsia="仿宋_GB2312"/>
          <w:sz w:val="28"/>
          <w:szCs w:val="28"/>
          <w:lang w:eastAsia="zh-CN"/>
        </w:rPr>
        <w:t>负责指导本区农村合作经济经营管理工作。贯彻落实深化农村经济体制改革和巩固完善农村基本经营制度的政策。负责农民承包地、农村宅基地改革并指导相关管理工作。负责农村集体产权制度改革，指导农村集体经济组织发展和集体资产管理工作。指导农民合作经济组织、农业社会化服务体系、新型农业经营主体建设与发展。</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4、</w:t>
      </w:r>
      <w:r>
        <w:rPr>
          <w:rFonts w:hint="eastAsia" w:ascii="仿宋_GB2312" w:eastAsia="仿宋_GB2312"/>
          <w:sz w:val="28"/>
          <w:szCs w:val="28"/>
          <w:lang w:eastAsia="zh-CN"/>
        </w:rPr>
        <w:t>指导本区多村特色产业、农产品加工业和休闲农业发展工作。会同有关部门，统筹推进农业一二三产业融合发展，推动农村产业结构转型优化升级。负责农业产业化的组织协调工作。组织指导农产品流通工作，研究提出相关政策建议。培育、保护农业品牌。承担主要农产品市场供应信息和价格信息的采集、分析等工作。负责农村经济统计和农业农村信息化有关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5、</w:t>
      </w:r>
      <w:r>
        <w:rPr>
          <w:rFonts w:hint="eastAsia" w:ascii="仿宋_GB2312" w:eastAsia="仿宋_GB2312"/>
          <w:sz w:val="28"/>
          <w:szCs w:val="28"/>
          <w:lang w:eastAsia="zh-CN"/>
        </w:rPr>
        <w:t>组织构建本区现代农业产业体系、生产体系、经营体系。负责推动种植业、畜牧业、渔业、农业机械化等农业各行业发展和监督管理。指导农产品生产。依法负责农业行业安全生产工作。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6、</w:t>
      </w:r>
      <w:r>
        <w:rPr>
          <w:rFonts w:hint="eastAsia" w:ascii="仿宋_GB2312" w:eastAsia="仿宋_GB2312"/>
          <w:sz w:val="28"/>
          <w:szCs w:val="28"/>
          <w:lang w:eastAsia="zh-CN"/>
        </w:rPr>
        <w:t>负责本区食用农产品从种植养殖环节到进入批发、零售市场或者生产加工企业前的质量安全监督管理。组织开展农产品质量安全监测、追溯。指导农业检验检测体系建设。负责本区农业产业、农产品质量安全等方面的标准化工作，组织实施相关地方标准并监督检查。</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7、</w:t>
      </w:r>
      <w:r>
        <w:rPr>
          <w:rFonts w:hint="eastAsia" w:ascii="仿宋_GB2312" w:eastAsia="仿宋_GB2312"/>
          <w:sz w:val="28"/>
          <w:szCs w:val="28"/>
          <w:lang w:eastAsia="zh-CN"/>
        </w:rPr>
        <w:t>指导本区基本农田、渔业水域以及农业生物物种资源保护与管理工作，负责水生野生动植物保护、耕地及永久基本农田质量保护工作。指导农产品产地环境管理和农业清洁生产。指导设施农业，生态循环农业、节水农业发展以及农村可再生能源综合开发利用。承担湿地保护相关管理工作。</w:t>
      </w:r>
    </w:p>
    <w:p>
      <w:pPr>
        <w:tabs>
          <w:tab w:val="center" w:pos="6979"/>
        </w:tabs>
        <w:spacing w:line="580" w:lineRule="exact"/>
        <w:ind w:firstLine="560" w:firstLineChars="200"/>
        <w:rPr>
          <w:rFonts w:hint="eastAsia" w:ascii="仿宋_GB2312" w:eastAsia="仿宋_GB2312"/>
          <w:sz w:val="28"/>
          <w:szCs w:val="28"/>
          <w:lang w:val="en-US" w:eastAsia="zh-CN"/>
        </w:rPr>
      </w:pPr>
      <w:r>
        <w:rPr>
          <w:rFonts w:hint="eastAsia" w:ascii="仿宋_GB2312" w:eastAsia="仿宋_GB2312"/>
          <w:sz w:val="28"/>
          <w:szCs w:val="28"/>
          <w:lang w:val="en-US" w:eastAsia="zh-CN"/>
        </w:rPr>
        <w:t>8、</w:t>
      </w:r>
      <w:r>
        <w:rPr>
          <w:rFonts w:hint="eastAsia" w:ascii="仿宋_GB2312" w:eastAsia="仿宋_GB2312"/>
          <w:sz w:val="28"/>
          <w:szCs w:val="28"/>
          <w:lang w:eastAsia="zh-CN"/>
        </w:rPr>
        <w:t>负责本区有关农业生产资料和农业投入品的监督管理。组织实施农业生产资料、兽药质量、兽药残留限量和残留检测方法等方面的国家标准。组织兽医医政、兽药药政药检工作。负责动物诊疗和畜禽屠宰行业管理。</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9、</w:t>
      </w:r>
      <w:r>
        <w:rPr>
          <w:rFonts w:hint="eastAsia" w:ascii="仿宋_GB2312" w:eastAsia="仿宋_GB2312"/>
          <w:sz w:val="28"/>
          <w:szCs w:val="28"/>
          <w:lang w:eastAsia="zh-CN"/>
        </w:rPr>
        <w:t>负责本区农业防灾减灾、农作物重大病虫害防治工作。负责动植物疫病防控的管理工作，承担北京市门头沟区重大动植物疫情应急指挥部的具体工作。监测、发布农业灾情，组织种子、化肥等救灾物资储备和调拨，提出生产救灾资金安排建议，指导紧急救灾和灾后生产恢复。</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10、</w:t>
      </w:r>
      <w:r>
        <w:rPr>
          <w:rFonts w:hint="eastAsia" w:ascii="仿宋_GB2312" w:eastAsia="仿宋_GB2312"/>
          <w:sz w:val="28"/>
          <w:szCs w:val="28"/>
          <w:lang w:eastAsia="zh-CN"/>
        </w:rPr>
        <w:t>负责本区农业投资管理。提出农业投融资体制机制改革建议，编制区级投资安排的农业投资项目建设规划，提出农业投资规模和方向、扶持农业农村发展财政项目的建议，按照权限审批农业投资项目，负责农业投资项目资金安排和监督管理。负责农业综合开发项目、农田整治项目、农田水利建设项目管理。组织拟订财政支农资金计划安排，并协调相关政策的落实。协调推进政策性农业保险工作。协调指导农村金融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11、</w:t>
      </w:r>
      <w:r>
        <w:rPr>
          <w:rFonts w:hint="eastAsia" w:ascii="仿宋_GB2312" w:eastAsia="仿宋_GB2312"/>
          <w:sz w:val="28"/>
          <w:szCs w:val="28"/>
          <w:lang w:eastAsia="zh-CN"/>
        </w:rPr>
        <w:t>推动本区农业科技体制改革和农业科技创新体系建设。推进农业产业技术体系、农技推广体系和新型职业农民培育体系建设，组织开展农业领域的高新技术和应用技术研究、科技成果转化和技术推广。负责农业转基因生物安全监督管理和农业植物新品种保护。承担农业农村对外交流与合作相关工作。</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12、</w:t>
      </w:r>
      <w:r>
        <w:rPr>
          <w:rFonts w:hint="eastAsia" w:ascii="仿宋_GB2312" w:eastAsia="仿宋_GB2312"/>
          <w:sz w:val="28"/>
          <w:szCs w:val="28"/>
          <w:lang w:eastAsia="zh-CN"/>
        </w:rPr>
        <w:t>研究拟订本区山区发展规划和年度指导性计划。配合有关部门组织山区建设项目的实施。指导山区农民搬迁、生态沟域建设等工作。配合相关部门研究制定本区生态涵养区保护、发展规划和生态补偿机制。</w:t>
      </w:r>
    </w:p>
    <w:p>
      <w:pPr>
        <w:tabs>
          <w:tab w:val="center" w:pos="6979"/>
        </w:tabs>
        <w:spacing w:line="580" w:lineRule="exact"/>
        <w:ind w:firstLine="560" w:firstLineChars="200"/>
        <w:rPr>
          <w:rFonts w:hint="eastAsia" w:ascii="仿宋_GB2312" w:eastAsia="仿宋_GB2312"/>
          <w:sz w:val="28"/>
          <w:szCs w:val="28"/>
          <w:lang w:eastAsia="zh-CN"/>
        </w:rPr>
      </w:pPr>
      <w:r>
        <w:rPr>
          <w:rFonts w:hint="eastAsia" w:ascii="仿宋_GB2312" w:eastAsia="仿宋_GB2312"/>
          <w:sz w:val="28"/>
          <w:szCs w:val="28"/>
          <w:lang w:val="en-US" w:eastAsia="zh-CN"/>
        </w:rPr>
        <w:t>13、</w:t>
      </w:r>
      <w:r>
        <w:rPr>
          <w:rFonts w:hint="eastAsia" w:ascii="仿宋_GB2312" w:eastAsia="仿宋_GB2312"/>
          <w:sz w:val="28"/>
          <w:szCs w:val="28"/>
          <w:lang w:eastAsia="zh-CN"/>
        </w:rPr>
        <w:t>区农村合作经济经营管理站归口区农业农村局管理。</w:t>
      </w:r>
    </w:p>
    <w:p>
      <w:pPr>
        <w:tabs>
          <w:tab w:val="center" w:pos="6979"/>
        </w:tabs>
        <w:spacing w:line="580" w:lineRule="exact"/>
        <w:ind w:firstLine="560" w:firstLineChars="200"/>
      </w:pPr>
      <w:r>
        <w:rPr>
          <w:rFonts w:hint="eastAsia" w:ascii="仿宋_GB2312" w:eastAsia="仿宋_GB2312"/>
          <w:sz w:val="28"/>
          <w:szCs w:val="28"/>
          <w:lang w:val="en-US" w:eastAsia="zh-CN"/>
        </w:rPr>
        <w:t>14、</w:t>
      </w:r>
      <w:r>
        <w:rPr>
          <w:rFonts w:hint="eastAsia" w:ascii="仿宋_GB2312" w:eastAsia="仿宋_GB2312"/>
          <w:sz w:val="28"/>
          <w:szCs w:val="28"/>
          <w:lang w:eastAsia="zh-CN"/>
        </w:rPr>
        <w:t>完成区委、区政府交办的其他任务。</w:t>
      </w:r>
    </w:p>
    <w:p>
      <w:pPr>
        <w:tabs>
          <w:tab w:val="center" w:pos="6979"/>
        </w:tabs>
        <w:spacing w:line="580" w:lineRule="exact"/>
        <w:ind w:firstLine="700" w:firstLineChars="250"/>
        <w:rPr>
          <w:rFonts w:hint="eastAsia" w:ascii="仿宋_GB2312" w:eastAsia="仿宋_GB2312"/>
          <w:sz w:val="28"/>
          <w:szCs w:val="28"/>
        </w:rPr>
      </w:pPr>
      <w:r>
        <w:rPr>
          <w:rFonts w:hint="eastAsia" w:ascii="仿宋_GB2312" w:eastAsia="仿宋_GB2312"/>
          <w:sz w:val="28"/>
          <w:szCs w:val="28"/>
        </w:rPr>
        <w:t>（二）机构</w:t>
      </w:r>
      <w:r>
        <w:rPr>
          <w:rFonts w:ascii="仿宋_GB2312" w:eastAsia="仿宋_GB2312"/>
          <w:sz w:val="28"/>
          <w:szCs w:val="28"/>
        </w:rPr>
        <w:t>设置</w:t>
      </w:r>
      <w:r>
        <w:rPr>
          <w:rFonts w:hint="eastAsia" w:ascii="仿宋_GB2312" w:eastAsia="仿宋_GB2312"/>
          <w:sz w:val="28"/>
          <w:szCs w:val="28"/>
        </w:rPr>
        <w:t>情况</w:t>
      </w:r>
    </w:p>
    <w:p>
      <w:pPr>
        <w:keepNext w:val="0"/>
        <w:keepLines w:val="0"/>
        <w:pageBreakBefore w:val="0"/>
        <w:widowControl/>
        <w:kinsoku/>
        <w:wordWrap/>
        <w:overflowPunct/>
        <w:topLinePunct w:val="0"/>
        <w:autoSpaceDE/>
        <w:autoSpaceDN/>
        <w:bidi w:val="0"/>
        <w:adjustRightInd/>
        <w:snapToGrid/>
        <w:spacing w:line="560" w:lineRule="exact"/>
        <w:ind w:left="0" w:leftChars="0" w:right="0" w:rightChars="0" w:firstLine="560" w:firstLineChars="200"/>
        <w:jc w:val="both"/>
        <w:textAlignment w:val="auto"/>
        <w:outlineLvl w:val="9"/>
      </w:pPr>
      <w:r>
        <w:rPr>
          <w:rFonts w:hint="eastAsia" w:ascii="仿宋_GB2312" w:eastAsia="仿宋_GB2312"/>
          <w:sz w:val="28"/>
          <w:szCs w:val="28"/>
          <w:lang w:eastAsia="zh-CN"/>
        </w:rPr>
        <w:t>北京市门头沟区农业农村局</w:t>
      </w:r>
      <w:r>
        <w:rPr>
          <w:rFonts w:hint="eastAsia" w:ascii="仿宋_GB2312" w:eastAsia="仿宋_GB2312"/>
          <w:sz w:val="28"/>
          <w:szCs w:val="28"/>
          <w:lang w:val="en-US" w:eastAsia="zh-CN"/>
        </w:rPr>
        <w:t>本部门下设2个行政单位即北京市门头沟区农业农村局（本级）、北京市门头沟区农业综合执法大队；下设2个事业单位即北京市门头沟区动物疫病预防控制中心、北京市门头沟区农业农村综合服中心。</w:t>
      </w:r>
    </w:p>
    <w:p>
      <w:pPr>
        <w:tabs>
          <w:tab w:val="center" w:pos="6979"/>
        </w:tabs>
        <w:spacing w:line="580" w:lineRule="exact"/>
        <w:rPr>
          <w:rFonts w:ascii="黑体" w:eastAsia="黑体"/>
          <w:b/>
          <w:sz w:val="28"/>
          <w:szCs w:val="28"/>
        </w:rPr>
      </w:pPr>
      <w:r>
        <w:rPr>
          <w:rFonts w:hint="eastAsia" w:ascii="仿宋_GB2312" w:eastAsia="仿宋_GB2312"/>
          <w:b/>
          <w:sz w:val="32"/>
          <w:szCs w:val="32"/>
        </w:rPr>
        <w:t xml:space="preserve">   </w:t>
      </w:r>
      <w:r>
        <w:rPr>
          <w:rFonts w:hint="eastAsia" w:ascii="黑体" w:eastAsia="黑体"/>
          <w:b/>
          <w:sz w:val="28"/>
          <w:szCs w:val="28"/>
        </w:rPr>
        <w:t>二、收入支出决算总体情况说明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2025年度收、</w:t>
      </w:r>
      <w:r>
        <w:rPr>
          <w:rFonts w:ascii="仿宋_GB2312" w:eastAsia="仿宋_GB2312"/>
          <w:sz w:val="28"/>
          <w:szCs w:val="28"/>
        </w:rPr>
        <w:t>支</w:t>
      </w:r>
      <w:r>
        <w:rPr>
          <w:rFonts w:hint="eastAsia" w:ascii="仿宋_GB2312" w:eastAsia="仿宋_GB2312"/>
          <w:sz w:val="28"/>
          <w:szCs w:val="28"/>
        </w:rPr>
        <w:t>总计</w:t>
      </w:r>
      <w:r>
        <w:rPr>
          <w:rFonts w:ascii="仿宋_GB2312" w:eastAsia="仿宋_GB2312"/>
          <w:sz w:val="28"/>
          <w:szCs w:val="28"/>
        </w:rPr>
        <w:t>110</w:t>
      </w:r>
      <w:r>
        <w:rPr>
          <w:rFonts w:hint="eastAsia" w:ascii="仿宋_GB2312" w:eastAsia="仿宋_GB2312"/>
          <w:sz w:val="28"/>
          <w:szCs w:val="28"/>
          <w:highlight w:val="none"/>
        </w:rPr>
        <w:t>,</w:t>
      </w:r>
      <w:r>
        <w:rPr>
          <w:rFonts w:ascii="仿宋_GB2312" w:eastAsia="仿宋_GB2312"/>
          <w:sz w:val="28"/>
          <w:szCs w:val="28"/>
        </w:rPr>
        <w:t>838</w:t>
      </w:r>
      <w:r>
        <w:rPr>
          <w:rFonts w:hint="eastAsia" w:ascii="仿宋_GB2312" w:eastAsia="仿宋_GB2312"/>
          <w:sz w:val="28"/>
          <w:szCs w:val="28"/>
          <w:highlight w:val="none"/>
        </w:rPr>
        <w:t>,</w:t>
      </w:r>
      <w:r>
        <w:rPr>
          <w:rFonts w:ascii="仿宋_GB2312" w:eastAsia="仿宋_GB2312"/>
          <w:sz w:val="28"/>
          <w:szCs w:val="28"/>
        </w:rPr>
        <w:t>965.28</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减少120</w:t>
      </w:r>
      <w:r>
        <w:rPr>
          <w:rFonts w:hint="eastAsia" w:ascii="仿宋_GB2312" w:eastAsia="仿宋_GB2312"/>
          <w:sz w:val="28"/>
          <w:szCs w:val="28"/>
          <w:highlight w:val="none"/>
        </w:rPr>
        <w:t>,</w:t>
      </w:r>
      <w:r>
        <w:rPr>
          <w:rFonts w:hint="eastAsia" w:ascii="仿宋_GB2312" w:eastAsia="仿宋_GB2312"/>
          <w:sz w:val="28"/>
          <w:szCs w:val="28"/>
        </w:rPr>
        <w:t>151</w:t>
      </w:r>
      <w:r>
        <w:rPr>
          <w:rFonts w:hint="eastAsia" w:ascii="仿宋_GB2312" w:eastAsia="仿宋_GB2312"/>
          <w:sz w:val="28"/>
          <w:szCs w:val="28"/>
          <w:highlight w:val="none"/>
        </w:rPr>
        <w:t>,</w:t>
      </w:r>
      <w:r>
        <w:rPr>
          <w:rFonts w:hint="eastAsia" w:ascii="仿宋_GB2312" w:eastAsia="仿宋_GB2312"/>
          <w:sz w:val="28"/>
          <w:szCs w:val="28"/>
        </w:rPr>
        <w:t>894.9</w:t>
      </w:r>
      <w:r>
        <w:rPr>
          <w:rFonts w:hint="eastAsia" w:ascii="仿宋_GB2312" w:eastAsia="仿宋_GB2312"/>
          <w:sz w:val="28"/>
          <w:szCs w:val="28"/>
          <w:lang w:val="en-US" w:eastAsia="zh-CN"/>
        </w:rPr>
        <w:t>0</w:t>
      </w:r>
      <w:r>
        <w:rPr>
          <w:rFonts w:hint="eastAsia" w:ascii="仿宋_GB2312" w:eastAsia="仿宋_GB2312"/>
          <w:sz w:val="28"/>
          <w:szCs w:val="28"/>
        </w:rPr>
        <w:t>元，下降</w:t>
      </w:r>
      <w:r>
        <w:rPr>
          <w:rFonts w:hint="eastAsia" w:ascii="仿宋_GB2312" w:eastAsia="仿宋_GB2312"/>
          <w:sz w:val="28"/>
          <w:szCs w:val="28"/>
          <w:lang w:val="en-US" w:eastAsia="zh-CN"/>
        </w:rPr>
        <w:t>52.0</w:t>
      </w:r>
      <w:r>
        <w:rPr>
          <w:rFonts w:hint="eastAsia" w:ascii="仿宋_GB2312" w:eastAsia="仿宋_GB2312"/>
          <w:sz w:val="28"/>
          <w:szCs w:val="28"/>
        </w:rPr>
        <w:t>%。</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（一</w:t>
      </w:r>
      <w:r>
        <w:rPr>
          <w:rFonts w:ascii="仿宋_GB2312" w:eastAsia="仿宋_GB2312"/>
          <w:sz w:val="28"/>
          <w:szCs w:val="28"/>
        </w:rPr>
        <w:t>）</w:t>
      </w:r>
      <w:r>
        <w:rPr>
          <w:rFonts w:hint="eastAsia" w:ascii="仿宋_GB2312" w:eastAsia="仿宋_GB2312"/>
          <w:sz w:val="28"/>
          <w:szCs w:val="28"/>
        </w:rPr>
        <w:t>收入决算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2025年度本年收入合计</w:t>
      </w:r>
      <w:r>
        <w:rPr>
          <w:rFonts w:ascii="仿宋_GB2312" w:eastAsia="仿宋_GB2312"/>
          <w:sz w:val="28"/>
          <w:szCs w:val="28"/>
        </w:rPr>
        <w:t>111</w:t>
      </w:r>
      <w:r>
        <w:rPr>
          <w:rFonts w:hint="eastAsia" w:ascii="仿宋_GB2312" w:eastAsia="仿宋_GB2312"/>
          <w:sz w:val="28"/>
          <w:szCs w:val="28"/>
          <w:highlight w:val="none"/>
        </w:rPr>
        <w:t>,</w:t>
      </w:r>
      <w:r>
        <w:rPr>
          <w:rFonts w:ascii="仿宋_GB2312" w:eastAsia="仿宋_GB2312"/>
          <w:sz w:val="28"/>
          <w:szCs w:val="28"/>
        </w:rPr>
        <w:t>068</w:t>
      </w:r>
      <w:r>
        <w:rPr>
          <w:rFonts w:hint="eastAsia" w:ascii="仿宋_GB2312" w:eastAsia="仿宋_GB2312"/>
          <w:sz w:val="28"/>
          <w:szCs w:val="28"/>
          <w:highlight w:val="none"/>
        </w:rPr>
        <w:t>,</w:t>
      </w:r>
      <w:r>
        <w:rPr>
          <w:rFonts w:ascii="仿宋_GB2312" w:eastAsia="仿宋_GB2312"/>
          <w:sz w:val="28"/>
          <w:szCs w:val="28"/>
        </w:rPr>
        <w:t>047.12</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减少113</w:t>
      </w:r>
      <w:r>
        <w:rPr>
          <w:rFonts w:hint="eastAsia" w:ascii="仿宋_GB2312" w:eastAsia="仿宋_GB2312"/>
          <w:sz w:val="28"/>
          <w:szCs w:val="28"/>
          <w:highlight w:val="none"/>
        </w:rPr>
        <w:t>,</w:t>
      </w:r>
      <w:r>
        <w:rPr>
          <w:rFonts w:hint="eastAsia" w:ascii="仿宋_GB2312" w:eastAsia="仿宋_GB2312"/>
          <w:sz w:val="28"/>
          <w:szCs w:val="28"/>
        </w:rPr>
        <w:t>650</w:t>
      </w:r>
      <w:r>
        <w:rPr>
          <w:rFonts w:hint="eastAsia" w:ascii="仿宋_GB2312" w:eastAsia="仿宋_GB2312"/>
          <w:sz w:val="28"/>
          <w:szCs w:val="28"/>
          <w:highlight w:val="none"/>
        </w:rPr>
        <w:t>,</w:t>
      </w:r>
      <w:r>
        <w:rPr>
          <w:rFonts w:hint="eastAsia" w:ascii="仿宋_GB2312" w:eastAsia="仿宋_GB2312"/>
          <w:sz w:val="28"/>
          <w:szCs w:val="28"/>
        </w:rPr>
        <w:t>460.82元，下降</w:t>
      </w:r>
      <w:r>
        <w:rPr>
          <w:rFonts w:hint="eastAsia" w:ascii="仿宋_GB2312" w:eastAsia="仿宋_GB2312"/>
          <w:sz w:val="28"/>
          <w:szCs w:val="28"/>
          <w:lang w:val="en-US" w:eastAsia="zh-CN"/>
        </w:rPr>
        <w:t>50.6</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1.财政拨款收入</w:t>
      </w:r>
      <w:r>
        <w:rPr>
          <w:rFonts w:ascii="仿宋_GB2312" w:eastAsia="仿宋_GB2312"/>
          <w:sz w:val="28"/>
          <w:szCs w:val="28"/>
        </w:rPr>
        <w:t>109</w:t>
      </w:r>
      <w:r>
        <w:rPr>
          <w:rFonts w:hint="eastAsia" w:ascii="仿宋_GB2312" w:eastAsia="仿宋_GB2312"/>
          <w:sz w:val="28"/>
          <w:szCs w:val="28"/>
          <w:highlight w:val="none"/>
        </w:rPr>
        <w:t>,</w:t>
      </w:r>
      <w:r>
        <w:rPr>
          <w:rFonts w:ascii="仿宋_GB2312" w:eastAsia="仿宋_GB2312"/>
          <w:sz w:val="28"/>
          <w:szCs w:val="28"/>
        </w:rPr>
        <w:t>802</w:t>
      </w:r>
      <w:r>
        <w:rPr>
          <w:rFonts w:hint="eastAsia" w:ascii="仿宋_GB2312" w:eastAsia="仿宋_GB2312"/>
          <w:sz w:val="28"/>
          <w:szCs w:val="28"/>
          <w:highlight w:val="none"/>
        </w:rPr>
        <w:t>,</w:t>
      </w:r>
      <w:r>
        <w:rPr>
          <w:rFonts w:ascii="仿宋_GB2312" w:eastAsia="仿宋_GB2312"/>
          <w:sz w:val="28"/>
          <w:szCs w:val="28"/>
        </w:rPr>
        <w:t>095.15</w:t>
      </w:r>
      <w:r>
        <w:rPr>
          <w:rFonts w:hint="eastAsia" w:ascii="仿宋_GB2312" w:eastAsia="仿宋_GB2312"/>
          <w:sz w:val="28"/>
          <w:szCs w:val="28"/>
        </w:rPr>
        <w:t>元，占收入合计的98.</w:t>
      </w:r>
      <w:r>
        <w:rPr>
          <w:rFonts w:hint="eastAsia" w:ascii="仿宋_GB2312" w:eastAsia="仿宋_GB2312"/>
          <w:sz w:val="28"/>
          <w:szCs w:val="28"/>
          <w:lang w:val="en-US" w:eastAsia="zh-CN"/>
        </w:rPr>
        <w:t>9</w:t>
      </w:r>
      <w:r>
        <w:rPr>
          <w:rFonts w:hint="eastAsia" w:ascii="仿宋_GB2312" w:eastAsia="仿宋_GB2312"/>
          <w:sz w:val="28"/>
          <w:szCs w:val="28"/>
        </w:rPr>
        <w:t>%。其中：一般公共预算财政拨款收入</w:t>
      </w:r>
      <w:r>
        <w:rPr>
          <w:rFonts w:ascii="仿宋_GB2312" w:eastAsia="仿宋_GB2312"/>
          <w:sz w:val="28"/>
          <w:szCs w:val="28"/>
        </w:rPr>
        <w:t>109</w:t>
      </w:r>
      <w:r>
        <w:rPr>
          <w:rFonts w:hint="eastAsia" w:ascii="仿宋_GB2312" w:eastAsia="仿宋_GB2312"/>
          <w:sz w:val="28"/>
          <w:szCs w:val="28"/>
          <w:highlight w:val="none"/>
        </w:rPr>
        <w:t>,</w:t>
      </w:r>
      <w:r>
        <w:rPr>
          <w:rFonts w:ascii="仿宋_GB2312" w:eastAsia="仿宋_GB2312"/>
          <w:sz w:val="28"/>
          <w:szCs w:val="28"/>
        </w:rPr>
        <w:t>793</w:t>
      </w:r>
      <w:r>
        <w:rPr>
          <w:rFonts w:hint="eastAsia" w:ascii="仿宋_GB2312" w:eastAsia="仿宋_GB2312"/>
          <w:sz w:val="28"/>
          <w:szCs w:val="28"/>
          <w:highlight w:val="none"/>
        </w:rPr>
        <w:t>,</w:t>
      </w:r>
      <w:r>
        <w:rPr>
          <w:rFonts w:ascii="仿宋_GB2312" w:eastAsia="仿宋_GB2312"/>
          <w:sz w:val="28"/>
          <w:szCs w:val="28"/>
        </w:rPr>
        <w:t>000.15</w:t>
      </w:r>
      <w:r>
        <w:rPr>
          <w:rFonts w:hint="eastAsia" w:ascii="仿宋_GB2312" w:eastAsia="仿宋_GB2312"/>
          <w:sz w:val="28"/>
          <w:szCs w:val="28"/>
        </w:rPr>
        <w:t>元，占收入合计的98.</w:t>
      </w:r>
      <w:r>
        <w:rPr>
          <w:rFonts w:hint="eastAsia" w:ascii="仿宋_GB2312" w:eastAsia="仿宋_GB2312"/>
          <w:sz w:val="28"/>
          <w:szCs w:val="28"/>
          <w:lang w:val="en-US" w:eastAsia="zh-CN"/>
        </w:rPr>
        <w:t>9</w:t>
      </w:r>
      <w:r>
        <w:rPr>
          <w:rFonts w:hint="eastAsia" w:ascii="仿宋_GB2312" w:eastAsia="仿宋_GB2312"/>
          <w:sz w:val="28"/>
          <w:szCs w:val="28"/>
        </w:rPr>
        <w:t>%；政府性基金预算财政拨款收入</w:t>
      </w:r>
      <w:r>
        <w:rPr>
          <w:rFonts w:ascii="仿宋_GB2312" w:eastAsia="仿宋_GB2312"/>
          <w:sz w:val="28"/>
          <w:szCs w:val="28"/>
        </w:rPr>
        <w:t>9</w:t>
      </w:r>
      <w:r>
        <w:rPr>
          <w:rFonts w:hint="eastAsia" w:ascii="仿宋_GB2312" w:eastAsia="仿宋_GB2312"/>
          <w:sz w:val="28"/>
          <w:szCs w:val="28"/>
          <w:highlight w:val="none"/>
        </w:rPr>
        <w:t>,</w:t>
      </w:r>
      <w:r>
        <w:rPr>
          <w:rFonts w:ascii="仿宋_GB2312" w:eastAsia="仿宋_GB2312"/>
          <w:sz w:val="28"/>
          <w:szCs w:val="28"/>
        </w:rPr>
        <w:t>095</w:t>
      </w:r>
      <w:r>
        <w:rPr>
          <w:rFonts w:hint="eastAsia" w:ascii="仿宋_GB2312" w:eastAsia="仿宋_GB2312"/>
          <w:sz w:val="28"/>
          <w:szCs w:val="28"/>
          <w:lang w:val="en-US" w:eastAsia="zh-CN"/>
        </w:rPr>
        <w:t>.00</w:t>
      </w:r>
      <w:r>
        <w:rPr>
          <w:rFonts w:hint="eastAsia" w:ascii="仿宋_GB2312" w:eastAsia="仿宋_GB2312"/>
          <w:sz w:val="28"/>
          <w:szCs w:val="28"/>
        </w:rPr>
        <w:t>元，占收入合计的0.0%；国有资本经营预算财政拨款收入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2.上级补助收入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3.事业收入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4.经营收入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5.附属单位上缴收入</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元，占收入合计的0</w:t>
      </w:r>
      <w:r>
        <w:rPr>
          <w:rFonts w:hint="eastAsia" w:ascii="仿宋_GB2312" w:eastAsia="仿宋_GB2312"/>
          <w:sz w:val="28"/>
          <w:szCs w:val="28"/>
          <w:lang w:val="en-US" w:eastAsia="zh-CN"/>
        </w:rPr>
        <w:t>.0</w:t>
      </w:r>
      <w:r>
        <w:rPr>
          <w:rFonts w:hint="eastAsia" w:ascii="仿宋_GB2312" w:eastAsia="仿宋_GB2312"/>
          <w:sz w:val="28"/>
          <w:szCs w:val="28"/>
        </w:rPr>
        <w:t>%；</w:t>
      </w:r>
    </w:p>
    <w:p>
      <w:pPr>
        <w:tabs>
          <w:tab w:val="center" w:pos="6979"/>
        </w:tabs>
        <w:spacing w:line="580" w:lineRule="exact"/>
        <w:ind w:firstLine="560" w:firstLineChars="200"/>
        <w:rPr>
          <w:rFonts w:ascii="仿宋_GB2312" w:eastAsia="仿宋_GB2312"/>
          <w:sz w:val="28"/>
          <w:szCs w:val="28"/>
        </w:rPr>
      </w:pPr>
      <w:r>
        <w:rPr>
          <w:rFonts w:hint="eastAsia" w:ascii="仿宋_GB2312" w:eastAsia="仿宋_GB2312"/>
          <w:sz w:val="28"/>
          <w:szCs w:val="28"/>
        </w:rPr>
        <w:t>6.其他收入</w:t>
      </w:r>
      <w:r>
        <w:rPr>
          <w:rFonts w:ascii="仿宋_GB2312" w:eastAsia="仿宋_GB2312"/>
          <w:sz w:val="28"/>
          <w:szCs w:val="28"/>
        </w:rPr>
        <w:t>1</w:t>
      </w:r>
      <w:r>
        <w:rPr>
          <w:rFonts w:hint="eastAsia" w:ascii="仿宋_GB2312" w:eastAsia="仿宋_GB2312"/>
          <w:sz w:val="28"/>
          <w:szCs w:val="28"/>
          <w:highlight w:val="none"/>
        </w:rPr>
        <w:t>,</w:t>
      </w:r>
      <w:r>
        <w:rPr>
          <w:rFonts w:ascii="仿宋_GB2312" w:eastAsia="仿宋_GB2312"/>
          <w:sz w:val="28"/>
          <w:szCs w:val="28"/>
        </w:rPr>
        <w:t>265</w:t>
      </w:r>
      <w:r>
        <w:rPr>
          <w:rFonts w:hint="eastAsia" w:ascii="仿宋_GB2312" w:eastAsia="仿宋_GB2312"/>
          <w:sz w:val="28"/>
          <w:szCs w:val="28"/>
          <w:highlight w:val="none"/>
        </w:rPr>
        <w:t>,</w:t>
      </w:r>
      <w:r>
        <w:rPr>
          <w:rFonts w:ascii="仿宋_GB2312" w:eastAsia="仿宋_GB2312"/>
          <w:sz w:val="28"/>
          <w:szCs w:val="28"/>
        </w:rPr>
        <w:t>951.97</w:t>
      </w:r>
      <w:r>
        <w:rPr>
          <w:rFonts w:hint="eastAsia" w:ascii="仿宋_GB2312" w:eastAsia="仿宋_GB2312"/>
          <w:sz w:val="28"/>
          <w:szCs w:val="28"/>
        </w:rPr>
        <w:t>元，占收入合计的1.1%。</w:t>
      </w:r>
    </w:p>
    <w:p>
      <w:pPr>
        <w:pStyle w:val="3"/>
        <w:jc w:val="center"/>
      </w:pPr>
      <w:r>
        <w:rPr>
          <w:rFonts w:hint="eastAsia" w:ascii="仿宋_GB2312" w:eastAsia="仿宋_GB2312"/>
          <w:color w:val="000000"/>
          <w:sz w:val="32"/>
        </w:rPr>
        <w:t>图1：收入决算</w:t>
      </w:r>
    </w:p>
    <w:p>
      <w:pPr>
        <w:pStyle w:val="4"/>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（二</w:t>
      </w:r>
      <w:r>
        <w:rPr>
          <w:rFonts w:ascii="仿宋_GB2312" w:eastAsia="仿宋_GB2312"/>
          <w:sz w:val="28"/>
          <w:szCs w:val="28"/>
        </w:rPr>
        <w:t>）</w:t>
      </w:r>
      <w:r>
        <w:rPr>
          <w:rFonts w:hint="eastAsia" w:ascii="仿宋_GB2312" w:eastAsia="仿宋_GB2312"/>
          <w:sz w:val="28"/>
          <w:szCs w:val="28"/>
        </w:rPr>
        <w:t>支出决算</w:t>
      </w:r>
      <w:r>
        <w:rPr>
          <w:rFonts w:ascii="仿宋_GB2312" w:eastAsia="仿宋_GB2312"/>
          <w:sz w:val="28"/>
          <w:szCs w:val="28"/>
        </w:rPr>
        <w:t>说明</w:t>
      </w:r>
    </w:p>
    <w:p>
      <w:pPr>
        <w:tabs>
          <w:tab w:val="center" w:pos="6979"/>
        </w:tabs>
        <w:spacing w:line="580" w:lineRule="exact"/>
        <w:ind w:firstLine="570"/>
        <w:rPr>
          <w:rFonts w:ascii="仿宋_GB2312" w:eastAsia="仿宋_GB2312"/>
          <w:sz w:val="28"/>
          <w:szCs w:val="28"/>
        </w:rPr>
      </w:pPr>
      <w:r>
        <w:rPr>
          <w:rFonts w:hint="eastAsia" w:ascii="仿宋_GB2312" w:eastAsia="仿宋_GB2312"/>
          <w:sz w:val="28"/>
          <w:szCs w:val="28"/>
        </w:rPr>
        <w:t>2025年度本年支出合计</w:t>
      </w:r>
      <w:r>
        <w:rPr>
          <w:rFonts w:ascii="仿宋_GB2312" w:eastAsia="仿宋_GB2312"/>
          <w:sz w:val="28"/>
          <w:szCs w:val="28"/>
        </w:rPr>
        <w:t>111</w:t>
      </w:r>
      <w:r>
        <w:rPr>
          <w:rFonts w:hint="eastAsia" w:ascii="仿宋_GB2312" w:eastAsia="仿宋_GB2312"/>
          <w:sz w:val="28"/>
          <w:szCs w:val="28"/>
          <w:highlight w:val="none"/>
        </w:rPr>
        <w:t>,</w:t>
      </w:r>
      <w:r>
        <w:rPr>
          <w:rFonts w:ascii="仿宋_GB2312" w:eastAsia="仿宋_GB2312"/>
          <w:sz w:val="28"/>
          <w:szCs w:val="28"/>
        </w:rPr>
        <w:t>295</w:t>
      </w:r>
      <w:r>
        <w:rPr>
          <w:rFonts w:hint="eastAsia" w:ascii="仿宋_GB2312" w:eastAsia="仿宋_GB2312"/>
          <w:sz w:val="28"/>
          <w:szCs w:val="28"/>
          <w:highlight w:val="none"/>
        </w:rPr>
        <w:t>,</w:t>
      </w:r>
      <w:r>
        <w:rPr>
          <w:rFonts w:ascii="仿宋_GB2312" w:eastAsia="仿宋_GB2312"/>
          <w:sz w:val="28"/>
          <w:szCs w:val="28"/>
        </w:rPr>
        <w:t>663.67</w:t>
      </w:r>
      <w:r>
        <w:rPr>
          <w:rFonts w:hint="eastAsia" w:ascii="仿宋_GB2312" w:eastAsia="仿宋_GB2312"/>
          <w:sz w:val="28"/>
          <w:szCs w:val="28"/>
        </w:rPr>
        <w:t>元，</w:t>
      </w:r>
      <w:r>
        <w:rPr>
          <w:rFonts w:ascii="仿宋_GB2312" w:eastAsia="仿宋_GB2312"/>
          <w:sz w:val="28"/>
          <w:szCs w:val="28"/>
        </w:rPr>
        <w:t>比上年</w:t>
      </w:r>
      <w:r>
        <w:rPr>
          <w:rFonts w:hint="eastAsia" w:ascii="仿宋_GB2312" w:eastAsia="仿宋_GB2312"/>
          <w:sz w:val="28"/>
          <w:szCs w:val="28"/>
        </w:rPr>
        <w:t>减少119</w:t>
      </w:r>
      <w:r>
        <w:rPr>
          <w:rFonts w:hint="eastAsia" w:ascii="仿宋_GB2312" w:eastAsia="仿宋_GB2312"/>
          <w:sz w:val="28"/>
          <w:szCs w:val="28"/>
          <w:highlight w:val="none"/>
        </w:rPr>
        <w:t>,</w:t>
      </w:r>
      <w:r>
        <w:rPr>
          <w:rFonts w:hint="eastAsia" w:ascii="仿宋_GB2312" w:eastAsia="仿宋_GB2312"/>
          <w:sz w:val="28"/>
          <w:szCs w:val="28"/>
        </w:rPr>
        <w:t>924</w:t>
      </w:r>
      <w:r>
        <w:rPr>
          <w:rFonts w:hint="eastAsia" w:ascii="仿宋_GB2312" w:eastAsia="仿宋_GB2312"/>
          <w:sz w:val="28"/>
          <w:szCs w:val="28"/>
          <w:highlight w:val="none"/>
        </w:rPr>
        <w:t>,</w:t>
      </w:r>
      <w:r>
        <w:rPr>
          <w:rFonts w:hint="eastAsia" w:ascii="仿宋_GB2312" w:eastAsia="仿宋_GB2312"/>
          <w:sz w:val="28"/>
          <w:szCs w:val="28"/>
        </w:rPr>
        <w:t>278.35元，下降</w:t>
      </w:r>
      <w:r>
        <w:rPr>
          <w:rFonts w:hint="eastAsia" w:ascii="仿宋_GB2312" w:eastAsia="仿宋_GB2312"/>
          <w:sz w:val="28"/>
          <w:szCs w:val="28"/>
          <w:lang w:val="en-US" w:eastAsia="zh-CN"/>
        </w:rPr>
        <w:t>51.9</w:t>
      </w:r>
      <w:r>
        <w:rPr>
          <w:rFonts w:hint="eastAsia" w:ascii="仿宋_GB2312" w:eastAsia="仿宋_GB2312"/>
          <w:sz w:val="28"/>
          <w:szCs w:val="28"/>
        </w:rPr>
        <w:t>%，其中：基本支出</w:t>
      </w:r>
      <w:r>
        <w:rPr>
          <w:rFonts w:ascii="仿宋_GB2312" w:eastAsia="仿宋_GB2312"/>
          <w:sz w:val="28"/>
          <w:szCs w:val="28"/>
        </w:rPr>
        <w:t>65</w:t>
      </w:r>
      <w:r>
        <w:rPr>
          <w:rFonts w:hint="eastAsia" w:ascii="仿宋_GB2312" w:eastAsia="仿宋_GB2312"/>
          <w:sz w:val="28"/>
          <w:szCs w:val="28"/>
          <w:highlight w:val="none"/>
        </w:rPr>
        <w:t>,</w:t>
      </w:r>
      <w:r>
        <w:rPr>
          <w:rFonts w:ascii="仿宋_GB2312" w:eastAsia="仿宋_GB2312"/>
          <w:sz w:val="28"/>
          <w:szCs w:val="28"/>
        </w:rPr>
        <w:t>981</w:t>
      </w:r>
      <w:r>
        <w:rPr>
          <w:rFonts w:hint="eastAsia" w:ascii="仿宋_GB2312" w:eastAsia="仿宋_GB2312"/>
          <w:sz w:val="28"/>
          <w:szCs w:val="28"/>
          <w:highlight w:val="none"/>
        </w:rPr>
        <w:t>,</w:t>
      </w:r>
      <w:r>
        <w:rPr>
          <w:rFonts w:ascii="仿宋_GB2312" w:eastAsia="仿宋_GB2312"/>
          <w:sz w:val="28"/>
          <w:szCs w:val="28"/>
        </w:rPr>
        <w:t>814.42</w:t>
      </w:r>
      <w:r>
        <w:rPr>
          <w:rFonts w:hint="eastAsia" w:ascii="仿宋_GB2312" w:eastAsia="仿宋_GB2312"/>
          <w:sz w:val="28"/>
          <w:szCs w:val="28"/>
        </w:rPr>
        <w:t>元，占支出合计的59.</w:t>
      </w:r>
      <w:r>
        <w:rPr>
          <w:rFonts w:hint="eastAsia" w:ascii="仿宋_GB2312" w:eastAsia="仿宋_GB2312"/>
          <w:sz w:val="28"/>
          <w:szCs w:val="28"/>
          <w:lang w:val="en-US" w:eastAsia="zh-CN"/>
        </w:rPr>
        <w:t>3</w:t>
      </w:r>
      <w:r>
        <w:rPr>
          <w:rFonts w:hint="eastAsia" w:ascii="仿宋_GB2312" w:eastAsia="仿宋_GB2312"/>
          <w:sz w:val="28"/>
          <w:szCs w:val="28"/>
        </w:rPr>
        <w:t>%；项目支出</w:t>
      </w:r>
      <w:r>
        <w:rPr>
          <w:rFonts w:ascii="仿宋_GB2312" w:eastAsia="仿宋_GB2312"/>
          <w:sz w:val="28"/>
          <w:szCs w:val="28"/>
        </w:rPr>
        <w:t>45</w:t>
      </w:r>
      <w:r>
        <w:rPr>
          <w:rFonts w:hint="eastAsia" w:ascii="仿宋_GB2312" w:eastAsia="仿宋_GB2312"/>
          <w:sz w:val="28"/>
          <w:szCs w:val="28"/>
          <w:highlight w:val="none"/>
        </w:rPr>
        <w:t>,</w:t>
      </w:r>
      <w:r>
        <w:rPr>
          <w:rFonts w:ascii="仿宋_GB2312" w:eastAsia="仿宋_GB2312"/>
          <w:sz w:val="28"/>
          <w:szCs w:val="28"/>
        </w:rPr>
        <w:t>313</w:t>
      </w:r>
      <w:r>
        <w:rPr>
          <w:rFonts w:hint="eastAsia" w:ascii="仿宋_GB2312" w:eastAsia="仿宋_GB2312"/>
          <w:sz w:val="28"/>
          <w:szCs w:val="28"/>
          <w:highlight w:val="none"/>
        </w:rPr>
        <w:t>,</w:t>
      </w:r>
      <w:r>
        <w:rPr>
          <w:rFonts w:ascii="仿宋_GB2312" w:eastAsia="仿宋_GB2312"/>
          <w:sz w:val="28"/>
          <w:szCs w:val="28"/>
        </w:rPr>
        <w:t>849.25</w:t>
      </w:r>
      <w:r>
        <w:rPr>
          <w:rFonts w:hint="eastAsia" w:ascii="仿宋_GB2312" w:eastAsia="仿宋_GB2312"/>
          <w:sz w:val="28"/>
          <w:szCs w:val="28"/>
        </w:rPr>
        <w:t>元，占支出合计的40.7%;上缴上级支出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%；经营支出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%；对附属单位补助支出</w:t>
      </w:r>
      <w:r>
        <w:rPr>
          <w:rFonts w:ascii="仿宋_GB2312" w:eastAsia="仿宋_GB2312"/>
          <w:sz w:val="28"/>
          <w:szCs w:val="28"/>
        </w:rPr>
        <w:t>0</w:t>
      </w:r>
      <w:r>
        <w:rPr>
          <w:rFonts w:hint="eastAsia" w:ascii="仿宋_GB2312" w:eastAsia="仿宋_GB2312"/>
          <w:sz w:val="28"/>
          <w:szCs w:val="28"/>
          <w:lang w:val="en-US" w:eastAsia="zh-CN"/>
        </w:rPr>
        <w:t>.00</w:t>
      </w:r>
      <w:r>
        <w:rPr>
          <w:rFonts w:hint="eastAsia" w:ascii="仿宋_GB2312" w:eastAsia="仿宋_GB2312"/>
          <w:sz w:val="28"/>
          <w:szCs w:val="28"/>
        </w:rPr>
        <w:t>元，占支出合计的0</w:t>
      </w:r>
      <w:r>
        <w:rPr>
          <w:rFonts w:hint="eastAsia" w:ascii="仿宋_GB2312" w:eastAsia="仿宋_GB2312"/>
          <w:sz w:val="28"/>
          <w:szCs w:val="28"/>
          <w:lang w:val="en-US" w:eastAsia="zh-CN"/>
        </w:rPr>
        <w:t>.0</w:t>
      </w:r>
      <w:r>
        <w:rPr>
          <w:rFonts w:hint="eastAsia" w:ascii="仿宋_GB2312" w:eastAsia="仿宋_GB2312"/>
          <w:sz w:val="28"/>
          <w:szCs w:val="28"/>
        </w:rPr>
        <w:t>%。</w:t>
      </w:r>
    </w:p>
    <w:p>
      <w:pPr>
        <w:pStyle w:val="3"/>
        <w:ind w:firstLine="5772" w:firstLineChars="1804"/>
        <w:rPr>
          <w:rFonts w:ascii="仿宋_GB2312" w:eastAsia="仿宋_GB2312"/>
          <w:color w:val="000000"/>
          <w:sz w:val="32"/>
        </w:rPr>
      </w:pPr>
      <w:r>
        <w:rPr>
          <w:rFonts w:hint="eastAsia" w:ascii="仿宋_GB2312" w:eastAsia="仿宋_GB2312"/>
          <w:color w:val="000000"/>
          <w:sz w:val="32"/>
        </w:rPr>
        <w:t>图2：支出决算</w:t>
      </w:r>
    </w:p>
    <w:p>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ascii="黑体" w:eastAsia="黑体"/>
          <w:b/>
          <w:sz w:val="28"/>
          <w:szCs w:val="28"/>
          <w:highlight w:val="none"/>
        </w:rPr>
      </w:pPr>
      <w:r>
        <w:rPr>
          <w:rFonts w:hint="eastAsia" w:ascii="黑体" w:eastAsia="黑体"/>
          <w:b/>
          <w:sz w:val="28"/>
          <w:szCs w:val="28"/>
          <w:highlight w:val="none"/>
        </w:rPr>
        <w:t>三</w:t>
      </w:r>
      <w:r>
        <w:rPr>
          <w:rFonts w:ascii="黑体" w:eastAsia="黑体"/>
          <w:b/>
          <w:sz w:val="28"/>
          <w:szCs w:val="28"/>
          <w:highlight w:val="none"/>
        </w:rPr>
        <w:t>、财政拨款</w:t>
      </w:r>
      <w:r>
        <w:rPr>
          <w:rFonts w:hint="eastAsia" w:ascii="黑体" w:eastAsia="黑体"/>
          <w:b/>
          <w:sz w:val="28"/>
          <w:szCs w:val="28"/>
          <w:highlight w:val="none"/>
        </w:rPr>
        <w:t>收入支出决算</w:t>
      </w:r>
      <w:r>
        <w:rPr>
          <w:rFonts w:ascii="黑体" w:eastAsia="黑体"/>
          <w:b/>
          <w:sz w:val="28"/>
          <w:szCs w:val="28"/>
          <w:highlight w:val="none"/>
        </w:rPr>
        <w:t>总体情况说明</w:t>
      </w:r>
    </w:p>
    <w:p>
      <w:pPr>
        <w:tabs>
          <w:tab w:val="center" w:pos="6979"/>
        </w:tabs>
        <w:spacing w:line="580" w:lineRule="exact"/>
        <w:ind w:firstLine="570"/>
        <w:rPr>
          <w:rFonts w:ascii="仿宋_GB2312" w:eastAsia="仿宋_GB2312"/>
          <w:sz w:val="28"/>
          <w:szCs w:val="28"/>
          <w:highlight w:val="none"/>
        </w:rPr>
      </w:pPr>
      <w:r>
        <w:rPr>
          <w:rFonts w:hint="eastAsia" w:ascii="仿宋_GB2312" w:eastAsia="仿宋_GB2312"/>
          <w:sz w:val="28"/>
          <w:szCs w:val="28"/>
          <w:highlight w:val="none"/>
        </w:rPr>
        <w:t>2025年度财政拨款收、</w:t>
      </w:r>
      <w:r>
        <w:rPr>
          <w:rFonts w:ascii="仿宋_GB2312" w:eastAsia="仿宋_GB2312"/>
          <w:sz w:val="28"/>
          <w:szCs w:val="28"/>
          <w:highlight w:val="none"/>
        </w:rPr>
        <w:t>支</w:t>
      </w:r>
      <w:r>
        <w:rPr>
          <w:rFonts w:hint="eastAsia" w:ascii="仿宋_GB2312" w:eastAsia="仿宋_GB2312"/>
          <w:sz w:val="28"/>
          <w:szCs w:val="28"/>
          <w:highlight w:val="none"/>
        </w:rPr>
        <w:t>总计</w:t>
      </w:r>
      <w:r>
        <w:rPr>
          <w:rFonts w:ascii="仿宋_GB2312" w:eastAsia="仿宋_GB2312"/>
          <w:sz w:val="28"/>
          <w:szCs w:val="28"/>
          <w:highlight w:val="none"/>
        </w:rPr>
        <w:t>109</w:t>
      </w:r>
      <w:r>
        <w:rPr>
          <w:rFonts w:hint="eastAsia" w:ascii="仿宋_GB2312" w:eastAsia="仿宋_GB2312"/>
          <w:sz w:val="28"/>
          <w:szCs w:val="28"/>
          <w:highlight w:val="none"/>
        </w:rPr>
        <w:t>,</w:t>
      </w:r>
      <w:r>
        <w:rPr>
          <w:rFonts w:ascii="仿宋_GB2312" w:eastAsia="仿宋_GB2312"/>
          <w:sz w:val="28"/>
          <w:szCs w:val="28"/>
          <w:highlight w:val="none"/>
        </w:rPr>
        <w:t>802</w:t>
      </w:r>
      <w:r>
        <w:rPr>
          <w:rFonts w:hint="eastAsia" w:ascii="仿宋_GB2312" w:eastAsia="仿宋_GB2312"/>
          <w:sz w:val="28"/>
          <w:szCs w:val="28"/>
          <w:highlight w:val="none"/>
        </w:rPr>
        <w:t>,</w:t>
      </w:r>
      <w:r>
        <w:rPr>
          <w:rFonts w:ascii="仿宋_GB2312" w:eastAsia="仿宋_GB2312"/>
          <w:sz w:val="28"/>
          <w:szCs w:val="28"/>
          <w:highlight w:val="none"/>
        </w:rPr>
        <w:t>095.15</w:t>
      </w:r>
      <w:r>
        <w:rPr>
          <w:rFonts w:hint="eastAsia" w:ascii="仿宋_GB2312" w:eastAsia="仿宋_GB2312"/>
          <w:sz w:val="28"/>
          <w:szCs w:val="28"/>
          <w:highlight w:val="none"/>
        </w:rPr>
        <w:t>元，比上年减少114,953,694.49元，下降</w:t>
      </w:r>
      <w:r>
        <w:rPr>
          <w:rFonts w:hint="eastAsia" w:ascii="仿宋_GB2312" w:eastAsia="仿宋_GB2312"/>
          <w:sz w:val="28"/>
          <w:szCs w:val="28"/>
          <w:highlight w:val="none"/>
          <w:lang w:val="en-US" w:eastAsia="zh-CN"/>
        </w:rPr>
        <w:t>51.1</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较上年减少</w:t>
      </w:r>
      <w:r>
        <w:rPr>
          <w:rFonts w:hint="eastAsia" w:ascii="仿宋_GB2312" w:eastAsia="仿宋_GB2312"/>
          <w:sz w:val="28"/>
          <w:szCs w:val="28"/>
          <w:highlight w:val="none"/>
        </w:rPr>
        <w:t>自然灾害救灾及恢复重建</w:t>
      </w:r>
      <w:r>
        <w:rPr>
          <w:rFonts w:hint="eastAsia" w:ascii="仿宋_GB2312" w:eastAsia="仿宋_GB2312"/>
          <w:sz w:val="28"/>
          <w:szCs w:val="28"/>
          <w:highlight w:val="none"/>
          <w:lang w:eastAsia="zh-CN"/>
        </w:rPr>
        <w:t>专项</w:t>
      </w:r>
      <w:r>
        <w:rPr>
          <w:rFonts w:hint="eastAsia" w:ascii="仿宋_GB2312" w:eastAsia="仿宋_GB2312"/>
          <w:sz w:val="28"/>
          <w:szCs w:val="28"/>
          <w:highlight w:val="none"/>
        </w:rPr>
        <w:t>支出103,897,434.61</w:t>
      </w:r>
      <w:r>
        <w:rPr>
          <w:rFonts w:hint="eastAsia" w:ascii="仿宋_GB2312" w:eastAsia="仿宋_GB2312"/>
          <w:sz w:val="28"/>
          <w:szCs w:val="28"/>
          <w:highlight w:val="none"/>
          <w:lang w:eastAsia="zh-CN"/>
        </w:rPr>
        <w:t>元</w:t>
      </w:r>
      <w:r>
        <w:rPr>
          <w:rFonts w:hint="eastAsia" w:ascii="仿宋_GB2312" w:eastAsia="仿宋_GB2312"/>
          <w:sz w:val="28"/>
          <w:szCs w:val="28"/>
          <w:highlight w:val="none"/>
        </w:rPr>
        <w:t>。</w:t>
      </w:r>
    </w:p>
    <w:p>
      <w:pPr>
        <w:tabs>
          <w:tab w:val="center" w:pos="6979"/>
        </w:tabs>
        <w:spacing w:line="580" w:lineRule="exact"/>
        <w:ind w:firstLine="548" w:firstLineChars="196"/>
        <w:rPr>
          <w:rFonts w:ascii="黑体" w:eastAsia="黑体"/>
          <w:b/>
          <w:sz w:val="28"/>
          <w:szCs w:val="28"/>
          <w:highlight w:val="none"/>
        </w:rPr>
      </w:pPr>
      <w:r>
        <w:rPr>
          <w:rFonts w:hint="eastAsia" w:ascii="黑体" w:eastAsia="黑体"/>
          <w:b/>
          <w:sz w:val="28"/>
          <w:szCs w:val="28"/>
          <w:highlight w:val="none"/>
        </w:rPr>
        <w:t>四、一般公共预算财政拨款支出决算情况说明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（一）一般公共预算财政拨款支出决算总体情况</w:t>
      </w:r>
    </w:p>
    <w:p>
      <w:pPr>
        <w:tabs>
          <w:tab w:val="center" w:pos="6979"/>
        </w:tabs>
        <w:spacing w:line="580" w:lineRule="exact"/>
        <w:ind w:firstLine="560" w:firstLineChars="200"/>
        <w:rPr>
          <w:rFonts w:ascii="仿宋_GB2312" w:eastAsia="仿宋_GB2312"/>
          <w:sz w:val="28"/>
          <w:szCs w:val="28"/>
          <w:highlight w:val="yellow"/>
        </w:rPr>
      </w:pPr>
      <w:r>
        <w:rPr>
          <w:rFonts w:hint="eastAsia" w:ascii="仿宋_GB2312" w:eastAsia="仿宋_GB2312"/>
          <w:sz w:val="28"/>
          <w:szCs w:val="28"/>
          <w:highlight w:val="none"/>
        </w:rPr>
        <w:t>2025年度一般公共预算财政拨款支出</w:t>
      </w:r>
      <w:r>
        <w:rPr>
          <w:rFonts w:ascii="仿宋_GB2312" w:eastAsia="仿宋_GB2312"/>
          <w:sz w:val="28"/>
          <w:szCs w:val="28"/>
          <w:highlight w:val="none"/>
        </w:rPr>
        <w:t>109</w:t>
      </w:r>
      <w:r>
        <w:rPr>
          <w:rFonts w:hint="eastAsia" w:ascii="仿宋_GB2312" w:eastAsia="仿宋_GB2312"/>
          <w:sz w:val="32"/>
          <w:szCs w:val="32"/>
          <w:highlight w:val="none"/>
        </w:rPr>
        <w:t>,</w:t>
      </w:r>
      <w:r>
        <w:rPr>
          <w:rFonts w:ascii="仿宋_GB2312" w:eastAsia="仿宋_GB2312"/>
          <w:sz w:val="28"/>
          <w:szCs w:val="28"/>
          <w:highlight w:val="none"/>
        </w:rPr>
        <w:t>793</w:t>
      </w:r>
      <w:r>
        <w:rPr>
          <w:rFonts w:hint="eastAsia" w:ascii="仿宋_GB2312" w:eastAsia="仿宋_GB2312"/>
          <w:sz w:val="32"/>
          <w:szCs w:val="32"/>
          <w:highlight w:val="none"/>
        </w:rPr>
        <w:t>,</w:t>
      </w:r>
      <w:r>
        <w:rPr>
          <w:rFonts w:ascii="仿宋_GB2312" w:eastAsia="仿宋_GB2312"/>
          <w:sz w:val="28"/>
          <w:szCs w:val="28"/>
          <w:highlight w:val="none"/>
        </w:rPr>
        <w:t>000.15</w:t>
      </w:r>
      <w:r>
        <w:rPr>
          <w:rFonts w:hint="eastAsia" w:ascii="仿宋_GB2312" w:eastAsia="仿宋_GB2312"/>
          <w:sz w:val="28"/>
          <w:szCs w:val="28"/>
          <w:highlight w:val="none"/>
        </w:rPr>
        <w:t>元，主要用于以下方面（按大类）：文化旅游体育与传媒支出495,900.00元，占本年财政拨款支出</w:t>
      </w:r>
      <w:r>
        <w:rPr>
          <w:rFonts w:hint="eastAsia" w:ascii="仿宋_GB2312" w:eastAsia="仿宋_GB2312"/>
          <w:sz w:val="28"/>
          <w:szCs w:val="28"/>
          <w:highlight w:val="none"/>
          <w:lang w:val="en-US" w:eastAsia="zh-CN"/>
        </w:rPr>
        <w:t>0.5</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w:t>
      </w:r>
      <w:r>
        <w:rPr>
          <w:rFonts w:hint="eastAsia" w:ascii="仿宋_GB2312" w:eastAsia="仿宋_GB2312"/>
          <w:sz w:val="28"/>
          <w:szCs w:val="28"/>
          <w:highlight w:val="none"/>
        </w:rPr>
        <w:t>社会保障和就业支出1,636,750.28元，占本年财政拨款支出</w:t>
      </w:r>
      <w:r>
        <w:rPr>
          <w:rFonts w:hint="eastAsia" w:ascii="仿宋_GB2312" w:eastAsia="仿宋_GB2312"/>
          <w:sz w:val="28"/>
          <w:szCs w:val="28"/>
          <w:highlight w:val="none"/>
          <w:lang w:val="en-US" w:eastAsia="zh-CN"/>
        </w:rPr>
        <w:t>1.5</w:t>
      </w:r>
      <w:r>
        <w:rPr>
          <w:rFonts w:hint="eastAsia" w:ascii="仿宋_GB2312" w:eastAsia="仿宋_GB2312"/>
          <w:sz w:val="28"/>
          <w:szCs w:val="28"/>
          <w:highlight w:val="none"/>
        </w:rPr>
        <w:t>%；节能环保支出5,913,525.66元，占本年财政拨款支出</w:t>
      </w:r>
      <w:r>
        <w:rPr>
          <w:rFonts w:hint="eastAsia" w:ascii="仿宋_GB2312" w:eastAsia="仿宋_GB2312"/>
          <w:sz w:val="28"/>
          <w:szCs w:val="28"/>
          <w:highlight w:val="none"/>
          <w:lang w:val="en-US" w:eastAsia="zh-CN"/>
        </w:rPr>
        <w:t>5.4</w:t>
      </w:r>
      <w:r>
        <w:rPr>
          <w:rFonts w:hint="eastAsia" w:ascii="仿宋_GB2312" w:eastAsia="仿宋_GB2312"/>
          <w:sz w:val="28"/>
          <w:szCs w:val="28"/>
          <w:highlight w:val="none"/>
        </w:rPr>
        <w:t>%；农林水支出88,437,160.68元，占本年财政拨款支出</w:t>
      </w:r>
      <w:r>
        <w:rPr>
          <w:rFonts w:hint="eastAsia" w:ascii="仿宋_GB2312" w:eastAsia="仿宋_GB2312"/>
          <w:sz w:val="28"/>
          <w:szCs w:val="28"/>
          <w:highlight w:val="none"/>
          <w:lang w:val="en-US" w:eastAsia="zh-CN"/>
        </w:rPr>
        <w:t>80.5</w:t>
      </w:r>
      <w:r>
        <w:rPr>
          <w:rFonts w:hint="eastAsia" w:ascii="仿宋_GB2312" w:eastAsia="仿宋_GB2312"/>
          <w:sz w:val="28"/>
          <w:szCs w:val="28"/>
          <w:highlight w:val="none"/>
        </w:rPr>
        <w:t>%；资源勘探工业信息等支出76,272.00元，占本年财政拨款支出</w:t>
      </w:r>
      <w:r>
        <w:rPr>
          <w:rFonts w:hint="eastAsia" w:ascii="仿宋_GB2312" w:eastAsia="仿宋_GB2312"/>
          <w:sz w:val="28"/>
          <w:szCs w:val="28"/>
          <w:highlight w:val="none"/>
          <w:lang w:val="en-US" w:eastAsia="zh-CN"/>
        </w:rPr>
        <w:t>0.1</w:t>
      </w:r>
      <w:r>
        <w:rPr>
          <w:rFonts w:hint="eastAsia" w:ascii="仿宋_GB2312" w:eastAsia="仿宋_GB2312"/>
          <w:sz w:val="28"/>
          <w:szCs w:val="28"/>
          <w:highlight w:val="none"/>
        </w:rPr>
        <w:t>%；自然资源海洋气象等支出13,233,391.53元，占本年财政拨款支出</w:t>
      </w:r>
      <w:r>
        <w:rPr>
          <w:rFonts w:hint="eastAsia" w:ascii="仿宋_GB2312" w:eastAsia="仿宋_GB2312"/>
          <w:sz w:val="28"/>
          <w:szCs w:val="28"/>
          <w:highlight w:val="none"/>
          <w:lang w:val="en-US" w:eastAsia="zh-CN"/>
        </w:rPr>
        <w:t>12.1</w:t>
      </w:r>
      <w:r>
        <w:rPr>
          <w:rFonts w:hint="eastAsia" w:ascii="仿宋_GB2312" w:eastAsia="仿宋_GB2312"/>
          <w:sz w:val="28"/>
          <w:szCs w:val="28"/>
          <w:highlight w:val="none"/>
        </w:rPr>
        <w:t>%；</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（二）一般公共预算财政拨款支出决算具体情况</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1、“文化旅游体育与传媒支出”（类）2025年度年初预算500</w:t>
      </w:r>
      <w:r>
        <w:rPr>
          <w:rFonts w:hint="eastAsia" w:ascii="仿宋_GB2312" w:eastAsia="仿宋_GB2312"/>
          <w:sz w:val="32"/>
          <w:szCs w:val="32"/>
          <w:highlight w:val="none"/>
        </w:rPr>
        <w:t>,</w:t>
      </w:r>
      <w:r>
        <w:rPr>
          <w:rFonts w:hint="eastAsia"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元，2025年度决算495,900.00元，完成年初预算的</w:t>
      </w:r>
      <w:r>
        <w:rPr>
          <w:rFonts w:hint="eastAsia" w:ascii="仿宋_GB2312" w:eastAsia="仿宋_GB2312"/>
          <w:sz w:val="28"/>
          <w:szCs w:val="28"/>
          <w:highlight w:val="none"/>
          <w:lang w:val="en-US" w:eastAsia="zh-CN"/>
        </w:rPr>
        <w:t>99.2</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“文化和旅游”（款，下同）2025年度年初预算500</w:t>
      </w:r>
      <w:r>
        <w:rPr>
          <w:rFonts w:hint="eastAsia" w:ascii="仿宋_GB2312" w:eastAsia="仿宋_GB2312"/>
          <w:sz w:val="32"/>
          <w:szCs w:val="32"/>
          <w:highlight w:val="none"/>
        </w:rPr>
        <w:t>,</w:t>
      </w:r>
      <w:r>
        <w:rPr>
          <w:rFonts w:hint="eastAsia" w:ascii="仿宋_GB2312" w:eastAsia="仿宋_GB2312"/>
          <w:sz w:val="28"/>
          <w:szCs w:val="28"/>
          <w:highlight w:val="none"/>
        </w:rPr>
        <w:t>000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元，2025年度决算495,900.00元，完成年初预算的</w:t>
      </w:r>
      <w:r>
        <w:rPr>
          <w:rFonts w:hint="eastAsia" w:ascii="仿宋_GB2312" w:eastAsia="仿宋_GB2312"/>
          <w:sz w:val="28"/>
          <w:szCs w:val="28"/>
          <w:highlight w:val="none"/>
          <w:lang w:val="en-US" w:eastAsia="zh-CN"/>
        </w:rPr>
        <w:t>99.2</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根据项目实际开展需求，部分资金净结余</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2、“社会保障和就业支出”(类)2025年度年初预算</w:t>
      </w:r>
      <w:r>
        <w:rPr>
          <w:rFonts w:hint="eastAsia" w:ascii="仿宋_GB2312" w:eastAsia="仿宋_GB2312"/>
          <w:sz w:val="28"/>
          <w:szCs w:val="28"/>
          <w:highlight w:val="none"/>
          <w:lang w:val="en-US" w:eastAsia="zh-CN"/>
        </w:rPr>
        <w:t>1</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650</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800.00</w:t>
      </w:r>
      <w:r>
        <w:rPr>
          <w:rFonts w:hint="eastAsia" w:ascii="仿宋_GB2312" w:eastAsia="仿宋_GB2312"/>
          <w:sz w:val="28"/>
          <w:szCs w:val="28"/>
          <w:highlight w:val="none"/>
        </w:rPr>
        <w:t>元，2025年度决算1,636,750.28元，完成年初预算的</w:t>
      </w:r>
      <w:r>
        <w:rPr>
          <w:rFonts w:hint="eastAsia" w:ascii="仿宋_GB2312" w:eastAsia="仿宋_GB2312"/>
          <w:sz w:val="28"/>
          <w:szCs w:val="28"/>
          <w:highlight w:val="none"/>
          <w:lang w:val="en-US" w:eastAsia="zh-CN"/>
        </w:rPr>
        <w:t>99.1</w:t>
      </w:r>
      <w:r>
        <w:rPr>
          <w:rFonts w:hint="eastAsia" w:ascii="仿宋_GB2312" w:eastAsia="仿宋_GB2312"/>
          <w:sz w:val="28"/>
          <w:szCs w:val="28"/>
          <w:highlight w:val="none"/>
        </w:rPr>
        <w:t>%。其中：</w:t>
      </w:r>
    </w:p>
    <w:p>
      <w:pPr>
        <w:spacing w:line="580" w:lineRule="exact"/>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rPr>
        <w:t>“行政事业单位养老支出”（款）2025年度年初预算</w:t>
      </w:r>
      <w:r>
        <w:rPr>
          <w:rFonts w:hint="eastAsia" w:ascii="仿宋_GB2312" w:eastAsia="仿宋_GB2312"/>
          <w:sz w:val="28"/>
          <w:szCs w:val="28"/>
          <w:highlight w:val="none"/>
          <w:lang w:val="en-US" w:eastAsia="zh-CN"/>
        </w:rPr>
        <w:t>1</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650</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800.00</w:t>
      </w:r>
      <w:r>
        <w:rPr>
          <w:rFonts w:hint="eastAsia" w:ascii="仿宋_GB2312" w:eastAsia="仿宋_GB2312"/>
          <w:sz w:val="28"/>
          <w:szCs w:val="28"/>
          <w:highlight w:val="none"/>
        </w:rPr>
        <w:t>元，2025年度决算1,636,750.28元，完成年初预算的</w:t>
      </w:r>
      <w:r>
        <w:rPr>
          <w:rFonts w:hint="eastAsia" w:ascii="仿宋_GB2312" w:eastAsia="仿宋_GB2312"/>
          <w:sz w:val="28"/>
          <w:szCs w:val="28"/>
          <w:highlight w:val="none"/>
          <w:lang w:val="en-US" w:eastAsia="zh-CN"/>
        </w:rPr>
        <w:t>99.1</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根据实际工作开展需求，部分资金净结余</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3</w:t>
      </w:r>
      <w:r>
        <w:rPr>
          <w:rFonts w:hint="eastAsia" w:ascii="仿宋_GB2312" w:eastAsia="仿宋_GB2312"/>
          <w:sz w:val="28"/>
          <w:szCs w:val="28"/>
          <w:highlight w:val="none"/>
        </w:rPr>
        <w:t>、“节能环保支出”(类)2025年度年初预算</w:t>
      </w:r>
      <w:r>
        <w:rPr>
          <w:rFonts w:hint="eastAsia" w:ascii="仿宋_GB2312" w:eastAsia="仿宋_GB2312"/>
          <w:sz w:val="28"/>
          <w:szCs w:val="28"/>
          <w:highlight w:val="none"/>
          <w:lang w:val="en-US" w:eastAsia="zh-CN"/>
        </w:rPr>
        <w:t>19</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393</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459.23</w:t>
      </w:r>
      <w:r>
        <w:rPr>
          <w:rFonts w:hint="eastAsia" w:ascii="仿宋_GB2312" w:eastAsia="仿宋_GB2312"/>
          <w:sz w:val="28"/>
          <w:szCs w:val="28"/>
          <w:highlight w:val="none"/>
        </w:rPr>
        <w:t>元，2025年度决算5,913,525.66元，完成年初预算的</w:t>
      </w:r>
      <w:r>
        <w:rPr>
          <w:rFonts w:hint="eastAsia" w:ascii="仿宋_GB2312" w:eastAsia="仿宋_GB2312"/>
          <w:sz w:val="28"/>
          <w:szCs w:val="28"/>
          <w:highlight w:val="none"/>
          <w:lang w:val="en-US" w:eastAsia="zh-CN"/>
        </w:rPr>
        <w:t>30.5</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“污染防治”（款）2025年度年初预算</w:t>
      </w:r>
      <w:r>
        <w:rPr>
          <w:rFonts w:hint="eastAsia" w:ascii="仿宋_GB2312" w:eastAsia="仿宋_GB2312"/>
          <w:sz w:val="28"/>
          <w:szCs w:val="28"/>
          <w:highlight w:val="none"/>
          <w:lang w:val="en-US" w:eastAsia="zh-CN"/>
        </w:rPr>
        <w:t>19</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393</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459.23</w:t>
      </w:r>
      <w:r>
        <w:rPr>
          <w:rFonts w:hint="eastAsia" w:ascii="仿宋_GB2312" w:eastAsia="仿宋_GB2312"/>
          <w:sz w:val="28"/>
          <w:szCs w:val="28"/>
          <w:highlight w:val="none"/>
        </w:rPr>
        <w:t>元，2025年度决算5,913,525.66元，完成年初预算的</w:t>
      </w:r>
      <w:r>
        <w:rPr>
          <w:rFonts w:hint="eastAsia" w:ascii="仿宋_GB2312" w:eastAsia="仿宋_GB2312"/>
          <w:sz w:val="28"/>
          <w:szCs w:val="28"/>
          <w:highlight w:val="none"/>
          <w:lang w:val="en-US" w:eastAsia="zh-CN"/>
        </w:rPr>
        <w:t>30.5</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根据项目开展情况，按照进度支付相关费用。</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4</w:t>
      </w:r>
      <w:r>
        <w:rPr>
          <w:rFonts w:hint="eastAsia" w:ascii="仿宋_GB2312" w:eastAsia="仿宋_GB2312"/>
          <w:sz w:val="28"/>
          <w:szCs w:val="28"/>
          <w:highlight w:val="none"/>
        </w:rPr>
        <w:t>、“农林水支出”(类)2025年度年初预算</w:t>
      </w:r>
      <w:r>
        <w:rPr>
          <w:rFonts w:hint="eastAsia" w:ascii="仿宋_GB2312" w:eastAsia="仿宋_GB2312"/>
          <w:sz w:val="28"/>
          <w:szCs w:val="28"/>
          <w:highlight w:val="none"/>
          <w:lang w:val="en-US" w:eastAsia="zh-CN"/>
        </w:rPr>
        <w:t>163</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348</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921.53</w:t>
      </w:r>
      <w:r>
        <w:rPr>
          <w:rFonts w:hint="eastAsia" w:ascii="仿宋_GB2312" w:eastAsia="仿宋_GB2312"/>
          <w:sz w:val="28"/>
          <w:szCs w:val="28"/>
          <w:highlight w:val="none"/>
        </w:rPr>
        <w:t>元，2025年度决算89,930,729.20元，完成年初预算的</w:t>
      </w:r>
      <w:r>
        <w:rPr>
          <w:rFonts w:hint="eastAsia" w:ascii="仿宋_GB2312" w:eastAsia="仿宋_GB2312"/>
          <w:sz w:val="28"/>
          <w:szCs w:val="28"/>
          <w:highlight w:val="none"/>
          <w:lang w:val="en-US" w:eastAsia="zh-CN"/>
        </w:rPr>
        <w:t>55.1</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“农业农村”（款）2025年度年初预算</w:t>
      </w:r>
      <w:r>
        <w:rPr>
          <w:rFonts w:hint="eastAsia" w:ascii="仿宋_GB2312" w:eastAsia="仿宋_GB2312"/>
          <w:sz w:val="28"/>
          <w:szCs w:val="28"/>
          <w:highlight w:val="none"/>
          <w:lang w:val="en-US" w:eastAsia="zh-CN"/>
        </w:rPr>
        <w:t>161</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848</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921.53</w:t>
      </w:r>
      <w:r>
        <w:rPr>
          <w:rFonts w:hint="eastAsia" w:ascii="仿宋_GB2312" w:eastAsia="仿宋_GB2312"/>
          <w:sz w:val="28"/>
          <w:szCs w:val="28"/>
          <w:highlight w:val="none"/>
        </w:rPr>
        <w:t>元，2025年度决算89,930,729.20元，完成年初预算的</w:t>
      </w:r>
      <w:r>
        <w:rPr>
          <w:rFonts w:hint="eastAsia" w:ascii="仿宋_GB2312" w:eastAsia="仿宋_GB2312"/>
          <w:sz w:val="28"/>
          <w:szCs w:val="28"/>
          <w:highlight w:val="none"/>
          <w:lang w:val="en-US" w:eastAsia="zh-CN"/>
        </w:rPr>
        <w:t>55.6</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根据实际工作需求及项目开展情况，按照进度支付相关费用</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5</w:t>
      </w:r>
      <w:r>
        <w:rPr>
          <w:rFonts w:hint="eastAsia" w:ascii="仿宋_GB2312" w:eastAsia="仿宋_GB2312"/>
          <w:sz w:val="28"/>
          <w:szCs w:val="28"/>
          <w:highlight w:val="none"/>
        </w:rPr>
        <w:t>、“资源勘探工业信息等支出”(类)2025年度年初预算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元，2025年度决算76</w:t>
      </w:r>
      <w:r>
        <w:rPr>
          <w:rFonts w:hint="eastAsia" w:ascii="仿宋_GB2312" w:eastAsia="仿宋_GB2312"/>
          <w:sz w:val="32"/>
          <w:szCs w:val="32"/>
          <w:highlight w:val="none"/>
        </w:rPr>
        <w:t>,</w:t>
      </w:r>
      <w:r>
        <w:rPr>
          <w:rFonts w:hint="eastAsia" w:ascii="仿宋_GB2312" w:eastAsia="仿宋_GB2312"/>
          <w:sz w:val="28"/>
          <w:szCs w:val="28"/>
          <w:highlight w:val="none"/>
        </w:rPr>
        <w:t>272</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100.00</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“制造业”（款）2025年度年初预算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元，2025年度决算76</w:t>
      </w:r>
      <w:r>
        <w:rPr>
          <w:rFonts w:hint="eastAsia" w:ascii="仿宋_GB2312" w:eastAsia="仿宋_GB2312"/>
          <w:sz w:val="32"/>
          <w:szCs w:val="32"/>
          <w:highlight w:val="none"/>
        </w:rPr>
        <w:t>,</w:t>
      </w:r>
      <w:r>
        <w:rPr>
          <w:rFonts w:hint="eastAsia" w:ascii="仿宋_GB2312" w:eastAsia="仿宋_GB2312"/>
          <w:sz w:val="28"/>
          <w:szCs w:val="28"/>
          <w:highlight w:val="none"/>
        </w:rPr>
        <w:t>272</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100.00</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本项目为年中追加</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lang w:val="en-US" w:eastAsia="zh-CN"/>
        </w:rPr>
        <w:t>6</w:t>
      </w:r>
      <w:r>
        <w:rPr>
          <w:rFonts w:hint="eastAsia" w:ascii="仿宋_GB2312" w:eastAsia="仿宋_GB2312"/>
          <w:sz w:val="28"/>
          <w:szCs w:val="28"/>
          <w:highlight w:val="none"/>
        </w:rPr>
        <w:t>、“自然资源海洋气象等支出”(类)2025年度年初预算5</w:t>
      </w:r>
      <w:r>
        <w:rPr>
          <w:rFonts w:hint="eastAsia" w:ascii="仿宋_GB2312" w:eastAsia="仿宋_GB2312"/>
          <w:sz w:val="32"/>
          <w:szCs w:val="32"/>
          <w:highlight w:val="none"/>
        </w:rPr>
        <w:t>,</w:t>
      </w:r>
      <w:r>
        <w:rPr>
          <w:rFonts w:hint="eastAsia" w:ascii="仿宋_GB2312" w:eastAsia="仿宋_GB2312"/>
          <w:sz w:val="28"/>
          <w:szCs w:val="28"/>
          <w:highlight w:val="none"/>
        </w:rPr>
        <w:t>028</w:t>
      </w:r>
      <w:r>
        <w:rPr>
          <w:rFonts w:hint="eastAsia" w:ascii="仿宋_GB2312" w:eastAsia="仿宋_GB2312"/>
          <w:sz w:val="32"/>
          <w:szCs w:val="32"/>
          <w:highlight w:val="none"/>
        </w:rPr>
        <w:t>,</w:t>
      </w:r>
      <w:r>
        <w:rPr>
          <w:rFonts w:hint="eastAsia" w:ascii="仿宋_GB2312" w:eastAsia="仿宋_GB2312"/>
          <w:sz w:val="28"/>
          <w:szCs w:val="28"/>
          <w:highlight w:val="none"/>
        </w:rPr>
        <w:t>367.36元，2025年度决算13</w:t>
      </w:r>
      <w:r>
        <w:rPr>
          <w:rFonts w:hint="eastAsia" w:ascii="仿宋_GB2312" w:eastAsia="仿宋_GB2312"/>
          <w:sz w:val="32"/>
          <w:szCs w:val="32"/>
          <w:highlight w:val="none"/>
        </w:rPr>
        <w:t>,</w:t>
      </w:r>
      <w:r>
        <w:rPr>
          <w:rFonts w:hint="eastAsia" w:ascii="仿宋_GB2312" w:eastAsia="仿宋_GB2312"/>
          <w:sz w:val="28"/>
          <w:szCs w:val="28"/>
          <w:highlight w:val="none"/>
        </w:rPr>
        <w:t>233</w:t>
      </w:r>
      <w:r>
        <w:rPr>
          <w:rFonts w:hint="eastAsia" w:ascii="仿宋_GB2312" w:eastAsia="仿宋_GB2312"/>
          <w:sz w:val="32"/>
          <w:szCs w:val="32"/>
          <w:highlight w:val="none"/>
        </w:rPr>
        <w:t>,</w:t>
      </w:r>
      <w:r>
        <w:rPr>
          <w:rFonts w:hint="eastAsia" w:ascii="仿宋_GB2312" w:eastAsia="仿宋_GB2312"/>
          <w:sz w:val="28"/>
          <w:szCs w:val="28"/>
          <w:highlight w:val="none"/>
        </w:rPr>
        <w:t>391.53元，完成年初预算的</w:t>
      </w:r>
      <w:r>
        <w:rPr>
          <w:rFonts w:hint="eastAsia" w:ascii="仿宋_GB2312" w:eastAsia="仿宋_GB2312"/>
          <w:sz w:val="28"/>
          <w:szCs w:val="28"/>
          <w:highlight w:val="none"/>
          <w:lang w:val="en-US" w:eastAsia="zh-CN"/>
        </w:rPr>
        <w:t>263.2</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“自然资源事务”（款）2025年度年初预算5</w:t>
      </w:r>
      <w:r>
        <w:rPr>
          <w:rFonts w:hint="eastAsia" w:ascii="仿宋_GB2312" w:eastAsia="仿宋_GB2312"/>
          <w:sz w:val="32"/>
          <w:szCs w:val="32"/>
          <w:highlight w:val="none"/>
        </w:rPr>
        <w:t>,</w:t>
      </w:r>
      <w:r>
        <w:rPr>
          <w:rFonts w:hint="eastAsia" w:ascii="仿宋_GB2312" w:eastAsia="仿宋_GB2312"/>
          <w:sz w:val="28"/>
          <w:szCs w:val="28"/>
          <w:highlight w:val="none"/>
        </w:rPr>
        <w:t>028</w:t>
      </w:r>
      <w:r>
        <w:rPr>
          <w:rFonts w:hint="eastAsia" w:ascii="仿宋_GB2312" w:eastAsia="仿宋_GB2312"/>
          <w:sz w:val="32"/>
          <w:szCs w:val="32"/>
          <w:highlight w:val="none"/>
        </w:rPr>
        <w:t>,</w:t>
      </w:r>
      <w:r>
        <w:rPr>
          <w:rFonts w:hint="eastAsia" w:ascii="仿宋_GB2312" w:eastAsia="仿宋_GB2312"/>
          <w:sz w:val="28"/>
          <w:szCs w:val="28"/>
          <w:highlight w:val="none"/>
        </w:rPr>
        <w:t>367.36元，2025年度决算13</w:t>
      </w:r>
      <w:r>
        <w:rPr>
          <w:rFonts w:hint="eastAsia" w:ascii="仿宋_GB2312" w:eastAsia="仿宋_GB2312"/>
          <w:sz w:val="32"/>
          <w:szCs w:val="32"/>
          <w:highlight w:val="none"/>
        </w:rPr>
        <w:t>,</w:t>
      </w:r>
      <w:r>
        <w:rPr>
          <w:rFonts w:hint="eastAsia" w:ascii="仿宋_GB2312" w:eastAsia="仿宋_GB2312"/>
          <w:sz w:val="28"/>
          <w:szCs w:val="28"/>
          <w:highlight w:val="none"/>
        </w:rPr>
        <w:t>233</w:t>
      </w:r>
      <w:r>
        <w:rPr>
          <w:rFonts w:hint="eastAsia" w:ascii="仿宋_GB2312" w:eastAsia="仿宋_GB2312"/>
          <w:sz w:val="32"/>
          <w:szCs w:val="32"/>
          <w:highlight w:val="none"/>
        </w:rPr>
        <w:t>,</w:t>
      </w:r>
      <w:r>
        <w:rPr>
          <w:rFonts w:hint="eastAsia" w:ascii="仿宋_GB2312" w:eastAsia="仿宋_GB2312"/>
          <w:sz w:val="28"/>
          <w:szCs w:val="28"/>
          <w:highlight w:val="none"/>
        </w:rPr>
        <w:t>391.53元，完成年初预算的</w:t>
      </w:r>
      <w:r>
        <w:rPr>
          <w:rFonts w:hint="eastAsia" w:ascii="仿宋_GB2312" w:eastAsia="仿宋_GB2312"/>
          <w:sz w:val="28"/>
          <w:szCs w:val="28"/>
          <w:highlight w:val="none"/>
          <w:lang w:val="en-US" w:eastAsia="zh-CN"/>
        </w:rPr>
        <w:t>263.2</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年中追加部分项目资金，按照进度支付相关费用</w:t>
      </w:r>
      <w:r>
        <w:rPr>
          <w:rFonts w:hint="eastAsia" w:ascii="仿宋_GB2312" w:eastAsia="仿宋_GB2312"/>
          <w:sz w:val="28"/>
          <w:szCs w:val="28"/>
          <w:highlight w:val="none"/>
        </w:rPr>
        <w:t>。</w:t>
      </w:r>
    </w:p>
    <w:p>
      <w:pPr>
        <w:spacing w:line="580" w:lineRule="exact"/>
        <w:ind w:firstLine="560" w:firstLineChars="200"/>
        <w:rPr>
          <w:rFonts w:ascii="仿宋_GB2312" w:eastAsia="仿宋_GB2312"/>
          <w:sz w:val="28"/>
          <w:szCs w:val="28"/>
          <w:highlight w:val="none"/>
        </w:rPr>
      </w:pPr>
      <w:r>
        <w:rPr>
          <w:rFonts w:hint="eastAsia" w:ascii="黑体" w:eastAsia="黑体"/>
          <w:b/>
          <w:sz w:val="28"/>
          <w:szCs w:val="28"/>
          <w:highlight w:val="none"/>
        </w:rPr>
        <w:t>五、政府性基金预算财政拨款支出决算情况说明</w:t>
      </w:r>
    </w:p>
    <w:p>
      <w:pPr>
        <w:autoSpaceDE w:val="0"/>
        <w:autoSpaceDN w:val="0"/>
        <w:adjustRightInd w:val="0"/>
        <w:spacing w:line="580" w:lineRule="exact"/>
        <w:ind w:firstLine="560" w:firstLineChars="200"/>
        <w:jc w:val="left"/>
        <w:rPr>
          <w:rFonts w:ascii="仿宋_GB2312" w:eastAsia="仿宋_GB2312"/>
          <w:sz w:val="28"/>
          <w:szCs w:val="28"/>
          <w:highlight w:val="none"/>
        </w:rPr>
      </w:pPr>
      <w:r>
        <w:rPr>
          <w:rFonts w:hint="eastAsia" w:ascii="仿宋_GB2312" w:eastAsia="仿宋_GB2312"/>
          <w:sz w:val="28"/>
          <w:szCs w:val="28"/>
          <w:highlight w:val="none"/>
        </w:rPr>
        <w:t>（一）政府性基金预算财政拨款支出决算总体情况</w:t>
      </w:r>
    </w:p>
    <w:p>
      <w:pPr>
        <w:tabs>
          <w:tab w:val="center" w:pos="6979"/>
        </w:tabs>
        <w:spacing w:line="580" w:lineRule="exact"/>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highlight w:val="none"/>
        </w:rPr>
        <w:t>2025年度政府性基金预算财政拨款支出</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元，主要用于以下方面（按大类）：资源勘探工业信息等支出</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元，占本年财政拨款支出</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w:t>
      </w:r>
      <w:r>
        <w:rPr>
          <w:rFonts w:hint="eastAsia" w:ascii="仿宋_GB2312" w:eastAsia="仿宋_GB2312"/>
          <w:sz w:val="28"/>
          <w:szCs w:val="28"/>
          <w:highlight w:val="none"/>
          <w:lang w:eastAsia="zh-CN"/>
        </w:rPr>
        <w:t>。</w:t>
      </w:r>
    </w:p>
    <w:p>
      <w:pPr>
        <w:tabs>
          <w:tab w:val="center" w:pos="6979"/>
        </w:tabs>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（二）政府性基金预算财政拨款支出决算具体情况</w:t>
      </w:r>
    </w:p>
    <w:p>
      <w:pPr>
        <w:autoSpaceDE w:val="0"/>
        <w:autoSpaceDN w:val="0"/>
        <w:adjustRightInd w:val="0"/>
        <w:spacing w:line="580" w:lineRule="exact"/>
        <w:ind w:firstLine="700" w:firstLineChars="250"/>
        <w:jc w:val="left"/>
        <w:rPr>
          <w:rFonts w:ascii="仿宋_GB2312" w:eastAsia="仿宋_GB2312"/>
          <w:sz w:val="28"/>
          <w:szCs w:val="28"/>
          <w:highlight w:val="none"/>
        </w:rPr>
      </w:pPr>
      <w:r>
        <w:rPr>
          <w:rFonts w:hint="eastAsia" w:ascii="仿宋_GB2312" w:eastAsia="仿宋_GB2312"/>
          <w:sz w:val="28"/>
          <w:szCs w:val="28"/>
          <w:highlight w:val="none"/>
        </w:rPr>
        <w:t>1、“资源勘探工业信息等支出”（类，下同）2025年度年初预算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%。其中：</w:t>
      </w:r>
    </w:p>
    <w:p>
      <w:pPr>
        <w:spacing w:line="58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“超长期特别国债安排的支出”（款，下同）2025年度年初预算</w:t>
      </w:r>
      <w:r>
        <w:rPr>
          <w:rFonts w:hint="eastAsia" w:ascii="仿宋_GB2312" w:eastAsia="仿宋_GB2312"/>
          <w:sz w:val="28"/>
          <w:szCs w:val="28"/>
          <w:highlight w:val="none"/>
          <w:lang w:val="en-US" w:eastAsia="zh-CN"/>
        </w:rPr>
        <w:t>0.00</w:t>
      </w:r>
      <w:r>
        <w:rPr>
          <w:rFonts w:hint="eastAsia" w:ascii="仿宋_GB2312" w:eastAsia="仿宋_GB2312"/>
          <w:sz w:val="28"/>
          <w:szCs w:val="28"/>
          <w:highlight w:val="none"/>
        </w:rPr>
        <w:t>元，2025年度决算</w:t>
      </w:r>
      <w:r>
        <w:rPr>
          <w:rFonts w:ascii="仿宋_GB2312" w:eastAsia="仿宋_GB2312"/>
          <w:sz w:val="28"/>
          <w:szCs w:val="28"/>
          <w:highlight w:val="none"/>
        </w:rPr>
        <w:t>9</w:t>
      </w:r>
      <w:r>
        <w:rPr>
          <w:rFonts w:hint="eastAsia" w:ascii="仿宋_GB2312" w:eastAsia="仿宋_GB2312"/>
          <w:sz w:val="32"/>
          <w:szCs w:val="32"/>
          <w:highlight w:val="none"/>
        </w:rPr>
        <w:t>,</w:t>
      </w:r>
      <w:r>
        <w:rPr>
          <w:rFonts w:ascii="仿宋_GB2312" w:eastAsia="仿宋_GB2312"/>
          <w:sz w:val="28"/>
          <w:szCs w:val="28"/>
          <w:highlight w:val="none"/>
        </w:rPr>
        <w:t>095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元，完成年初预算的</w:t>
      </w:r>
      <w:r>
        <w:rPr>
          <w:rFonts w:hint="eastAsia" w:ascii="仿宋_GB2312" w:eastAsia="仿宋_GB2312"/>
          <w:sz w:val="28"/>
          <w:szCs w:val="28"/>
          <w:highlight w:val="none"/>
          <w:lang w:val="en-US" w:eastAsia="zh-CN"/>
        </w:rPr>
        <w:t>100.0</w:t>
      </w:r>
      <w:r>
        <w:rPr>
          <w:rFonts w:hint="eastAsia" w:ascii="仿宋_GB2312" w:eastAsia="仿宋_GB2312"/>
          <w:sz w:val="28"/>
          <w:szCs w:val="28"/>
          <w:highlight w:val="none"/>
        </w:rPr>
        <w:t>%。主要原因：</w:t>
      </w:r>
      <w:r>
        <w:rPr>
          <w:rFonts w:hint="eastAsia" w:ascii="仿宋_GB2312" w:eastAsia="仿宋_GB2312"/>
          <w:sz w:val="28"/>
          <w:szCs w:val="28"/>
          <w:highlight w:val="none"/>
          <w:lang w:eastAsia="zh-CN"/>
        </w:rPr>
        <w:t>本项目为年中追加，并非年初预算</w:t>
      </w:r>
      <w:r>
        <w:rPr>
          <w:rFonts w:hint="eastAsia" w:ascii="仿宋_GB2312" w:eastAsia="仿宋_GB2312"/>
          <w:sz w:val="28"/>
          <w:szCs w:val="28"/>
          <w:highlight w:val="none"/>
        </w:rPr>
        <w:t>。</w:t>
      </w:r>
    </w:p>
    <w:p>
      <w:pPr>
        <w:spacing w:line="580" w:lineRule="exact"/>
        <w:ind w:firstLine="560" w:firstLineChars="200"/>
        <w:rPr>
          <w:rFonts w:ascii="黑体" w:eastAsia="黑体"/>
          <w:b/>
          <w:sz w:val="28"/>
          <w:szCs w:val="28"/>
          <w:highlight w:val="none"/>
        </w:rPr>
      </w:pPr>
      <w:r>
        <w:rPr>
          <w:rFonts w:hint="eastAsia" w:ascii="黑体" w:eastAsia="黑体"/>
          <w:b/>
          <w:sz w:val="28"/>
          <w:szCs w:val="28"/>
          <w:highlight w:val="none"/>
        </w:rPr>
        <w:t>六、国有资本经营预算财</w:t>
      </w:r>
      <w:r>
        <w:rPr>
          <w:rFonts w:ascii="黑体" w:eastAsia="黑体"/>
          <w:b/>
          <w:sz w:val="28"/>
          <w:szCs w:val="28"/>
          <w:highlight w:val="none"/>
        </w:rPr>
        <w:t>政拨款</w:t>
      </w:r>
      <w:r>
        <w:rPr>
          <w:rFonts w:hint="eastAsia" w:ascii="黑体" w:eastAsia="黑体"/>
          <w:b/>
          <w:sz w:val="28"/>
          <w:szCs w:val="28"/>
          <w:highlight w:val="none"/>
        </w:rPr>
        <w:t>收支情况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2025年度国有资本经营预算财政</w:t>
      </w:r>
      <w:r>
        <w:rPr>
          <w:rFonts w:ascii="仿宋_GB2312" w:eastAsia="仿宋_GB2312"/>
          <w:sz w:val="28"/>
          <w:szCs w:val="28"/>
          <w:highlight w:val="none"/>
        </w:rPr>
        <w:t>拨款</w:t>
      </w:r>
      <w:r>
        <w:rPr>
          <w:rFonts w:hint="eastAsia" w:ascii="仿宋_GB2312" w:eastAsia="仿宋_GB2312"/>
          <w:sz w:val="28"/>
          <w:szCs w:val="28"/>
          <w:highlight w:val="none"/>
        </w:rPr>
        <w:t>收入总</w:t>
      </w:r>
      <w:r>
        <w:rPr>
          <w:rFonts w:ascii="仿宋_GB2312" w:eastAsia="仿宋_GB2312"/>
          <w:sz w:val="28"/>
          <w:szCs w:val="28"/>
          <w:highlight w:val="none"/>
        </w:rPr>
        <w:t>计0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元，国有资本经营预算财政</w:t>
      </w:r>
      <w:r>
        <w:rPr>
          <w:rFonts w:ascii="仿宋_GB2312" w:eastAsia="仿宋_GB2312"/>
          <w:sz w:val="28"/>
          <w:szCs w:val="28"/>
          <w:highlight w:val="none"/>
        </w:rPr>
        <w:t>拨款</w:t>
      </w:r>
      <w:r>
        <w:rPr>
          <w:rFonts w:hint="eastAsia" w:ascii="仿宋_GB2312" w:eastAsia="仿宋_GB2312"/>
          <w:sz w:val="28"/>
          <w:szCs w:val="28"/>
          <w:highlight w:val="none"/>
        </w:rPr>
        <w:t>支出总</w:t>
      </w:r>
      <w:r>
        <w:rPr>
          <w:rFonts w:ascii="仿宋_GB2312" w:eastAsia="仿宋_GB2312"/>
          <w:sz w:val="28"/>
          <w:szCs w:val="28"/>
          <w:highlight w:val="none"/>
        </w:rPr>
        <w:t>计0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w:t>
      </w:r>
    </w:p>
    <w:p>
      <w:pPr>
        <w:spacing w:line="580" w:lineRule="exact"/>
        <w:ind w:firstLine="548" w:firstLineChars="196"/>
        <w:rPr>
          <w:rFonts w:ascii="黑体" w:eastAsia="黑体"/>
          <w:sz w:val="28"/>
          <w:szCs w:val="28"/>
          <w:highlight w:val="none"/>
        </w:rPr>
      </w:pPr>
      <w:r>
        <w:rPr>
          <w:rFonts w:hint="eastAsia" w:ascii="黑体" w:eastAsia="黑体"/>
          <w:b/>
          <w:sz w:val="28"/>
          <w:szCs w:val="28"/>
          <w:highlight w:val="none"/>
        </w:rPr>
        <w:t>七、财政拨款基本支出决算情况说明</w:t>
      </w:r>
    </w:p>
    <w:p>
      <w:pPr>
        <w:tabs>
          <w:tab w:val="center" w:pos="6979"/>
        </w:tabs>
        <w:spacing w:line="580" w:lineRule="exact"/>
        <w:ind w:firstLine="548" w:firstLineChars="196"/>
        <w:rPr>
          <w:rFonts w:ascii="黑体" w:eastAsia="黑体"/>
          <w:b/>
          <w:sz w:val="28"/>
          <w:szCs w:val="28"/>
          <w:highlight w:val="none"/>
        </w:rPr>
      </w:pPr>
      <w:r>
        <w:rPr>
          <w:rFonts w:hint="eastAsia" w:ascii="仿宋_GB2312" w:eastAsia="仿宋_GB2312"/>
          <w:sz w:val="28"/>
          <w:szCs w:val="28"/>
          <w:highlight w:val="none"/>
        </w:rPr>
        <w:t>2025年度使用一般公共预算财政拨款安排基本支出</w:t>
      </w:r>
      <w:r>
        <w:rPr>
          <w:rFonts w:ascii="仿宋_GB2312" w:eastAsia="仿宋_GB2312"/>
          <w:sz w:val="28"/>
          <w:szCs w:val="28"/>
          <w:highlight w:val="none"/>
        </w:rPr>
        <w:t>65</w:t>
      </w:r>
      <w:r>
        <w:rPr>
          <w:rFonts w:hint="eastAsia" w:ascii="仿宋_GB2312" w:eastAsia="仿宋_GB2312"/>
          <w:sz w:val="32"/>
          <w:szCs w:val="32"/>
          <w:highlight w:val="none"/>
        </w:rPr>
        <w:t>,</w:t>
      </w:r>
      <w:r>
        <w:rPr>
          <w:rFonts w:ascii="仿宋_GB2312" w:eastAsia="仿宋_GB2312"/>
          <w:sz w:val="28"/>
          <w:szCs w:val="28"/>
          <w:highlight w:val="none"/>
        </w:rPr>
        <w:t>981</w:t>
      </w:r>
      <w:r>
        <w:rPr>
          <w:rFonts w:hint="eastAsia" w:ascii="仿宋_GB2312" w:eastAsia="仿宋_GB2312"/>
          <w:sz w:val="32"/>
          <w:szCs w:val="32"/>
          <w:highlight w:val="none"/>
        </w:rPr>
        <w:t>,</w:t>
      </w:r>
      <w:r>
        <w:rPr>
          <w:rFonts w:ascii="仿宋_GB2312" w:eastAsia="仿宋_GB2312"/>
          <w:sz w:val="28"/>
          <w:szCs w:val="28"/>
          <w:highlight w:val="none"/>
        </w:rPr>
        <w:t>814.42</w:t>
      </w:r>
      <w:r>
        <w:rPr>
          <w:rFonts w:hint="eastAsia" w:ascii="仿宋_GB2312" w:eastAsia="仿宋_GB2312"/>
          <w:sz w:val="28"/>
          <w:szCs w:val="28"/>
          <w:highlight w:val="none"/>
        </w:rPr>
        <w:t>元，使用政府性基金财政拨款安排基本支出</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元，（1）工资福利支出包括基本工资</w:t>
      </w:r>
      <w:r>
        <w:rPr>
          <w:rFonts w:ascii="仿宋_GB2312" w:eastAsia="仿宋_GB2312"/>
          <w:sz w:val="28"/>
          <w:szCs w:val="28"/>
          <w:highlight w:val="none"/>
        </w:rPr>
        <w:t>、津贴补贴、奖金、伙食补助费、绩效工资、</w:t>
      </w:r>
      <w:r>
        <w:rPr>
          <w:rFonts w:hint="eastAsia" w:ascii="仿宋_GB2312" w:eastAsia="仿宋_GB2312"/>
          <w:sz w:val="28"/>
          <w:szCs w:val="28"/>
          <w:highlight w:val="none"/>
        </w:rPr>
        <w:t>其他</w:t>
      </w:r>
      <w:r>
        <w:rPr>
          <w:rFonts w:ascii="仿宋_GB2312" w:eastAsia="仿宋_GB2312"/>
          <w:sz w:val="28"/>
          <w:szCs w:val="28"/>
          <w:highlight w:val="none"/>
        </w:rPr>
        <w:t>社会保障缴费、其他工资福利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；（2）商品和服务支出包括</w:t>
      </w:r>
      <w:r>
        <w:rPr>
          <w:rFonts w:ascii="仿宋_GB2312" w:eastAsia="仿宋_GB2312"/>
          <w:sz w:val="28"/>
          <w:szCs w:val="28"/>
          <w:highlight w:val="none"/>
        </w:rPr>
        <w:t>办公费、印刷费、手续费、水费、电费、邮电费、取暖费、物业管理费、差旅费、因公出国（境）费、维修（护）费、租赁费、会议费、培训费、公务接待费、专用材料费、劳务费、委托业务费、工会经费、福利费、公务用车运行维护费、其他交通费</w:t>
      </w:r>
      <w:r>
        <w:rPr>
          <w:rFonts w:hint="eastAsia" w:ascii="仿宋_GB2312" w:eastAsia="仿宋_GB2312"/>
          <w:sz w:val="28"/>
          <w:szCs w:val="28"/>
          <w:highlight w:val="none"/>
        </w:rPr>
        <w:t>用</w:t>
      </w:r>
      <w:r>
        <w:rPr>
          <w:rFonts w:ascii="仿宋_GB2312" w:eastAsia="仿宋_GB2312"/>
          <w:sz w:val="28"/>
          <w:szCs w:val="28"/>
          <w:highlight w:val="none"/>
        </w:rPr>
        <w:t>、其他商品和服务</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；（3）对个人和家庭补助支出包括</w:t>
      </w:r>
      <w:r>
        <w:rPr>
          <w:rFonts w:ascii="仿宋_GB2312" w:eastAsia="仿宋_GB2312"/>
          <w:sz w:val="28"/>
          <w:szCs w:val="28"/>
          <w:highlight w:val="none"/>
        </w:rPr>
        <w:t>离休费、退休费、抚恤金、生活补助、</w:t>
      </w:r>
      <w:r>
        <w:rPr>
          <w:rFonts w:hint="eastAsia" w:ascii="仿宋_GB2312" w:eastAsia="仿宋_GB2312"/>
          <w:sz w:val="28"/>
          <w:szCs w:val="28"/>
          <w:highlight w:val="none"/>
        </w:rPr>
        <w:t>救济费</w:t>
      </w:r>
      <w:r>
        <w:rPr>
          <w:rFonts w:ascii="仿宋_GB2312" w:eastAsia="仿宋_GB2312"/>
          <w:sz w:val="28"/>
          <w:szCs w:val="28"/>
          <w:highlight w:val="none"/>
        </w:rPr>
        <w:t>、医疗费</w:t>
      </w:r>
      <w:r>
        <w:rPr>
          <w:rFonts w:hint="eastAsia" w:ascii="仿宋_GB2312" w:eastAsia="仿宋_GB2312"/>
          <w:sz w:val="28"/>
          <w:szCs w:val="28"/>
          <w:highlight w:val="none"/>
        </w:rPr>
        <w:t>补助</w:t>
      </w:r>
      <w:r>
        <w:rPr>
          <w:rFonts w:ascii="仿宋_GB2312" w:eastAsia="仿宋_GB2312"/>
          <w:sz w:val="28"/>
          <w:szCs w:val="28"/>
          <w:highlight w:val="none"/>
        </w:rPr>
        <w:t>、助学金、奖励金</w:t>
      </w:r>
      <w:r>
        <w:rPr>
          <w:rFonts w:hint="eastAsia" w:ascii="仿宋_GB2312" w:eastAsia="仿宋_GB2312"/>
          <w:sz w:val="28"/>
          <w:szCs w:val="28"/>
          <w:highlight w:val="none"/>
        </w:rPr>
        <w:t>、</w:t>
      </w:r>
      <w:r>
        <w:rPr>
          <w:rFonts w:ascii="仿宋_GB2312" w:eastAsia="仿宋_GB2312"/>
          <w:sz w:val="28"/>
          <w:szCs w:val="28"/>
          <w:highlight w:val="none"/>
        </w:rPr>
        <w:t>其他对个人和家庭的补助</w:t>
      </w:r>
      <w:r>
        <w:rPr>
          <w:rFonts w:hint="eastAsia" w:ascii="仿宋_GB2312" w:eastAsia="仿宋_GB2312"/>
          <w:sz w:val="28"/>
          <w:szCs w:val="28"/>
          <w:highlight w:val="none"/>
        </w:rPr>
        <w:t>等</w:t>
      </w:r>
      <w:r>
        <w:rPr>
          <w:rFonts w:ascii="仿宋_GB2312" w:eastAsia="仿宋_GB2312"/>
          <w:sz w:val="28"/>
          <w:szCs w:val="28"/>
          <w:highlight w:val="none"/>
        </w:rPr>
        <w:t>支出</w:t>
      </w:r>
      <w:r>
        <w:rPr>
          <w:rFonts w:hint="eastAsia" w:ascii="仿宋_GB2312" w:eastAsia="仿宋_GB2312"/>
          <w:sz w:val="28"/>
          <w:szCs w:val="28"/>
          <w:highlight w:val="none"/>
        </w:rPr>
        <w:t>。（4）其他资本性支出包括</w:t>
      </w:r>
      <w:r>
        <w:rPr>
          <w:rFonts w:ascii="仿宋_GB2312" w:eastAsia="仿宋_GB2312"/>
          <w:sz w:val="28"/>
          <w:szCs w:val="28"/>
          <w:highlight w:val="none"/>
        </w:rPr>
        <w:t>办公设备购置、专用设备购置</w:t>
      </w:r>
      <w:r>
        <w:rPr>
          <w:rFonts w:hint="eastAsia" w:ascii="仿宋_GB2312" w:eastAsia="仿宋_GB2312"/>
          <w:sz w:val="28"/>
          <w:szCs w:val="28"/>
          <w:highlight w:val="none"/>
        </w:rPr>
        <w:t>等</w:t>
      </w:r>
      <w:r>
        <w:rPr>
          <w:rFonts w:ascii="仿宋_GB2312" w:eastAsia="仿宋_GB2312"/>
          <w:sz w:val="28"/>
          <w:szCs w:val="28"/>
          <w:highlight w:val="none"/>
        </w:rPr>
        <w:t>。</w:t>
      </w:r>
    </w:p>
    <w:p>
      <w:pPr>
        <w:autoSpaceDE w:val="0"/>
        <w:autoSpaceDN w:val="0"/>
        <w:adjustRightInd w:val="0"/>
        <w:spacing w:line="580" w:lineRule="exact"/>
        <w:rPr>
          <w:rFonts w:ascii="宋体" w:hAnsi="宋体"/>
          <w:b/>
          <w:spacing w:val="40"/>
          <w:sz w:val="32"/>
          <w:szCs w:val="32"/>
        </w:rPr>
      </w:pPr>
      <w:r>
        <w:rPr>
          <w:rFonts w:ascii="仿宋_GB2312" w:eastAsia="仿宋_GB2312"/>
          <w:b/>
          <w:sz w:val="32"/>
          <w:szCs w:val="32"/>
        </w:rPr>
        <w:tab/>
      </w:r>
    </w:p>
    <w:p>
      <w:pPr>
        <w:tabs>
          <w:tab w:val="center" w:pos="6979"/>
        </w:tabs>
        <w:jc w:val="center"/>
        <w:rPr>
          <w:rFonts w:ascii="宋体" w:hAnsi="宋体" w:cs="宋体"/>
          <w:b/>
          <w:spacing w:val="40"/>
          <w:kern w:val="0"/>
          <w:sz w:val="32"/>
          <w:szCs w:val="32"/>
          <w:highlight w:val="none"/>
        </w:rPr>
      </w:pPr>
      <w:r>
        <w:rPr>
          <w:rFonts w:hint="eastAsia" w:ascii="宋体" w:hAnsi="宋体" w:cs="宋体"/>
          <w:b/>
          <w:bCs/>
          <w:spacing w:val="40"/>
          <w:kern w:val="0"/>
          <w:sz w:val="32"/>
          <w:szCs w:val="32"/>
          <w:highlight w:val="none"/>
        </w:rPr>
        <w:t>第三部分</w:t>
      </w:r>
      <w:r>
        <w:rPr>
          <w:rFonts w:hint="eastAsia" w:ascii="宋体" w:hAnsi="宋体"/>
          <w:b/>
          <w:spacing w:val="40"/>
          <w:sz w:val="32"/>
          <w:szCs w:val="32"/>
          <w:highlight w:val="none"/>
        </w:rPr>
        <w:t>2025年度</w:t>
      </w:r>
      <w:r>
        <w:rPr>
          <w:rFonts w:hint="eastAsia" w:ascii="宋体" w:hAnsi="宋体" w:cs="宋体"/>
          <w:b/>
          <w:spacing w:val="40"/>
          <w:kern w:val="0"/>
          <w:sz w:val="32"/>
          <w:szCs w:val="32"/>
          <w:highlight w:val="none"/>
        </w:rPr>
        <w:t>其他重要事项的情况说明</w:t>
      </w:r>
    </w:p>
    <w:p>
      <w:pPr>
        <w:spacing w:line="560" w:lineRule="exact"/>
        <w:ind w:firstLine="560" w:firstLineChars="200"/>
        <w:rPr>
          <w:rFonts w:ascii="黑体" w:eastAsia="黑体"/>
          <w:sz w:val="28"/>
          <w:szCs w:val="28"/>
          <w:highlight w:val="none"/>
        </w:rPr>
      </w:pPr>
      <w:r>
        <w:rPr>
          <w:rFonts w:hint="eastAsia" w:ascii="黑体" w:eastAsia="黑体"/>
          <w:sz w:val="28"/>
          <w:szCs w:val="28"/>
          <w:highlight w:val="none"/>
        </w:rPr>
        <w:t>一、“三公”经费财政拨款决算情况</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2025年度“三公”经费财政拨款决算数</w:t>
      </w:r>
      <w:r>
        <w:rPr>
          <w:rFonts w:ascii="仿宋_GB2312" w:eastAsia="仿宋_GB2312"/>
          <w:sz w:val="28"/>
          <w:szCs w:val="28"/>
          <w:highlight w:val="none"/>
        </w:rPr>
        <w:t>815</w:t>
      </w:r>
      <w:r>
        <w:rPr>
          <w:rFonts w:hint="eastAsia" w:ascii="仿宋_GB2312" w:eastAsia="仿宋_GB2312"/>
          <w:sz w:val="32"/>
          <w:szCs w:val="32"/>
          <w:highlight w:val="none"/>
        </w:rPr>
        <w:t>,</w:t>
      </w:r>
      <w:r>
        <w:rPr>
          <w:rFonts w:ascii="仿宋_GB2312" w:eastAsia="仿宋_GB2312"/>
          <w:sz w:val="28"/>
          <w:szCs w:val="28"/>
          <w:highlight w:val="none"/>
        </w:rPr>
        <w:t>770.54</w:t>
      </w:r>
      <w:r>
        <w:rPr>
          <w:rFonts w:hint="eastAsia" w:ascii="仿宋_GB2312" w:eastAsia="仿宋_GB2312"/>
          <w:sz w:val="28"/>
          <w:szCs w:val="28"/>
          <w:highlight w:val="none"/>
        </w:rPr>
        <w:t>元，比2025年度“三公”经费财政拨款年初预算</w:t>
      </w:r>
      <w:r>
        <w:rPr>
          <w:rFonts w:ascii="仿宋_GB2312" w:eastAsia="仿宋_GB2312"/>
          <w:sz w:val="28"/>
          <w:szCs w:val="28"/>
          <w:highlight w:val="none"/>
        </w:rPr>
        <w:t>296</w:t>
      </w:r>
      <w:r>
        <w:rPr>
          <w:rFonts w:hint="eastAsia" w:ascii="仿宋_GB2312" w:eastAsia="仿宋_GB2312"/>
          <w:sz w:val="32"/>
          <w:szCs w:val="32"/>
          <w:highlight w:val="none"/>
        </w:rPr>
        <w:t>,</w:t>
      </w:r>
      <w:r>
        <w:rPr>
          <w:rFonts w:ascii="仿宋_GB2312" w:eastAsia="仿宋_GB2312"/>
          <w:sz w:val="28"/>
          <w:szCs w:val="28"/>
          <w:highlight w:val="none"/>
        </w:rPr>
        <w:t>345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元增加</w:t>
      </w:r>
      <w:r>
        <w:rPr>
          <w:rFonts w:ascii="仿宋_GB2312" w:eastAsia="仿宋_GB2312"/>
          <w:sz w:val="28"/>
          <w:szCs w:val="28"/>
          <w:highlight w:val="none"/>
        </w:rPr>
        <w:t>519</w:t>
      </w:r>
      <w:r>
        <w:rPr>
          <w:rFonts w:hint="eastAsia" w:ascii="仿宋_GB2312" w:eastAsia="仿宋_GB2312"/>
          <w:sz w:val="32"/>
          <w:szCs w:val="32"/>
          <w:highlight w:val="none"/>
        </w:rPr>
        <w:t>,</w:t>
      </w:r>
      <w:r>
        <w:rPr>
          <w:rFonts w:ascii="仿宋_GB2312" w:eastAsia="仿宋_GB2312"/>
          <w:sz w:val="28"/>
          <w:szCs w:val="28"/>
          <w:highlight w:val="none"/>
        </w:rPr>
        <w:t>425.54</w:t>
      </w:r>
      <w:r>
        <w:rPr>
          <w:rFonts w:hint="eastAsia" w:ascii="仿宋_GB2312" w:eastAsia="仿宋_GB2312"/>
          <w:sz w:val="28"/>
          <w:szCs w:val="28"/>
          <w:highlight w:val="none"/>
        </w:rPr>
        <w:t>元。其中：</w:t>
      </w:r>
    </w:p>
    <w:p>
      <w:pPr>
        <w:numPr>
          <w:ilvl w:val="0"/>
          <w:numId w:val="1"/>
        </w:num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因公出国（境）费用。2025年度决算数</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元，比2025年度年初预算数</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元增加（减少）</w:t>
      </w:r>
      <w:r>
        <w:rPr>
          <w:rFonts w:hint="eastAsia" w:ascii="仿宋_GB2312" w:eastAsia="仿宋_GB2312"/>
          <w:sz w:val="28"/>
          <w:szCs w:val="28"/>
          <w:highlight w:val="none"/>
          <w:lang w:val="en-US" w:eastAsia="zh-CN"/>
        </w:rPr>
        <w:t>0.0</w:t>
      </w:r>
      <w:r>
        <w:rPr>
          <w:rFonts w:ascii="仿宋_GB2312" w:eastAsia="仿宋_GB2312"/>
          <w:sz w:val="28"/>
          <w:szCs w:val="28"/>
          <w:highlight w:val="none"/>
        </w:rPr>
        <w:t>0</w:t>
      </w:r>
      <w:r>
        <w:rPr>
          <w:rFonts w:hint="eastAsia" w:ascii="仿宋_GB2312" w:eastAsia="仿宋_GB2312"/>
          <w:sz w:val="28"/>
          <w:szCs w:val="28"/>
          <w:highlight w:val="none"/>
        </w:rPr>
        <w:t>元。主要原因：本年度无此项支出；</w:t>
      </w:r>
    </w:p>
    <w:p>
      <w:pPr>
        <w:spacing w:line="560" w:lineRule="exact"/>
        <w:ind w:firstLine="600"/>
        <w:rPr>
          <w:rFonts w:ascii="仿宋_GB2312" w:eastAsia="仿宋_GB2312"/>
          <w:sz w:val="28"/>
          <w:szCs w:val="28"/>
          <w:highlight w:val="none"/>
        </w:rPr>
      </w:pPr>
      <w:r>
        <w:rPr>
          <w:rFonts w:hint="eastAsia" w:ascii="仿宋_GB2312" w:eastAsia="仿宋_GB2312"/>
          <w:sz w:val="28"/>
          <w:szCs w:val="28"/>
          <w:highlight w:val="none"/>
        </w:rPr>
        <w:t>2.公务接待费。2025年度决算数</w:t>
      </w:r>
      <w:r>
        <w:rPr>
          <w:rFonts w:ascii="仿宋_GB2312" w:eastAsia="仿宋_GB2312"/>
          <w:sz w:val="28"/>
          <w:szCs w:val="28"/>
          <w:highlight w:val="none"/>
        </w:rPr>
        <w:t>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元，比2025年度年初预算数</w:t>
      </w:r>
      <w:r>
        <w:rPr>
          <w:rFonts w:ascii="仿宋_GB2312" w:eastAsia="仿宋_GB2312"/>
          <w:sz w:val="28"/>
          <w:szCs w:val="28"/>
          <w:highlight w:val="none"/>
        </w:rPr>
        <w:t>44</w:t>
      </w:r>
      <w:r>
        <w:rPr>
          <w:rFonts w:hint="eastAsia" w:ascii="仿宋_GB2312" w:eastAsia="仿宋_GB2312"/>
          <w:sz w:val="32"/>
          <w:szCs w:val="32"/>
          <w:highlight w:val="none"/>
        </w:rPr>
        <w:t>,</w:t>
      </w:r>
      <w:r>
        <w:rPr>
          <w:rFonts w:ascii="仿宋_GB2312" w:eastAsia="仿宋_GB2312"/>
          <w:sz w:val="28"/>
          <w:szCs w:val="28"/>
          <w:highlight w:val="none"/>
        </w:rPr>
        <w:t>345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元减少</w:t>
      </w:r>
      <w:r>
        <w:rPr>
          <w:rFonts w:ascii="仿宋_GB2312" w:eastAsia="仿宋_GB2312"/>
          <w:sz w:val="28"/>
          <w:szCs w:val="28"/>
          <w:highlight w:val="none"/>
        </w:rPr>
        <w:t>44</w:t>
      </w:r>
      <w:r>
        <w:rPr>
          <w:rFonts w:hint="eastAsia" w:ascii="仿宋_GB2312" w:eastAsia="仿宋_GB2312"/>
          <w:sz w:val="32"/>
          <w:szCs w:val="32"/>
          <w:highlight w:val="none"/>
        </w:rPr>
        <w:t>,</w:t>
      </w:r>
      <w:r>
        <w:rPr>
          <w:rFonts w:ascii="仿宋_GB2312" w:eastAsia="仿宋_GB2312"/>
          <w:sz w:val="28"/>
          <w:szCs w:val="28"/>
          <w:highlight w:val="none"/>
        </w:rPr>
        <w:t>345</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元。主要原因：本年度无此项支出。</w:t>
      </w:r>
    </w:p>
    <w:p>
      <w:pPr>
        <w:spacing w:line="560" w:lineRule="exact"/>
        <w:ind w:firstLine="560" w:firstLineChars="200"/>
        <w:rPr>
          <w:rFonts w:ascii="仿宋_GB2312" w:eastAsia="仿宋_GB2312"/>
          <w:sz w:val="28"/>
          <w:szCs w:val="28"/>
          <w:highlight w:val="none"/>
        </w:rPr>
      </w:pPr>
      <w:r>
        <w:rPr>
          <w:rFonts w:hint="eastAsia" w:ascii="仿宋_GB2312" w:eastAsia="仿宋_GB2312"/>
          <w:sz w:val="28"/>
          <w:szCs w:val="28"/>
          <w:highlight w:val="none"/>
        </w:rPr>
        <w:t>3.公务用车购置及运行维护费。2025年度决算数</w:t>
      </w:r>
      <w:r>
        <w:rPr>
          <w:rFonts w:ascii="仿宋_GB2312" w:eastAsia="仿宋_GB2312"/>
          <w:sz w:val="28"/>
          <w:szCs w:val="28"/>
          <w:highlight w:val="none"/>
        </w:rPr>
        <w:t>815</w:t>
      </w:r>
      <w:r>
        <w:rPr>
          <w:rFonts w:hint="eastAsia" w:ascii="仿宋_GB2312" w:eastAsia="仿宋_GB2312"/>
          <w:sz w:val="32"/>
          <w:szCs w:val="32"/>
          <w:highlight w:val="none"/>
        </w:rPr>
        <w:t>,</w:t>
      </w:r>
      <w:r>
        <w:rPr>
          <w:rFonts w:ascii="仿宋_GB2312" w:eastAsia="仿宋_GB2312"/>
          <w:sz w:val="28"/>
          <w:szCs w:val="28"/>
          <w:highlight w:val="none"/>
        </w:rPr>
        <w:t>770.54</w:t>
      </w:r>
      <w:r>
        <w:rPr>
          <w:rFonts w:hint="eastAsia" w:ascii="仿宋_GB2312" w:eastAsia="仿宋_GB2312"/>
          <w:sz w:val="28"/>
          <w:szCs w:val="28"/>
          <w:highlight w:val="none"/>
        </w:rPr>
        <w:t>元，比2025年度年初预算数</w:t>
      </w:r>
      <w:r>
        <w:rPr>
          <w:rFonts w:ascii="仿宋_GB2312" w:eastAsia="仿宋_GB2312"/>
          <w:sz w:val="28"/>
          <w:szCs w:val="28"/>
          <w:highlight w:val="none"/>
        </w:rPr>
        <w:t>252</w:t>
      </w:r>
      <w:r>
        <w:rPr>
          <w:rFonts w:hint="eastAsia" w:ascii="仿宋_GB2312" w:eastAsia="仿宋_GB2312"/>
          <w:sz w:val="32"/>
          <w:szCs w:val="32"/>
          <w:highlight w:val="none"/>
        </w:rPr>
        <w:t>,</w:t>
      </w:r>
      <w:r>
        <w:rPr>
          <w:rFonts w:ascii="仿宋_GB2312" w:eastAsia="仿宋_GB2312"/>
          <w:sz w:val="28"/>
          <w:szCs w:val="28"/>
          <w:highlight w:val="none"/>
        </w:rPr>
        <w:t>000</w:t>
      </w:r>
      <w:r>
        <w:rPr>
          <w:rFonts w:hint="eastAsia" w:ascii="仿宋_GB2312" w:eastAsia="仿宋_GB2312"/>
          <w:sz w:val="28"/>
          <w:szCs w:val="28"/>
          <w:highlight w:val="none"/>
        </w:rPr>
        <w:t>元增加</w:t>
      </w:r>
      <w:r>
        <w:rPr>
          <w:rFonts w:ascii="仿宋_GB2312" w:eastAsia="仿宋_GB2312"/>
          <w:sz w:val="28"/>
          <w:szCs w:val="28"/>
          <w:highlight w:val="none"/>
        </w:rPr>
        <w:t>563</w:t>
      </w:r>
      <w:r>
        <w:rPr>
          <w:rFonts w:hint="eastAsia" w:ascii="仿宋_GB2312" w:eastAsia="仿宋_GB2312"/>
          <w:sz w:val="32"/>
          <w:szCs w:val="32"/>
          <w:highlight w:val="none"/>
        </w:rPr>
        <w:t>,</w:t>
      </w:r>
      <w:r>
        <w:rPr>
          <w:rFonts w:ascii="仿宋_GB2312" w:eastAsia="仿宋_GB2312"/>
          <w:sz w:val="28"/>
          <w:szCs w:val="28"/>
          <w:highlight w:val="none"/>
        </w:rPr>
        <w:t>770.54</w:t>
      </w:r>
      <w:r>
        <w:rPr>
          <w:rFonts w:hint="eastAsia" w:ascii="仿宋_GB2312" w:eastAsia="仿宋_GB2312"/>
          <w:sz w:val="28"/>
          <w:szCs w:val="28"/>
          <w:highlight w:val="none"/>
        </w:rPr>
        <w:t>元。其中，公务用车购置费2025年度决算数677</w:t>
      </w:r>
      <w:r>
        <w:rPr>
          <w:rFonts w:hint="eastAsia" w:ascii="仿宋_GB2312" w:eastAsia="仿宋_GB2312"/>
          <w:sz w:val="32"/>
          <w:szCs w:val="32"/>
          <w:highlight w:val="none"/>
        </w:rPr>
        <w:t>,</w:t>
      </w:r>
      <w:r>
        <w:rPr>
          <w:rFonts w:hint="eastAsia" w:ascii="仿宋_GB2312" w:eastAsia="仿宋_GB2312"/>
          <w:sz w:val="28"/>
          <w:szCs w:val="28"/>
          <w:highlight w:val="none"/>
        </w:rPr>
        <w:t>800</w:t>
      </w:r>
      <w:r>
        <w:rPr>
          <w:rFonts w:hint="eastAsia" w:ascii="仿宋_GB2312" w:eastAsia="仿宋_GB2312"/>
          <w:sz w:val="28"/>
          <w:szCs w:val="28"/>
          <w:highlight w:val="none"/>
          <w:lang w:val="en-US" w:eastAsia="zh-CN"/>
        </w:rPr>
        <w:t>.00</w:t>
      </w:r>
      <w:r>
        <w:rPr>
          <w:rFonts w:hint="eastAsia" w:ascii="仿宋_GB2312" w:eastAsia="仿宋_GB2312"/>
          <w:sz w:val="28"/>
          <w:szCs w:val="28"/>
          <w:highlight w:val="none"/>
        </w:rPr>
        <w:t>元，主要原因：本年度</w:t>
      </w:r>
      <w:r>
        <w:rPr>
          <w:rFonts w:hint="eastAsia" w:ascii="仿宋_GB2312" w:eastAsia="仿宋_GB2312"/>
          <w:sz w:val="28"/>
          <w:szCs w:val="28"/>
          <w:highlight w:val="none"/>
          <w:lang w:eastAsia="zh-CN"/>
        </w:rPr>
        <w:t>追加专项资金更新公务用车</w:t>
      </w:r>
      <w:r>
        <w:rPr>
          <w:rFonts w:hint="eastAsia" w:ascii="仿宋_GB2312" w:eastAsia="仿宋_GB2312"/>
          <w:sz w:val="28"/>
          <w:szCs w:val="28"/>
          <w:highlight w:val="none"/>
        </w:rPr>
        <w:t>，2025年度购置（更新）3辆。公务用车运行维护费2025年度决算数137</w:t>
      </w:r>
      <w:r>
        <w:rPr>
          <w:rFonts w:hint="eastAsia" w:ascii="仿宋_GB2312" w:eastAsia="仿宋_GB2312"/>
          <w:sz w:val="32"/>
          <w:szCs w:val="32"/>
          <w:highlight w:val="none"/>
        </w:rPr>
        <w:t>,</w:t>
      </w:r>
      <w:r>
        <w:rPr>
          <w:rFonts w:hint="eastAsia" w:ascii="仿宋_GB2312" w:eastAsia="仿宋_GB2312"/>
          <w:sz w:val="28"/>
          <w:szCs w:val="28"/>
          <w:highlight w:val="none"/>
        </w:rPr>
        <w:t>970.54元，主要原因：压缩三公经费，降低公务用车</w:t>
      </w:r>
      <w:r>
        <w:rPr>
          <w:rFonts w:hint="eastAsia" w:ascii="仿宋_GB2312" w:eastAsia="仿宋_GB2312"/>
          <w:sz w:val="28"/>
          <w:szCs w:val="28"/>
          <w:highlight w:val="none"/>
          <w:lang w:eastAsia="zh-CN"/>
        </w:rPr>
        <w:t>频率</w:t>
      </w:r>
      <w:r>
        <w:rPr>
          <w:rFonts w:hint="eastAsia" w:ascii="仿宋_GB2312" w:eastAsia="仿宋_GB2312"/>
          <w:sz w:val="28"/>
          <w:szCs w:val="28"/>
          <w:highlight w:val="none"/>
        </w:rPr>
        <w:t>。2025年度公务用车保有量</w:t>
      </w:r>
      <w:r>
        <w:rPr>
          <w:rFonts w:ascii="仿宋_GB2312" w:eastAsia="仿宋_GB2312"/>
          <w:sz w:val="28"/>
          <w:szCs w:val="28"/>
          <w:highlight w:val="none"/>
        </w:rPr>
        <w:t>14</w:t>
      </w:r>
      <w:r>
        <w:rPr>
          <w:rFonts w:hint="eastAsia" w:ascii="仿宋_GB2312" w:eastAsia="仿宋_GB2312"/>
          <w:sz w:val="28"/>
          <w:szCs w:val="28"/>
          <w:highlight w:val="none"/>
        </w:rPr>
        <w:t>辆。</w:t>
      </w:r>
    </w:p>
    <w:p>
      <w:pPr>
        <w:tabs>
          <w:tab w:val="center" w:pos="6979"/>
        </w:tabs>
        <w:ind w:firstLine="554" w:firstLineChars="198"/>
        <w:rPr>
          <w:rFonts w:ascii="黑体" w:eastAsia="黑体"/>
          <w:sz w:val="28"/>
          <w:szCs w:val="28"/>
          <w:highlight w:val="none"/>
        </w:rPr>
      </w:pPr>
      <w:r>
        <w:rPr>
          <w:rFonts w:hint="eastAsia" w:ascii="黑体" w:eastAsia="黑体"/>
          <w:sz w:val="28"/>
          <w:szCs w:val="28"/>
          <w:highlight w:val="none"/>
        </w:rPr>
        <w:t>二、机关运行经费支出情况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2025年度机关运行经费支出合计3</w:t>
      </w:r>
      <w:r>
        <w:rPr>
          <w:rFonts w:hint="eastAsia" w:ascii="仿宋_GB2312" w:eastAsia="仿宋_GB2312"/>
          <w:sz w:val="32"/>
          <w:szCs w:val="32"/>
          <w:highlight w:val="none"/>
        </w:rPr>
        <w:t>,</w:t>
      </w:r>
      <w:r>
        <w:rPr>
          <w:rFonts w:hint="eastAsia" w:ascii="仿宋_GB2312" w:eastAsia="仿宋_GB2312"/>
          <w:sz w:val="28"/>
          <w:szCs w:val="28"/>
          <w:highlight w:val="none"/>
        </w:rPr>
        <w:t>659</w:t>
      </w:r>
      <w:r>
        <w:rPr>
          <w:rFonts w:hint="eastAsia" w:ascii="仿宋_GB2312" w:eastAsia="仿宋_GB2312"/>
          <w:sz w:val="32"/>
          <w:szCs w:val="32"/>
          <w:highlight w:val="none"/>
        </w:rPr>
        <w:t>,</w:t>
      </w:r>
      <w:r>
        <w:rPr>
          <w:rFonts w:hint="eastAsia" w:ascii="仿宋_GB2312" w:eastAsia="仿宋_GB2312"/>
          <w:sz w:val="28"/>
          <w:szCs w:val="28"/>
          <w:highlight w:val="none"/>
        </w:rPr>
        <w:t>730.56元，比上年减少734,908.16元，减少原因：社会化用工工资决算口径调整，计入其他人员工资福利支出。</w:t>
      </w:r>
    </w:p>
    <w:p>
      <w:pPr>
        <w:ind w:left="540"/>
        <w:rPr>
          <w:rFonts w:ascii="仿宋_GB2312" w:eastAsia="仿宋_GB2312"/>
          <w:sz w:val="28"/>
          <w:szCs w:val="28"/>
          <w:highlight w:val="none"/>
        </w:rPr>
      </w:pPr>
      <w:r>
        <w:rPr>
          <w:rFonts w:hint="eastAsia" w:ascii="黑体" w:eastAsia="黑体"/>
          <w:sz w:val="28"/>
          <w:szCs w:val="28"/>
          <w:highlight w:val="none"/>
        </w:rPr>
        <w:t>三、政府采购支出情况</w:t>
      </w:r>
    </w:p>
    <w:p>
      <w:pPr>
        <w:ind w:firstLine="537" w:firstLineChars="192"/>
        <w:rPr>
          <w:rFonts w:ascii="仿宋_GB2312" w:eastAsia="仿宋_GB2312"/>
          <w:sz w:val="28"/>
          <w:szCs w:val="28"/>
          <w:highlight w:val="none"/>
        </w:rPr>
      </w:pPr>
      <w:r>
        <w:rPr>
          <w:rFonts w:hint="eastAsia" w:ascii="仿宋_GB2312" w:eastAsia="仿宋_GB2312"/>
          <w:sz w:val="28"/>
          <w:szCs w:val="28"/>
          <w:highlight w:val="none"/>
        </w:rPr>
        <w:t>2025年度政府采购支出总额</w:t>
      </w:r>
      <w:r>
        <w:rPr>
          <w:rFonts w:ascii="仿宋_GB2312" w:eastAsia="仿宋_GB2312"/>
          <w:sz w:val="28"/>
          <w:szCs w:val="28"/>
          <w:highlight w:val="none"/>
        </w:rPr>
        <w:t>58</w:t>
      </w:r>
      <w:r>
        <w:rPr>
          <w:rFonts w:hint="eastAsia" w:ascii="仿宋_GB2312" w:eastAsia="仿宋_GB2312"/>
          <w:sz w:val="32"/>
          <w:szCs w:val="32"/>
          <w:highlight w:val="none"/>
        </w:rPr>
        <w:t>,</w:t>
      </w:r>
      <w:r>
        <w:rPr>
          <w:rFonts w:ascii="仿宋_GB2312" w:eastAsia="仿宋_GB2312"/>
          <w:sz w:val="28"/>
          <w:szCs w:val="28"/>
          <w:highlight w:val="none"/>
        </w:rPr>
        <w:t>658</w:t>
      </w:r>
      <w:r>
        <w:rPr>
          <w:rFonts w:hint="eastAsia" w:ascii="仿宋_GB2312" w:eastAsia="仿宋_GB2312"/>
          <w:sz w:val="32"/>
          <w:szCs w:val="32"/>
          <w:highlight w:val="none"/>
        </w:rPr>
        <w:t>,</w:t>
      </w:r>
      <w:r>
        <w:rPr>
          <w:rFonts w:ascii="仿宋_GB2312" w:eastAsia="仿宋_GB2312"/>
          <w:sz w:val="28"/>
          <w:szCs w:val="28"/>
          <w:highlight w:val="none"/>
        </w:rPr>
        <w:t>976.03</w:t>
      </w:r>
      <w:r>
        <w:rPr>
          <w:rFonts w:hint="eastAsia" w:ascii="仿宋_GB2312" w:eastAsia="仿宋_GB2312"/>
          <w:sz w:val="28"/>
          <w:szCs w:val="28"/>
          <w:highlight w:val="none"/>
        </w:rPr>
        <w:t>元，其中：政府采购货物支出</w:t>
      </w:r>
      <w:r>
        <w:rPr>
          <w:rFonts w:ascii="仿宋_GB2312" w:eastAsia="仿宋_GB2312"/>
          <w:sz w:val="28"/>
          <w:szCs w:val="28"/>
          <w:highlight w:val="none"/>
        </w:rPr>
        <w:t>2</w:t>
      </w:r>
      <w:r>
        <w:rPr>
          <w:rFonts w:hint="eastAsia" w:ascii="仿宋_GB2312" w:eastAsia="仿宋_GB2312"/>
          <w:sz w:val="32"/>
          <w:szCs w:val="32"/>
          <w:highlight w:val="none"/>
        </w:rPr>
        <w:t>,</w:t>
      </w:r>
      <w:r>
        <w:rPr>
          <w:rFonts w:ascii="仿宋_GB2312" w:eastAsia="仿宋_GB2312"/>
          <w:sz w:val="28"/>
          <w:szCs w:val="28"/>
          <w:highlight w:val="none"/>
        </w:rPr>
        <w:t>137</w:t>
      </w:r>
      <w:r>
        <w:rPr>
          <w:rFonts w:hint="eastAsia" w:ascii="仿宋_GB2312" w:eastAsia="仿宋_GB2312"/>
          <w:sz w:val="32"/>
          <w:szCs w:val="32"/>
          <w:highlight w:val="none"/>
        </w:rPr>
        <w:t>,</w:t>
      </w:r>
      <w:r>
        <w:rPr>
          <w:rFonts w:ascii="仿宋_GB2312" w:eastAsia="仿宋_GB2312"/>
          <w:sz w:val="28"/>
          <w:szCs w:val="28"/>
          <w:highlight w:val="none"/>
        </w:rPr>
        <w:t>710.4</w:t>
      </w:r>
      <w:r>
        <w:rPr>
          <w:rFonts w:hint="eastAsia" w:ascii="仿宋_GB2312" w:eastAsia="仿宋_GB2312"/>
          <w:sz w:val="28"/>
          <w:szCs w:val="28"/>
          <w:highlight w:val="none"/>
        </w:rPr>
        <w:t>元，政府采购工程支出</w:t>
      </w:r>
      <w:r>
        <w:rPr>
          <w:rFonts w:ascii="仿宋_GB2312" w:eastAsia="仿宋_GB2312"/>
          <w:sz w:val="28"/>
          <w:szCs w:val="28"/>
          <w:highlight w:val="none"/>
        </w:rPr>
        <w:t>50</w:t>
      </w:r>
      <w:r>
        <w:rPr>
          <w:rFonts w:hint="eastAsia" w:ascii="仿宋_GB2312" w:eastAsia="仿宋_GB2312"/>
          <w:sz w:val="32"/>
          <w:szCs w:val="32"/>
          <w:highlight w:val="none"/>
        </w:rPr>
        <w:t>,</w:t>
      </w:r>
      <w:r>
        <w:rPr>
          <w:rFonts w:ascii="仿宋_GB2312" w:eastAsia="仿宋_GB2312"/>
          <w:sz w:val="28"/>
          <w:szCs w:val="28"/>
          <w:highlight w:val="none"/>
        </w:rPr>
        <w:t>283</w:t>
      </w:r>
      <w:r>
        <w:rPr>
          <w:rFonts w:hint="eastAsia" w:ascii="仿宋_GB2312" w:eastAsia="仿宋_GB2312"/>
          <w:sz w:val="32"/>
          <w:szCs w:val="32"/>
          <w:highlight w:val="none"/>
        </w:rPr>
        <w:t>,</w:t>
      </w:r>
      <w:r>
        <w:rPr>
          <w:rFonts w:ascii="仿宋_GB2312" w:eastAsia="仿宋_GB2312"/>
          <w:sz w:val="28"/>
          <w:szCs w:val="28"/>
          <w:highlight w:val="none"/>
        </w:rPr>
        <w:t>666.36</w:t>
      </w:r>
      <w:r>
        <w:rPr>
          <w:rFonts w:hint="eastAsia" w:ascii="仿宋_GB2312" w:eastAsia="仿宋_GB2312"/>
          <w:sz w:val="28"/>
          <w:szCs w:val="28"/>
          <w:highlight w:val="none"/>
        </w:rPr>
        <w:t>元，政府采购服务支出</w:t>
      </w:r>
      <w:r>
        <w:rPr>
          <w:rFonts w:ascii="仿宋_GB2312" w:eastAsia="仿宋_GB2312"/>
          <w:sz w:val="28"/>
          <w:szCs w:val="28"/>
          <w:highlight w:val="none"/>
        </w:rPr>
        <w:t>6</w:t>
      </w:r>
      <w:r>
        <w:rPr>
          <w:rFonts w:hint="eastAsia" w:ascii="仿宋_GB2312" w:eastAsia="仿宋_GB2312"/>
          <w:sz w:val="32"/>
          <w:szCs w:val="32"/>
          <w:highlight w:val="none"/>
        </w:rPr>
        <w:t>,</w:t>
      </w:r>
      <w:r>
        <w:rPr>
          <w:rFonts w:ascii="仿宋_GB2312" w:eastAsia="仿宋_GB2312"/>
          <w:sz w:val="28"/>
          <w:szCs w:val="28"/>
          <w:highlight w:val="none"/>
        </w:rPr>
        <w:t>237</w:t>
      </w:r>
      <w:r>
        <w:rPr>
          <w:rFonts w:hint="eastAsia" w:ascii="仿宋_GB2312" w:eastAsia="仿宋_GB2312"/>
          <w:sz w:val="32"/>
          <w:szCs w:val="32"/>
          <w:highlight w:val="none"/>
        </w:rPr>
        <w:t>,</w:t>
      </w:r>
      <w:r>
        <w:rPr>
          <w:rFonts w:ascii="仿宋_GB2312" w:eastAsia="仿宋_GB2312"/>
          <w:sz w:val="28"/>
          <w:szCs w:val="28"/>
          <w:highlight w:val="none"/>
        </w:rPr>
        <w:t>599.27</w:t>
      </w:r>
      <w:r>
        <w:rPr>
          <w:rFonts w:hint="eastAsia" w:ascii="仿宋_GB2312" w:eastAsia="仿宋_GB2312"/>
          <w:sz w:val="28"/>
          <w:szCs w:val="28"/>
          <w:highlight w:val="none"/>
        </w:rPr>
        <w:t>元。授予中小企业合同金额</w:t>
      </w:r>
      <w:r>
        <w:rPr>
          <w:rFonts w:ascii="仿宋_GB2312" w:eastAsia="仿宋_GB2312"/>
          <w:sz w:val="28"/>
          <w:szCs w:val="28"/>
          <w:highlight w:val="none"/>
        </w:rPr>
        <w:t>58</w:t>
      </w:r>
      <w:r>
        <w:rPr>
          <w:rFonts w:hint="eastAsia" w:ascii="仿宋_GB2312" w:eastAsia="仿宋_GB2312"/>
          <w:sz w:val="32"/>
          <w:szCs w:val="32"/>
          <w:highlight w:val="none"/>
        </w:rPr>
        <w:t>,</w:t>
      </w:r>
      <w:r>
        <w:rPr>
          <w:rFonts w:ascii="仿宋_GB2312" w:eastAsia="仿宋_GB2312"/>
          <w:sz w:val="28"/>
          <w:szCs w:val="28"/>
          <w:highlight w:val="none"/>
        </w:rPr>
        <w:t>561</w:t>
      </w:r>
      <w:r>
        <w:rPr>
          <w:rFonts w:hint="eastAsia" w:ascii="仿宋_GB2312" w:eastAsia="仿宋_GB2312"/>
          <w:sz w:val="32"/>
          <w:szCs w:val="32"/>
          <w:highlight w:val="none"/>
        </w:rPr>
        <w:t>,</w:t>
      </w:r>
      <w:r>
        <w:rPr>
          <w:rFonts w:ascii="仿宋_GB2312" w:eastAsia="仿宋_GB2312"/>
          <w:sz w:val="28"/>
          <w:szCs w:val="28"/>
          <w:highlight w:val="none"/>
        </w:rPr>
        <w:t>521.82</w:t>
      </w:r>
      <w:r>
        <w:rPr>
          <w:rFonts w:hint="eastAsia" w:ascii="仿宋_GB2312" w:eastAsia="仿宋_GB2312"/>
          <w:sz w:val="28"/>
          <w:szCs w:val="28"/>
          <w:highlight w:val="none"/>
        </w:rPr>
        <w:t>元，占政府采购支出总额的99.8%，其中：授予小微企业合同金额</w:t>
      </w:r>
      <w:r>
        <w:rPr>
          <w:rFonts w:ascii="仿宋_GB2312" w:eastAsia="仿宋_GB2312"/>
          <w:sz w:val="28"/>
          <w:szCs w:val="28"/>
          <w:highlight w:val="none"/>
        </w:rPr>
        <w:t>24</w:t>
      </w:r>
      <w:r>
        <w:rPr>
          <w:rFonts w:hint="eastAsia" w:ascii="仿宋_GB2312" w:eastAsia="仿宋_GB2312"/>
          <w:sz w:val="32"/>
          <w:szCs w:val="32"/>
          <w:highlight w:val="none"/>
        </w:rPr>
        <w:t>,</w:t>
      </w:r>
      <w:r>
        <w:rPr>
          <w:rFonts w:ascii="仿宋_GB2312" w:eastAsia="仿宋_GB2312"/>
          <w:sz w:val="28"/>
          <w:szCs w:val="28"/>
          <w:highlight w:val="none"/>
        </w:rPr>
        <w:t>694</w:t>
      </w:r>
      <w:r>
        <w:rPr>
          <w:rFonts w:hint="eastAsia" w:ascii="仿宋_GB2312" w:eastAsia="仿宋_GB2312"/>
          <w:sz w:val="32"/>
          <w:szCs w:val="32"/>
          <w:highlight w:val="none"/>
        </w:rPr>
        <w:t>,</w:t>
      </w:r>
      <w:r>
        <w:rPr>
          <w:rFonts w:ascii="仿宋_GB2312" w:eastAsia="仿宋_GB2312"/>
          <w:sz w:val="28"/>
          <w:szCs w:val="28"/>
          <w:highlight w:val="none"/>
        </w:rPr>
        <w:t>814.73</w:t>
      </w:r>
      <w:r>
        <w:rPr>
          <w:rFonts w:hint="eastAsia" w:ascii="仿宋_GB2312" w:eastAsia="仿宋_GB2312"/>
          <w:sz w:val="28"/>
          <w:szCs w:val="28"/>
          <w:highlight w:val="none"/>
        </w:rPr>
        <w:t>元，占政府采购支出总额的</w:t>
      </w:r>
      <w:r>
        <w:rPr>
          <w:rFonts w:ascii="仿宋_GB2312" w:eastAsia="仿宋_GB2312"/>
          <w:sz w:val="28"/>
          <w:szCs w:val="28"/>
          <w:highlight w:val="none"/>
        </w:rPr>
        <w:t>42.1</w:t>
      </w:r>
      <w:r>
        <w:rPr>
          <w:rFonts w:hint="eastAsia" w:ascii="仿宋_GB2312" w:eastAsia="仿宋_GB2312"/>
          <w:sz w:val="28"/>
          <w:szCs w:val="28"/>
          <w:highlight w:val="none"/>
        </w:rPr>
        <w:t>%。</w:t>
      </w:r>
    </w:p>
    <w:p>
      <w:pPr>
        <w:ind w:firstLine="560" w:firstLineChars="200"/>
        <w:rPr>
          <w:rFonts w:ascii="黑体" w:eastAsia="黑体"/>
          <w:sz w:val="28"/>
          <w:szCs w:val="28"/>
          <w:highlight w:val="none"/>
        </w:rPr>
      </w:pPr>
      <w:r>
        <w:rPr>
          <w:rFonts w:hint="eastAsia" w:ascii="黑体" w:eastAsia="黑体"/>
          <w:sz w:val="28"/>
          <w:szCs w:val="28"/>
          <w:highlight w:val="none"/>
        </w:rPr>
        <w:t>四、国有资产占用情况</w:t>
      </w:r>
    </w:p>
    <w:p>
      <w:pPr>
        <w:ind w:firstLine="560" w:firstLineChars="200"/>
        <w:rPr>
          <w:rFonts w:ascii="仿宋_GB2312" w:eastAsia="仿宋_GB2312"/>
          <w:sz w:val="32"/>
          <w:szCs w:val="32"/>
          <w:highlight w:val="none"/>
        </w:rPr>
      </w:pPr>
      <w:r>
        <w:rPr>
          <w:rFonts w:hint="eastAsia" w:ascii="仿宋_GB2312" w:eastAsia="仿宋_GB2312"/>
          <w:sz w:val="28"/>
          <w:szCs w:val="28"/>
          <w:highlight w:val="none"/>
        </w:rPr>
        <w:t>截至12月31日，北京市门头沟区农业农村局（部门）共有车辆14台；单位价值100</w:t>
      </w:r>
      <w:r>
        <w:rPr>
          <w:rFonts w:hint="eastAsia" w:ascii="仿宋_GB2312" w:eastAsia="仿宋_GB2312"/>
          <w:sz w:val="28"/>
          <w:szCs w:val="28"/>
          <w:highlight w:val="none"/>
          <w:lang w:val="en-US" w:eastAsia="zh-CN"/>
        </w:rPr>
        <w:t>万</w:t>
      </w:r>
      <w:r>
        <w:rPr>
          <w:rFonts w:hint="eastAsia" w:ascii="仿宋_GB2312" w:eastAsia="仿宋_GB2312"/>
          <w:sz w:val="28"/>
          <w:szCs w:val="28"/>
          <w:highlight w:val="none"/>
        </w:rPr>
        <w:t>元（含）以上的设备1台（套）。</w:t>
      </w:r>
    </w:p>
    <w:p>
      <w:pPr>
        <w:ind w:firstLine="560" w:firstLineChars="200"/>
        <w:jc w:val="left"/>
        <w:rPr>
          <w:rFonts w:ascii="仿宋_GB2312" w:eastAsia="仿宋_GB2312"/>
          <w:color w:val="000000"/>
          <w:sz w:val="32"/>
          <w:szCs w:val="32"/>
          <w:highlight w:val="none"/>
        </w:rPr>
      </w:pPr>
      <w:r>
        <w:rPr>
          <w:rFonts w:hint="eastAsia" w:ascii="黑体" w:eastAsia="黑体"/>
          <w:sz w:val="28"/>
          <w:szCs w:val="28"/>
          <w:highlight w:val="none"/>
        </w:rPr>
        <w:t>五、</w:t>
      </w:r>
      <w:r>
        <w:rPr>
          <w:rFonts w:ascii="黑体" w:eastAsia="黑体"/>
          <w:sz w:val="28"/>
          <w:szCs w:val="28"/>
          <w:highlight w:val="none"/>
        </w:rPr>
        <w:t>专业名词解释</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1.基本支出：指为保障机构正常运转、完成日常工作任务而发生的人员支出和公用支出。</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2.项目支出：指在基本支出之外为完成特定行政任务或事业发展目标所发生的支出。</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3.“三公”经费：是指单位通过财政拨款资金安排的因公出国（境）费、公务用车购置及运行费和公务接待费。</w:t>
      </w:r>
    </w:p>
    <w:p>
      <w:pPr>
        <w:ind w:firstLine="560" w:firstLineChars="200"/>
        <w:rPr>
          <w:highlight w:val="none"/>
        </w:rPr>
      </w:pPr>
      <w:r>
        <w:rPr>
          <w:rFonts w:hint="eastAsia" w:ascii="仿宋_GB2312" w:eastAsia="仿宋_GB2312"/>
          <w:sz w:val="28"/>
          <w:szCs w:val="28"/>
          <w:highlight w:val="none"/>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ascii="仿宋_GB2312" w:eastAsia="仿宋_GB2312"/>
          <w:sz w:val="28"/>
          <w:szCs w:val="28"/>
          <w:highlight w:val="none"/>
        </w:rPr>
      </w:pPr>
      <w:r>
        <w:rPr>
          <w:rFonts w:hint="eastAsia" w:ascii="仿宋_GB2312" w:eastAsia="仿宋_GB2312"/>
          <w:sz w:val="28"/>
          <w:szCs w:val="28"/>
          <w:highlight w:val="none"/>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6</w:t>
      </w:r>
      <w:r>
        <w:rPr>
          <w:rFonts w:hint="eastAsia" w:ascii="仿宋_GB2312" w:eastAsia="仿宋_GB2312"/>
          <w:sz w:val="28"/>
          <w:szCs w:val="28"/>
          <w:highlight w:val="none"/>
        </w:rPr>
        <w:t>.文化旅游体育与传媒支出（类）文化和旅游（款）其他文化和旅游支出（项）：反映</w:t>
      </w:r>
      <w:r>
        <w:rPr>
          <w:rFonts w:hint="eastAsia" w:ascii="仿宋_GB2312" w:eastAsia="仿宋_GB2312"/>
          <w:sz w:val="28"/>
          <w:szCs w:val="28"/>
          <w:highlight w:val="none"/>
          <w:lang w:eastAsia="zh-CN"/>
        </w:rPr>
        <w:t>除上述项目以外其他用于文化和旅游方面的支出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7</w:t>
      </w:r>
      <w:r>
        <w:rPr>
          <w:rFonts w:hint="eastAsia" w:ascii="仿宋_GB2312" w:eastAsia="仿宋_GB2312"/>
          <w:sz w:val="28"/>
          <w:szCs w:val="28"/>
          <w:highlight w:val="none"/>
        </w:rPr>
        <w:t>.社会保障和就业支出（类）行政事业单位养老支出（款）行政单位离退休（项）：</w:t>
      </w:r>
      <w:r>
        <w:rPr>
          <w:rFonts w:hint="eastAsia" w:ascii="仿宋_GB2312" w:eastAsia="仿宋_GB2312"/>
          <w:sz w:val="28"/>
          <w:szCs w:val="28"/>
          <w:highlight w:val="none"/>
          <w:lang w:eastAsia="zh-CN"/>
        </w:rPr>
        <w:t>反映行政单位（包括实行公务员管理的事业单位）开支的离退休经费</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8</w:t>
      </w:r>
      <w:r>
        <w:rPr>
          <w:rFonts w:hint="eastAsia" w:ascii="仿宋_GB2312" w:eastAsia="仿宋_GB2312"/>
          <w:sz w:val="28"/>
          <w:szCs w:val="28"/>
          <w:highlight w:val="none"/>
        </w:rPr>
        <w:t>.社会保障和就业支出（类）行政事业单位养老支出（款）</w:t>
      </w:r>
      <w:r>
        <w:rPr>
          <w:rFonts w:hint="eastAsia" w:ascii="仿宋_GB2312" w:eastAsia="仿宋_GB2312"/>
          <w:sz w:val="28"/>
          <w:szCs w:val="28"/>
          <w:highlight w:val="none"/>
          <w:lang w:eastAsia="zh-CN"/>
        </w:rPr>
        <w:t>事业</w:t>
      </w:r>
      <w:r>
        <w:rPr>
          <w:rFonts w:hint="eastAsia" w:ascii="仿宋_GB2312" w:eastAsia="仿宋_GB2312"/>
          <w:sz w:val="28"/>
          <w:szCs w:val="28"/>
          <w:highlight w:val="none"/>
        </w:rPr>
        <w:t>单位离退休（项）：</w:t>
      </w:r>
      <w:r>
        <w:rPr>
          <w:rFonts w:hint="eastAsia" w:ascii="仿宋_GB2312" w:eastAsia="仿宋_GB2312"/>
          <w:sz w:val="28"/>
          <w:szCs w:val="28"/>
          <w:highlight w:val="none"/>
          <w:lang w:eastAsia="zh-CN"/>
        </w:rPr>
        <w:t>反映事业单位开支的离退休经费</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9</w:t>
      </w:r>
      <w:r>
        <w:rPr>
          <w:rFonts w:hint="eastAsia" w:ascii="仿宋_GB2312" w:eastAsia="仿宋_GB2312"/>
          <w:sz w:val="28"/>
          <w:szCs w:val="28"/>
          <w:highlight w:val="none"/>
        </w:rPr>
        <w:t>.节能环保支出（类）污染防治（款）大气（项）：反映</w:t>
      </w:r>
      <w:r>
        <w:rPr>
          <w:rFonts w:hint="eastAsia" w:ascii="仿宋_GB2312" w:eastAsia="仿宋_GB2312"/>
          <w:sz w:val="28"/>
          <w:szCs w:val="28"/>
          <w:highlight w:val="none"/>
          <w:lang w:eastAsia="zh-CN"/>
        </w:rPr>
        <w:t>政府在治理空气污染、汽车尾气、酸雨、二氧化硫、沙尘暴等方面的支出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10</w:t>
      </w:r>
      <w:r>
        <w:rPr>
          <w:rFonts w:hint="eastAsia" w:ascii="仿宋_GB2312" w:eastAsia="仿宋_GB2312"/>
          <w:sz w:val="28"/>
          <w:szCs w:val="28"/>
          <w:highlight w:val="none"/>
        </w:rPr>
        <w:t>.节能环保支出（类）污染防治（款）</w:t>
      </w:r>
      <w:r>
        <w:rPr>
          <w:rFonts w:hint="eastAsia" w:ascii="仿宋_GB2312" w:eastAsia="仿宋_GB2312"/>
          <w:sz w:val="28"/>
          <w:szCs w:val="28"/>
          <w:highlight w:val="none"/>
          <w:lang w:eastAsia="zh-CN"/>
        </w:rPr>
        <w:t>土壤</w:t>
      </w:r>
      <w:r>
        <w:rPr>
          <w:rFonts w:hint="eastAsia" w:ascii="仿宋_GB2312" w:eastAsia="仿宋_GB2312"/>
          <w:sz w:val="28"/>
          <w:szCs w:val="28"/>
          <w:highlight w:val="none"/>
        </w:rPr>
        <w:t>（项）：反映</w:t>
      </w:r>
      <w:r>
        <w:rPr>
          <w:rFonts w:hint="eastAsia" w:ascii="仿宋_GB2312" w:eastAsia="仿宋_GB2312"/>
          <w:sz w:val="28"/>
          <w:szCs w:val="28"/>
          <w:highlight w:val="none"/>
          <w:lang w:eastAsia="zh-CN"/>
        </w:rPr>
        <w:t>政府在土壤污染调查、风险管控、治理与修复等方面的支出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11</w:t>
      </w:r>
      <w:r>
        <w:rPr>
          <w:rFonts w:hint="eastAsia" w:ascii="仿宋_GB2312" w:eastAsia="仿宋_GB2312"/>
          <w:sz w:val="28"/>
          <w:szCs w:val="28"/>
          <w:highlight w:val="none"/>
        </w:rPr>
        <w:t>.节能环保支出（类）污染防治（款）其他污染防治支出（项）：反映</w:t>
      </w:r>
      <w:r>
        <w:rPr>
          <w:rFonts w:hint="eastAsia" w:ascii="仿宋_GB2312" w:eastAsia="仿宋_GB2312"/>
          <w:sz w:val="28"/>
          <w:szCs w:val="28"/>
          <w:highlight w:val="none"/>
          <w:lang w:eastAsia="zh-CN"/>
        </w:rPr>
        <w:t>除上述项目以外其他用于污染防治方面的支出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12</w:t>
      </w:r>
      <w:r>
        <w:rPr>
          <w:rFonts w:hint="eastAsia" w:ascii="仿宋_GB2312" w:eastAsia="仿宋_GB2312"/>
          <w:sz w:val="28"/>
          <w:szCs w:val="28"/>
          <w:highlight w:val="none"/>
        </w:rPr>
        <w:t>.农林水支出（类）农业农村（款）行政运行（项）：反映行政单位（包括实行公务员管理的事业单位）的基本支出。</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13.</w:t>
      </w:r>
      <w:r>
        <w:rPr>
          <w:rFonts w:hint="eastAsia" w:ascii="仿宋_GB2312" w:eastAsia="仿宋_GB2312"/>
          <w:sz w:val="28"/>
          <w:szCs w:val="28"/>
          <w:highlight w:val="none"/>
        </w:rPr>
        <w:t>农林水支出（类）农业农村（款）一般行政管理事务（项）：反映行政单位（包括实行公务员管理的事业单位）未单独设置项级科目的其他项目支出。</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14</w:t>
      </w:r>
      <w:r>
        <w:rPr>
          <w:rFonts w:hint="eastAsia" w:ascii="仿宋_GB2312" w:eastAsia="仿宋_GB2312"/>
          <w:sz w:val="28"/>
          <w:szCs w:val="28"/>
          <w:highlight w:val="none"/>
        </w:rPr>
        <w:t>.农林水支出（类）农业农村（款）</w:t>
      </w:r>
      <w:r>
        <w:rPr>
          <w:rFonts w:hint="eastAsia" w:ascii="仿宋_GB2312" w:eastAsia="仿宋_GB2312"/>
          <w:sz w:val="28"/>
          <w:szCs w:val="28"/>
          <w:highlight w:val="none"/>
          <w:lang w:eastAsia="zh-CN"/>
        </w:rPr>
        <w:t>事业</w:t>
      </w:r>
      <w:r>
        <w:rPr>
          <w:rFonts w:hint="eastAsia" w:ascii="仿宋_GB2312" w:eastAsia="仿宋_GB2312"/>
          <w:sz w:val="28"/>
          <w:szCs w:val="28"/>
          <w:highlight w:val="none"/>
        </w:rPr>
        <w:t>运行（项）：反映</w:t>
      </w:r>
      <w:r>
        <w:rPr>
          <w:rFonts w:hint="eastAsia" w:ascii="仿宋_GB2312" w:eastAsia="仿宋_GB2312"/>
          <w:sz w:val="28"/>
          <w:szCs w:val="28"/>
          <w:highlight w:val="none"/>
          <w:lang w:eastAsia="zh-CN"/>
        </w:rPr>
        <w:t>用于农业事业单位</w:t>
      </w:r>
      <w:r>
        <w:rPr>
          <w:rFonts w:hint="eastAsia" w:ascii="仿宋_GB2312" w:eastAsia="仿宋_GB2312"/>
          <w:sz w:val="28"/>
          <w:szCs w:val="28"/>
          <w:highlight w:val="none"/>
        </w:rPr>
        <w:t>基本支出</w:t>
      </w:r>
      <w:r>
        <w:rPr>
          <w:rFonts w:hint="eastAsia" w:ascii="仿宋_GB2312" w:eastAsia="仿宋_GB2312"/>
          <w:sz w:val="28"/>
          <w:szCs w:val="28"/>
          <w:highlight w:val="none"/>
          <w:lang w:eastAsia="zh-CN"/>
        </w:rPr>
        <w:t>，事业单位设施、系统运行与资产维护等方面的支出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15</w:t>
      </w:r>
      <w:r>
        <w:rPr>
          <w:rFonts w:hint="eastAsia" w:ascii="仿宋_GB2312" w:eastAsia="仿宋_GB2312"/>
          <w:sz w:val="28"/>
          <w:szCs w:val="28"/>
          <w:highlight w:val="none"/>
        </w:rPr>
        <w:t>.农林水支出（类）农业农村（款）科技转化与推广服务（项）：反映</w:t>
      </w:r>
      <w:r>
        <w:rPr>
          <w:rFonts w:hint="eastAsia" w:ascii="仿宋_GB2312" w:eastAsia="仿宋_GB2312"/>
          <w:sz w:val="28"/>
          <w:szCs w:val="28"/>
          <w:highlight w:val="none"/>
          <w:lang w:eastAsia="zh-CN"/>
        </w:rPr>
        <w:t>用于农业科技成果转化，农村科技人才奖励，农业新品种、新机具、新技术引进、实验、示范、推广及服务，农村人居环境整治等方面的技术试验示范支出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16</w:t>
      </w:r>
      <w:r>
        <w:rPr>
          <w:rFonts w:hint="eastAsia" w:ascii="仿宋_GB2312" w:eastAsia="仿宋_GB2312"/>
          <w:sz w:val="28"/>
          <w:szCs w:val="28"/>
          <w:highlight w:val="none"/>
        </w:rPr>
        <w:t>.农林水支出（类）农业农村（款）防灾救灾（项）：反映</w:t>
      </w:r>
      <w:r>
        <w:rPr>
          <w:rFonts w:hint="eastAsia" w:ascii="仿宋_GB2312" w:eastAsia="仿宋_GB2312"/>
          <w:sz w:val="28"/>
          <w:szCs w:val="28"/>
          <w:highlight w:val="none"/>
          <w:lang w:eastAsia="zh-CN"/>
        </w:rPr>
        <w:t>对农业生产因遭受自然、生物灾害损失给予的补助，促进农业防灾增产措施补助，海难救助补助，因其他灾害导致农牧渔业生产者损失给予的补助</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17</w:t>
      </w:r>
      <w:r>
        <w:rPr>
          <w:rFonts w:hint="eastAsia" w:ascii="仿宋_GB2312" w:eastAsia="仿宋_GB2312"/>
          <w:sz w:val="28"/>
          <w:szCs w:val="28"/>
          <w:highlight w:val="none"/>
        </w:rPr>
        <w:t>.农林水支出（类）农业农村（款）病虫害控制（项）：反映</w:t>
      </w:r>
      <w:r>
        <w:rPr>
          <w:rFonts w:hint="eastAsia" w:ascii="仿宋_GB2312" w:eastAsia="仿宋_GB2312"/>
          <w:sz w:val="28"/>
          <w:szCs w:val="28"/>
          <w:highlight w:val="none"/>
          <w:lang w:eastAsia="zh-CN"/>
        </w:rPr>
        <w:t>用于病虫鼠害及疫情监测、预报、预防、控制、检疫、防疫所需的仪器、设施、药物、疫苗、种苗，疫畜（禽、鱼、植物）防治、扑杀补偿及劳务补助、菌（毒）种保藏及动植物及其产品检疫、检测等方面支出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18</w:t>
      </w:r>
      <w:r>
        <w:rPr>
          <w:rFonts w:hint="eastAsia" w:ascii="仿宋_GB2312" w:eastAsia="仿宋_GB2312"/>
          <w:sz w:val="28"/>
          <w:szCs w:val="28"/>
          <w:highlight w:val="none"/>
        </w:rPr>
        <w:t>.农林水支出（类）农业农村（款）稳定农民收入补贴（项）：反映</w:t>
      </w:r>
      <w:r>
        <w:rPr>
          <w:rFonts w:hint="eastAsia" w:ascii="仿宋_GB2312" w:eastAsia="仿宋_GB2312"/>
          <w:sz w:val="28"/>
          <w:szCs w:val="28"/>
          <w:highlight w:val="none"/>
          <w:lang w:eastAsia="zh-CN"/>
        </w:rPr>
        <w:t>政府为稳定增加农民收入给予的补助</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19</w:t>
      </w:r>
      <w:r>
        <w:rPr>
          <w:rFonts w:hint="eastAsia" w:ascii="仿宋_GB2312" w:eastAsia="仿宋_GB2312"/>
          <w:sz w:val="28"/>
          <w:szCs w:val="28"/>
          <w:highlight w:val="none"/>
        </w:rPr>
        <w:t>.农林水支出（类）农业农村（款）农业生产发展（项）：反映</w:t>
      </w:r>
      <w:r>
        <w:rPr>
          <w:rFonts w:hint="eastAsia" w:ascii="仿宋_GB2312" w:eastAsia="仿宋_GB2312"/>
          <w:sz w:val="28"/>
          <w:szCs w:val="28"/>
          <w:highlight w:val="none"/>
          <w:lang w:eastAsia="zh-CN"/>
        </w:rPr>
        <w:t>用于耕地地力保护、适度规模经营、农机购置与应用补贴、优势特色主导产业发展、畜牧水产发展、农村一二三产业融合等方面支出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20</w:t>
      </w:r>
      <w:r>
        <w:rPr>
          <w:rFonts w:hint="eastAsia" w:ascii="仿宋_GB2312" w:eastAsia="仿宋_GB2312"/>
          <w:sz w:val="28"/>
          <w:szCs w:val="28"/>
          <w:highlight w:val="none"/>
        </w:rPr>
        <w:t>.农林水支出（类）农业农村（款）耕地建设与利用（项）：反映</w:t>
      </w:r>
      <w:r>
        <w:rPr>
          <w:rFonts w:hint="eastAsia" w:ascii="仿宋_GB2312" w:eastAsia="仿宋_GB2312"/>
          <w:sz w:val="28"/>
          <w:szCs w:val="28"/>
          <w:highlight w:val="none"/>
          <w:lang w:eastAsia="zh-CN"/>
        </w:rPr>
        <w:t>用于农田建设和田间水利相关工程建设、盐碱地综合利用、黑土地保护、耕地轮作休耕、耕地质量提升等方面支出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21</w:t>
      </w:r>
      <w:r>
        <w:rPr>
          <w:rFonts w:hint="eastAsia" w:ascii="仿宋_GB2312" w:eastAsia="仿宋_GB2312"/>
          <w:sz w:val="28"/>
          <w:szCs w:val="28"/>
          <w:highlight w:val="none"/>
        </w:rPr>
        <w:t>.农林水支出（类）农业农村（款）其他农业农村支出（项）：反映</w:t>
      </w:r>
      <w:r>
        <w:rPr>
          <w:rFonts w:hint="eastAsia" w:ascii="仿宋_GB2312" w:eastAsia="仿宋_GB2312"/>
          <w:sz w:val="28"/>
          <w:szCs w:val="28"/>
          <w:highlight w:val="none"/>
          <w:lang w:eastAsia="zh-CN"/>
        </w:rPr>
        <w:t>除上述项目以外其他用于农业农村方面的支出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22</w:t>
      </w:r>
      <w:r>
        <w:rPr>
          <w:rFonts w:hint="eastAsia" w:ascii="仿宋_GB2312" w:eastAsia="仿宋_GB2312"/>
          <w:sz w:val="28"/>
          <w:szCs w:val="28"/>
          <w:highlight w:val="none"/>
        </w:rPr>
        <w:t>.资源勘探工业信息等支出（类）制造业（款）其他制造业支出（项）：反映</w:t>
      </w:r>
      <w:r>
        <w:rPr>
          <w:rFonts w:hint="eastAsia" w:ascii="仿宋_GB2312" w:eastAsia="仿宋_GB2312"/>
          <w:sz w:val="28"/>
          <w:szCs w:val="28"/>
          <w:highlight w:val="none"/>
          <w:lang w:eastAsia="zh-CN"/>
        </w:rPr>
        <w:t>除上述项目以外其他用于制造业方面的支出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rPr>
      </w:pPr>
      <w:r>
        <w:rPr>
          <w:rFonts w:hint="eastAsia" w:ascii="仿宋_GB2312" w:eastAsia="仿宋_GB2312"/>
          <w:sz w:val="28"/>
          <w:szCs w:val="28"/>
          <w:highlight w:val="none"/>
          <w:lang w:val="en-US" w:eastAsia="zh-CN"/>
        </w:rPr>
        <w:t>23</w:t>
      </w:r>
      <w:r>
        <w:rPr>
          <w:rFonts w:hint="eastAsia" w:ascii="仿宋_GB2312" w:eastAsia="仿宋_GB2312"/>
          <w:sz w:val="28"/>
          <w:szCs w:val="28"/>
          <w:highlight w:val="none"/>
        </w:rPr>
        <w:t>.资源勘探工业信息等支出（类）超长期特别国债安排的支出（款）制造业（项）：反映</w:t>
      </w:r>
      <w:r>
        <w:rPr>
          <w:rFonts w:hint="eastAsia" w:ascii="仿宋_GB2312" w:eastAsia="仿宋_GB2312"/>
          <w:sz w:val="28"/>
          <w:szCs w:val="28"/>
          <w:highlight w:val="none"/>
          <w:lang w:eastAsia="zh-CN"/>
        </w:rPr>
        <w:t>使用超长期特别国债收入安排的制造业方面支出</w:t>
      </w:r>
      <w:r>
        <w:rPr>
          <w:rFonts w:hint="eastAsia" w:ascii="仿宋_GB2312" w:eastAsia="仿宋_GB2312"/>
          <w:sz w:val="28"/>
          <w:szCs w:val="28"/>
          <w:highlight w:val="none"/>
        </w:rPr>
        <w:t>。</w:t>
      </w:r>
    </w:p>
    <w:p>
      <w:pPr>
        <w:ind w:firstLine="560" w:firstLineChars="200"/>
        <w:rPr>
          <w:rFonts w:hint="eastAsia" w:ascii="仿宋_GB2312" w:eastAsia="仿宋_GB2312"/>
          <w:sz w:val="28"/>
          <w:szCs w:val="28"/>
          <w:highlight w:val="none"/>
          <w:lang w:eastAsia="zh-CN"/>
        </w:rPr>
      </w:pPr>
      <w:r>
        <w:rPr>
          <w:rFonts w:hint="eastAsia" w:ascii="仿宋_GB2312" w:eastAsia="仿宋_GB2312"/>
          <w:sz w:val="28"/>
          <w:szCs w:val="28"/>
          <w:highlight w:val="none"/>
          <w:lang w:val="en-US" w:eastAsia="zh-CN"/>
        </w:rPr>
        <w:t>24</w:t>
      </w:r>
      <w:r>
        <w:rPr>
          <w:rFonts w:hint="eastAsia" w:ascii="仿宋_GB2312" w:eastAsia="仿宋_GB2312"/>
          <w:sz w:val="28"/>
          <w:szCs w:val="28"/>
          <w:highlight w:val="none"/>
        </w:rPr>
        <w:t>.自然资源海洋气象等支出（类）自然资源事务（款）自然资源利用与保护（项）：反映</w:t>
      </w:r>
      <w:r>
        <w:rPr>
          <w:rFonts w:hint="eastAsia" w:ascii="仿宋_GB2312" w:eastAsia="仿宋_GB2312"/>
          <w:sz w:val="28"/>
          <w:szCs w:val="28"/>
          <w:highlight w:val="none"/>
          <w:lang w:eastAsia="zh-CN"/>
        </w:rPr>
        <w:t>用于自然资源有偿使用与合理开发利用，国土生态空间修复，固体整治，耕地保护等方面的支出。</w:t>
      </w:r>
    </w:p>
    <w:p>
      <w:pPr>
        <w:ind w:firstLine="560" w:firstLineChars="200"/>
        <w:rPr>
          <w:rFonts w:hint="eastAsia" w:ascii="仿宋_GB2312" w:eastAsia="仿宋_GB2312"/>
          <w:sz w:val="28"/>
          <w:szCs w:val="28"/>
          <w:highlight w:val="none"/>
        </w:rPr>
      </w:pPr>
    </w:p>
    <w:p>
      <w:pPr>
        <w:rPr>
          <w:rFonts w:ascii="黑体" w:eastAsia="黑体"/>
          <w:sz w:val="32"/>
          <w:szCs w:val="32"/>
        </w:rPr>
      </w:pPr>
    </w:p>
    <w:p>
      <w:pPr>
        <w:tabs>
          <w:tab w:val="center" w:pos="6979"/>
        </w:tabs>
        <w:spacing w:line="380" w:lineRule="exact"/>
        <w:jc w:val="center"/>
        <w:rPr>
          <w:rFonts w:ascii="宋体" w:hAnsi="宋体" w:cs="宋体"/>
          <w:b/>
          <w:bCs/>
          <w:kern w:val="0"/>
          <w:sz w:val="28"/>
          <w:szCs w:val="28"/>
        </w:rPr>
      </w:pPr>
    </w:p>
    <w:p>
      <w:pPr>
        <w:tabs>
          <w:tab w:val="center" w:pos="6979"/>
        </w:tabs>
        <w:spacing w:line="380" w:lineRule="exact"/>
        <w:jc w:val="center"/>
        <w:rPr>
          <w:rFonts w:ascii="宋体" w:hAnsi="宋体" w:cs="宋体"/>
          <w:b/>
          <w:bCs/>
          <w:kern w:val="0"/>
          <w:sz w:val="28"/>
          <w:szCs w:val="28"/>
        </w:rPr>
      </w:pPr>
    </w:p>
    <w:p>
      <w:pPr>
        <w:rPr>
          <w:rFonts w:ascii="黑体" w:eastAsia="黑体"/>
          <w:sz w:val="32"/>
          <w:szCs w:val="32"/>
        </w:rPr>
      </w:pPr>
    </w:p>
    <w:p>
      <w:pPr>
        <w:ind w:firstLine="640" w:firstLineChars="200"/>
        <w:jc w:val="center"/>
        <w:rPr>
          <w:rFonts w:ascii="黑体" w:eastAsia="黑体"/>
          <w:sz w:val="32"/>
          <w:szCs w:val="32"/>
        </w:rPr>
      </w:pPr>
    </w:p>
    <w:p>
      <w:pPr>
        <w:tabs>
          <w:tab w:val="center" w:pos="6979"/>
        </w:tabs>
        <w:spacing w:line="580" w:lineRule="exact"/>
        <w:ind w:firstLine="720" w:firstLineChars="200"/>
        <w:jc w:val="center"/>
        <w:rPr>
          <w:rFonts w:asciiTheme="minorEastAsia" w:hAnsiTheme="minorEastAsia" w:eastAsiaTheme="minorEastAsia"/>
          <w:b/>
          <w:sz w:val="36"/>
          <w:szCs w:val="36"/>
        </w:rPr>
      </w:pPr>
      <w:r>
        <w:rPr>
          <w:rFonts w:hint="eastAsia" w:asciiTheme="minorEastAsia" w:hAnsiTheme="minorEastAsia" w:eastAsiaTheme="minorEastAsia"/>
          <w:b/>
          <w:sz w:val="36"/>
          <w:szCs w:val="36"/>
        </w:rPr>
        <w:t>第四部分2025年度部门绩效评价情况</w:t>
      </w:r>
    </w:p>
    <w:p>
      <w:pPr>
        <w:tabs>
          <w:tab w:val="center" w:pos="6979"/>
        </w:tabs>
        <w:spacing w:line="580" w:lineRule="exact"/>
        <w:ind w:firstLine="560" w:firstLineChars="200"/>
        <w:jc w:val="center"/>
        <w:rPr>
          <w:rFonts w:hint="eastAsia" w:ascii="华文中宋" w:hAnsi="华文中宋" w:eastAsia="华文中宋"/>
          <w:sz w:val="28"/>
          <w:szCs w:val="28"/>
        </w:rPr>
      </w:pPr>
    </w:p>
    <w:p>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pPr>
        <w:ind w:firstLine="420" w:firstLineChars="150"/>
        <w:rPr>
          <w:rFonts w:hint="eastAsia" w:ascii="仿宋_GB2312" w:eastAsia="仿宋_GB2312"/>
          <w:sz w:val="28"/>
          <w:szCs w:val="28"/>
          <w:highlight w:val="none"/>
          <w:lang w:eastAsia="zh-CN"/>
        </w:rPr>
      </w:pPr>
      <w:bookmarkStart w:id="0" w:name="_Toc268005755"/>
      <w:bookmarkStart w:id="1" w:name="_Toc268005759"/>
      <w:bookmarkStart w:id="2" w:name="_Toc263686375"/>
      <w:r>
        <w:rPr>
          <w:rFonts w:hint="eastAsia" w:ascii="仿宋_GB2312" w:eastAsia="仿宋_GB2312"/>
          <w:sz w:val="28"/>
          <w:szCs w:val="28"/>
          <w:highlight w:val="none"/>
          <w:lang w:eastAsia="zh-CN"/>
        </w:rPr>
        <w:t>部门职责情况：1、贯彻执行国家关于“三农”工作的发展战略、中长期规划、重大政策及有关法律法规、规章。贯彻落实北京市涉农的价格、收储、金融保险等政策。组织制定本区农业农村相关政策，并协调落实。指导农业综合执法工作。</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2、统筹推动发展本区农村社会事业、农村公共服务、农村文化、农村基础设施。牵头组织改善农村人居环境相关工作。参与编制、修订村镇建设规划，协调推进村镇建设。指导传统村落保护发展工作。统筹协调农民增收和低收入农户帮扶工作。组织农业资源区划工作，指导农业区域协调发展。</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3、负责指导本区农村合作经济经营管理工作。贯彻落实深化农村经济体制改革和巩固完善农村基本经营制度的政策。负责农民承包地、农村宅基地改革并指导相关管理工作。负责农村集体产权制度改革，指导农村集体经济组织发展和集体资产管理工作。指导农民合作经济组织、农业社会化服务体系、新型农业经营主体建设与发展。</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4、指导本区多村特色产业、农产品加工业和休闲农业发展工作。会同有关部门，统筹推进农业一二三产业融合发展，推动农村产业结构转型优化升级。负责农业产业化的组织协调工作。组织指导农产品流通工作，研究提出相关政策建议。培育、保护农业品牌。承担主要农产品市场供应信息和价格信息的采集、分析等工作。负责农村经济统计和农业农村信息化有关工作。</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5、组织构建本区现代农业产业体系、生产体系、经营体系。负责推动种植业、畜牧业、渔业、农业机械化等农业各行业发展和监督管理。指导农产品生产。依法负责农业行业安全生产工作。</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6、负责本区食用农产品从种植养殖环节到进入批发、零售市场或者生产加工企业前的质量安全监督管理。组织开展农产品质量安全监测、追溯。指导农业检验检测体系建设。负责本区农业产业、农产品质量安全等方面的标准化工作，组织实施相关地方标准并监督检查。</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7、指导本区基本农田、渔业水域以及农业生物物种资源保护与管理工作，负责水生野生动植物保护、耕地及永久基本农田质量保护工作。指导农产品产地环境管理和农业清洁生产。指导设施农业，生态循环农业、节水农业发展以及农村可再生能源综合开发利用。承担湿地保护相关管理工作。</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8、负责本区有关农业生产资料和农业投入品的监督管理。组织实施农业生产资料、兽药质量、兽药残留限量和残留检测方法等方面的国家标准。组织兽医医政、兽药药政药检工作。负责动物诊疗和畜禽屠宰行业管理。</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9、负责本区农业防灾减灾、农作物重大病虫害防治工作。负责动植物疫病防控的管理工作，承担北京市门头沟区重大动植物疫情应急指挥部的具体工作。监测、发布农业灾情，组织种子、化肥等救灾物资储备和调拨，提出生产救灾资金安排建议，指导紧急救灾和灾后生产恢复。</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10、负责本区农业投资管理。提出农业投融资体制机制改革建议，编制区级投资安排的农业投资项目建设规划，提出农业投资规模和方向、扶持农业农村发展财政项目的建议，按照权限审批农业投资项目，负责农业投资项目资金安排和监督管理。负责农业综合开发项目、农田整治项目、农田水利建设项目管理。组织拟订财政支农资金计划安排，并协调相关政策的落实。协调推进政策性农业保险工作。协调指导农村金融工作。</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11、推动本区农业科技体制改革和农业科技创新体系建设。推进农业产业技术体系、农技推广体系和新型职业农民培育体系建设，组织开展农业领域的高新技术和应用技术研究、科技成果转化和技术推广。负责农业转基因生物安全监督管理和农业植物新品种保护。承担农业农村对外交流与合作相关工作。</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12、研究拟订本区山区发展规划和年度指导性计划。配合有关部门组织山区建设项目的实施。指导山区农民搬迁、生态沟域建设等工作。配合相关部门研究制定本区生态涵养区保护、发展规划和生态补偿机制。</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13、区农村合作经济经营管理站归口区农业农村局管理。</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14、完成区委、区政府交办的其他任务。</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部门机构设置情况：本部门包括独立核算机构4个、独立编制机构4个。分别是农业农村局本级、动物疫病预防控制中心、农业综合服务中心、农业综合执法队。</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202</w:t>
      </w:r>
      <w:r>
        <w:rPr>
          <w:rFonts w:hint="eastAsia" w:ascii="仿宋_GB2312" w:eastAsia="仿宋_GB2312"/>
          <w:sz w:val="28"/>
          <w:szCs w:val="28"/>
          <w:highlight w:val="none"/>
          <w:lang w:val="en-US" w:eastAsia="zh-CN"/>
        </w:rPr>
        <w:t>5</w:t>
      </w:r>
      <w:r>
        <w:rPr>
          <w:rFonts w:hint="eastAsia" w:ascii="仿宋_GB2312" w:eastAsia="仿宋_GB2312"/>
          <w:sz w:val="28"/>
          <w:szCs w:val="28"/>
          <w:highlight w:val="none"/>
          <w:lang w:eastAsia="zh-CN"/>
        </w:rPr>
        <w:t>年主要工作任务</w:t>
      </w:r>
      <w:bookmarkEnd w:id="0"/>
      <w:r>
        <w:rPr>
          <w:rFonts w:hint="eastAsia" w:ascii="仿宋_GB2312" w:eastAsia="仿宋_GB2312"/>
          <w:sz w:val="28"/>
          <w:szCs w:val="28"/>
          <w:highlight w:val="none"/>
          <w:lang w:eastAsia="zh-CN"/>
        </w:rPr>
        <w:t>：充分发挥区委农工委抓组织、强基固本，区委农办抓统筹、集智聚力，区农业农村局抓执行、攻坚克难的职能作用，不断推动乡村全面振兴。</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（一）在区委农工委作用发挥上，坚持用组织建设推动农村基层党建“强基提质”。</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一是落实农村基层党建重点任务。扎实推进“质量党建工程”，牵头召开农村党建工作会，部署全年基层党建工作任务。深化“沟域党委”驱动协同发展，持续推进5条沟域党委试点，相关经验在全市交流，农民日报头版报道我区沟域党委带动山区村庄协同发展做法。</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二是提升党建引领基层治理水平。开展“揭榜出征 帅才兴农”行动，牵头编制工委系统工作方案，形成36个特色榜单体系。开展“听党话、感党恩、跟党走”宣传教育活动及村规民约移风易俗专题活动35次，“灵水八德”入选农业农村部百个《村庄里的家风家训故事》。常态化推进农村集体“三资”、乡村振兴资金使用、农业行政执法等重点领域监管，解决一批突出问题。</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三是建强“三农”宣传阵地。建强“门头沟三农”微信公众号新媒体阵地，推出“山乡蝶变记”诗画乡村建设成果系列专题，前线客户端同步设立“党建创新-门头沟诗画乡村”专栏。打造“乡知乡行”思政微课堂等系列品牌，升级“嗨跑・沟（go）有趣”村跑活动，举办丰收节相关专场展演、摄影短视频大赛，激活乡村发展动力。</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四是抓好乡村人才队伍建设。强化“头雁”领飞，组织村“两委”干部参加市、区“百千工程”示范村等各类培训，赴浙江、云南开展“治理能力提升”培训。推动“鸿雁”带动，储备“头雁”29人，开展新主体培训11期，举办“乡村CEO”训练营、“数字化助农+视频号孵化”专题培训，开展系列直播</w:t>
      </w:r>
      <w:r>
        <w:rPr>
          <w:rFonts w:hint="eastAsia" w:ascii="仿宋_GB2312" w:eastAsia="仿宋_GB2312"/>
          <w:sz w:val="28"/>
          <w:szCs w:val="28"/>
          <w:highlight w:val="none"/>
          <w:lang w:val="en-US" w:eastAsia="zh-CN"/>
        </w:rPr>
        <w:t>10期</w:t>
      </w:r>
      <w:r>
        <w:rPr>
          <w:rFonts w:hint="eastAsia" w:ascii="仿宋_GB2312" w:eastAsia="仿宋_GB2312"/>
          <w:sz w:val="28"/>
          <w:szCs w:val="28"/>
          <w:highlight w:val="none"/>
          <w:lang w:eastAsia="zh-CN"/>
        </w:rPr>
        <w:t>36万余人次观看。培育“雏雁”蓄能，挖掘培养村级后备人才，3人参加学历教育提升。</w:t>
      </w:r>
      <w:r>
        <w:rPr>
          <w:rFonts w:hint="eastAsia" w:ascii="仿宋_GB2312" w:eastAsia="仿宋_GB2312"/>
          <w:sz w:val="28"/>
          <w:szCs w:val="28"/>
          <w:highlight w:val="none"/>
          <w:lang w:val="en-US" w:eastAsia="zh-CN"/>
        </w:rPr>
        <w:t>6期</w:t>
      </w:r>
      <w:r>
        <w:rPr>
          <w:rFonts w:hint="eastAsia" w:ascii="仿宋_GB2312" w:eastAsia="仿宋_GB2312"/>
          <w:sz w:val="28"/>
          <w:szCs w:val="28"/>
          <w:highlight w:val="none"/>
          <w:lang w:eastAsia="zh-CN"/>
        </w:rPr>
        <w:t>“两能一会”青年干部能力提升培训覆盖380余人次。</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（二）在区委农办作用发挥上，注重用统筹、督促、检查凝聚推进乡村振兴的强大合力。</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一是抓体系求实效。紧盯乡村振兴实绩考核、乡村振兴监测两个综合性考评指标，常态化新增24项考核任务、41项监测指标和重难问题，通过调度研判实现提前预警、充分研究、总体可控。建立农林大厦信访接待室，着力将诉求化解于萌芽。</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二是抓顶层强调度。高质量推进“诗画乡村”建设，在建设首批15个“诗画乡村”示范村基础上，重点打造二批22个提名村。雁翅镇“雁翔云谷”示范片区“一廊一核四节点”空间格局初步成型，妙峰山镇水峪嘴示范村“景村一体”诗画场景逐步显现。二批“百千工程”“京西古道”片区相关经验在全市中期总结会上作为片区代表推广。</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三是抓改革提动能。起草产业组织改革两个关键指导文件，分层分类推进“一镇、一片、五沟”强村公司试点，体系化探索集体经济产业组织改革任务落地路径。启动主题招商推介系列活动，推动7镇52个闲置资产资源项目招商对接。探索推进二轮土地延包、传统村落农房风貌引导管控奖补，国家级土地延包试点340户签约，宅基地及建房审批722宗，摸排闲置农宅2065宗（盘活446宗）。</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（三）在区农业农村局作用发挥上，注重用过硬的执行力打通攻坚克难的“最后一公里”。</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一是抓民生保障。全区</w:t>
      </w:r>
      <w:r>
        <w:rPr>
          <w:rFonts w:hint="eastAsia" w:ascii="仿宋_GB2312" w:eastAsia="仿宋_GB2312"/>
          <w:sz w:val="28"/>
          <w:szCs w:val="28"/>
          <w:highlight w:val="none"/>
          <w:lang w:val="en-US" w:eastAsia="zh-CN"/>
        </w:rPr>
        <w:t>18个异地安置村中</w:t>
      </w:r>
      <w:r>
        <w:rPr>
          <w:rFonts w:hint="eastAsia" w:ascii="仿宋_GB2312" w:eastAsia="仿宋_GB2312"/>
          <w:sz w:val="28"/>
          <w:szCs w:val="28"/>
          <w:highlight w:val="none"/>
          <w:lang w:eastAsia="zh-CN"/>
        </w:rPr>
        <w:t>17村完成农房主体建设，16村完成村内基础设施建设。具备条件的2个村庄、3个农村形态社区共6600余户完成清洁取暖改造。建三级223人田长体系，发布总田长令明确9项任务，巡田机制优化进一步提升监管效能。</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二是抓乡村建设。整改农村垃圾、污水等26项问题点位15477处。央视纪录片《村庄里的中国》在爨底下村取景。雁翅镇大村、斋堂镇柏峪村落地物联网监测设备，实现“四情”手机端预警。推进“数字京村”建设，通过集成智能设备推动信息技术落地应用。</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三是抓产业发展。聚焦提质升级，引种特色杂粮品种与功能性花卉等，挖掘细分领域特色农业市场潜力。推动20余个农产品销售主体入驻电商平台，军庄东山京白梨、清水谷临门豆腐入选“北京优农”品牌。聚焦延链补链，持续推动SC认证成果向“共享工厂”转型发力，苇子水香椿加工厂获取HACCP、ISO22000等认证。聚焦融合发展，“梨韵秋光 曲径寻悠”精品线路作为北京市唯一代表参加农业农村部推介活动。以多元“农耕文化”场景丰富乡村经济内容，探索宠物经济融合发展。2025年前三季度，乡村休闲旅游收入、农村居民人均可支配收入增速均居全市第一。上半年全区农村集体经济总收入增速位居生态涵养区首位。</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四是抓安全保障。严控农产品质量安全，14家企业获有机认证，认证产量884.65吨。泗家水红头香椿获评全国特质农品。全年农资打假出动执法人数780人次，立案7起，农产品各类检测、监督抽查近</w:t>
      </w:r>
      <w:r>
        <w:rPr>
          <w:rFonts w:hint="eastAsia" w:ascii="仿宋_GB2312" w:eastAsia="仿宋_GB2312"/>
          <w:sz w:val="28"/>
          <w:szCs w:val="28"/>
          <w:highlight w:val="none"/>
          <w:lang w:val="en-US" w:eastAsia="zh-CN"/>
        </w:rPr>
        <w:t>6000批次。</w:t>
      </w:r>
      <w:r>
        <w:rPr>
          <w:rFonts w:hint="eastAsia" w:ascii="仿宋_GB2312" w:eastAsia="仿宋_GB2312"/>
          <w:sz w:val="28"/>
          <w:szCs w:val="28"/>
          <w:highlight w:val="none"/>
          <w:lang w:eastAsia="zh-CN"/>
        </w:rPr>
        <w:t>动物疫病防控扎实有效，开展11次重大动物疫病强制免疫，畜禽免疫9.35万羽/头份、犬狂犬病免疫</w:t>
      </w:r>
      <w:r>
        <w:rPr>
          <w:rFonts w:hint="eastAsia" w:ascii="仿宋_GB2312" w:eastAsia="仿宋_GB2312"/>
          <w:sz w:val="28"/>
          <w:szCs w:val="28"/>
          <w:highlight w:val="none"/>
          <w:lang w:val="en-US" w:eastAsia="zh-CN"/>
        </w:rPr>
        <w:t>7031</w:t>
      </w:r>
      <w:r>
        <w:rPr>
          <w:rFonts w:hint="eastAsia" w:ascii="仿宋_GB2312" w:eastAsia="仿宋_GB2312"/>
          <w:sz w:val="28"/>
          <w:szCs w:val="28"/>
          <w:highlight w:val="none"/>
          <w:lang w:eastAsia="zh-CN"/>
        </w:rPr>
        <w:t>只，应免率100%。农业综合执法规范有力，开展各类检查超4500次，查办案件14起，创新“扫码检查+白名单”机制，举办技能比武，2人获全区行政执法竞赛“优秀奖”。</w:t>
      </w:r>
    </w:p>
    <w:p>
      <w:pPr>
        <w:ind w:firstLine="420" w:firstLineChars="150"/>
        <w:rPr>
          <w:rFonts w:hint="eastAsia" w:ascii="仿宋_GB2312" w:eastAsia="仿宋_GB2312"/>
          <w:sz w:val="28"/>
          <w:szCs w:val="28"/>
          <w:highlight w:val="none"/>
          <w:lang w:eastAsia="zh-CN"/>
        </w:rPr>
      </w:pPr>
      <w:r>
        <w:rPr>
          <w:rFonts w:hint="eastAsia" w:ascii="仿宋_GB2312" w:eastAsia="仿宋_GB2312"/>
          <w:sz w:val="28"/>
          <w:szCs w:val="28"/>
          <w:highlight w:val="none"/>
          <w:lang w:eastAsia="zh-CN"/>
        </w:rPr>
        <w:t>一年来全区“三农”取得一定进展，但仍存在短板弱项，一是亟待在推动片区组团共发展、多产融合促振兴上寻求突破。二是在提升宜居宜业宜游水平、促进城乡区域发展协调平衡上还需精准施策。三是在以改革激活土地、资金、人才等要素潜能，推动乡村经营上要拿出实招。四是在把文化大区、生态大区优势转化为乡村发展动能上需要拿出具体举措。</w:t>
      </w:r>
    </w:p>
    <w:p>
      <w:pPr>
        <w:spacing w:line="580" w:lineRule="exact"/>
        <w:ind w:firstLine="640"/>
        <w:rPr>
          <w:rFonts w:hint="eastAsia" w:ascii="仿宋_GB2312" w:eastAsia="仿宋_GB2312"/>
          <w:sz w:val="32"/>
          <w:szCs w:val="32"/>
        </w:rPr>
      </w:pPr>
      <w:r>
        <w:rPr>
          <w:rFonts w:hint="eastAsia" w:ascii="仿宋_GB2312" w:eastAsia="仿宋_GB2312"/>
          <w:sz w:val="32"/>
          <w:szCs w:val="32"/>
        </w:rPr>
        <w:t>4.部门</w:t>
      </w:r>
      <w:bookmarkEnd w:id="1"/>
      <w:r>
        <w:rPr>
          <w:rFonts w:hint="eastAsia" w:ascii="仿宋_GB2312" w:eastAsia="仿宋_GB2312"/>
          <w:sz w:val="32"/>
          <w:szCs w:val="32"/>
        </w:rPr>
        <w:t>整体绩效目标设立情况</w:t>
      </w:r>
    </w:p>
    <w:tbl>
      <w:tblPr>
        <w:tblStyle w:val="14"/>
        <w:tblW w:w="14786" w:type="dxa"/>
        <w:tblInd w:w="0" w:type="dxa"/>
        <w:tblLayout w:type="fixed"/>
        <w:tblCellMar>
          <w:top w:w="0" w:type="dxa"/>
          <w:left w:w="108" w:type="dxa"/>
          <w:bottom w:w="0" w:type="dxa"/>
          <w:right w:w="108" w:type="dxa"/>
        </w:tblCellMar>
      </w:tblPr>
      <w:tblGrid>
        <w:gridCol w:w="2011"/>
        <w:gridCol w:w="2783"/>
        <w:gridCol w:w="2523"/>
        <w:gridCol w:w="2020"/>
        <w:gridCol w:w="2529"/>
        <w:gridCol w:w="2920"/>
      </w:tblGrid>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278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2523"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指标性质</w:t>
            </w:r>
          </w:p>
        </w:tc>
        <w:tc>
          <w:tcPr>
            <w:tcW w:w="2020" w:type="dxa"/>
            <w:tcBorders>
              <w:top w:val="single" w:color="auto" w:sz="4" w:space="0"/>
              <w:left w:val="nil"/>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r>
              <w:rPr>
                <w:rFonts w:hint="eastAsia" w:ascii="仿宋_GB2312" w:eastAsia="仿宋_GB2312"/>
                <w:sz w:val="28"/>
                <w:szCs w:val="28"/>
              </w:rPr>
              <w:t>指标值</w:t>
            </w:r>
          </w:p>
        </w:tc>
        <w:tc>
          <w:tcPr>
            <w:tcW w:w="2529"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度量单位</w:t>
            </w:r>
          </w:p>
        </w:tc>
        <w:tc>
          <w:tcPr>
            <w:tcW w:w="2920" w:type="dxa"/>
            <w:tcBorders>
              <w:top w:val="single" w:color="auto" w:sz="4" w:space="0"/>
              <w:left w:val="nil"/>
              <w:bottom w:val="single" w:color="auto" w:sz="4" w:space="0"/>
              <w:right w:val="single" w:color="auto" w:sz="4" w:space="0"/>
            </w:tcBorders>
          </w:tcPr>
          <w:p>
            <w:pPr>
              <w:spacing w:line="520" w:lineRule="exact"/>
              <w:jc w:val="center"/>
              <w:rPr>
                <w:rFonts w:hint="eastAsia" w:ascii="仿宋_GB2312" w:eastAsia="仿宋_GB2312"/>
                <w:sz w:val="28"/>
                <w:szCs w:val="28"/>
              </w:rPr>
            </w:pPr>
            <w:r>
              <w:rPr>
                <w:rFonts w:hint="eastAsia" w:ascii="仿宋_GB2312" w:eastAsia="仿宋_GB2312"/>
                <w:sz w:val="28"/>
                <w:szCs w:val="28"/>
              </w:rPr>
              <w:t>指标权重</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ascii="仿宋_GB2312" w:hAnsi="仿宋" w:eastAsia="仿宋_GB2312" w:cs="Times New Roman"/>
                <w:sz w:val="28"/>
                <w:szCs w:val="28"/>
                <w:highlight w:val="none"/>
              </w:rPr>
              <w:t>1</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覆盖村庄数量</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138</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个</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ascii="仿宋_GB2312" w:hAnsi="仿宋" w:eastAsia="仿宋_GB2312" w:cs="Times New Roman"/>
                <w:sz w:val="28"/>
                <w:szCs w:val="28"/>
                <w:highlight w:val="none"/>
              </w:rPr>
              <w:t>2</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报告质量</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定性</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客观真实</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仿宋_GB2312" w:hAnsi="仿宋" w:eastAsia="仿宋_GB2312" w:cs="Times New Roman"/>
                <w:kern w:val="2"/>
                <w:sz w:val="28"/>
                <w:szCs w:val="28"/>
                <w:highlight w:val="none"/>
                <w:lang w:val="en-US" w:eastAsia="zh-CN" w:bidi="ar-SA"/>
              </w:rPr>
            </w:pP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none"/>
                <w:lang w:val="en-US" w:eastAsia="zh-CN" w:bidi="ar-SA"/>
              </w:rPr>
            </w:pPr>
            <w:r>
              <w:rPr>
                <w:rFonts w:hint="eastAsia" w:ascii="宋体" w:hAnsi="宋体" w:eastAsia="宋体" w:cs="宋体"/>
                <w:i w:val="0"/>
                <w:color w:val="000000"/>
                <w:kern w:val="0"/>
                <w:sz w:val="22"/>
                <w:szCs w:val="22"/>
                <w:u w:val="none"/>
                <w:lang w:val="en-US" w:eastAsia="zh-CN" w:bidi="ar"/>
              </w:rPr>
              <w:t>20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ascii="仿宋_GB2312" w:hAnsi="仿宋" w:eastAsia="仿宋_GB2312" w:cs="Times New Roman"/>
                <w:sz w:val="28"/>
                <w:szCs w:val="28"/>
                <w:highlight w:val="none"/>
              </w:rPr>
              <w:t>3</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降低因鼠害造成的经济损失</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定性</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有效降低</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仿宋_GB2312" w:hAnsi="仿宋" w:eastAsia="仿宋_GB2312" w:cs="Times New Roman"/>
                <w:kern w:val="2"/>
                <w:sz w:val="28"/>
                <w:szCs w:val="28"/>
                <w:highlight w:val="yellow"/>
                <w:lang w:val="en-US" w:eastAsia="zh-CN" w:bidi="ar-SA"/>
              </w:rPr>
            </w:pP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sz w:val="28"/>
                <w:szCs w:val="28"/>
                <w:highlight w:val="none"/>
                <w:lang w:val="en-US" w:eastAsia="zh-CN"/>
              </w:rPr>
              <w:t>4</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保费补贴拨付时间</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2025</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年</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bookmarkStart w:id="3" w:name="_Toc268005761"/>
            <w:r>
              <w:rPr>
                <w:rFonts w:hint="eastAsia" w:ascii="仿宋_GB2312" w:hAnsi="仿宋" w:eastAsia="仿宋_GB2312" w:cs="Times New Roman"/>
                <w:sz w:val="28"/>
                <w:szCs w:val="28"/>
                <w:highlight w:val="none"/>
                <w:lang w:val="en-US" w:eastAsia="zh-CN"/>
              </w:rPr>
              <w:t>5</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有效控制农田白色污染</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定性</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得到控制</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仿宋_GB2312" w:hAnsi="仿宋" w:eastAsia="仿宋_GB2312" w:cs="Times New Roman"/>
                <w:kern w:val="2"/>
                <w:sz w:val="28"/>
                <w:szCs w:val="28"/>
                <w:highlight w:val="yellow"/>
                <w:lang w:val="en-US" w:eastAsia="zh-CN" w:bidi="ar-SA"/>
              </w:rPr>
            </w:pP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sz w:val="28"/>
                <w:szCs w:val="28"/>
                <w:highlight w:val="none"/>
                <w:lang w:val="en-US" w:eastAsia="zh-CN"/>
              </w:rPr>
              <w:t>6</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预算控制数</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225044</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元</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sz w:val="28"/>
                <w:szCs w:val="28"/>
                <w:highlight w:val="none"/>
                <w:lang w:val="en-US" w:eastAsia="zh-CN"/>
              </w:rPr>
              <w:t>7</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提升全区特色农产品品牌影响力和认知度</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定性</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有所提升</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jc w:val="left"/>
              <w:rPr>
                <w:rFonts w:hint="eastAsia" w:ascii="仿宋_GB2312" w:hAnsi="仿宋" w:eastAsia="仿宋_GB2312" w:cs="Times New Roman"/>
                <w:kern w:val="2"/>
                <w:sz w:val="28"/>
                <w:szCs w:val="28"/>
                <w:highlight w:val="yellow"/>
                <w:lang w:val="en-US" w:eastAsia="zh-CN" w:bidi="ar-SA"/>
              </w:rPr>
            </w:pP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shd w:val="clear" w:color="auto" w:fill="auto"/>
            <w:vAlign w:val="bottom"/>
          </w:tcPr>
          <w:p>
            <w:pPr>
              <w:widowControl/>
              <w:jc w:val="center"/>
              <w:rPr>
                <w:rFonts w:hint="eastAsia" w:ascii="仿宋_GB2312" w:hAnsi="仿宋" w:eastAsia="仿宋_GB2312" w:cs="Times New Roman"/>
                <w:kern w:val="2"/>
                <w:sz w:val="28"/>
                <w:szCs w:val="28"/>
                <w:highlight w:val="none"/>
                <w:lang w:val="en-US" w:eastAsia="zh-CN" w:bidi="ar-SA"/>
              </w:rPr>
            </w:pPr>
            <w:r>
              <w:rPr>
                <w:rFonts w:hint="eastAsia" w:ascii="仿宋_GB2312" w:hAnsi="仿宋" w:eastAsia="仿宋_GB2312" w:cs="Times New Roman"/>
                <w:sz w:val="28"/>
                <w:szCs w:val="28"/>
                <w:highlight w:val="none"/>
                <w:lang w:val="en-US" w:eastAsia="zh-CN"/>
              </w:rPr>
              <w:t>8</w:t>
            </w:r>
          </w:p>
        </w:tc>
        <w:tc>
          <w:tcPr>
            <w:tcW w:w="278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职工就餐满意率</w:t>
            </w:r>
          </w:p>
        </w:tc>
        <w:tc>
          <w:tcPr>
            <w:tcW w:w="252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w:t>
            </w:r>
          </w:p>
        </w:tc>
        <w:tc>
          <w:tcPr>
            <w:tcW w:w="20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90</w:t>
            </w:r>
          </w:p>
        </w:tc>
        <w:tc>
          <w:tcPr>
            <w:tcW w:w="252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仿宋_GB2312" w:hAnsi="仿宋" w:eastAsia="仿宋_GB2312" w:cs="Times New Roman"/>
                <w:kern w:val="2"/>
                <w:sz w:val="28"/>
                <w:szCs w:val="28"/>
                <w:highlight w:val="yellow"/>
                <w:lang w:val="en-US" w:eastAsia="zh-CN" w:bidi="ar-SA"/>
              </w:rPr>
            </w:pPr>
            <w:r>
              <w:rPr>
                <w:rFonts w:hint="eastAsia" w:ascii="宋体" w:hAnsi="宋体" w:eastAsia="宋体" w:cs="宋体"/>
                <w:i w:val="0"/>
                <w:color w:val="000000"/>
                <w:kern w:val="0"/>
                <w:sz w:val="22"/>
                <w:szCs w:val="22"/>
                <w:u w:val="none"/>
                <w:lang w:val="en-US" w:eastAsia="zh-CN" w:bidi="ar"/>
              </w:rPr>
              <w:t>10</w:t>
            </w:r>
          </w:p>
        </w:tc>
      </w:tr>
      <w:tr>
        <w:tblPrEx>
          <w:tblLayout w:type="fixed"/>
          <w:tblCellMar>
            <w:top w:w="0" w:type="dxa"/>
            <w:left w:w="108" w:type="dxa"/>
            <w:bottom w:w="0" w:type="dxa"/>
            <w:right w:w="108" w:type="dxa"/>
          </w:tblCellMar>
        </w:tblPrEx>
        <w:trPr>
          <w:trHeight w:val="275" w:hRule="atLeast"/>
        </w:trPr>
        <w:tc>
          <w:tcPr>
            <w:tcW w:w="2011" w:type="dxa"/>
            <w:tcBorders>
              <w:top w:val="single" w:color="auto" w:sz="4" w:space="0"/>
              <w:left w:val="single" w:color="auto" w:sz="4" w:space="0"/>
              <w:bottom w:val="single" w:color="auto" w:sz="4" w:space="0"/>
              <w:right w:val="single" w:color="auto" w:sz="4" w:space="0"/>
            </w:tcBorders>
            <w:vAlign w:val="bottom"/>
          </w:tcPr>
          <w:p>
            <w:pPr>
              <w:spacing w:line="520" w:lineRule="exact"/>
              <w:jc w:val="center"/>
              <w:rPr>
                <w:rFonts w:hint="eastAsia" w:ascii="仿宋_GB2312" w:eastAsia="仿宋_GB2312"/>
                <w:sz w:val="28"/>
                <w:szCs w:val="28"/>
              </w:rPr>
            </w:pPr>
          </w:p>
        </w:tc>
        <w:tc>
          <w:tcPr>
            <w:tcW w:w="2783" w:type="dxa"/>
            <w:tcBorders>
              <w:top w:val="single" w:color="auto" w:sz="4" w:space="0"/>
              <w:left w:val="single" w:color="auto" w:sz="4" w:space="0"/>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p>
        </w:tc>
        <w:tc>
          <w:tcPr>
            <w:tcW w:w="2523" w:type="dxa"/>
            <w:tcBorders>
              <w:top w:val="single" w:color="auto" w:sz="4" w:space="0"/>
              <w:left w:val="single" w:color="auto" w:sz="4" w:space="0"/>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p>
        </w:tc>
        <w:tc>
          <w:tcPr>
            <w:tcW w:w="2020" w:type="dxa"/>
            <w:tcBorders>
              <w:top w:val="single" w:color="auto" w:sz="4" w:space="0"/>
              <w:left w:val="single" w:color="auto" w:sz="4" w:space="0"/>
              <w:bottom w:val="single" w:color="auto" w:sz="4" w:space="0"/>
              <w:right w:val="single" w:color="auto" w:sz="4" w:space="0"/>
            </w:tcBorders>
            <w:vAlign w:val="bottom"/>
          </w:tcPr>
          <w:p>
            <w:pPr>
              <w:spacing w:line="520" w:lineRule="exact"/>
              <w:ind w:firstLine="640"/>
              <w:rPr>
                <w:rFonts w:hint="eastAsia" w:ascii="仿宋_GB2312" w:eastAsia="仿宋_GB2312"/>
                <w:sz w:val="28"/>
                <w:szCs w:val="28"/>
              </w:rPr>
            </w:pPr>
          </w:p>
        </w:tc>
        <w:tc>
          <w:tcPr>
            <w:tcW w:w="2529" w:type="dxa"/>
            <w:tcBorders>
              <w:top w:val="single" w:color="auto" w:sz="4" w:space="0"/>
              <w:left w:val="single" w:color="auto" w:sz="4" w:space="0"/>
              <w:bottom w:val="single" w:color="auto" w:sz="4" w:space="0"/>
              <w:right w:val="single" w:color="auto" w:sz="4" w:space="0"/>
            </w:tcBorders>
          </w:tcPr>
          <w:p>
            <w:pPr>
              <w:spacing w:line="520" w:lineRule="exact"/>
              <w:ind w:firstLine="640"/>
              <w:rPr>
                <w:rFonts w:hint="eastAsia" w:ascii="仿宋_GB2312" w:eastAsia="仿宋_GB2312"/>
                <w:sz w:val="28"/>
                <w:szCs w:val="28"/>
              </w:rPr>
            </w:pPr>
          </w:p>
        </w:tc>
        <w:tc>
          <w:tcPr>
            <w:tcW w:w="2920" w:type="dxa"/>
            <w:tcBorders>
              <w:top w:val="single" w:color="auto" w:sz="4" w:space="0"/>
              <w:left w:val="single" w:color="auto" w:sz="4" w:space="0"/>
              <w:bottom w:val="single" w:color="auto" w:sz="4" w:space="0"/>
              <w:right w:val="single" w:color="auto" w:sz="4" w:space="0"/>
            </w:tcBorders>
          </w:tcPr>
          <w:p>
            <w:pPr>
              <w:spacing w:line="520" w:lineRule="exact"/>
              <w:ind w:firstLine="640"/>
              <w:rPr>
                <w:rFonts w:hint="eastAsia" w:ascii="仿宋_GB2312" w:eastAsia="仿宋_GB2312"/>
                <w:sz w:val="28"/>
                <w:szCs w:val="28"/>
              </w:rPr>
            </w:pPr>
          </w:p>
        </w:tc>
      </w:tr>
    </w:tbl>
    <w:p>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3"/>
      <w:r>
        <w:rPr>
          <w:rFonts w:hint="eastAsia" w:ascii="仿宋_GB2312" w:eastAsia="仿宋_GB2312"/>
          <w:sz w:val="32"/>
          <w:szCs w:val="32"/>
        </w:rPr>
        <w:t xml:space="preserve">  </w:t>
      </w:r>
    </w:p>
    <w:p>
      <w:pPr>
        <w:spacing w:line="580" w:lineRule="exact"/>
        <w:ind w:firstLine="641"/>
        <w:rPr>
          <w:rFonts w:hint="eastAsia" w:ascii="仿宋_GB2312" w:eastAsia="仿宋_GB2312"/>
          <w:sz w:val="32"/>
          <w:szCs w:val="32"/>
          <w:highlight w:val="none"/>
        </w:rPr>
      </w:pPr>
      <w:r>
        <w:rPr>
          <w:rFonts w:hint="eastAsia" w:ascii="仿宋_GB2312" w:eastAsia="仿宋_GB2312"/>
          <w:sz w:val="32"/>
          <w:szCs w:val="32"/>
          <w:highlight w:val="none"/>
        </w:rPr>
        <w:t>2025年全年预算数111,068,047.12元，其中，基本支出预算数65,981,814.42元，项目支出预算数45,086,232.7</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元。全年支出111,295,663.67元，其中，基本支出65,981,814.42元，项目支出45,313,849.25元。预算执行率为</w:t>
      </w:r>
      <w:r>
        <w:rPr>
          <w:rFonts w:hint="eastAsia" w:ascii="仿宋_GB2312" w:eastAsia="仿宋_GB2312"/>
          <w:sz w:val="32"/>
          <w:szCs w:val="32"/>
          <w:highlight w:val="none"/>
          <w:lang w:val="en-US" w:eastAsia="zh-CN"/>
        </w:rPr>
        <w:t>100.2</w:t>
      </w:r>
      <w:r>
        <w:rPr>
          <w:rFonts w:hint="eastAsia" w:ascii="仿宋_GB2312" w:eastAsia="仿宋_GB2312"/>
          <w:sz w:val="32"/>
          <w:szCs w:val="32"/>
          <w:highlight w:val="none"/>
        </w:rPr>
        <w:t xml:space="preserve">%。                                </w:t>
      </w:r>
    </w:p>
    <w:p>
      <w:pPr>
        <w:spacing w:line="580" w:lineRule="exact"/>
        <w:ind w:firstLine="641"/>
        <w:rPr>
          <w:rFonts w:hint="eastAsia" w:ascii="仿宋_GB2312" w:eastAsia="仿宋_GB2312"/>
          <w:sz w:val="32"/>
          <w:szCs w:val="32"/>
          <w:highlight w:val="none"/>
        </w:rPr>
      </w:pPr>
      <w:r>
        <w:rPr>
          <w:rFonts w:hint="eastAsia" w:ascii="仿宋_GB2312" w:eastAsia="仿宋_GB2312"/>
          <w:sz w:val="32"/>
          <w:szCs w:val="32"/>
          <w:highlight w:val="none"/>
        </w:rPr>
        <w:t>2025年年末结转结余资金总额为-456,698.39元，全年支出预算数为110,838,965.28元，资金结转结余率为</w:t>
      </w:r>
      <w:r>
        <w:rPr>
          <w:rFonts w:hint="eastAsia" w:ascii="仿宋_GB2312" w:eastAsia="仿宋_GB2312"/>
          <w:sz w:val="32"/>
          <w:szCs w:val="32"/>
          <w:highlight w:val="none"/>
          <w:lang w:val="en-US" w:eastAsia="zh-CN"/>
        </w:rPr>
        <w:t>-0.4</w:t>
      </w:r>
      <w:r>
        <w:rPr>
          <w:rFonts w:hint="eastAsia" w:ascii="仿宋_GB2312" w:eastAsia="仿宋_GB2312"/>
          <w:sz w:val="32"/>
          <w:szCs w:val="32"/>
          <w:highlight w:val="none"/>
        </w:rPr>
        <w:t>%；2024年年末结转结余资金总额为-229,081.84元，全年支出预算数为230,990,860.18元，资金结转结余率为</w:t>
      </w:r>
      <w:r>
        <w:rPr>
          <w:rFonts w:hint="eastAsia" w:ascii="仿宋_GB2312" w:eastAsia="仿宋_GB2312"/>
          <w:sz w:val="32"/>
          <w:szCs w:val="32"/>
          <w:highlight w:val="none"/>
          <w:lang w:val="en-US" w:eastAsia="zh-CN"/>
        </w:rPr>
        <w:t>-0.1</w:t>
      </w:r>
      <w:r>
        <w:rPr>
          <w:rFonts w:hint="eastAsia" w:ascii="仿宋_GB2312" w:eastAsia="仿宋_GB2312"/>
          <w:sz w:val="32"/>
          <w:szCs w:val="32"/>
          <w:highlight w:val="none"/>
        </w:rPr>
        <w:t>%；2025年度部门结转结余率较上一年下降了</w:t>
      </w:r>
      <w:r>
        <w:rPr>
          <w:rFonts w:hint="eastAsia" w:ascii="仿宋_GB2312" w:eastAsia="仿宋_GB2312"/>
          <w:sz w:val="32"/>
          <w:szCs w:val="32"/>
          <w:highlight w:val="none"/>
          <w:lang w:val="en-US" w:eastAsia="zh-CN"/>
        </w:rPr>
        <w:t>0.3</w:t>
      </w:r>
      <w:r>
        <w:rPr>
          <w:rFonts w:hint="eastAsia" w:ascii="仿宋_GB2312" w:eastAsia="仿宋_GB2312"/>
          <w:sz w:val="32"/>
          <w:szCs w:val="32"/>
          <w:highlight w:val="none"/>
        </w:rPr>
        <w:t>%。</w:t>
      </w:r>
    </w:p>
    <w:p>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4"/>
        <w:tblW w:w="9200" w:type="dxa"/>
        <w:tblInd w:w="108" w:type="dxa"/>
        <w:tblLayout w:type="fixed"/>
        <w:tblCellMar>
          <w:top w:w="0" w:type="dxa"/>
          <w:left w:w="108" w:type="dxa"/>
          <w:bottom w:w="0" w:type="dxa"/>
          <w:right w:w="108" w:type="dxa"/>
        </w:tblCellMar>
      </w:tblPr>
      <w:tblGrid>
        <w:gridCol w:w="880"/>
        <w:gridCol w:w="1984"/>
        <w:gridCol w:w="1701"/>
        <w:gridCol w:w="1843"/>
        <w:gridCol w:w="2792"/>
      </w:tblGrid>
      <w:tr>
        <w:tblPrEx>
          <w:tblLayout w:type="fixed"/>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序号</w:t>
            </w:r>
          </w:p>
        </w:tc>
        <w:tc>
          <w:tcPr>
            <w:tcW w:w="1984"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三级指标</w:t>
            </w:r>
          </w:p>
        </w:tc>
        <w:tc>
          <w:tcPr>
            <w:tcW w:w="1701"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计划值</w:t>
            </w:r>
          </w:p>
        </w:tc>
        <w:tc>
          <w:tcPr>
            <w:tcW w:w="1843"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完成值</w:t>
            </w:r>
          </w:p>
        </w:tc>
        <w:tc>
          <w:tcPr>
            <w:tcW w:w="2792" w:type="dxa"/>
            <w:tcBorders>
              <w:top w:val="single" w:color="auto" w:sz="4" w:space="0"/>
              <w:left w:val="nil"/>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偏差原因</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shd w:val="clear" w:color="auto" w:fill="auto"/>
            <w:vAlign w:val="center"/>
          </w:tcPr>
          <w:p>
            <w:pPr>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eastAsia="仿宋_GB2312"/>
                <w:sz w:val="28"/>
                <w:szCs w:val="28"/>
              </w:rPr>
              <w:t>1</w:t>
            </w:r>
          </w:p>
        </w:tc>
        <w:tc>
          <w:tcPr>
            <w:tcW w:w="1984" w:type="dxa"/>
            <w:tcBorders>
              <w:top w:val="nil"/>
              <w:left w:val="nil"/>
              <w:bottom w:val="single" w:color="auto" w:sz="4" w:space="0"/>
              <w:right w:val="single" w:color="auto" w:sz="4" w:space="0"/>
            </w:tcBorders>
            <w:shd w:val="clear" w:color="auto" w:fill="auto"/>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宋体" w:eastAsia="仿宋_GB2312" w:cs="宋体"/>
                <w:color w:val="000000"/>
                <w:kern w:val="0"/>
                <w:sz w:val="28"/>
                <w:szCs w:val="28"/>
                <w:highlight w:val="none"/>
              </w:rPr>
              <w:t>覆盖村庄数量　</w:t>
            </w:r>
          </w:p>
        </w:tc>
        <w:tc>
          <w:tcPr>
            <w:tcW w:w="1701" w:type="dxa"/>
            <w:tcBorders>
              <w:top w:val="nil"/>
              <w:left w:val="nil"/>
              <w:bottom w:val="single" w:color="auto" w:sz="4" w:space="0"/>
              <w:right w:val="single" w:color="auto" w:sz="4" w:space="0"/>
            </w:tcBorders>
            <w:shd w:val="clear" w:color="auto" w:fill="auto"/>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宋体" w:eastAsia="仿宋_GB2312" w:cs="宋体"/>
                <w:color w:val="000000"/>
                <w:kern w:val="0"/>
                <w:sz w:val="28"/>
                <w:szCs w:val="28"/>
                <w:highlight w:val="none"/>
              </w:rPr>
              <w:t>　138</w:t>
            </w:r>
            <w:r>
              <w:rPr>
                <w:rFonts w:hint="eastAsia" w:ascii="仿宋_GB2312" w:hAnsi="宋体" w:eastAsia="仿宋_GB2312" w:cs="宋体"/>
                <w:color w:val="000000"/>
                <w:kern w:val="0"/>
                <w:sz w:val="28"/>
                <w:szCs w:val="28"/>
                <w:highlight w:val="none"/>
                <w:lang w:eastAsia="zh-CN"/>
              </w:rPr>
              <w:t>个</w:t>
            </w:r>
          </w:p>
        </w:tc>
        <w:tc>
          <w:tcPr>
            <w:tcW w:w="1843" w:type="dxa"/>
            <w:tcBorders>
              <w:top w:val="nil"/>
              <w:left w:val="nil"/>
              <w:bottom w:val="single" w:color="auto" w:sz="4" w:space="0"/>
              <w:right w:val="single" w:color="auto" w:sz="4" w:space="0"/>
            </w:tcBorders>
            <w:shd w:val="clear" w:color="auto" w:fill="auto"/>
            <w:vAlign w:val="center"/>
          </w:tcPr>
          <w:p>
            <w:pPr>
              <w:widowControl/>
              <w:spacing w:line="520" w:lineRule="exact"/>
              <w:jc w:val="center"/>
              <w:rPr>
                <w:rFonts w:hint="eastAsia" w:ascii="仿宋_GB2312" w:hAnsi="Times New Roman" w:eastAsia="仿宋_GB2312" w:cs="Times New Roman"/>
                <w:kern w:val="2"/>
                <w:sz w:val="28"/>
                <w:szCs w:val="28"/>
                <w:lang w:val="en-US" w:eastAsia="zh-CN" w:bidi="ar-SA"/>
              </w:rPr>
            </w:pPr>
            <w:r>
              <w:rPr>
                <w:rFonts w:hint="eastAsia" w:ascii="仿宋_GB2312" w:hAnsi="宋体" w:eastAsia="仿宋_GB2312" w:cs="宋体"/>
                <w:color w:val="000000"/>
                <w:kern w:val="0"/>
                <w:sz w:val="28"/>
                <w:szCs w:val="28"/>
                <w:highlight w:val="none"/>
              </w:rPr>
              <w:t>138</w:t>
            </w:r>
            <w:r>
              <w:rPr>
                <w:rFonts w:hint="eastAsia" w:ascii="仿宋_GB2312" w:hAnsi="宋体" w:eastAsia="仿宋_GB2312" w:cs="宋体"/>
                <w:color w:val="000000"/>
                <w:kern w:val="0"/>
                <w:sz w:val="28"/>
                <w:szCs w:val="28"/>
                <w:highlight w:val="none"/>
                <w:lang w:eastAsia="zh-CN"/>
              </w:rPr>
              <w:t>个</w:t>
            </w:r>
            <w:r>
              <w:rPr>
                <w:rFonts w:hint="eastAsia" w:ascii="仿宋_GB2312" w:hAnsi="宋体" w:eastAsia="仿宋_GB2312" w:cs="宋体"/>
                <w:color w:val="000000"/>
                <w:kern w:val="0"/>
                <w:sz w:val="28"/>
                <w:szCs w:val="28"/>
                <w:highlight w:val="none"/>
              </w:rPr>
              <w:t>　</w:t>
            </w:r>
          </w:p>
        </w:tc>
        <w:tc>
          <w:tcPr>
            <w:tcW w:w="2792" w:type="dxa"/>
            <w:tcBorders>
              <w:top w:val="nil"/>
              <w:left w:val="nil"/>
              <w:bottom w:val="single" w:color="auto" w:sz="4" w:space="0"/>
              <w:right w:val="single" w:color="auto" w:sz="4" w:space="0"/>
            </w:tcBorders>
            <w:shd w:val="clear" w:color="auto" w:fill="auto"/>
            <w:vAlign w:val="center"/>
          </w:tcPr>
          <w:p>
            <w:pPr>
              <w:spacing w:line="520" w:lineRule="exact"/>
              <w:ind w:firstLine="640" w:firstLineChars="0"/>
              <w:rPr>
                <w:rFonts w:hint="eastAsia" w:ascii="仿宋_GB2312" w:hAnsi="Times New Roman" w:eastAsia="仿宋_GB2312" w:cs="Times New Roman"/>
                <w:kern w:val="2"/>
                <w:sz w:val="28"/>
                <w:szCs w:val="28"/>
                <w:lang w:val="en-US" w:eastAsia="zh-CN" w:bidi="ar-SA"/>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2</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3</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r>
        <w:tblPrEx>
          <w:tblLayout w:type="fixed"/>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pPr>
              <w:spacing w:line="520" w:lineRule="exact"/>
              <w:jc w:val="center"/>
              <w:rPr>
                <w:rFonts w:hint="eastAsia" w:ascii="仿宋_GB2312" w:eastAsia="仿宋_GB2312"/>
                <w:sz w:val="28"/>
                <w:szCs w:val="28"/>
              </w:rPr>
            </w:pPr>
            <w:r>
              <w:rPr>
                <w:rFonts w:hint="eastAsia" w:ascii="仿宋_GB2312" w:eastAsia="仿宋_GB2312"/>
                <w:sz w:val="28"/>
                <w:szCs w:val="28"/>
              </w:rPr>
              <w:t>……</w:t>
            </w:r>
          </w:p>
        </w:tc>
        <w:tc>
          <w:tcPr>
            <w:tcW w:w="1984"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701"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1843"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c>
          <w:tcPr>
            <w:tcW w:w="2792" w:type="dxa"/>
            <w:tcBorders>
              <w:top w:val="nil"/>
              <w:left w:val="nil"/>
              <w:bottom w:val="single" w:color="auto" w:sz="4" w:space="0"/>
              <w:right w:val="single" w:color="auto" w:sz="4" w:space="0"/>
            </w:tcBorders>
            <w:vAlign w:val="center"/>
          </w:tcPr>
          <w:p>
            <w:pPr>
              <w:spacing w:line="520" w:lineRule="exact"/>
              <w:ind w:firstLine="640"/>
              <w:rPr>
                <w:rFonts w:hint="eastAsia" w:ascii="仿宋_GB2312" w:eastAsia="仿宋_GB2312"/>
                <w:sz w:val="28"/>
                <w:szCs w:val="28"/>
              </w:rPr>
            </w:pPr>
            <w:r>
              <w:rPr>
                <w:rFonts w:hint="eastAsia" w:ascii="仿宋_GB2312" w:eastAsia="仿宋_GB2312"/>
                <w:sz w:val="28"/>
                <w:szCs w:val="28"/>
              </w:rPr>
              <w:t>　</w:t>
            </w:r>
          </w:p>
        </w:tc>
      </w:tr>
    </w:tbl>
    <w:p>
      <w:pPr>
        <w:spacing w:line="580" w:lineRule="exact"/>
        <w:ind w:firstLine="640"/>
        <w:rPr>
          <w:rFonts w:hint="eastAsia" w:ascii="仿宋_GB2312" w:eastAsia="仿宋_GB2312"/>
          <w:sz w:val="32"/>
          <w:szCs w:val="32"/>
        </w:rPr>
      </w:pPr>
      <w:r>
        <w:rPr>
          <w:rFonts w:hint="eastAsia" w:ascii="仿宋_GB2312" w:eastAsia="仿宋_GB2312"/>
          <w:sz w:val="32"/>
          <w:szCs w:val="32"/>
        </w:rPr>
        <w:t>（2）产出质量</w:t>
      </w:r>
      <w:r>
        <w:rPr>
          <w:rFonts w:hint="eastAsia" w:ascii="仿宋_GB2312" w:eastAsia="仿宋_GB2312"/>
          <w:sz w:val="32"/>
          <w:szCs w:val="32"/>
          <w:lang w:eastAsia="zh-CN"/>
        </w:rPr>
        <w:t>：报告质量客观真实</w:t>
      </w:r>
    </w:p>
    <w:p>
      <w:pPr>
        <w:spacing w:line="580" w:lineRule="exact"/>
        <w:ind w:firstLine="640"/>
        <w:rPr>
          <w:rFonts w:hint="eastAsia" w:ascii="仿宋_GB2312" w:eastAsia="仿宋_GB2312"/>
          <w:sz w:val="32"/>
          <w:szCs w:val="32"/>
        </w:rPr>
      </w:pPr>
      <w:r>
        <w:rPr>
          <w:rFonts w:hint="eastAsia" w:ascii="仿宋_GB2312" w:eastAsia="仿宋_GB2312"/>
          <w:sz w:val="32"/>
          <w:szCs w:val="32"/>
        </w:rPr>
        <w:t>（3）产出进度</w:t>
      </w:r>
      <w:r>
        <w:rPr>
          <w:rFonts w:hint="eastAsia" w:ascii="仿宋_GB2312" w:eastAsia="仿宋_GB2312"/>
          <w:sz w:val="32"/>
          <w:szCs w:val="32"/>
          <w:lang w:eastAsia="zh-CN"/>
        </w:rPr>
        <w:t>：</w:t>
      </w:r>
      <w:r>
        <w:rPr>
          <w:rFonts w:hint="eastAsia" w:ascii="仿宋_GB2312" w:eastAsia="仿宋_GB2312"/>
          <w:sz w:val="32"/>
          <w:szCs w:val="32"/>
        </w:rPr>
        <w:t>保费补贴拨付时间</w:t>
      </w:r>
      <w:r>
        <w:rPr>
          <w:rFonts w:hint="eastAsia" w:ascii="仿宋_GB2312" w:eastAsia="仿宋_GB2312"/>
          <w:sz w:val="32"/>
          <w:szCs w:val="32"/>
          <w:lang w:val="en-US" w:eastAsia="zh-CN"/>
        </w:rPr>
        <w:t>2025年</w:t>
      </w:r>
    </w:p>
    <w:p>
      <w:pPr>
        <w:spacing w:line="580" w:lineRule="exact"/>
        <w:ind w:firstLine="640"/>
        <w:rPr>
          <w:rFonts w:hint="eastAsia" w:ascii="仿宋_GB2312" w:eastAsia="仿宋_GB2312"/>
          <w:sz w:val="32"/>
          <w:szCs w:val="32"/>
        </w:rPr>
      </w:pPr>
      <w:r>
        <w:rPr>
          <w:rFonts w:hint="eastAsia" w:ascii="仿宋_GB2312" w:eastAsia="仿宋_GB2312"/>
          <w:sz w:val="32"/>
          <w:szCs w:val="32"/>
        </w:rPr>
        <w:t>（4）产出成本</w:t>
      </w:r>
      <w:r>
        <w:rPr>
          <w:rFonts w:hint="eastAsia" w:ascii="仿宋_GB2312" w:eastAsia="仿宋_GB2312"/>
          <w:sz w:val="32"/>
          <w:szCs w:val="32"/>
          <w:lang w:eastAsia="zh-CN"/>
        </w:rPr>
        <w:t>：动物免疫保障预算控制数小于225044元</w:t>
      </w:r>
    </w:p>
    <w:p>
      <w:pPr>
        <w:spacing w:line="580" w:lineRule="exact"/>
        <w:ind w:firstLine="640"/>
        <w:rPr>
          <w:rFonts w:hint="eastAsia" w:ascii="仿宋_GB2312" w:eastAsia="仿宋_GB2312"/>
          <w:sz w:val="32"/>
          <w:szCs w:val="32"/>
        </w:rPr>
      </w:pPr>
      <w:r>
        <w:rPr>
          <w:rFonts w:hint="eastAsia" w:ascii="仿宋_GB2312" w:eastAsia="仿宋_GB2312"/>
          <w:sz w:val="32"/>
          <w:szCs w:val="32"/>
        </w:rPr>
        <w:t>2.效果实现情况分析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（1）经济效益</w:t>
      </w:r>
      <w:r>
        <w:rPr>
          <w:rFonts w:hint="eastAsia" w:ascii="仿宋_GB2312" w:eastAsia="仿宋_GB2312"/>
          <w:sz w:val="32"/>
          <w:szCs w:val="32"/>
          <w:lang w:eastAsia="zh-CN"/>
        </w:rPr>
        <w:t>：有效降低因鼠害造成的经济损失</w:t>
      </w:r>
    </w:p>
    <w:p>
      <w:pPr>
        <w:spacing w:line="580" w:lineRule="exact"/>
        <w:ind w:firstLine="640"/>
        <w:rPr>
          <w:rFonts w:hint="eastAsia" w:ascii="仿宋_GB2312" w:eastAsia="仿宋_GB2312"/>
          <w:sz w:val="32"/>
          <w:szCs w:val="32"/>
        </w:rPr>
      </w:pPr>
      <w:r>
        <w:rPr>
          <w:rFonts w:hint="eastAsia" w:ascii="仿宋_GB2312" w:eastAsia="仿宋_GB2312"/>
          <w:sz w:val="32"/>
          <w:szCs w:val="32"/>
        </w:rPr>
        <w:t>（2）社会效益</w:t>
      </w:r>
      <w:r>
        <w:rPr>
          <w:rFonts w:hint="eastAsia" w:ascii="仿宋_GB2312" w:eastAsia="仿宋_GB2312"/>
          <w:sz w:val="32"/>
          <w:szCs w:val="32"/>
          <w:lang w:eastAsia="zh-CN"/>
        </w:rPr>
        <w:t>：提升全区特色农产品品牌影响力和认知度</w:t>
      </w:r>
    </w:p>
    <w:p>
      <w:pPr>
        <w:spacing w:line="580" w:lineRule="exact"/>
        <w:ind w:firstLine="640"/>
        <w:rPr>
          <w:rFonts w:hint="eastAsia" w:ascii="仿宋_GB2312" w:eastAsia="仿宋_GB2312"/>
          <w:sz w:val="32"/>
          <w:szCs w:val="32"/>
        </w:rPr>
      </w:pPr>
      <w:r>
        <w:rPr>
          <w:rFonts w:hint="eastAsia" w:ascii="仿宋_GB2312" w:eastAsia="仿宋_GB2312"/>
          <w:sz w:val="32"/>
          <w:szCs w:val="32"/>
        </w:rPr>
        <w:t>（3）环境效益</w:t>
      </w:r>
      <w:r>
        <w:rPr>
          <w:rFonts w:hint="eastAsia" w:ascii="仿宋_GB2312" w:eastAsia="仿宋_GB2312"/>
          <w:sz w:val="32"/>
          <w:szCs w:val="32"/>
          <w:lang w:eastAsia="zh-CN"/>
        </w:rPr>
        <w:t>：有效控制农田白色污染</w:t>
      </w:r>
    </w:p>
    <w:p>
      <w:pPr>
        <w:spacing w:line="580" w:lineRule="exact"/>
        <w:ind w:firstLine="640"/>
        <w:rPr>
          <w:rFonts w:hint="eastAsia" w:ascii="仿宋_GB2312" w:eastAsia="仿宋_GB2312"/>
          <w:sz w:val="32"/>
          <w:szCs w:val="32"/>
        </w:rPr>
      </w:pPr>
      <w:r>
        <w:rPr>
          <w:rFonts w:hint="eastAsia" w:ascii="仿宋_GB2312" w:eastAsia="仿宋_GB2312"/>
          <w:sz w:val="32"/>
          <w:szCs w:val="32"/>
        </w:rPr>
        <w:t>（4）可持续影响</w:t>
      </w:r>
      <w:r>
        <w:rPr>
          <w:rFonts w:hint="eastAsia" w:ascii="仿宋_GB2312" w:eastAsia="仿宋_GB2312"/>
          <w:sz w:val="32"/>
          <w:szCs w:val="32"/>
          <w:lang w:eastAsia="zh-CN"/>
        </w:rPr>
        <w:t>：不涉及</w:t>
      </w:r>
    </w:p>
    <w:p>
      <w:pPr>
        <w:spacing w:line="580" w:lineRule="exact"/>
        <w:ind w:firstLine="640"/>
        <w:rPr>
          <w:rFonts w:hint="eastAsia" w:ascii="仿宋_GB2312" w:eastAsia="仿宋_GB2312"/>
          <w:sz w:val="32"/>
          <w:szCs w:val="32"/>
        </w:rPr>
      </w:pPr>
      <w:r>
        <w:rPr>
          <w:rFonts w:hint="eastAsia" w:ascii="仿宋_GB2312" w:eastAsia="仿宋_GB2312"/>
          <w:sz w:val="32"/>
          <w:szCs w:val="32"/>
        </w:rPr>
        <w:t>（5）服务对象满意度</w:t>
      </w:r>
      <w:r>
        <w:rPr>
          <w:rFonts w:hint="eastAsia" w:ascii="仿宋_GB2312" w:eastAsia="仿宋_GB2312"/>
          <w:sz w:val="32"/>
          <w:szCs w:val="32"/>
          <w:lang w:eastAsia="zh-CN"/>
        </w:rPr>
        <w:t>：职工就餐满意率大于</w:t>
      </w:r>
      <w:r>
        <w:rPr>
          <w:rFonts w:hint="eastAsia" w:ascii="仿宋_GB2312" w:eastAsia="仿宋_GB2312"/>
          <w:sz w:val="32"/>
          <w:szCs w:val="32"/>
          <w:lang w:val="en-US" w:eastAsia="zh-CN"/>
        </w:rPr>
        <w:t>90%</w:t>
      </w:r>
    </w:p>
    <w:p>
      <w:pPr>
        <w:spacing w:line="580" w:lineRule="exact"/>
        <w:ind w:firstLine="640"/>
        <w:rPr>
          <w:rFonts w:hint="eastAsia" w:ascii="仿宋_GB2312" w:eastAsia="仿宋_GB2312"/>
          <w:sz w:val="32"/>
          <w:szCs w:val="32"/>
          <w:lang w:val="en-US" w:eastAsia="zh-CN"/>
        </w:rPr>
      </w:pPr>
      <w:r>
        <w:rPr>
          <w:rFonts w:hint="eastAsia" w:ascii="楷体_GB2312" w:eastAsia="楷体_GB2312"/>
          <w:b/>
          <w:sz w:val="32"/>
          <w:szCs w:val="32"/>
        </w:rPr>
        <w:t>（四）预算管理情况分析</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1.财务管理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会计机构设置：根据北京市农业农村局财务管理工作需要，配备相应的会计人员；会计人员必须具备相应的专业知识和业务能力；财务室必须具有独立办公场所，不得与其他部门混合办公。 </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会计核算：严格审核原始凭证，按照经审核批准后的原始凭证付款，及时传递会计信息、处理会计业务，整理装订会计凭证。 </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财务报告：根据登记完整、核对无误的会计账簿记录和其他有关资料编制定期编制财务报表，通过对预算执行情况、财务活动各项收支执行情况进行归纳、分析、总结，形成财务报告，定期报送财政主管领导和其他相关领导和部门。 </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会计账簿：按照国家统一会计制度的规定和会计业务的需要设置总账、明细账、日记账和其他辅助性账簿，现金日记账和银行存款日记账必须逐日结出余额，总账、明细账应当按照规定定期结账。 </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会计档案：按照归档要求，负责整理立卷，装订成册，编制会计档案保管清册。会计档案的保管应当符合国家档案管理的有关规定,且出纳人员不得兼管会计档案。 </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会计交接：会计人员工作调动或者因故离职，必须将本人所经管的会计工作全部移交给接替人员；会计人员办理交接手续，必须有监交人负责监交；移交人员在办理移交时，要按移交清册逐项移交，接替人员要逐项核对点收；交接完毕后，交接双方和监交人员要在移交清册上签名或者盖章。</w:t>
      </w:r>
    </w:p>
    <w:p>
      <w:pPr>
        <w:numPr>
          <w:ilvl w:val="0"/>
          <w:numId w:val="1"/>
        </w:numPr>
        <w:spacing w:line="580" w:lineRule="exact"/>
        <w:ind w:left="0" w:leftChars="0" w:firstLine="600" w:firstLineChars="0"/>
        <w:rPr>
          <w:rFonts w:hint="eastAsia" w:ascii="仿宋_GB2312" w:eastAsia="仿宋_GB2312"/>
          <w:sz w:val="32"/>
          <w:szCs w:val="32"/>
          <w:lang w:val="en-US" w:eastAsia="zh-CN"/>
        </w:rPr>
      </w:pPr>
      <w:r>
        <w:rPr>
          <w:rFonts w:hint="eastAsia" w:ascii="仿宋_GB2312" w:eastAsia="仿宋_GB2312"/>
          <w:sz w:val="32"/>
          <w:szCs w:val="32"/>
          <w:lang w:val="en-US" w:eastAsia="zh-CN"/>
        </w:rPr>
        <w:t>资产管理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lang w:val="en-US" w:eastAsia="zh-CN"/>
        </w:rPr>
        <w:t>明确固定资产实物的归口管理部门，设置固定资产管理员，负责机关各科室及所属行政事业单位固定资产实物管理工作。建立健全固定资产实物总账系统（固定资产动态系统），对固定资产进行分类，实行“一物一卡一码”编号，并在物品明显位置上贴码；定期与财务账以及各科室实物明细账核对。 审核、编制、汇总固定资产的年度购置计划和经费预算；负责购置固定资产的验收入库与实物库管理工作。 组织各科室固定资产领用、内部转移、交回的审核、审批，根据审批办理领用、内部转移、交回手续，并登记固定资产总账。 组织固定资产清查登记、统计报告等工作。 提出固定资产的处置申请及方案；组织实施单位固定资产具体的实物处置。</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3.绩效管理</w:t>
      </w:r>
    </w:p>
    <w:p>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rPr>
        <w:t>（1）预算绩效管理制度情况</w:t>
      </w:r>
      <w:r>
        <w:rPr>
          <w:rFonts w:hint="eastAsia" w:ascii="仿宋_GB2312" w:eastAsia="仿宋_GB2312"/>
          <w:sz w:val="32"/>
          <w:szCs w:val="32"/>
          <w:lang w:eastAsia="zh-CN"/>
        </w:rPr>
        <w:t>：</w:t>
      </w:r>
      <w:r>
        <w:rPr>
          <w:rFonts w:hint="eastAsia" w:ascii="仿宋_GB2312" w:eastAsia="仿宋_GB2312"/>
          <w:sz w:val="32"/>
          <w:szCs w:val="32"/>
          <w:lang w:val="en-US" w:eastAsia="zh-CN"/>
        </w:rPr>
        <w:t>我部门严格按照区财政局对绩效工作的各项要求，结合单位的工作实际，及时跟踪部门整体绩效目标的实现情况，落实推进各重点工作，积极总结工作成果，收集整理绩效信息，报送绩效工作进展，改进和完善工作方法，强化项目绩效目标，对单位申报的预算项目进行全面梳理、加强审核、合理保障。在申请项目时提报详细绩效信息，包括立项依据、项目内容和目标、实施周期、投入总额、已投入金额、本年度预算目标和金额等，作为项目审核的依据。财政部门批复下达预算时，通过规范格式同步下达绩效目标，明确部门单位是预算执行主体，负责实现项目绩效目标。</w:t>
      </w:r>
    </w:p>
    <w:p>
      <w:pPr>
        <w:spacing w:line="580" w:lineRule="exact"/>
        <w:ind w:firstLine="640"/>
        <w:rPr>
          <w:rFonts w:hint="eastAsia" w:ascii="仿宋_GB2312" w:eastAsia="仿宋_GB2312"/>
          <w:sz w:val="32"/>
          <w:szCs w:val="32"/>
        </w:rPr>
      </w:pPr>
      <w:r>
        <w:rPr>
          <w:rFonts w:hint="eastAsia" w:ascii="仿宋_GB2312" w:eastAsia="仿宋_GB2312"/>
          <w:sz w:val="32"/>
          <w:szCs w:val="32"/>
        </w:rPr>
        <w:t>（2）绩效目标管理情况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2025年部门预算项目</w:t>
      </w:r>
      <w:r>
        <w:rPr>
          <w:rFonts w:hint="eastAsia" w:ascii="仿宋_GB2312" w:eastAsia="仿宋_GB2312"/>
          <w:sz w:val="32"/>
          <w:szCs w:val="32"/>
          <w:lang w:val="en-US" w:eastAsia="zh-CN"/>
        </w:rPr>
        <w:t>51</w:t>
      </w:r>
      <w:r>
        <w:rPr>
          <w:rFonts w:hint="eastAsia" w:ascii="仿宋_GB2312" w:eastAsia="仿宋_GB2312"/>
          <w:sz w:val="32"/>
          <w:szCs w:val="32"/>
        </w:rPr>
        <w:t>个，部门预算公开绩效目标的预算项目</w:t>
      </w:r>
      <w:r>
        <w:rPr>
          <w:rFonts w:hint="eastAsia" w:ascii="仿宋_GB2312" w:eastAsia="仿宋_GB2312"/>
          <w:sz w:val="32"/>
          <w:szCs w:val="32"/>
          <w:lang w:val="en-US" w:eastAsia="zh-CN"/>
        </w:rPr>
        <w:t>51</w:t>
      </w:r>
      <w:r>
        <w:rPr>
          <w:rFonts w:hint="eastAsia" w:ascii="仿宋_GB2312" w:eastAsia="仿宋_GB2312"/>
          <w:sz w:val="32"/>
          <w:szCs w:val="32"/>
        </w:rPr>
        <w:t>个，占本部门全部预算项目的</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580" w:lineRule="exact"/>
        <w:ind w:firstLine="640"/>
        <w:rPr>
          <w:rFonts w:hint="eastAsia" w:ascii="仿宋_GB2312" w:eastAsia="仿宋_GB2312"/>
          <w:sz w:val="32"/>
          <w:szCs w:val="32"/>
        </w:rPr>
      </w:pPr>
      <w:r>
        <w:rPr>
          <w:rFonts w:hint="eastAsia" w:ascii="仿宋_GB2312" w:eastAsia="仿宋_GB2312"/>
          <w:sz w:val="32"/>
          <w:szCs w:val="32"/>
        </w:rPr>
        <w:t>（3）绩效自评情况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2025年对本部门及所属单位2024年项目支出实施了绩效自评，评价项目</w:t>
      </w:r>
      <w:r>
        <w:rPr>
          <w:rFonts w:hint="eastAsia" w:ascii="仿宋_GB2312" w:eastAsia="仿宋_GB2312"/>
          <w:sz w:val="32"/>
          <w:szCs w:val="32"/>
          <w:lang w:val="en-US" w:eastAsia="zh-CN"/>
        </w:rPr>
        <w:t>67</w:t>
      </w:r>
      <w:r>
        <w:rPr>
          <w:rFonts w:hint="eastAsia" w:ascii="仿宋_GB2312" w:eastAsia="仿宋_GB2312"/>
          <w:sz w:val="32"/>
          <w:szCs w:val="32"/>
        </w:rPr>
        <w:t>个，涉及金额237</w:t>
      </w:r>
      <w:r>
        <w:rPr>
          <w:rFonts w:hint="eastAsia" w:ascii="仿宋_GB2312" w:eastAsia="仿宋_GB2312"/>
          <w:sz w:val="32"/>
          <w:szCs w:val="32"/>
          <w:highlight w:val="none"/>
        </w:rPr>
        <w:t>,</w:t>
      </w:r>
      <w:r>
        <w:rPr>
          <w:rFonts w:hint="eastAsia" w:ascii="仿宋_GB2312" w:eastAsia="仿宋_GB2312"/>
          <w:sz w:val="32"/>
          <w:szCs w:val="32"/>
        </w:rPr>
        <w:t>876</w:t>
      </w:r>
      <w:r>
        <w:rPr>
          <w:rFonts w:hint="eastAsia" w:ascii="仿宋_GB2312" w:eastAsia="仿宋_GB2312"/>
          <w:sz w:val="32"/>
          <w:szCs w:val="32"/>
          <w:highlight w:val="none"/>
        </w:rPr>
        <w:t>,</w:t>
      </w:r>
      <w:r>
        <w:rPr>
          <w:rFonts w:hint="eastAsia" w:ascii="仿宋_GB2312" w:eastAsia="仿宋_GB2312"/>
          <w:sz w:val="32"/>
          <w:szCs w:val="32"/>
        </w:rPr>
        <w:t>856</w:t>
      </w:r>
      <w:r>
        <w:rPr>
          <w:rFonts w:hint="eastAsia" w:ascii="仿宋_GB2312" w:eastAsia="仿宋_GB2312"/>
          <w:sz w:val="32"/>
          <w:szCs w:val="32"/>
          <w:lang w:val="en-US" w:eastAsia="zh-CN"/>
        </w:rPr>
        <w:t>.</w:t>
      </w:r>
      <w:r>
        <w:rPr>
          <w:rFonts w:hint="eastAsia" w:ascii="仿宋_GB2312" w:eastAsia="仿宋_GB2312"/>
          <w:sz w:val="32"/>
          <w:szCs w:val="32"/>
        </w:rPr>
        <w:t>44元。</w:t>
      </w:r>
    </w:p>
    <w:p>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92.12</w:t>
      </w:r>
      <w:r>
        <w:rPr>
          <w:rFonts w:hint="eastAsia" w:ascii="仿宋_GB2312" w:eastAsia="仿宋_GB2312"/>
          <w:sz w:val="32"/>
          <w:szCs w:val="32"/>
        </w:rPr>
        <w:t>分</w:t>
      </w:r>
    </w:p>
    <w:p>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val="en-US" w:eastAsia="zh-CN"/>
        </w:rPr>
        <w:t>优秀</w:t>
      </w:r>
    </w:p>
    <w:p>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pPr>
        <w:spacing w:line="580" w:lineRule="exact"/>
        <w:ind w:firstLine="640"/>
        <w:rPr>
          <w:rFonts w:hint="eastAsia" w:ascii="仿宋_GB2312" w:eastAsia="仿宋_GB2312"/>
          <w:sz w:val="32"/>
          <w:szCs w:val="32"/>
        </w:rPr>
      </w:pPr>
      <w:r>
        <w:rPr>
          <w:rFonts w:hint="eastAsia" w:ascii="仿宋_GB2312" w:eastAsia="仿宋_GB2312"/>
          <w:sz w:val="32"/>
          <w:szCs w:val="32"/>
        </w:rPr>
        <w:t>（1）预算资金执行率较低</w:t>
      </w:r>
    </w:p>
    <w:p>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2"/>
    <w:p>
      <w:pPr>
        <w:ind w:firstLine="556"/>
        <w:rPr>
          <w:rFonts w:hint="eastAsia" w:ascii="仿宋_GB2312" w:eastAsia="仿宋_GB2312"/>
          <w:sz w:val="32"/>
          <w:szCs w:val="32"/>
        </w:rPr>
      </w:pPr>
      <w:r>
        <w:rPr>
          <w:rFonts w:hint="eastAsia" w:ascii="仿宋_GB2312" w:eastAsia="仿宋_GB2312"/>
          <w:sz w:val="32"/>
          <w:szCs w:val="32"/>
        </w:rPr>
        <w:t>（1）</w:t>
      </w:r>
      <w:r>
        <w:rPr>
          <w:rFonts w:hint="eastAsia" w:ascii="仿宋_GB2312" w:eastAsia="仿宋_GB2312"/>
          <w:sz w:val="32"/>
          <w:szCs w:val="32"/>
          <w:lang w:val="en-US" w:eastAsia="zh-CN"/>
        </w:rPr>
        <w:t>在部门预算资金安排、使用过程中，我局严格按照内部控制中相关管理制度执行，并定期进行资金执行情况分析。在资金支出过程中，许多项目由于需进行评审、事前绩效考评等工作，并为保证项目的合理性、科学性及可行性，进行了多次研究调整，因此资金补助计划也进行多次调整，影响了资金拨付速度。在今后的工作中我局将严格预算资金的申报审核，提前规划支出方案，明确支出渠道，提高资金支出效率。</w:t>
      </w:r>
    </w:p>
    <w:p>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pPr>
        <w:spacing w:line="580" w:lineRule="exact"/>
        <w:ind w:firstLine="809" w:firstLineChars="253"/>
        <w:rPr>
          <w:rFonts w:hint="eastAsia" w:ascii="仿宋_GB2312" w:hAnsi="Calibri" w:eastAsia="仿宋_GB2312"/>
          <w:sz w:val="32"/>
          <w:szCs w:val="32"/>
          <w:highlight w:val="none"/>
        </w:rPr>
      </w:pPr>
      <w:r>
        <w:rPr>
          <w:rFonts w:hint="eastAsia" w:ascii="仿宋_GB2312" w:eastAsia="仿宋_GB2312"/>
          <w:sz w:val="32"/>
          <w:szCs w:val="32"/>
          <w:highlight w:val="none"/>
        </w:rPr>
        <w:t>2025年度区财政批复项目支出预算项目</w:t>
      </w:r>
      <w:r>
        <w:rPr>
          <w:rFonts w:hint="eastAsia" w:ascii="仿宋_GB2312" w:eastAsia="仿宋_GB2312"/>
          <w:sz w:val="32"/>
          <w:szCs w:val="32"/>
          <w:highlight w:val="none"/>
          <w:lang w:val="en-US" w:eastAsia="zh-CN"/>
        </w:rPr>
        <w:t>80</w:t>
      </w:r>
      <w:r>
        <w:rPr>
          <w:rFonts w:hint="eastAsia" w:ascii="仿宋_GB2312" w:eastAsia="仿宋_GB2312"/>
          <w:sz w:val="32"/>
          <w:szCs w:val="32"/>
          <w:highlight w:val="none"/>
        </w:rPr>
        <w:t>个，涉及金额</w:t>
      </w:r>
      <w:r>
        <w:rPr>
          <w:rFonts w:hint="eastAsia" w:ascii="仿宋_GB2312" w:hAnsi="宋体" w:eastAsia="仿宋_GB2312"/>
          <w:sz w:val="32"/>
          <w:szCs w:val="32"/>
          <w:highlight w:val="none"/>
          <w:lang w:val="en-US" w:eastAsia="zh-CN"/>
        </w:rPr>
        <w:t>91</w:t>
      </w:r>
      <w:r>
        <w:rPr>
          <w:rFonts w:hint="eastAsia" w:ascii="仿宋_GB2312" w:eastAsia="仿宋_GB2312"/>
          <w:sz w:val="32"/>
          <w:szCs w:val="32"/>
          <w:highlight w:val="none"/>
        </w:rPr>
        <w:t>,</w:t>
      </w:r>
      <w:r>
        <w:rPr>
          <w:rFonts w:hint="eastAsia" w:ascii="仿宋_GB2312" w:hAnsi="宋体" w:eastAsia="仿宋_GB2312"/>
          <w:sz w:val="32"/>
          <w:szCs w:val="32"/>
          <w:highlight w:val="none"/>
          <w:lang w:val="en-US" w:eastAsia="zh-CN"/>
        </w:rPr>
        <w:t>284</w:t>
      </w:r>
      <w:r>
        <w:rPr>
          <w:rFonts w:hint="eastAsia" w:ascii="仿宋_GB2312" w:eastAsia="仿宋_GB2312"/>
          <w:sz w:val="32"/>
          <w:szCs w:val="32"/>
          <w:highlight w:val="none"/>
        </w:rPr>
        <w:t>,</w:t>
      </w:r>
      <w:r>
        <w:rPr>
          <w:rFonts w:hint="eastAsia" w:ascii="仿宋_GB2312" w:hAnsi="宋体" w:eastAsia="仿宋_GB2312"/>
          <w:sz w:val="32"/>
          <w:szCs w:val="32"/>
          <w:highlight w:val="none"/>
          <w:lang w:val="en-US" w:eastAsia="zh-CN"/>
        </w:rPr>
        <w:t>900.00</w:t>
      </w:r>
      <w:r>
        <w:rPr>
          <w:rFonts w:hint="eastAsia" w:ascii="仿宋_GB2312" w:eastAsia="仿宋_GB2312"/>
          <w:sz w:val="32"/>
          <w:szCs w:val="32"/>
          <w:highlight w:val="none"/>
        </w:rPr>
        <w:t>元。本次实施绩效自评项目</w:t>
      </w:r>
      <w:r>
        <w:rPr>
          <w:rFonts w:hint="eastAsia" w:ascii="仿宋_GB2312" w:eastAsia="仿宋_GB2312"/>
          <w:sz w:val="32"/>
          <w:szCs w:val="32"/>
          <w:highlight w:val="none"/>
          <w:lang w:val="en-US" w:eastAsia="zh-CN"/>
        </w:rPr>
        <w:t>77</w:t>
      </w:r>
      <w:r>
        <w:rPr>
          <w:rFonts w:hint="eastAsia" w:ascii="仿宋_GB2312" w:eastAsia="仿宋_GB2312"/>
          <w:sz w:val="32"/>
          <w:szCs w:val="32"/>
          <w:highlight w:val="none"/>
        </w:rPr>
        <w:t>个，涉及金额</w:t>
      </w:r>
      <w:r>
        <w:rPr>
          <w:rFonts w:hint="eastAsia" w:ascii="仿宋_GB2312" w:eastAsia="仿宋_GB2312"/>
          <w:sz w:val="28"/>
          <w:szCs w:val="28"/>
          <w:highlight w:val="none"/>
          <w:lang w:val="en-US" w:eastAsia="zh-CN"/>
        </w:rPr>
        <w:t>88</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100</w:t>
      </w:r>
      <w:r>
        <w:rPr>
          <w:rFonts w:hint="eastAsia" w:ascii="仿宋_GB2312" w:eastAsia="仿宋_GB2312"/>
          <w:sz w:val="32"/>
          <w:szCs w:val="32"/>
          <w:highlight w:val="none"/>
        </w:rPr>
        <w:t>,</w:t>
      </w:r>
      <w:r>
        <w:rPr>
          <w:rFonts w:hint="eastAsia" w:ascii="仿宋_GB2312" w:eastAsia="仿宋_GB2312"/>
          <w:sz w:val="28"/>
          <w:szCs w:val="28"/>
          <w:highlight w:val="none"/>
          <w:lang w:val="en-US" w:eastAsia="zh-CN"/>
        </w:rPr>
        <w:t>300.00</w:t>
      </w:r>
      <w:r>
        <w:rPr>
          <w:rFonts w:hint="eastAsia" w:ascii="仿宋_GB2312" w:eastAsia="仿宋_GB2312"/>
          <w:sz w:val="32"/>
          <w:szCs w:val="32"/>
          <w:highlight w:val="none"/>
        </w:rPr>
        <w:t>元。评价得分在90分（含90分）以上的</w:t>
      </w:r>
      <w:r>
        <w:rPr>
          <w:rFonts w:hint="eastAsia" w:ascii="仿宋_GB2312" w:eastAsia="仿宋_GB2312"/>
          <w:sz w:val="32"/>
          <w:szCs w:val="32"/>
          <w:highlight w:val="none"/>
          <w:lang w:val="en-US" w:eastAsia="zh-CN"/>
        </w:rPr>
        <w:t>76</w:t>
      </w:r>
      <w:r>
        <w:rPr>
          <w:rFonts w:hint="eastAsia" w:ascii="仿宋_GB2312" w:eastAsia="仿宋_GB2312"/>
          <w:sz w:val="32"/>
          <w:szCs w:val="32"/>
          <w:highlight w:val="none"/>
        </w:rPr>
        <w:t>个，评价得分在80-90分（含80分）的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个，评价得分在60-80分（含60分）的</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个，评价得分在60分以下的</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个。</w:t>
      </w:r>
    </w:p>
    <w:p>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bookmarkStart w:id="4" w:name="_GoBack"/>
      <w:bookmarkEnd w:id="4"/>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500885">
    <w:altName w:val="宋体"/>
    <w:panose1 w:val="02010609060101010101"/>
    <w:charset w:val="86"/>
    <w:family w:val="auto"/>
    <w:pitch w:val="default"/>
    <w:sig w:usb0="00000000" w:usb1="00000000" w:usb2="00000000" w:usb3="00000000" w:csb0="00040001" w:csb1="00000000"/>
  </w:font>
  <w:font w:name="KSOFE44F9426">
    <w:altName w:val="宋体"/>
    <w:panose1 w:val="02010609060101010101"/>
    <w:charset w:val="86"/>
    <w:family w:val="auto"/>
    <w:pitch w:val="default"/>
    <w:sig w:usb0="00000000" w:usb1="00000000" w:usb2="00000000" w:usb3="00000000" w:csb0="00040001" w:csb1="00000000"/>
  </w:font>
  <w:font w:name="KSOFF9CC6125">
    <w:altName w:val="宋体"/>
    <w:panose1 w:val="02010609060101010101"/>
    <w:charset w:val="86"/>
    <w:family w:val="auto"/>
    <w:pitch w:val="default"/>
    <w:sig w:usb0="00000000"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MS PGothic">
    <w:panose1 w:val="020B0600070205080204"/>
    <w:charset w:val="80"/>
    <w:family w:val="auto"/>
    <w:pitch w:val="default"/>
    <w:sig w:usb0="E00002FF" w:usb1="6AC7FDFB" w:usb2="00000012" w:usb3="00000000" w:csb0="4002009F" w:csb1="DFD70000"/>
  </w:font>
  <w:font w:name="Droid Sans">
    <w:altName w:val="微软雅黑"/>
    <w:panose1 w:val="00000000000000000000"/>
    <w:charset w:val="00"/>
    <w:family w:val="auto"/>
    <w:pitch w:val="default"/>
    <w:sig w:usb0="00000000" w:usb1="00000000" w:usb2="00000000" w:usb3="00000000" w:csb0="00040001" w:csb1="00000000"/>
  </w:font>
  <w:font w:name="Calibri Light">
    <w:altName w:val="Calibri"/>
    <w:panose1 w:val="020F0302020204030204"/>
    <w:charset w:val="00"/>
    <w:family w:val="swiss"/>
    <w:pitch w:val="default"/>
    <w:sig w:usb0="00000000" w:usb1="00000000" w:usb2="00000000" w:usb3="00000000" w:csb0="0000019F"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2000000000000000000"/>
    <w:charset w:val="86"/>
    <w:family w:val="auto"/>
    <w:pitch w:val="default"/>
    <w:sig w:usb0="00000000" w:usb1="00000000" w:usb2="00000012"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等线">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swiss"/>
    <w:pitch w:val="default"/>
    <w:sig w:usb0="E0002AFF" w:usb1="C0007843" w:usb2="00000009" w:usb3="00000000" w:csb0="400001FF" w:csb1="FFFF0000"/>
  </w:font>
  <w:font w:name="CESI黑体-GB2312">
    <w:altName w:val="黑体"/>
    <w:panose1 w:val="00000000000000000000"/>
    <w:charset w:val="86"/>
    <w:family w:val="auto"/>
    <w:pitch w:val="default"/>
    <w:sig w:usb0="00000000" w:usb1="00000000" w:usb2="00000012" w:usb3="00000000" w:csb0="0004000F" w:csb1="00000000"/>
  </w:font>
  <w:font w:name="小标宋体">
    <w:altName w:val="宋体"/>
    <w:panose1 w:val="00000000000000000000"/>
    <w:charset w:val="86"/>
    <w:family w:val="roman"/>
    <w:pitch w:val="default"/>
    <w:sig w:usb0="00000000" w:usb1="00000000" w:usb2="00000000" w:usb3="00000000" w:csb0="00000000" w:csb1="00000000"/>
  </w:font>
  <w:font w:name="方正仿宋_GBK">
    <w:altName w:val="宋体"/>
    <w:panose1 w:val="00000000000000000000"/>
    <w:charset w:val="86"/>
    <w:family w:val="script"/>
    <w:pitch w:val="default"/>
    <w:sig w:usb0="00000000" w:usb1="00000000" w:usb2="00000010" w:usb3="00000000" w:csb0="003C0041" w:csb1="00000000"/>
  </w:font>
  <w:font w:name="长城小标宋体">
    <w:altName w:val="宋体"/>
    <w:panose1 w:val="0201060901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4F68B2"/>
    <w:multiLevelType w:val="singleLevel"/>
    <w:tmpl w:val="6A4F68B2"/>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59B6B3F"/>
    <w:rsid w:val="167A2FF9"/>
    <w:rsid w:val="17E05399"/>
    <w:rsid w:val="18581C69"/>
    <w:rsid w:val="186D28E5"/>
    <w:rsid w:val="1AEC0734"/>
    <w:rsid w:val="1C203C3A"/>
    <w:rsid w:val="1DEF20B0"/>
    <w:rsid w:val="214243FA"/>
    <w:rsid w:val="21AD613C"/>
    <w:rsid w:val="22467189"/>
    <w:rsid w:val="257A14F5"/>
    <w:rsid w:val="27196C26"/>
    <w:rsid w:val="29EF086F"/>
    <w:rsid w:val="2A014A0F"/>
    <w:rsid w:val="2EFFE297"/>
    <w:rsid w:val="301437CA"/>
    <w:rsid w:val="32791381"/>
    <w:rsid w:val="349D1F0A"/>
    <w:rsid w:val="34DD0473"/>
    <w:rsid w:val="3C181CA7"/>
    <w:rsid w:val="3C684897"/>
    <w:rsid w:val="41C6204F"/>
    <w:rsid w:val="433E495C"/>
    <w:rsid w:val="489F2FD7"/>
    <w:rsid w:val="4AC27CB3"/>
    <w:rsid w:val="4BF72BEF"/>
    <w:rsid w:val="4FA90297"/>
    <w:rsid w:val="4FC41A43"/>
    <w:rsid w:val="51DB3C59"/>
    <w:rsid w:val="550C0952"/>
    <w:rsid w:val="55762E42"/>
    <w:rsid w:val="57A7B272"/>
    <w:rsid w:val="58470068"/>
    <w:rsid w:val="58747CAC"/>
    <w:rsid w:val="5A1720F9"/>
    <w:rsid w:val="5B9C37C2"/>
    <w:rsid w:val="5BA7C654"/>
    <w:rsid w:val="60A54109"/>
    <w:rsid w:val="61D01CDF"/>
    <w:rsid w:val="64C0607C"/>
    <w:rsid w:val="65756C86"/>
    <w:rsid w:val="674D385B"/>
    <w:rsid w:val="676F09E1"/>
    <w:rsid w:val="6ADE581A"/>
    <w:rsid w:val="71793A80"/>
    <w:rsid w:val="7357290B"/>
    <w:rsid w:val="798524E4"/>
    <w:rsid w:val="79C24E9A"/>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b/>
      <w:bCs/>
      <w:sz w:val="32"/>
      <w:szCs w:val="32"/>
    </w:rPr>
  </w:style>
  <w:style w:type="paragraph" w:styleId="4">
    <w:name w:val="Normal Indent"/>
    <w:basedOn w:val="1"/>
    <w:qFormat/>
    <w:uiPriority w:val="0"/>
    <w:pPr>
      <w:ind w:firstLine="200" w:firstLineChars="200"/>
    </w:pPr>
  </w:style>
  <w:style w:type="paragraph" w:styleId="5">
    <w:name w:val="Body Text Indent"/>
    <w:basedOn w:val="1"/>
    <w:qFormat/>
    <w:uiPriority w:val="0"/>
    <w:pPr>
      <w:ind w:firstLine="645"/>
    </w:pPr>
    <w:rPr>
      <w:rFonts w:ascii="仿宋_GB2312" w:hAnsi="Calibri" w:eastAsia="仿宋_GB2312"/>
      <w:sz w:val="32"/>
      <w:szCs w:val="32"/>
    </w:rPr>
  </w:style>
  <w:style w:type="paragraph" w:styleId="6">
    <w:name w:val="Date"/>
    <w:basedOn w:val="1"/>
    <w:next w:val="1"/>
    <w:qFormat/>
    <w:uiPriority w:val="0"/>
    <w:pPr>
      <w:ind w:left="100" w:leftChars="2500"/>
    </w:pPr>
  </w:style>
  <w:style w:type="paragraph" w:styleId="7">
    <w:name w:val="Balloon Text"/>
    <w:basedOn w:val="1"/>
    <w:semiHidden/>
    <w:qFormat/>
    <w:uiPriority w:val="0"/>
    <w:rPr>
      <w:sz w:val="18"/>
      <w:szCs w:val="18"/>
    </w:rPr>
  </w:style>
  <w:style w:type="paragraph" w:styleId="8">
    <w:name w:val="footer"/>
    <w:basedOn w:val="1"/>
    <w:link w:val="15"/>
    <w:qFormat/>
    <w:uiPriority w:val="0"/>
    <w:pPr>
      <w:tabs>
        <w:tab w:val="center" w:pos="4153"/>
        <w:tab w:val="right" w:pos="8306"/>
      </w:tabs>
      <w:snapToGrid w:val="0"/>
      <w:jc w:val="left"/>
    </w:pPr>
    <w:rPr>
      <w:sz w:val="18"/>
      <w:szCs w:val="18"/>
    </w:rPr>
  </w:style>
  <w:style w:type="paragraph" w:styleId="9">
    <w:name w:val="header"/>
    <w:basedOn w:val="1"/>
    <w:link w:val="16"/>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0">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5">
    <w:name w:val="页脚 Char"/>
    <w:link w:val="8"/>
    <w:qFormat/>
    <w:uiPriority w:val="0"/>
    <w:rPr>
      <w:rFonts w:eastAsia="宋体"/>
      <w:kern w:val="2"/>
      <w:sz w:val="18"/>
      <w:szCs w:val="18"/>
      <w:lang w:val="en-US" w:eastAsia="zh-CN" w:bidi="ar-SA"/>
    </w:rPr>
  </w:style>
  <w:style w:type="character" w:customStyle="1" w:styleId="16">
    <w:name w:val="页眉 Char"/>
    <w:link w:val="9"/>
    <w:qFormat/>
    <w:uiPriority w:val="0"/>
    <w:rPr>
      <w:rFonts w:ascii="Calibri" w:hAnsi="Calibri" w:eastAsia="宋体"/>
      <w:kern w:val="2"/>
      <w:sz w:val="18"/>
      <w:szCs w:val="18"/>
      <w:lang w:val="en-US" w:eastAsia="zh-CN" w:bidi="ar-SA"/>
    </w:rPr>
  </w:style>
  <w:style w:type="paragraph" w:customStyle="1" w:styleId="17">
    <w:name w:val="Char Char Char Char Char Char Char"/>
    <w:basedOn w:val="1"/>
    <w:qFormat/>
    <w:uiPriority w:val="0"/>
    <w:rPr>
      <w:rFonts w:ascii="Tahoma" w:hAnsi="Tahoma"/>
      <w:sz w:val="24"/>
      <w:szCs w:val="20"/>
    </w:rPr>
  </w:style>
  <w:style w:type="paragraph" w:customStyle="1" w:styleId="18">
    <w:name w:val="Char1 Char Char Char"/>
    <w:basedOn w:val="1"/>
    <w:qFormat/>
    <w:uiPriority w:val="0"/>
    <w:pPr>
      <w:widowControl/>
      <w:spacing w:after="160" w:line="240" w:lineRule="exact"/>
      <w:jc w:val="left"/>
    </w:pPr>
    <w:rPr>
      <w:szCs w:val="20"/>
    </w:rPr>
  </w:style>
  <w:style w:type="paragraph" w:customStyle="1" w:styleId="19">
    <w:name w:val="Char"/>
    <w:basedOn w:val="1"/>
    <w:qFormat/>
    <w:uiPriority w:val="0"/>
    <w:rPr>
      <w:rFonts w:ascii="Tahoma" w:hAnsi="Tahoma"/>
      <w:sz w:val="24"/>
      <w:szCs w:val="20"/>
    </w:rPr>
  </w:style>
  <w:style w:type="paragraph" w:customStyle="1" w:styleId="20">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022180273714"/>
          <c:y val="0.108431960730843"/>
          <c:w val="0.446713858738399"/>
          <c:h val="0.774409599127352"/>
        </c:manualLayout>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dLbl>
              <c:idx val="1"/>
              <c:delete val="1"/>
            </c:dLbl>
            <c:dLbl>
              <c:idx val="2"/>
              <c:delete val="1"/>
            </c:dLbl>
            <c:dLbl>
              <c:idx val="3"/>
              <c:delete val="1"/>
            </c:dLbl>
            <c:dLbl>
              <c:idx val="4"/>
              <c:delete val="1"/>
            </c:dLbl>
            <c:dLbl>
              <c:idx val="5"/>
              <c:layout>
                <c:manualLayout>
                  <c:x val="0.0268349329074867"/>
                  <c:y val="0.0032360525587764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10980.21</c:v>
                </c:pt>
                <c:pt idx="1">
                  <c:v>0</c:v>
                </c:pt>
                <c:pt idx="2">
                  <c:v>0</c:v>
                </c:pt>
                <c:pt idx="3">
                  <c:v>0</c:v>
                </c:pt>
                <c:pt idx="4">
                  <c:v>0</c:v>
                </c:pt>
                <c:pt idx="5">
                  <c:v>126.6</c:v>
                </c:pt>
              </c:numCache>
            </c:numRef>
          </c:val>
        </c:ser>
        <c:dLbls>
          <c:showLegendKey val="0"/>
          <c:showVal val="1"/>
          <c:showCatName val="0"/>
          <c:showSerName val="0"/>
          <c:showPercent val="0"/>
          <c:showBubbleSize val="0"/>
          <c:showLeaderLines val="1"/>
        </c:dLbls>
        <c:firstSliceAng val="0"/>
      </c:pieChart>
    </c:plotArea>
    <c:legend>
      <c:legendPos val="r"/>
      <c:legendEntry>
        <c:idx val="1"/>
        <c:delete val="1"/>
      </c:legendEntry>
      <c:legendEntry>
        <c:idx val="2"/>
        <c:delete val="1"/>
      </c:legendEntry>
      <c:legendEntry>
        <c:idx val="3"/>
        <c:delete val="1"/>
      </c:legendEntry>
      <c:legendEntry>
        <c:idx val="4"/>
        <c:delete val="1"/>
      </c:legendEntry>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delete val="1"/>
            </c:dLbl>
            <c:dLbl>
              <c:idx val="3"/>
              <c:delete val="1"/>
            </c:dLbl>
            <c:dLbl>
              <c:idx val="4"/>
              <c:delete val="1"/>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6598.18</c:v>
                </c:pt>
                <c:pt idx="1">
                  <c:v>4531.38</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delete val="1"/>
      </c:legendEntry>
      <c:legendEntry>
        <c:idx val="3"/>
        <c:delete val="1"/>
      </c:legendEntry>
      <c:legendEntry>
        <c:idx val="4"/>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5138</Words>
  <Characters>6104</Characters>
  <Lines>47</Lines>
  <Paragraphs>13</Paragraphs>
  <ScaleCrop>false</ScaleCrop>
  <LinksUpToDate>false</LinksUpToDate>
  <CharactersWithSpaces>6125</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NYNCJ-ZYJ</cp:lastModifiedBy>
  <cp:lastPrinted>2026-08-20T09:55:37Z</cp:lastPrinted>
  <dcterms:modified xsi:type="dcterms:W3CDTF">2026-08-20T10:04:04Z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y fmtid="{D5CDD505-2E9C-101B-9397-08002B2CF9AE}" pid="3" name="ICV">
    <vt:lpwstr>435078ACFECC4A5A8A519EF4C3681114_13</vt:lpwstr>
  </property>
  <property fmtid="{D5CDD505-2E9C-101B-9397-08002B2CF9AE}" pid="4" name="KSOTemplateDocerSaveRecord">
    <vt:lpwstr>eyJoZGlkIjoiZmMwMWYyNzE0ODVhZWMxMmVlZTE2OWNjZjRjMzM5MjQiLCJ1c2VySWQiOiI0NjIzOTUyNTYifQ==</vt:lpwstr>
  </property>
</Properties>
</file>