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w:t>
      </w:r>
      <w:r>
        <w:rPr>
          <w:rFonts w:hint="eastAsia" w:ascii="仿宋_GB2312" w:eastAsia="仿宋_GB2312"/>
          <w:sz w:val="28"/>
          <w:szCs w:val="28"/>
          <w:lang w:eastAsia="zh-CN"/>
        </w:rPr>
        <w:t>部门</w:t>
      </w:r>
      <w:r>
        <w:rPr>
          <w:rFonts w:hint="eastAsia" w:ascii="仿宋_GB2312" w:eastAsia="仿宋_GB2312"/>
          <w:sz w:val="28"/>
          <w:szCs w:val="28"/>
        </w:rPr>
        <w:t>职责情况</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1、负责集中行使法律、法规、规章规定的应由本区区级农业农村主管部门行使的动物卫生、兽医兽药、种子、化肥、渔政、农药、农机、农产品质量安全等领域行政执法职责。</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2、完成区委、区政府和区委农工委、区农业农村局交办的其他任务。</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w:t>
      </w:r>
      <w:bookmarkStart w:id="4" w:name="_GoBack"/>
      <w:bookmarkEnd w:id="4"/>
      <w:r>
        <w:rPr>
          <w:rFonts w:hint="eastAsia" w:ascii="仿宋_GB2312" w:eastAsia="仿宋_GB2312"/>
          <w:sz w:val="28"/>
          <w:szCs w:val="28"/>
        </w:rPr>
        <w:t>况</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北京市门头沟区农业综合执法大队设下列内设机构、派出机构:</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综合科（执法监督科）。负责大队政务工作。负责文电、会务、信息、议案、建议、提案和信访、档案、保密工作。负责大队装备财务、资产管理、罚没物资管理和后勤保障工作。负责大队组织人事、党群、党风廉政建设等工作。承担农业综合执法重大问题调查研究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负责本区农业综合执法的协调调度。负责统筹协调农业专项整治和联合执法工作。负责大队行政执法监督工作。负责执法文书的规范和执法统计工作。负责执法案卷的评查工作。负责组织开展执法业务培训。负责行政处罚案件的审核工作。协助机关承办涉及大队的有关行政复议、行政赔偿案件和行政诉讼的应诉代理工作，组织行政处罚听证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2、执法一分队。承担龙泉镇、大峪街道、城子街道、东辛房街道的农业行政执法工作。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3、执法二分队。承担潭柘寺镇、永定镇的农业行政执法工作。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4、执法三分队。承担军庄镇、妙峰山镇、王平镇、大台街道的农业行政执法工作。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5、执法四分队。承担雁翅镇、斋堂镇、清水镇的农业行政执法工作。</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6、北京市芹峪口公路动物防疫监督检查站。为区农业执法大队的派出机构，负责经北京市芹峪口公路动物防疫监督检查站进京的动物及动物产品检疫、查证、验物、消毒和监督执法，承担动物及动物产品的检疫申报工作。</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14</w:t>
      </w:r>
      <w:r>
        <w:rPr>
          <w:rFonts w:hint="eastAsia" w:ascii="仿宋_GB2312" w:eastAsia="仿宋_GB2312"/>
          <w:sz w:val="28"/>
          <w:szCs w:val="28"/>
          <w:lang w:val="en-US" w:eastAsia="zh-CN"/>
        </w:rPr>
        <w:t>,</w:t>
      </w:r>
      <w:r>
        <w:rPr>
          <w:rFonts w:ascii="仿宋_GB2312" w:eastAsia="仿宋_GB2312"/>
          <w:sz w:val="28"/>
          <w:szCs w:val="28"/>
        </w:rPr>
        <w:t>118</w:t>
      </w:r>
      <w:r>
        <w:rPr>
          <w:rFonts w:hint="eastAsia" w:ascii="仿宋_GB2312" w:eastAsia="仿宋_GB2312"/>
          <w:sz w:val="28"/>
          <w:szCs w:val="28"/>
          <w:lang w:val="en-US" w:eastAsia="zh-CN"/>
        </w:rPr>
        <w:t>,</w:t>
      </w:r>
      <w:r>
        <w:rPr>
          <w:rFonts w:ascii="仿宋_GB2312" w:eastAsia="仿宋_GB2312"/>
          <w:sz w:val="28"/>
          <w:szCs w:val="28"/>
        </w:rPr>
        <w:t>830.29</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892,553.82</w:t>
      </w:r>
      <w:r>
        <w:rPr>
          <w:rFonts w:hint="eastAsia" w:ascii="仿宋_GB2312" w:eastAsia="仿宋_GB2312"/>
          <w:sz w:val="28"/>
          <w:szCs w:val="28"/>
        </w:rPr>
        <w:t>元，增长6.7%。</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14</w:t>
      </w:r>
      <w:r>
        <w:rPr>
          <w:rFonts w:hint="eastAsia" w:ascii="仿宋_GB2312" w:eastAsia="仿宋_GB2312"/>
          <w:sz w:val="28"/>
          <w:szCs w:val="28"/>
          <w:lang w:val="en-US" w:eastAsia="zh-CN"/>
        </w:rPr>
        <w:t>,</w:t>
      </w:r>
      <w:r>
        <w:rPr>
          <w:rFonts w:ascii="仿宋_GB2312" w:eastAsia="仿宋_GB2312"/>
          <w:sz w:val="28"/>
          <w:szCs w:val="28"/>
        </w:rPr>
        <w:t>118</w:t>
      </w:r>
      <w:r>
        <w:rPr>
          <w:rFonts w:hint="eastAsia" w:ascii="仿宋_GB2312" w:eastAsia="仿宋_GB2312"/>
          <w:sz w:val="28"/>
          <w:szCs w:val="28"/>
          <w:lang w:val="en-US" w:eastAsia="zh-CN"/>
        </w:rPr>
        <w:t>,</w:t>
      </w:r>
      <w:r>
        <w:rPr>
          <w:rFonts w:ascii="仿宋_GB2312" w:eastAsia="仿宋_GB2312"/>
          <w:sz w:val="28"/>
          <w:szCs w:val="28"/>
        </w:rPr>
        <w:t>830.29</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6.7%元，增长6.7%。</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14</w:t>
      </w:r>
      <w:r>
        <w:rPr>
          <w:rFonts w:hint="eastAsia" w:ascii="仿宋_GB2312" w:eastAsia="仿宋_GB2312"/>
          <w:sz w:val="28"/>
          <w:szCs w:val="28"/>
          <w:lang w:val="en-US" w:eastAsia="zh-CN"/>
        </w:rPr>
        <w:t>,</w:t>
      </w:r>
      <w:r>
        <w:rPr>
          <w:rFonts w:ascii="仿宋_GB2312" w:eastAsia="仿宋_GB2312"/>
          <w:sz w:val="28"/>
          <w:szCs w:val="28"/>
        </w:rPr>
        <w:t>118</w:t>
      </w:r>
      <w:r>
        <w:rPr>
          <w:rFonts w:hint="eastAsia" w:ascii="仿宋_GB2312" w:eastAsia="仿宋_GB2312"/>
          <w:sz w:val="28"/>
          <w:szCs w:val="28"/>
          <w:lang w:val="en-US" w:eastAsia="zh-CN"/>
        </w:rPr>
        <w:t>,</w:t>
      </w:r>
      <w:r>
        <w:rPr>
          <w:rFonts w:ascii="仿宋_GB2312" w:eastAsia="仿宋_GB2312"/>
          <w:sz w:val="28"/>
          <w:szCs w:val="28"/>
        </w:rPr>
        <w:t>830.29</w:t>
      </w:r>
      <w:r>
        <w:rPr>
          <w:rFonts w:hint="eastAsia" w:ascii="仿宋_GB2312" w:eastAsia="仿宋_GB2312"/>
          <w:sz w:val="28"/>
          <w:szCs w:val="28"/>
        </w:rPr>
        <w:t>元，占收入合计的100%。其中：一般公共预算财政拨款收入</w:t>
      </w:r>
      <w:r>
        <w:rPr>
          <w:rFonts w:ascii="仿宋_GB2312" w:eastAsia="仿宋_GB2312"/>
          <w:sz w:val="28"/>
          <w:szCs w:val="28"/>
        </w:rPr>
        <w:t>14</w:t>
      </w:r>
      <w:r>
        <w:rPr>
          <w:rFonts w:hint="eastAsia" w:ascii="仿宋_GB2312" w:eastAsia="仿宋_GB2312"/>
          <w:sz w:val="28"/>
          <w:szCs w:val="28"/>
          <w:lang w:val="en-US" w:eastAsia="zh-CN"/>
        </w:rPr>
        <w:t>,</w:t>
      </w:r>
      <w:r>
        <w:rPr>
          <w:rFonts w:ascii="仿宋_GB2312" w:eastAsia="仿宋_GB2312"/>
          <w:sz w:val="28"/>
          <w:szCs w:val="28"/>
        </w:rPr>
        <w:t>118</w:t>
      </w:r>
      <w:r>
        <w:rPr>
          <w:rFonts w:hint="eastAsia" w:ascii="仿宋_GB2312" w:eastAsia="仿宋_GB2312"/>
          <w:sz w:val="28"/>
          <w:szCs w:val="28"/>
          <w:lang w:val="en-US" w:eastAsia="zh-CN"/>
        </w:rPr>
        <w:t>,</w:t>
      </w:r>
      <w:r>
        <w:rPr>
          <w:rFonts w:ascii="仿宋_GB2312" w:eastAsia="仿宋_GB2312"/>
          <w:sz w:val="28"/>
          <w:szCs w:val="28"/>
        </w:rPr>
        <w:t>830.29</w:t>
      </w:r>
      <w:r>
        <w:rPr>
          <w:rFonts w:hint="eastAsia" w:ascii="仿宋_GB2312" w:eastAsia="仿宋_GB2312"/>
          <w:sz w:val="28"/>
          <w:szCs w:val="28"/>
        </w:rPr>
        <w:t>元，占收入合计的100</w:t>
      </w:r>
      <w:r>
        <w:rPr>
          <w:rFonts w:hint="eastAsia" w:ascii="仿宋_GB2312" w:eastAsia="仿宋_GB2312"/>
          <w:sz w:val="28"/>
          <w:szCs w:val="28"/>
          <w:lang w:val="en-US" w:eastAsia="zh-CN"/>
        </w:rPr>
        <w:t>.0</w:t>
      </w:r>
      <w:r>
        <w:rPr>
          <w:rFonts w:hint="eastAsia" w:ascii="仿宋_GB2312" w:eastAsia="仿宋_GB2312"/>
          <w:sz w:val="28"/>
          <w:szCs w:val="28"/>
        </w:rPr>
        <w:t>%；政府性基金预算财政拨款收入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14</w:t>
      </w:r>
      <w:r>
        <w:rPr>
          <w:rFonts w:hint="eastAsia" w:ascii="仿宋_GB2312" w:eastAsia="仿宋_GB2312"/>
          <w:sz w:val="28"/>
          <w:szCs w:val="28"/>
          <w:lang w:val="en-US" w:eastAsia="zh-CN"/>
        </w:rPr>
        <w:t>,</w:t>
      </w:r>
      <w:r>
        <w:rPr>
          <w:rFonts w:ascii="仿宋_GB2312" w:eastAsia="仿宋_GB2312"/>
          <w:sz w:val="28"/>
          <w:szCs w:val="28"/>
        </w:rPr>
        <w:t>118</w:t>
      </w:r>
      <w:r>
        <w:rPr>
          <w:rFonts w:hint="eastAsia" w:ascii="仿宋_GB2312" w:eastAsia="仿宋_GB2312"/>
          <w:sz w:val="28"/>
          <w:szCs w:val="28"/>
          <w:lang w:val="en-US" w:eastAsia="zh-CN"/>
        </w:rPr>
        <w:t>,</w:t>
      </w:r>
      <w:r>
        <w:rPr>
          <w:rFonts w:ascii="仿宋_GB2312" w:eastAsia="仿宋_GB2312"/>
          <w:sz w:val="28"/>
          <w:szCs w:val="28"/>
        </w:rPr>
        <w:t>830.29</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892,553.82</w:t>
      </w:r>
      <w:r>
        <w:rPr>
          <w:rFonts w:hint="eastAsia" w:ascii="仿宋_GB2312" w:eastAsia="仿宋_GB2312"/>
          <w:sz w:val="28"/>
          <w:szCs w:val="28"/>
        </w:rPr>
        <w:t>元，增长</w:t>
      </w:r>
      <w:r>
        <w:rPr>
          <w:rFonts w:hint="eastAsia" w:ascii="仿宋_GB2312" w:eastAsia="仿宋_GB2312"/>
          <w:sz w:val="28"/>
          <w:szCs w:val="28"/>
          <w:lang w:val="en-US" w:eastAsia="zh-CN"/>
        </w:rPr>
        <w:t>6.7</w:t>
      </w:r>
      <w:r>
        <w:rPr>
          <w:rFonts w:hint="eastAsia" w:ascii="仿宋_GB2312" w:eastAsia="仿宋_GB2312"/>
          <w:sz w:val="28"/>
          <w:szCs w:val="28"/>
        </w:rPr>
        <w:t>%，其中：基本支出</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779</w:t>
      </w:r>
      <w:r>
        <w:rPr>
          <w:rFonts w:hint="eastAsia" w:ascii="仿宋_GB2312" w:eastAsia="仿宋_GB2312"/>
          <w:sz w:val="28"/>
          <w:szCs w:val="28"/>
          <w:lang w:val="en-US" w:eastAsia="zh-CN"/>
        </w:rPr>
        <w:t>,</w:t>
      </w:r>
      <w:r>
        <w:rPr>
          <w:rFonts w:ascii="仿宋_GB2312" w:eastAsia="仿宋_GB2312"/>
          <w:sz w:val="28"/>
          <w:szCs w:val="28"/>
        </w:rPr>
        <w:t>374.26</w:t>
      </w:r>
      <w:r>
        <w:rPr>
          <w:rFonts w:hint="eastAsia" w:ascii="仿宋_GB2312" w:eastAsia="仿宋_GB2312"/>
          <w:sz w:val="28"/>
          <w:szCs w:val="28"/>
        </w:rPr>
        <w:t>元，占支出合计的97.6%；项目支出</w:t>
      </w:r>
      <w:r>
        <w:rPr>
          <w:rFonts w:ascii="仿宋_GB2312" w:eastAsia="仿宋_GB2312"/>
          <w:sz w:val="28"/>
          <w:szCs w:val="28"/>
        </w:rPr>
        <w:t>339</w:t>
      </w:r>
      <w:r>
        <w:rPr>
          <w:rFonts w:hint="eastAsia" w:ascii="仿宋_GB2312" w:eastAsia="仿宋_GB2312"/>
          <w:sz w:val="28"/>
          <w:szCs w:val="28"/>
          <w:lang w:val="en-US" w:eastAsia="zh-CN"/>
        </w:rPr>
        <w:t>,</w:t>
      </w:r>
      <w:r>
        <w:rPr>
          <w:rFonts w:ascii="仿宋_GB2312" w:eastAsia="仿宋_GB2312"/>
          <w:sz w:val="28"/>
          <w:szCs w:val="28"/>
        </w:rPr>
        <w:t>456.03</w:t>
      </w:r>
      <w:r>
        <w:rPr>
          <w:rFonts w:hint="eastAsia" w:ascii="仿宋_GB2312" w:eastAsia="仿宋_GB2312"/>
          <w:sz w:val="28"/>
          <w:szCs w:val="28"/>
        </w:rPr>
        <w:t>元，占支出合计的2.4%;上缴上级支出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w:t>
      </w:r>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20" w:lineRule="exact"/>
        <w:ind w:firstLine="560" w:firstLineChars="20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14</w:t>
      </w:r>
      <w:r>
        <w:rPr>
          <w:rFonts w:hint="eastAsia" w:ascii="仿宋_GB2312" w:eastAsia="仿宋_GB2312"/>
          <w:sz w:val="28"/>
          <w:szCs w:val="28"/>
          <w:lang w:val="en-US" w:eastAsia="zh-CN"/>
        </w:rPr>
        <w:t>,</w:t>
      </w:r>
      <w:r>
        <w:rPr>
          <w:rFonts w:ascii="仿宋_GB2312" w:eastAsia="仿宋_GB2312"/>
          <w:sz w:val="28"/>
          <w:szCs w:val="28"/>
        </w:rPr>
        <w:t>118</w:t>
      </w:r>
      <w:r>
        <w:rPr>
          <w:rFonts w:hint="eastAsia" w:ascii="仿宋_GB2312" w:eastAsia="仿宋_GB2312"/>
          <w:sz w:val="28"/>
          <w:szCs w:val="28"/>
          <w:lang w:val="en-US" w:eastAsia="zh-CN"/>
        </w:rPr>
        <w:t>,</w:t>
      </w:r>
      <w:r>
        <w:rPr>
          <w:rFonts w:ascii="仿宋_GB2312" w:eastAsia="仿宋_GB2312"/>
          <w:sz w:val="28"/>
          <w:szCs w:val="28"/>
        </w:rPr>
        <w:t>830.29</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lang w:val="en-US" w:eastAsia="zh-CN"/>
        </w:rPr>
        <w:t>892,553.82</w:t>
      </w:r>
      <w:r>
        <w:rPr>
          <w:rFonts w:hint="eastAsia" w:ascii="仿宋_GB2312" w:eastAsia="仿宋_GB2312"/>
          <w:sz w:val="28"/>
          <w:szCs w:val="28"/>
        </w:rPr>
        <w:t>元，增长</w:t>
      </w:r>
      <w:r>
        <w:rPr>
          <w:rFonts w:hint="eastAsia" w:ascii="仿宋_GB2312" w:eastAsia="仿宋_GB2312"/>
          <w:sz w:val="28"/>
          <w:szCs w:val="28"/>
          <w:lang w:val="en-US" w:eastAsia="zh-CN"/>
        </w:rPr>
        <w:t>6.7</w:t>
      </w:r>
      <w:r>
        <w:rPr>
          <w:rFonts w:hint="eastAsia" w:ascii="仿宋_GB2312" w:eastAsia="仿宋_GB2312"/>
          <w:sz w:val="28"/>
          <w:szCs w:val="28"/>
        </w:rPr>
        <w:t>%。主要原因：</w:t>
      </w:r>
      <w:r>
        <w:rPr>
          <w:rFonts w:hint="eastAsia" w:ascii="仿宋_GB2312" w:eastAsia="仿宋_GB2312"/>
          <w:color w:val="000000"/>
          <w:sz w:val="28"/>
          <w:szCs w:val="28"/>
        </w:rPr>
        <w:t>人员经费上升，因人员工资调整及社保公积金基数调整</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2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14</w:t>
      </w:r>
      <w:r>
        <w:rPr>
          <w:rFonts w:hint="eastAsia" w:ascii="仿宋_GB2312" w:eastAsia="仿宋_GB2312"/>
          <w:sz w:val="28"/>
          <w:szCs w:val="28"/>
          <w:lang w:val="en-US" w:eastAsia="zh-CN"/>
        </w:rPr>
        <w:t>,</w:t>
      </w:r>
      <w:r>
        <w:rPr>
          <w:rFonts w:ascii="仿宋_GB2312" w:eastAsia="仿宋_GB2312"/>
          <w:sz w:val="28"/>
          <w:szCs w:val="28"/>
        </w:rPr>
        <w:t>118</w:t>
      </w:r>
      <w:r>
        <w:rPr>
          <w:rFonts w:hint="eastAsia" w:ascii="仿宋_GB2312" w:eastAsia="仿宋_GB2312"/>
          <w:sz w:val="28"/>
          <w:szCs w:val="28"/>
          <w:lang w:val="en-US" w:eastAsia="zh-CN"/>
        </w:rPr>
        <w:t>,</w:t>
      </w:r>
      <w:r>
        <w:rPr>
          <w:rFonts w:ascii="仿宋_GB2312" w:eastAsia="仿宋_GB2312"/>
          <w:sz w:val="28"/>
          <w:szCs w:val="28"/>
        </w:rPr>
        <w:t>830.29</w:t>
      </w:r>
      <w:r>
        <w:rPr>
          <w:rFonts w:hint="eastAsia" w:ascii="仿宋_GB2312" w:eastAsia="仿宋_GB2312"/>
          <w:sz w:val="28"/>
          <w:szCs w:val="28"/>
        </w:rPr>
        <w:t>元，主要用于以下方面（按大类）：“社会保障和就业支出”186,670.97元，占本年财政拨款支出1.3%；“农林水支出”13,932,159.32元，占本年财政拨款支出98.7%。</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1、“社会保障和就业支出”（类）2025年度年初预算189,356.00元，2025年度决算186,670.97元，完成年初预算的98.6%。</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“行政事业单位养老支出”（款，下同）2025年度年初预算189,356.00元，2025年度决算186,670.97元，完成年初预算的98.6%。主要原因：退休人员减少一人。</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2、“农林水支出”(类)2025年度年初预算12,294,673.39元，2025年度决算13,932,159.32元，完成年初预算的113.3%。其中：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“农业农村”（款）2025年度年初预算12,294,673.39元，2025年度决算13,932,159.32元，完成年初预算的113.3%。主要原因：人员经费上升，因人员工资调整及社保公积金基数</w:t>
      </w:r>
      <w:r>
        <w:rPr>
          <w:rFonts w:hint="eastAsia" w:ascii="仿宋_GB2312" w:eastAsia="仿宋_GB2312"/>
          <w:sz w:val="28"/>
          <w:szCs w:val="28"/>
          <w:lang w:eastAsia="zh-CN"/>
        </w:rPr>
        <w:t>调整</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spacing w:line="560" w:lineRule="exact"/>
        <w:ind w:firstLine="600"/>
        <w:rPr>
          <w:rFonts w:ascii="仿宋_GB2312" w:eastAsia="仿宋_GB2312"/>
          <w:sz w:val="28"/>
          <w:szCs w:val="28"/>
        </w:rPr>
      </w:pPr>
      <w:r>
        <w:rPr>
          <w:rFonts w:hint="eastAsia" w:ascii="仿宋_GB2312" w:eastAsia="仿宋_GB2312"/>
          <w:sz w:val="28"/>
          <w:szCs w:val="28"/>
        </w:rPr>
        <w:t>本年度无此项支出。</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lang w:val="en-US" w:eastAsia="zh-CN"/>
        </w:rPr>
        <w:t>.00</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lang w:val="en-US" w:eastAsia="zh-CN"/>
        </w:rPr>
        <w:t>.00</w:t>
      </w:r>
      <w:r>
        <w:rPr>
          <w:rFonts w:hint="eastAsia" w:ascii="仿宋_GB2312" w:eastAsia="仿宋_GB2312"/>
          <w:sz w:val="28"/>
          <w:szCs w:val="28"/>
        </w:rPr>
        <w:t>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779</w:t>
      </w:r>
      <w:r>
        <w:rPr>
          <w:rFonts w:hint="eastAsia" w:ascii="仿宋_GB2312" w:eastAsia="仿宋_GB2312"/>
          <w:sz w:val="28"/>
          <w:szCs w:val="28"/>
          <w:lang w:val="en-US" w:eastAsia="zh-CN"/>
        </w:rPr>
        <w:t>,</w:t>
      </w:r>
      <w:r>
        <w:rPr>
          <w:rFonts w:ascii="仿宋_GB2312" w:eastAsia="仿宋_GB2312"/>
          <w:sz w:val="28"/>
          <w:szCs w:val="28"/>
        </w:rPr>
        <w:t>374.26</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276</w:t>
      </w:r>
      <w:r>
        <w:rPr>
          <w:rFonts w:hint="eastAsia" w:ascii="仿宋_GB2312" w:eastAsia="仿宋_GB2312"/>
          <w:sz w:val="28"/>
          <w:szCs w:val="28"/>
          <w:lang w:val="en-US" w:eastAsia="zh-CN"/>
        </w:rPr>
        <w:t>,</w:t>
      </w:r>
      <w:r>
        <w:rPr>
          <w:rFonts w:ascii="仿宋_GB2312" w:eastAsia="仿宋_GB2312"/>
          <w:sz w:val="28"/>
          <w:szCs w:val="28"/>
        </w:rPr>
        <w:t>558.69</w:t>
      </w:r>
      <w:r>
        <w:rPr>
          <w:rFonts w:hint="eastAsia" w:ascii="仿宋_GB2312" w:eastAsia="仿宋_GB2312"/>
          <w:sz w:val="28"/>
          <w:szCs w:val="28"/>
        </w:rPr>
        <w:t>元，比2025年度“三公”经费财政拨款年初预算</w:t>
      </w:r>
      <w:r>
        <w:rPr>
          <w:rFonts w:ascii="仿宋_GB2312" w:eastAsia="仿宋_GB2312"/>
          <w:sz w:val="28"/>
          <w:szCs w:val="28"/>
        </w:rPr>
        <w:t>91</w:t>
      </w:r>
      <w:r>
        <w:rPr>
          <w:rFonts w:hint="eastAsia" w:ascii="仿宋_GB2312" w:eastAsia="仿宋_GB2312"/>
          <w:sz w:val="28"/>
          <w:szCs w:val="28"/>
          <w:lang w:val="en-US" w:eastAsia="zh-CN"/>
        </w:rPr>
        <w:t>,</w:t>
      </w:r>
      <w:r>
        <w:rPr>
          <w:rFonts w:ascii="仿宋_GB2312" w:eastAsia="仿宋_GB2312"/>
          <w:sz w:val="28"/>
          <w:szCs w:val="28"/>
        </w:rPr>
        <w:t>044</w:t>
      </w:r>
      <w:r>
        <w:rPr>
          <w:rFonts w:hint="eastAsia" w:ascii="仿宋_GB2312" w:eastAsia="仿宋_GB2312"/>
          <w:sz w:val="28"/>
          <w:szCs w:val="28"/>
          <w:lang w:val="en-US" w:eastAsia="zh-CN"/>
        </w:rPr>
        <w:t>.00</w:t>
      </w:r>
      <w:r>
        <w:rPr>
          <w:rFonts w:hint="eastAsia" w:ascii="仿宋_GB2312" w:eastAsia="仿宋_GB2312"/>
          <w:sz w:val="28"/>
          <w:szCs w:val="28"/>
        </w:rPr>
        <w:t>元增加</w:t>
      </w:r>
      <w:r>
        <w:rPr>
          <w:rFonts w:ascii="仿宋_GB2312" w:eastAsia="仿宋_GB2312"/>
          <w:sz w:val="28"/>
          <w:szCs w:val="28"/>
        </w:rPr>
        <w:t>185</w:t>
      </w:r>
      <w:r>
        <w:rPr>
          <w:rFonts w:hint="eastAsia" w:ascii="仿宋_GB2312" w:eastAsia="仿宋_GB2312"/>
          <w:sz w:val="28"/>
          <w:szCs w:val="28"/>
          <w:lang w:val="en-US" w:eastAsia="zh-CN"/>
        </w:rPr>
        <w:t>,</w:t>
      </w:r>
      <w:r>
        <w:rPr>
          <w:rFonts w:ascii="仿宋_GB2312" w:eastAsia="仿宋_GB2312"/>
          <w:sz w:val="28"/>
          <w:szCs w:val="28"/>
        </w:rPr>
        <w:t>514.69</w:t>
      </w:r>
      <w:r>
        <w:rPr>
          <w:rFonts w:hint="eastAsia" w:ascii="仿宋_GB2312" w:eastAsia="仿宋_GB2312"/>
          <w:sz w:val="28"/>
          <w:szCs w:val="28"/>
        </w:rPr>
        <w:t>元。其中：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元增加（减少）</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元。主要原因：本年度无此项支出。</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元，比2025年度年初预算数</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044</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044</w:t>
      </w:r>
      <w:r>
        <w:rPr>
          <w:rFonts w:hint="eastAsia" w:ascii="仿宋_GB2312" w:eastAsia="仿宋_GB2312"/>
          <w:sz w:val="28"/>
          <w:szCs w:val="28"/>
          <w:lang w:val="en-US" w:eastAsia="zh-CN"/>
        </w:rPr>
        <w:t>.00</w:t>
      </w:r>
      <w:r>
        <w:rPr>
          <w:rFonts w:hint="eastAsia" w:ascii="仿宋_GB2312" w:eastAsia="仿宋_GB2312"/>
          <w:sz w:val="28"/>
          <w:szCs w:val="28"/>
        </w:rPr>
        <w:t>元。主要原因：本年度无此项支出。</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276</w:t>
      </w:r>
      <w:r>
        <w:rPr>
          <w:rFonts w:hint="eastAsia" w:ascii="仿宋_GB2312" w:eastAsia="仿宋_GB2312"/>
          <w:sz w:val="28"/>
          <w:szCs w:val="28"/>
          <w:lang w:val="en-US" w:eastAsia="zh-CN"/>
        </w:rPr>
        <w:t>,</w:t>
      </w:r>
      <w:r>
        <w:rPr>
          <w:rFonts w:ascii="仿宋_GB2312" w:eastAsia="仿宋_GB2312"/>
          <w:sz w:val="28"/>
          <w:szCs w:val="28"/>
        </w:rPr>
        <w:t>558.69</w:t>
      </w:r>
      <w:r>
        <w:rPr>
          <w:rFonts w:hint="eastAsia" w:ascii="仿宋_GB2312" w:eastAsia="仿宋_GB2312"/>
          <w:sz w:val="28"/>
          <w:szCs w:val="28"/>
        </w:rPr>
        <w:t>元，比2025年度年初预算数</w:t>
      </w:r>
      <w:r>
        <w:rPr>
          <w:rFonts w:ascii="仿宋_GB2312" w:eastAsia="仿宋_GB2312"/>
          <w:sz w:val="28"/>
          <w:szCs w:val="28"/>
        </w:rPr>
        <w:t>90</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元增加</w:t>
      </w:r>
      <w:r>
        <w:rPr>
          <w:rFonts w:ascii="仿宋_GB2312" w:eastAsia="仿宋_GB2312"/>
          <w:sz w:val="28"/>
          <w:szCs w:val="28"/>
        </w:rPr>
        <w:t>186</w:t>
      </w:r>
      <w:r>
        <w:rPr>
          <w:rFonts w:hint="eastAsia" w:ascii="仿宋_GB2312" w:eastAsia="仿宋_GB2312"/>
          <w:sz w:val="28"/>
          <w:szCs w:val="28"/>
          <w:lang w:val="en-US" w:eastAsia="zh-CN"/>
        </w:rPr>
        <w:t>,</w:t>
      </w:r>
      <w:r>
        <w:rPr>
          <w:rFonts w:ascii="仿宋_GB2312" w:eastAsia="仿宋_GB2312"/>
          <w:sz w:val="28"/>
          <w:szCs w:val="28"/>
        </w:rPr>
        <w:t>558.69</w:t>
      </w:r>
      <w:r>
        <w:rPr>
          <w:rFonts w:hint="eastAsia" w:ascii="仿宋_GB2312" w:eastAsia="仿宋_GB2312"/>
          <w:sz w:val="28"/>
          <w:szCs w:val="28"/>
        </w:rPr>
        <w:t>元。其中，公务用车购置费2025年度决算数249</w:t>
      </w:r>
      <w:r>
        <w:rPr>
          <w:rFonts w:hint="eastAsia" w:ascii="仿宋_GB2312" w:eastAsia="仿宋_GB2312"/>
          <w:sz w:val="28"/>
          <w:szCs w:val="28"/>
          <w:lang w:val="en-US" w:eastAsia="zh-CN"/>
        </w:rPr>
        <w:t>,</w:t>
      </w:r>
      <w:r>
        <w:rPr>
          <w:rFonts w:hint="eastAsia" w:ascii="仿宋_GB2312" w:eastAsia="仿宋_GB2312"/>
          <w:sz w:val="28"/>
          <w:szCs w:val="28"/>
        </w:rPr>
        <w:t>900</w:t>
      </w:r>
      <w:r>
        <w:rPr>
          <w:rFonts w:hint="eastAsia" w:ascii="仿宋_GB2312" w:eastAsia="仿宋_GB2312"/>
          <w:sz w:val="28"/>
          <w:szCs w:val="28"/>
          <w:lang w:val="en-US" w:eastAsia="zh-CN"/>
        </w:rPr>
        <w:t>.00</w:t>
      </w:r>
      <w:r>
        <w:rPr>
          <w:rFonts w:hint="eastAsia" w:ascii="仿宋_GB2312" w:eastAsia="仿宋_GB2312"/>
          <w:sz w:val="28"/>
          <w:szCs w:val="28"/>
        </w:rPr>
        <w:t>元，主要原因：报废更新公车1辆，2025年度购置（更新）1辆。公务用车运行维护费2025年度决算数26</w:t>
      </w:r>
      <w:r>
        <w:rPr>
          <w:rFonts w:hint="eastAsia" w:ascii="仿宋_GB2312" w:eastAsia="仿宋_GB2312"/>
          <w:sz w:val="28"/>
          <w:szCs w:val="28"/>
          <w:lang w:val="en-US" w:eastAsia="zh-CN"/>
        </w:rPr>
        <w:t>,</w:t>
      </w:r>
      <w:r>
        <w:rPr>
          <w:rFonts w:hint="eastAsia" w:ascii="仿宋_GB2312" w:eastAsia="仿宋_GB2312"/>
          <w:sz w:val="28"/>
          <w:szCs w:val="28"/>
        </w:rPr>
        <w:t>658.69元，主要原因：压缩三公经费</w:t>
      </w:r>
      <w:r>
        <w:rPr>
          <w:rFonts w:hint="eastAsia" w:ascii="仿宋_GB2312" w:eastAsia="仿宋_GB2312"/>
          <w:sz w:val="28"/>
          <w:szCs w:val="28"/>
          <w:lang w:eastAsia="zh-CN"/>
        </w:rPr>
        <w:t>，减少</w:t>
      </w:r>
      <w:r>
        <w:rPr>
          <w:rFonts w:hint="eastAsia" w:ascii="仿宋_GB2312" w:eastAsia="仿宋_GB2312"/>
          <w:sz w:val="28"/>
          <w:szCs w:val="28"/>
        </w:rPr>
        <w:t>公务用车</w:t>
      </w:r>
      <w:r>
        <w:rPr>
          <w:rFonts w:hint="eastAsia" w:ascii="仿宋_GB2312" w:eastAsia="仿宋_GB2312"/>
          <w:sz w:val="28"/>
          <w:szCs w:val="28"/>
          <w:lang w:eastAsia="zh-CN"/>
        </w:rPr>
        <w:t>使用频率</w:t>
      </w:r>
      <w:r>
        <w:rPr>
          <w:rFonts w:hint="eastAsia" w:ascii="仿宋_GB2312" w:eastAsia="仿宋_GB2312"/>
          <w:sz w:val="28"/>
          <w:szCs w:val="28"/>
        </w:rPr>
        <w:t>。2025年度公务用车保有量</w:t>
      </w:r>
      <w:r>
        <w:rPr>
          <w:rFonts w:ascii="仿宋_GB2312" w:eastAsia="仿宋_GB2312"/>
          <w:sz w:val="28"/>
          <w:szCs w:val="28"/>
        </w:rPr>
        <w:t>5</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2025年度机关运行经费支出合计430</w:t>
      </w:r>
      <w:r>
        <w:rPr>
          <w:rFonts w:hint="eastAsia" w:ascii="仿宋_GB2312" w:eastAsia="仿宋_GB2312"/>
          <w:sz w:val="28"/>
          <w:szCs w:val="28"/>
          <w:lang w:val="en-US" w:eastAsia="zh-CN"/>
        </w:rPr>
        <w:t>,</w:t>
      </w:r>
      <w:r>
        <w:rPr>
          <w:rFonts w:hint="eastAsia" w:ascii="仿宋_GB2312" w:eastAsia="仿宋_GB2312"/>
          <w:sz w:val="28"/>
          <w:szCs w:val="28"/>
        </w:rPr>
        <w:t>297.96元，比上年减少583,879.90元，减少原因：社会化用工工资决算口径调整，计入其他人员工资福利支出。</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274</w:t>
      </w:r>
      <w:r>
        <w:rPr>
          <w:rFonts w:hint="eastAsia" w:ascii="仿宋_GB2312" w:eastAsia="仿宋_GB2312"/>
          <w:sz w:val="28"/>
          <w:szCs w:val="28"/>
          <w:lang w:val="en-US" w:eastAsia="zh-CN"/>
        </w:rPr>
        <w:t>,</w:t>
      </w:r>
      <w:r>
        <w:rPr>
          <w:rFonts w:ascii="仿宋_GB2312" w:eastAsia="仿宋_GB2312"/>
          <w:sz w:val="28"/>
          <w:szCs w:val="28"/>
        </w:rPr>
        <w:t>038.69</w:t>
      </w:r>
      <w:r>
        <w:rPr>
          <w:rFonts w:hint="eastAsia" w:ascii="仿宋_GB2312" w:eastAsia="仿宋_GB2312"/>
          <w:sz w:val="28"/>
          <w:szCs w:val="28"/>
        </w:rPr>
        <w:t>元，其中：政府采购货物支出</w:t>
      </w:r>
      <w:r>
        <w:rPr>
          <w:rFonts w:ascii="仿宋_GB2312" w:eastAsia="仿宋_GB2312"/>
          <w:sz w:val="28"/>
          <w:szCs w:val="28"/>
        </w:rPr>
        <w:t>249</w:t>
      </w:r>
      <w:r>
        <w:rPr>
          <w:rFonts w:hint="eastAsia" w:ascii="仿宋_GB2312" w:eastAsia="仿宋_GB2312"/>
          <w:sz w:val="28"/>
          <w:szCs w:val="28"/>
          <w:lang w:val="en-US" w:eastAsia="zh-CN"/>
        </w:rPr>
        <w:t>,</w:t>
      </w:r>
      <w:r>
        <w:rPr>
          <w:rFonts w:ascii="仿宋_GB2312" w:eastAsia="仿宋_GB2312"/>
          <w:sz w:val="28"/>
          <w:szCs w:val="28"/>
        </w:rPr>
        <w:t>900</w:t>
      </w:r>
      <w:r>
        <w:rPr>
          <w:rFonts w:hint="eastAsia" w:ascii="仿宋_GB2312" w:eastAsia="仿宋_GB2312"/>
          <w:sz w:val="28"/>
          <w:szCs w:val="28"/>
          <w:lang w:val="en-US" w:eastAsia="zh-CN"/>
        </w:rPr>
        <w:t>.00</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元，政府采购服务支出</w:t>
      </w:r>
      <w:r>
        <w:rPr>
          <w:rFonts w:ascii="仿宋_GB2312" w:eastAsia="仿宋_GB2312"/>
          <w:sz w:val="28"/>
          <w:szCs w:val="28"/>
        </w:rPr>
        <w:t>24</w:t>
      </w:r>
      <w:r>
        <w:rPr>
          <w:rFonts w:hint="eastAsia" w:ascii="仿宋_GB2312" w:eastAsia="仿宋_GB2312"/>
          <w:sz w:val="28"/>
          <w:szCs w:val="28"/>
          <w:lang w:val="en-US" w:eastAsia="zh-CN"/>
        </w:rPr>
        <w:t>,</w:t>
      </w:r>
      <w:r>
        <w:rPr>
          <w:rFonts w:ascii="仿宋_GB2312" w:eastAsia="仿宋_GB2312"/>
          <w:sz w:val="28"/>
          <w:szCs w:val="28"/>
        </w:rPr>
        <w:t>138.69</w:t>
      </w:r>
      <w:r>
        <w:rPr>
          <w:rFonts w:hint="eastAsia" w:ascii="仿宋_GB2312" w:eastAsia="仿宋_GB2312"/>
          <w:sz w:val="28"/>
          <w:szCs w:val="28"/>
        </w:rPr>
        <w:t>元。授予中小企业合同金额</w:t>
      </w:r>
      <w:r>
        <w:rPr>
          <w:rFonts w:ascii="仿宋_GB2312" w:eastAsia="仿宋_GB2312"/>
          <w:sz w:val="28"/>
          <w:szCs w:val="28"/>
        </w:rPr>
        <w:t>265</w:t>
      </w:r>
      <w:r>
        <w:rPr>
          <w:rFonts w:hint="eastAsia" w:ascii="仿宋_GB2312" w:eastAsia="仿宋_GB2312"/>
          <w:sz w:val="28"/>
          <w:szCs w:val="28"/>
          <w:lang w:val="en-US" w:eastAsia="zh-CN"/>
        </w:rPr>
        <w:t>,</w:t>
      </w:r>
      <w:r>
        <w:rPr>
          <w:rFonts w:ascii="仿宋_GB2312" w:eastAsia="仿宋_GB2312"/>
          <w:sz w:val="28"/>
          <w:szCs w:val="28"/>
        </w:rPr>
        <w:t>294</w:t>
      </w:r>
      <w:r>
        <w:rPr>
          <w:rFonts w:hint="eastAsia" w:ascii="仿宋_GB2312" w:eastAsia="仿宋_GB2312"/>
          <w:sz w:val="28"/>
          <w:szCs w:val="28"/>
          <w:lang w:val="en-US" w:eastAsia="zh-CN"/>
        </w:rPr>
        <w:t>.00</w:t>
      </w:r>
      <w:r>
        <w:rPr>
          <w:rFonts w:hint="eastAsia" w:ascii="仿宋_GB2312" w:eastAsia="仿宋_GB2312"/>
          <w:sz w:val="28"/>
          <w:szCs w:val="28"/>
        </w:rPr>
        <w:t>元，占政府采购支出总额的96.8%，其中：授予小微企业合同金额</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394</w:t>
      </w:r>
      <w:r>
        <w:rPr>
          <w:rFonts w:hint="eastAsia" w:ascii="仿宋_GB2312" w:eastAsia="仿宋_GB2312"/>
          <w:sz w:val="28"/>
          <w:szCs w:val="28"/>
          <w:lang w:val="en-US" w:eastAsia="zh-CN"/>
        </w:rPr>
        <w:t>.00</w:t>
      </w:r>
      <w:r>
        <w:rPr>
          <w:rFonts w:hint="eastAsia" w:ascii="仿宋_GB2312" w:eastAsia="仿宋_GB2312"/>
          <w:sz w:val="28"/>
          <w:szCs w:val="28"/>
        </w:rPr>
        <w:t>元，占政府采购支出总额的</w:t>
      </w:r>
      <w:r>
        <w:rPr>
          <w:rFonts w:ascii="仿宋_GB2312" w:eastAsia="仿宋_GB2312"/>
          <w:sz w:val="28"/>
          <w:szCs w:val="28"/>
        </w:rPr>
        <w:t>5.6</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截至12月31日，北京市门头沟区农业综合执法大队共有车辆5台；单位价值100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eastAsia="仿宋_GB2312"/>
          <w:sz w:val="28"/>
          <w:szCs w:val="28"/>
        </w:rPr>
      </w:pPr>
      <w:r>
        <w:rPr>
          <w:rFonts w:hint="eastAsia" w:ascii="仿宋_GB2312" w:eastAsia="仿宋_GB2312"/>
          <w:sz w:val="28"/>
          <w:szCs w:val="28"/>
        </w:rPr>
        <w:t>6.社会保障和就业支出（类）行政事业单位养老支出（款）行政单位离退休（项）：反映行政单位（包括实行公务员管理的事业单位）开支的离退休经费。</w:t>
      </w:r>
    </w:p>
    <w:p>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7.</w:t>
      </w:r>
      <w:r>
        <w:rPr>
          <w:rFonts w:hint="eastAsia" w:ascii="仿宋_GB2312" w:eastAsia="仿宋_GB2312"/>
          <w:sz w:val="28"/>
          <w:szCs w:val="28"/>
        </w:rPr>
        <w:t>农林水支出（类）农业农村（款）行政运行（项）：反映行政单位（包括实行公务员管理的事业单位）的基本支出。</w:t>
      </w:r>
    </w:p>
    <w:p>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8.</w:t>
      </w:r>
      <w:r>
        <w:rPr>
          <w:rFonts w:hint="eastAsia" w:ascii="仿宋_GB2312" w:eastAsia="仿宋_GB2312"/>
          <w:sz w:val="28"/>
          <w:szCs w:val="28"/>
        </w:rPr>
        <w:t>农林水支出（类）农业农村（款）一般行政管理事务（项）：反映行政单位（包括实行公务员管理的事业单位）未单独设置项级科目的其他项目支出。</w:t>
      </w:r>
    </w:p>
    <w:p>
      <w:pPr>
        <w:ind w:firstLine="560" w:firstLineChars="200"/>
        <w:rPr>
          <w:rFonts w:ascii="仿宋_GB2312" w:eastAsia="仿宋_GB2312"/>
          <w:bCs/>
          <w:sz w:val="28"/>
          <w:szCs w:val="28"/>
        </w:rPr>
      </w:pPr>
      <w:r>
        <w:rPr>
          <w:rFonts w:hint="eastAsia" w:ascii="仿宋_GB2312" w:eastAsia="仿宋_GB2312"/>
          <w:sz w:val="28"/>
          <w:szCs w:val="28"/>
          <w:lang w:val="en-US" w:eastAsia="zh-CN"/>
        </w:rPr>
        <w:t>9.</w:t>
      </w:r>
      <w:r>
        <w:rPr>
          <w:rFonts w:hint="eastAsia" w:ascii="仿宋_GB2312" w:eastAsia="仿宋_GB2312"/>
          <w:sz w:val="28"/>
          <w:szCs w:val="28"/>
        </w:rPr>
        <w:t>农林水支出（类）农业农村（款）其他农业农村支出（项）：反映除上述项目以外其他用于农业农村方面的支出。。</w:t>
      </w:r>
    </w:p>
    <w:p>
      <w:pPr>
        <w:ind w:firstLine="420" w:firstLineChars="150"/>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bookmarkEnd w:id="0"/>
    <w:p>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0"/>
        <w:tblW w:w="5000" w:type="pct"/>
        <w:tblInd w:w="0" w:type="dxa"/>
        <w:tblLayout w:type="autofit"/>
        <w:tblCellMar>
          <w:top w:w="0" w:type="dxa"/>
          <w:left w:w="108" w:type="dxa"/>
          <w:bottom w:w="0" w:type="dxa"/>
          <w:right w:w="108" w:type="dxa"/>
        </w:tblCellMar>
      </w:tblPr>
      <w:tblGrid>
        <w:gridCol w:w="2011"/>
        <w:gridCol w:w="2783"/>
        <w:gridCol w:w="2523"/>
        <w:gridCol w:w="2020"/>
        <w:gridCol w:w="2529"/>
        <w:gridCol w:w="2920"/>
      </w:tblGrid>
      <w:tr>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941"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853"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683"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855" w:type="pct"/>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987" w:type="pct"/>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tblPrEx>
          <w:tblCellMar>
            <w:top w:w="0" w:type="dxa"/>
            <w:left w:w="108" w:type="dxa"/>
            <w:bottom w:w="0" w:type="dxa"/>
            <w:right w:w="108" w:type="dxa"/>
          </w:tblCellMar>
        </w:tblPrEx>
        <w:trPr>
          <w:trHeight w:val="275" w:hRule="atLeast"/>
        </w:trPr>
        <w:tc>
          <w:tcPr>
            <w:tcW w:w="680"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941"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853"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683"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855" w:type="pct"/>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987" w:type="pct"/>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CellMar>
            <w:top w:w="0" w:type="dxa"/>
            <w:left w:w="108" w:type="dxa"/>
            <w:bottom w:w="0" w:type="dxa"/>
            <w:right w:w="108" w:type="dxa"/>
          </w:tblCellMar>
        </w:tblPrEx>
        <w:trPr>
          <w:trHeight w:val="275" w:hRule="atLeast"/>
        </w:trPr>
        <w:tc>
          <w:tcPr>
            <w:tcW w:w="680"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941"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853"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683"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855" w:type="pct"/>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987" w:type="pct"/>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CellMar>
            <w:top w:w="0" w:type="dxa"/>
            <w:left w:w="108" w:type="dxa"/>
            <w:bottom w:w="0" w:type="dxa"/>
            <w:right w:w="108" w:type="dxa"/>
          </w:tblCellMar>
        </w:tblPrEx>
        <w:trPr>
          <w:trHeight w:val="275" w:hRule="atLeast"/>
        </w:trPr>
        <w:tc>
          <w:tcPr>
            <w:tcW w:w="680"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941"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853"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683"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855" w:type="pct"/>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987" w:type="pct"/>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CellMar>
            <w:top w:w="0" w:type="dxa"/>
            <w:left w:w="108" w:type="dxa"/>
            <w:bottom w:w="0" w:type="dxa"/>
            <w:right w:w="108" w:type="dxa"/>
          </w:tblCellMar>
        </w:tblPrEx>
        <w:trPr>
          <w:trHeight w:val="275" w:hRule="atLeast"/>
        </w:trPr>
        <w:tc>
          <w:tcPr>
            <w:tcW w:w="680"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w:t>
            </w:r>
          </w:p>
        </w:tc>
        <w:tc>
          <w:tcPr>
            <w:tcW w:w="941"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853"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683" w:type="pct"/>
            <w:tcBorders>
              <w:top w:val="nil"/>
              <w:left w:val="nil"/>
              <w:bottom w:val="single" w:color="auto" w:sz="4" w:space="0"/>
              <w:right w:val="single" w:color="auto" w:sz="4" w:space="0"/>
            </w:tcBorders>
            <w:noWrap/>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855" w:type="pct"/>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987" w:type="pct"/>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bl>
    <w:p>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 xml:space="preserve">2025年全年预算数XX元，其中，基本支出预算数XX元，项目支出预算数XX元。全年支出XX元，其中，基本支出XX元，项目支出XX元。预算执行率为XX%。(与决算数据保持一致)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XX元，全年支出预算数为XX元，资金结转结余率为XX%；2024年年末结转结余资金总额为XX元，全年支出预算数为XX元，资金结转结余率为XX%；2025年度部门结转结余率较上一年上升/下降了XX%。</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9200" w:type="dxa"/>
        <w:tblInd w:w="108" w:type="dxa"/>
        <w:tblLayout w:type="autofit"/>
        <w:tblCellMar>
          <w:top w:w="0" w:type="dxa"/>
          <w:left w:w="108" w:type="dxa"/>
          <w:bottom w:w="0" w:type="dxa"/>
          <w:right w:w="108" w:type="dxa"/>
        </w:tblCellMar>
      </w:tblPr>
      <w:tblGrid>
        <w:gridCol w:w="880"/>
        <w:gridCol w:w="1984"/>
        <w:gridCol w:w="1701"/>
        <w:gridCol w:w="1843"/>
        <w:gridCol w:w="2792"/>
      </w:tblGrid>
      <w:tr>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bl>
    <w:p>
      <w:pPr>
        <w:spacing w:line="580" w:lineRule="exact"/>
        <w:ind w:firstLine="640"/>
        <w:rPr>
          <w:rFonts w:hint="eastAsia" w:ascii="仿宋_GB2312" w:hAnsi="Calibri" w:eastAsia="仿宋_GB2312"/>
          <w:sz w:val="32"/>
          <w:szCs w:val="32"/>
        </w:rPr>
      </w:pPr>
      <w:r>
        <w:rPr>
          <w:rFonts w:hint="eastAsia" w:ascii="仿宋_GB2312" w:eastAsia="仿宋_GB2312"/>
          <w:sz w:val="32"/>
          <w:szCs w:val="32"/>
        </w:rPr>
        <w:t>（2）产出质量</w:t>
      </w:r>
    </w:p>
    <w:p>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p>
    <w:p>
      <w:pPr>
        <w:spacing w:line="580" w:lineRule="exact"/>
        <w:ind w:firstLine="640"/>
        <w:rPr>
          <w:rFonts w:hint="eastAsia" w:ascii="仿宋_GB2312" w:eastAsia="仿宋_GB2312"/>
          <w:sz w:val="32"/>
          <w:szCs w:val="32"/>
        </w:rPr>
      </w:pPr>
      <w:r>
        <w:rPr>
          <w:rFonts w:hint="eastAsia" w:ascii="仿宋_GB2312" w:eastAsia="仿宋_GB2312"/>
          <w:sz w:val="32"/>
          <w:szCs w:val="32"/>
        </w:rPr>
        <w:t>（4）产出成本</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w:t>
      </w:r>
    </w:p>
    <w:p>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2025年部门预算项目XX个，部门预算公开绩效目标的预算项目XX个，占本部门全部预算项目的XX%。</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2025年对本部门及所属单位2024年项目支出实施了绩效自评，评价项目××个，涉及金额××元。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绩效自评总分：XX分</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绩效自评等级：</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w:t>
      </w:r>
    </w:p>
    <w:p>
      <w:pPr>
        <w:spacing w:line="580" w:lineRule="exact"/>
        <w:ind w:firstLine="640"/>
        <w:rPr>
          <w:rFonts w:hint="eastAsia" w:ascii="仿宋_GB2312" w:eastAsia="仿宋_GB2312"/>
          <w:sz w:val="32"/>
          <w:szCs w:val="32"/>
        </w:rPr>
      </w:pPr>
      <w:r>
        <w:rPr>
          <w:rFonts w:hint="eastAsia" w:ascii="仿宋_GB2312" w:eastAsia="仿宋_GB2312"/>
          <w:sz w:val="32"/>
          <w:szCs w:val="32"/>
        </w:rPr>
        <w:t>（2）</w:t>
      </w:r>
    </w:p>
    <w:p>
      <w:pPr>
        <w:spacing w:line="580" w:lineRule="exact"/>
        <w:ind w:firstLine="640"/>
        <w:rPr>
          <w:rFonts w:hint="eastAsia" w:ascii="仿宋_GB2312" w:eastAsia="仿宋_GB2312"/>
          <w:sz w:val="32"/>
          <w:szCs w:val="32"/>
        </w:rPr>
      </w:pPr>
      <w:r>
        <w:rPr>
          <w:rFonts w:hint="eastAsia" w:ascii="仿宋_GB2312" w:eastAsia="仿宋_GB2312"/>
          <w:sz w:val="32"/>
          <w:szCs w:val="32"/>
        </w:rPr>
        <w:t>（3）……</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rPr>
      </w:pPr>
      <w:r>
        <w:rPr>
          <w:rFonts w:hint="eastAsia" w:ascii="仿宋_GB2312" w:eastAsia="仿宋_GB2312"/>
          <w:sz w:val="32"/>
          <w:szCs w:val="32"/>
        </w:rPr>
        <w:t>（1）</w:t>
      </w:r>
    </w:p>
    <w:p>
      <w:pPr>
        <w:spacing w:line="580" w:lineRule="exact"/>
        <w:ind w:firstLine="640"/>
        <w:rPr>
          <w:rFonts w:hint="eastAsia" w:ascii="仿宋_GB2312" w:eastAsia="仿宋_GB2312"/>
          <w:sz w:val="32"/>
          <w:szCs w:val="32"/>
        </w:rPr>
      </w:pPr>
      <w:r>
        <w:rPr>
          <w:rFonts w:hint="eastAsia" w:ascii="仿宋_GB2312" w:eastAsia="仿宋_GB2312"/>
          <w:sz w:val="32"/>
          <w:szCs w:val="32"/>
        </w:rPr>
        <w:t>（2）</w:t>
      </w:r>
    </w:p>
    <w:p>
      <w:pPr>
        <w:spacing w:line="580" w:lineRule="exact"/>
        <w:ind w:firstLine="640"/>
        <w:rPr>
          <w:rFonts w:hint="eastAsia" w:ascii="仿宋_GB2312" w:eastAsia="仿宋_GB2312"/>
          <w:sz w:val="32"/>
          <w:szCs w:val="32"/>
        </w:rPr>
      </w:pPr>
      <w:r>
        <w:rPr>
          <w:rFonts w:hint="eastAsia" w:ascii="仿宋_GB2312" w:eastAsia="仿宋_GB2312"/>
          <w:sz w:val="32"/>
          <w:szCs w:val="32"/>
        </w:rPr>
        <w:t>（3）……</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个，涉及金额××元。本次实施绩效自评项目××个，涉及金额××元。评价得分在90分（含90分）以上的××个，评价得分在80-90分（含80分）的××个，评价得分在60-80分（含60分）的××个，评价得分在60分以下的××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4058"/>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81E380D"/>
    <w:rsid w:val="0BA148CA"/>
    <w:rsid w:val="0C1165C4"/>
    <w:rsid w:val="0D6D544B"/>
    <w:rsid w:val="0DD136FE"/>
    <w:rsid w:val="0F8E2C57"/>
    <w:rsid w:val="1059665E"/>
    <w:rsid w:val="10AC13BA"/>
    <w:rsid w:val="11980797"/>
    <w:rsid w:val="145A6C1B"/>
    <w:rsid w:val="14B73493"/>
    <w:rsid w:val="153A60C6"/>
    <w:rsid w:val="167A2FF9"/>
    <w:rsid w:val="17E05399"/>
    <w:rsid w:val="18581C69"/>
    <w:rsid w:val="186D28E5"/>
    <w:rsid w:val="1AEC0734"/>
    <w:rsid w:val="1C203C3A"/>
    <w:rsid w:val="1D1C64D5"/>
    <w:rsid w:val="1DEF20B0"/>
    <w:rsid w:val="1DFF5AF8"/>
    <w:rsid w:val="20F2302E"/>
    <w:rsid w:val="214243FA"/>
    <w:rsid w:val="21AD613C"/>
    <w:rsid w:val="22467189"/>
    <w:rsid w:val="257A14F5"/>
    <w:rsid w:val="25F71EA4"/>
    <w:rsid w:val="27196C26"/>
    <w:rsid w:val="28BA4436"/>
    <w:rsid w:val="29EF086F"/>
    <w:rsid w:val="2A014A0F"/>
    <w:rsid w:val="2C6523ED"/>
    <w:rsid w:val="2EFFE297"/>
    <w:rsid w:val="301437CA"/>
    <w:rsid w:val="30CA3C7A"/>
    <w:rsid w:val="30F1583B"/>
    <w:rsid w:val="32791381"/>
    <w:rsid w:val="33F815C2"/>
    <w:rsid w:val="34385846"/>
    <w:rsid w:val="349D1F0A"/>
    <w:rsid w:val="34DD0473"/>
    <w:rsid w:val="3602021F"/>
    <w:rsid w:val="384109B7"/>
    <w:rsid w:val="3A130763"/>
    <w:rsid w:val="3AED0EC4"/>
    <w:rsid w:val="3C181CA7"/>
    <w:rsid w:val="3C684897"/>
    <w:rsid w:val="403453C1"/>
    <w:rsid w:val="41C6204F"/>
    <w:rsid w:val="433E495C"/>
    <w:rsid w:val="489F2FD7"/>
    <w:rsid w:val="4AC27CB3"/>
    <w:rsid w:val="4BA0058F"/>
    <w:rsid w:val="4BE417D4"/>
    <w:rsid w:val="4BF72BEF"/>
    <w:rsid w:val="4ECE3E06"/>
    <w:rsid w:val="4FA90297"/>
    <w:rsid w:val="4FC41A43"/>
    <w:rsid w:val="51DB3C59"/>
    <w:rsid w:val="550C0952"/>
    <w:rsid w:val="55762E42"/>
    <w:rsid w:val="55C5485E"/>
    <w:rsid w:val="57A7B272"/>
    <w:rsid w:val="58470068"/>
    <w:rsid w:val="58747CAC"/>
    <w:rsid w:val="5A1720F9"/>
    <w:rsid w:val="5B9C37C2"/>
    <w:rsid w:val="5BA7C654"/>
    <w:rsid w:val="60A54109"/>
    <w:rsid w:val="61D01CDF"/>
    <w:rsid w:val="62954582"/>
    <w:rsid w:val="62EA0724"/>
    <w:rsid w:val="64C0607C"/>
    <w:rsid w:val="65756C86"/>
    <w:rsid w:val="65913B77"/>
    <w:rsid w:val="674D385B"/>
    <w:rsid w:val="676F09E1"/>
    <w:rsid w:val="692806A9"/>
    <w:rsid w:val="69D15259"/>
    <w:rsid w:val="6CB200E5"/>
    <w:rsid w:val="71793A80"/>
    <w:rsid w:val="7357290B"/>
    <w:rsid w:val="7561630C"/>
    <w:rsid w:val="77195BE3"/>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1411.88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delete val="1"/>
            </c:dLbl>
            <c:dLbl>
              <c:idx val="3"/>
              <c:delete val="1"/>
            </c:dLbl>
            <c:dLbl>
              <c:idx val="4"/>
              <c:delete val="1"/>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1377.94</c:v>
                </c:pt>
                <c:pt idx="1">
                  <c:v>33.95</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5</TotalTime>
  <ScaleCrop>false</ScaleCrop>
  <LinksUpToDate>false</LinksUpToDate>
  <CharactersWithSpaces>6191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nyjyj</cp:lastModifiedBy>
  <cp:lastPrinted>2020-08-07T11:39:00Z</cp:lastPrinted>
  <dcterms:modified xsi:type="dcterms:W3CDTF">2026-09-07T02:42:50Z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