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auto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eastAsia="zh-CN"/>
        </w:rPr>
        <w:t>北京市门头沟区农业农村局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20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年</w:t>
      </w:r>
    </w:p>
    <w:p>
      <w:pPr>
        <w:widowControl/>
        <w:shd w:val="clear" w:color="auto" w:fill="FFFFFF"/>
        <w:spacing w:line="360" w:lineRule="auto"/>
        <w:jc w:val="center"/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333333"/>
          <w:kern w:val="0"/>
          <w:sz w:val="36"/>
          <w:szCs w:val="36"/>
        </w:rPr>
        <w:t>政府信息公开工作年度报告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hAnsi="宋体" w:eastAsia="仿宋_GB2312" w:cs="宋体"/>
          <w:spacing w:val="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spacing w:val="0"/>
          <w:kern w:val="0"/>
          <w:sz w:val="32"/>
          <w:szCs w:val="32"/>
        </w:rPr>
        <w:t>依据《中华人民共和国政府信息公开条例》第五十条之规定，制作本报告。</w:t>
      </w:r>
    </w:p>
    <w:p>
      <w:pPr>
        <w:numPr>
          <w:ilvl w:val="0"/>
          <w:numId w:val="1"/>
        </w:numPr>
        <w:adjustRightInd w:val="0"/>
        <w:snapToGrid w:val="0"/>
        <w:spacing w:line="560" w:lineRule="exact"/>
        <w:ind w:firstLine="800" w:firstLineChars="2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总体情况</w:t>
      </w:r>
    </w:p>
    <w:p>
      <w:pPr>
        <w:numPr>
          <w:ilvl w:val="0"/>
          <w:numId w:val="0"/>
        </w:numPr>
        <w:adjustRightInd w:val="0"/>
        <w:snapToGrid w:val="0"/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本部门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政务公开工作紧紧围绕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“三农”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重点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，着力提升政务公开质量，加强政策解读和政务舆情回应，深化重点领域信息公开，完善政务公开制度规范，以公开稳预期、强监督、促落实、优服务，进一步提高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本部门的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政府治理能力，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加大农业综合执法力度，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促进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农村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经济持续健康发展和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农村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大局稳定发挥积极作用。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信息公开总体情况包括以下几点：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（一）严格落实公开职责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加强组织建设。根据单位实际</w:t>
      </w:r>
      <w:r>
        <w:rPr>
          <w:rFonts w:hint="eastAsia" w:ascii="仿宋_GB2312" w:hAnsi="仿宋_GB2312" w:eastAsia="仿宋_GB2312" w:cs="仿宋_GB2312"/>
          <w:sz w:val="32"/>
          <w:szCs w:val="32"/>
        </w:rPr>
        <w:t>，成立由局长任组长，分管领导为副组长，局机关各科室和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</w:t>
      </w:r>
      <w:r>
        <w:rPr>
          <w:rFonts w:hint="eastAsia" w:ascii="仿宋_GB2312" w:hAnsi="仿宋_GB2312" w:eastAsia="仿宋_GB2312" w:cs="仿宋_GB2312"/>
          <w:sz w:val="32"/>
          <w:szCs w:val="32"/>
        </w:rPr>
        <w:t>属各单位负责人为成员的政务公开工作领导小组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和工作小组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具体工作由局</w:t>
      </w:r>
      <w:r>
        <w:rPr>
          <w:rFonts w:hint="eastAsia" w:ascii="仿宋_GB2312" w:hAnsi="仿宋_GB2312" w:eastAsia="仿宋_GB2312" w:cs="仿宋_GB2312"/>
          <w:sz w:val="32"/>
          <w:szCs w:val="32"/>
        </w:rPr>
        <w:t>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牵总头，并负责实施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流程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规范政府信息制作、获取、保存、公开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公开内容严格按照流程执行。各部门遵守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内容要求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、时限，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并严格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拟定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公开信息，办公室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专人</w:t>
      </w:r>
      <w:r>
        <w:rPr>
          <w:rFonts w:hint="eastAsia" w:ascii="仿宋_GB2312" w:hAnsi="仿宋_GB2312" w:eastAsia="仿宋_GB2312" w:cs="仿宋_GB2312"/>
          <w:sz w:val="32"/>
          <w:szCs w:val="32"/>
        </w:rPr>
        <w:t>对拟公开信息进行文字审稿，分管领导对拟发布信息进行审批，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最后按时</w:t>
      </w:r>
      <w:r>
        <w:rPr>
          <w:rFonts w:hint="eastAsia" w:ascii="仿宋_GB2312" w:hAnsi="仿宋_GB2312" w:eastAsia="仿宋_GB2312" w:cs="仿宋_GB2312"/>
          <w:sz w:val="32"/>
          <w:szCs w:val="32"/>
        </w:rPr>
        <w:t>发布信息。严格落实公开前保密审查机制，妥善处理好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政府信息公开、</w:t>
      </w:r>
      <w:r>
        <w:rPr>
          <w:rFonts w:hint="eastAsia" w:ascii="仿宋_GB2312" w:hAnsi="仿宋_GB2312" w:eastAsia="仿宋_GB2312" w:cs="仿宋_GB2312"/>
          <w:sz w:val="32"/>
          <w:szCs w:val="32"/>
        </w:rPr>
        <w:t>政务公开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与</w:t>
      </w:r>
      <w:r>
        <w:rPr>
          <w:rFonts w:hint="eastAsia" w:ascii="仿宋_GB2312" w:hAnsi="仿宋_GB2312" w:eastAsia="仿宋_GB2312" w:cs="仿宋_GB2312"/>
          <w:sz w:val="32"/>
          <w:szCs w:val="32"/>
        </w:rPr>
        <w:t>保守国家秘密的关系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，确保不出现失泄密问题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（二）规范公开内容，深化重点领域信息公开。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按照《北京市20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年政务公开工作要点》相关要求，结合单位实际，认真梳理工作职能，按照全</w:t>
      </w:r>
      <w:r>
        <w:rPr>
          <w:rFonts w:hint="eastAsia" w:ascii="仿宋_GB2312" w:hAnsi="仿宋_GB2312" w:eastAsia="仿宋_GB2312" w:cs="仿宋_GB2312"/>
          <w:sz w:val="32"/>
          <w:szCs w:val="32"/>
        </w:rPr>
        <w:t>清单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目录要求，主动公开相关信息。对低收入帮扶任务、农村人居环境整治任务落实情况重点公开。做好美丽乡村建设专项行动计划、“百村示范、千村整治”工程信息重点公开。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（三）做好信息公开宣传工作。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本部门严格落实信息公开工作，加大对基层的宣传力度，对必须公开的信息一定公，对涉及群众密切相关的涉农、扶贫政策信息必须公开，报告群众的切身利益。保障群众生活有真正的获得感和幸福感。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（四）严格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依照全清单公开。</w:t>
      </w:r>
    </w:p>
    <w:p>
      <w:pPr>
        <w:spacing w:line="560" w:lineRule="exact"/>
        <w:ind w:firstLine="960" w:firstLineChars="3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1、主动公开情况。2020年，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严格按照《中华人民共和国政府信息公开条例》要求，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随时更新信息</w:t>
      </w:r>
      <w:r>
        <w:rPr>
          <w:rFonts w:hint="eastAsia" w:ascii="仿宋_GB2312" w:hAnsi="仿宋_GB2312" w:eastAsia="仿宋_GB2312" w:cs="仿宋_GB2312"/>
          <w:sz w:val="32"/>
          <w:szCs w:val="32"/>
        </w:rPr>
        <w:t>公开指南，告知信息获取方式、公开受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理机构的名称、办公地址、办公时间、联系电话、电子邮箱等，确保群众可快速、便捷、及时获取相关信息。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根据“三定方案”，及时公开机构职能等重要信息。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本年度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严格按照信息公开流程，做好了信息及时准确的公开。截止十二月底，共计公开信息80篇，按类别分，其中机构职责1篇，法规文件1篇，计划规划2篇，业务动态76篇；更新各类信息、年度报告、办事指南共计46篇。严格按照要求，做好了信息公开数据统计报送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2、执行公开部分。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一是认真汇总形成并公布本部门随机抽查事项清单，明确抽查依据、主体、内容、方式等，及时在北京市和区政府网站公开抽查结果。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二是严格落实行政执法公示制度，在区政务网站上设立“区农业综合执法大队”专栏，明确相应的职责、联系方式、咨询服务、监督投诉等信息。行政许可和行政处罚情况按要求公开。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3、收到和处理政府信息公开申请情况。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全年未收到依申请公开政府信息相关申请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4、政府信息公开行政复议、行政诉讼无情况。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全年未收到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政府信息公开行政复议、行政诉讼申请。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numPr>
          <w:ilvl w:val="0"/>
          <w:numId w:val="1"/>
        </w:numPr>
        <w:spacing w:line="560" w:lineRule="exact"/>
        <w:ind w:firstLine="800" w:firstLineChars="25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主动公开政府信息情况</w:t>
      </w:r>
    </w:p>
    <w:tbl>
      <w:tblPr>
        <w:tblStyle w:val="6"/>
        <w:tblpPr w:leftFromText="180" w:rightFromText="180" w:vertAnchor="text" w:horzAnchor="page" w:tblpX="1219" w:tblpY="795"/>
        <w:tblOverlap w:val="never"/>
        <w:tblW w:w="95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713"/>
        <w:gridCol w:w="2477"/>
        <w:gridCol w:w="2236"/>
        <w:gridCol w:w="946"/>
        <w:gridCol w:w="120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本年新制作数量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本年新公开数量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对外公开总数量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规章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规范性文件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行政许可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21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/>
                <w:color w:val="000000"/>
                <w:lang w:val="en-US" w:eastAsia="zh-CN"/>
              </w:rPr>
              <w:t>+7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/>
                <w:color w:val="000000"/>
                <w:lang w:val="en-US" w:eastAsia="zh-CN"/>
              </w:rPr>
              <w:t>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</w:trPr>
        <w:tc>
          <w:tcPr>
            <w:tcW w:w="27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其他对外管理服务事项</w:t>
            </w: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行政检查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25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7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行政确认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+1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本年增/减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行政处罚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386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行政强制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</w:t>
            </w:r>
          </w:p>
        </w:tc>
        <w:tc>
          <w:tcPr>
            <w:tcW w:w="9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2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上一年项目数量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本年增/减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行政事业性收费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9579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6D9F1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第二十条第（九）项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信息内容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采购项目数量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采购总金额（万元，保留四位小数）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519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政府集中采购</w:t>
            </w:r>
          </w:p>
        </w:tc>
        <w:tc>
          <w:tcPr>
            <w:tcW w:w="22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21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6F4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498.0520</w:t>
            </w:r>
            <w:r>
              <w:rPr>
                <w:rFonts w:hint="eastAsia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万元</w:t>
            </w:r>
          </w:p>
        </w:tc>
      </w:tr>
    </w:tbl>
    <w:p>
      <w:pPr>
        <w:numPr>
          <w:ilvl w:val="0"/>
          <w:numId w:val="0"/>
        </w:numPr>
        <w:spacing w:line="56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三、收到和处理政府信息公开申请情况</w:t>
      </w:r>
    </w:p>
    <w:tbl>
      <w:tblPr>
        <w:tblStyle w:val="6"/>
        <w:tblW w:w="9643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36"/>
        <w:gridCol w:w="736"/>
        <w:gridCol w:w="1994"/>
        <w:gridCol w:w="795"/>
        <w:gridCol w:w="795"/>
        <w:gridCol w:w="796"/>
        <w:gridCol w:w="917"/>
        <w:gridCol w:w="984"/>
        <w:gridCol w:w="797"/>
        <w:gridCol w:w="10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617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9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自然人</w:t>
            </w:r>
          </w:p>
        </w:tc>
        <w:tc>
          <w:tcPr>
            <w:tcW w:w="428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法人或其他组织</w:t>
            </w:r>
          </w:p>
        </w:tc>
        <w:tc>
          <w:tcPr>
            <w:tcW w:w="1093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9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商业企业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科研机构</w:t>
            </w:r>
          </w:p>
        </w:tc>
        <w:tc>
          <w:tcPr>
            <w:tcW w:w="9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社会公益组织</w:t>
            </w:r>
          </w:p>
        </w:tc>
        <w:tc>
          <w:tcPr>
            <w:tcW w:w="9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法律服务机构</w:t>
            </w:r>
          </w:p>
        </w:tc>
        <w:tc>
          <w:tcPr>
            <w:tcW w:w="7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其他</w:t>
            </w:r>
          </w:p>
        </w:tc>
        <w:tc>
          <w:tcPr>
            <w:tcW w:w="1093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6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三、本年度办理结果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（一）予以公开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（三）不予公开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1.属于国家秘密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2.其他法律行政法规禁止公开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3.危及“三安全一稳定”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4.保护第三方合法权益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5.属于三类内部事务信息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6.属于四类过程性信息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7.属于行政执法案卷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8.属于行政查询事项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（四）无法提供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1.本机关不掌握相关政府信息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2.没有现成信息需要另行制作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3.补正后申请内容仍不明确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3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（五）不予处理</w:t>
            </w: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1.信访举报投诉类申请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2.重复申请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3.要求提供公开出版物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4.无正当理由大量反复申请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73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（六）其他处理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36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27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（七）总计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46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color w:val="000000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四、结转下年度继续办理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9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7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color w:val="000000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default" w:ascii="Calibri" w:hAnsi="Calibri" w:eastAsia="宋体" w:cs="Calibri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0</w:t>
            </w:r>
          </w:p>
        </w:tc>
      </w:tr>
    </w:tbl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政府信息公开行政复议、行政诉讼情况</w:t>
      </w:r>
    </w:p>
    <w:tbl>
      <w:tblPr>
        <w:tblStyle w:val="6"/>
        <w:tblW w:w="9582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111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行政复议</w:t>
            </w:r>
          </w:p>
        </w:tc>
        <w:tc>
          <w:tcPr>
            <w:tcW w:w="650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未经复议直接起诉</w:t>
            </w:r>
          </w:p>
        </w:tc>
        <w:tc>
          <w:tcPr>
            <w:tcW w:w="353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color w:val="000000"/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尚未审结</w:t>
            </w:r>
          </w:p>
        </w:tc>
        <w:tc>
          <w:tcPr>
            <w:tcW w:w="111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  <w:lang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color w:val="000000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111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E6F4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color w:val="000000"/>
                <w:sz w:val="24"/>
                <w:lang w:val="en-US" w:eastAsia="zh-CN"/>
              </w:rPr>
            </w:pPr>
            <w:r>
              <w:rPr>
                <w:rFonts w:hint="eastAsia" w:cs="Calibri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spacing w:line="560" w:lineRule="exact"/>
        <w:ind w:firstLine="320" w:firstLineChars="1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五、政府信息公开工作存在的主要问题及改进情况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1、存在问题：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农村局成立第一年多来，单位各级领导非常重视政务公开和政府信息公开工作，从工作的总体来看，运行状况持续平稳，考核成绩良好。但是在某些方面也存在一些不足。主要有：一是思想认识不足，亟需提高；二是文章创作不精，亟需改进；三是人员配置有限，亟需完善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2、下一步应改进：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（一）加强学习。对全体干部职工开展相关业务知识学习培训，提高觉悟，增强意识，领会信息公开工作的重要性，不断在学习中提升干部职工的工作水平，从而提高队伍整体水平。</w:t>
      </w:r>
    </w:p>
    <w:p>
      <w:pPr>
        <w:spacing w:line="56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（二）理清职责，落实责任。做好信息公开源头的认定。信息来自于部门、科室，根据职责全面落实主动公开的信息内容。明确责任属性，严格规范审批程序。补充公开内容，加强重点领域信息的发布。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完善队伍建设。按照公开工作流程，严格配齐每个环节人员。从源头、审核、审批、公开等重要环节，配备专人负责。挖掘信息资源，积极鼓励各部门提供优质高效的信息，充分调动信息员的创作积极性，做到效率和质量兼顾，充分发挥部门信息效应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六、其他需要报告的事项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如需要了解本部门政府信息公开更多信息，请市民查询北京市门头沟区农业农村局门户网站，网址为：http://www.bjmtg.gov.cn/zfxxgk/mtg11J003/zxgk/mtgqbm_list_zxgk.shtml。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EFF1E0B"/>
    <w:multiLevelType w:val="singleLevel"/>
    <w:tmpl w:val="EEFF1E0B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D7264E"/>
    <w:multiLevelType w:val="singleLevel"/>
    <w:tmpl w:val="5FD7264E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26130"/>
    <w:rsid w:val="00D52D61"/>
    <w:rsid w:val="01235E34"/>
    <w:rsid w:val="02351B90"/>
    <w:rsid w:val="07DF4AEA"/>
    <w:rsid w:val="08A8039F"/>
    <w:rsid w:val="0B1D6FE3"/>
    <w:rsid w:val="0B29396B"/>
    <w:rsid w:val="0B637883"/>
    <w:rsid w:val="0D4E588C"/>
    <w:rsid w:val="0D526E1A"/>
    <w:rsid w:val="0DFB2D6B"/>
    <w:rsid w:val="11A34251"/>
    <w:rsid w:val="11FB024A"/>
    <w:rsid w:val="120109C8"/>
    <w:rsid w:val="12230DF5"/>
    <w:rsid w:val="13393B21"/>
    <w:rsid w:val="13D70283"/>
    <w:rsid w:val="14C76E4E"/>
    <w:rsid w:val="14CF5B85"/>
    <w:rsid w:val="15A77D0A"/>
    <w:rsid w:val="16743A12"/>
    <w:rsid w:val="16DE3D96"/>
    <w:rsid w:val="17BB668C"/>
    <w:rsid w:val="185739BD"/>
    <w:rsid w:val="18F16445"/>
    <w:rsid w:val="19DD71AE"/>
    <w:rsid w:val="19EA284A"/>
    <w:rsid w:val="1AC858E9"/>
    <w:rsid w:val="1B0D1105"/>
    <w:rsid w:val="1B594A0A"/>
    <w:rsid w:val="1EBD35ED"/>
    <w:rsid w:val="2246159D"/>
    <w:rsid w:val="22BF72F2"/>
    <w:rsid w:val="25862A60"/>
    <w:rsid w:val="25F71FF7"/>
    <w:rsid w:val="26A34471"/>
    <w:rsid w:val="287242EF"/>
    <w:rsid w:val="2A9F5732"/>
    <w:rsid w:val="2B71664E"/>
    <w:rsid w:val="2D367D24"/>
    <w:rsid w:val="2EB90A70"/>
    <w:rsid w:val="307B6F13"/>
    <w:rsid w:val="311724A6"/>
    <w:rsid w:val="31C02E5A"/>
    <w:rsid w:val="31F01848"/>
    <w:rsid w:val="332D3C5C"/>
    <w:rsid w:val="35532E92"/>
    <w:rsid w:val="359D7DCB"/>
    <w:rsid w:val="38462C6C"/>
    <w:rsid w:val="39615966"/>
    <w:rsid w:val="39632FA8"/>
    <w:rsid w:val="39682E54"/>
    <w:rsid w:val="3AB05CB1"/>
    <w:rsid w:val="3AE42D02"/>
    <w:rsid w:val="3B6C4855"/>
    <w:rsid w:val="3D806F89"/>
    <w:rsid w:val="3E6749E4"/>
    <w:rsid w:val="3ED34F55"/>
    <w:rsid w:val="3F3B2BCF"/>
    <w:rsid w:val="3FC05A2E"/>
    <w:rsid w:val="410C45D2"/>
    <w:rsid w:val="428D4482"/>
    <w:rsid w:val="42AE613C"/>
    <w:rsid w:val="446039E6"/>
    <w:rsid w:val="44AE3738"/>
    <w:rsid w:val="45681454"/>
    <w:rsid w:val="478E7508"/>
    <w:rsid w:val="47B05DFE"/>
    <w:rsid w:val="49D55BAF"/>
    <w:rsid w:val="4AEA473B"/>
    <w:rsid w:val="4BF72764"/>
    <w:rsid w:val="4C050474"/>
    <w:rsid w:val="4D1D58A6"/>
    <w:rsid w:val="4E6A5064"/>
    <w:rsid w:val="4EDA7B66"/>
    <w:rsid w:val="4FEE25DB"/>
    <w:rsid w:val="4FFA104F"/>
    <w:rsid w:val="50361503"/>
    <w:rsid w:val="516D75E0"/>
    <w:rsid w:val="51A04B70"/>
    <w:rsid w:val="51F92C16"/>
    <w:rsid w:val="53EC0D89"/>
    <w:rsid w:val="546136B1"/>
    <w:rsid w:val="58344F23"/>
    <w:rsid w:val="5A1F4479"/>
    <w:rsid w:val="5A341272"/>
    <w:rsid w:val="5B9570D5"/>
    <w:rsid w:val="5B9B75B5"/>
    <w:rsid w:val="5D220482"/>
    <w:rsid w:val="604B0C55"/>
    <w:rsid w:val="60A277AC"/>
    <w:rsid w:val="61723590"/>
    <w:rsid w:val="61833314"/>
    <w:rsid w:val="61D82952"/>
    <w:rsid w:val="62263120"/>
    <w:rsid w:val="6377459F"/>
    <w:rsid w:val="63A51ACF"/>
    <w:rsid w:val="63D35E1D"/>
    <w:rsid w:val="647B663C"/>
    <w:rsid w:val="655D500F"/>
    <w:rsid w:val="6CB71B5C"/>
    <w:rsid w:val="6EC6148B"/>
    <w:rsid w:val="6EF4754C"/>
    <w:rsid w:val="6EFF318D"/>
    <w:rsid w:val="706F2F9B"/>
    <w:rsid w:val="71F00F76"/>
    <w:rsid w:val="71F27C04"/>
    <w:rsid w:val="722C4688"/>
    <w:rsid w:val="72F94912"/>
    <w:rsid w:val="74D61D64"/>
    <w:rsid w:val="77593B50"/>
    <w:rsid w:val="776D41B3"/>
    <w:rsid w:val="7B676FFF"/>
    <w:rsid w:val="7B8254AB"/>
    <w:rsid w:val="7C6A4413"/>
    <w:rsid w:val="7D1C52FF"/>
    <w:rsid w:val="7DBA0CB6"/>
    <w:rsid w:val="7DCF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qFormat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Ken Hua</dc:creator>
  <cp:lastModifiedBy>nyj-zdb-1</cp:lastModifiedBy>
  <dcterms:modified xsi:type="dcterms:W3CDTF">2021-01-18T06:32:49Z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