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both"/>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 xml:space="preserve">1.贯彻执行国家和本市有关法律法规、战略规划和政策措施；组织监督实施本市关于城市管理和城乡环境建设综合协调、市容环境卫生管理、能源日常运行管理、相关市政公用事业管理等方面的地方性法规、政府规章，拟订城市管理等方面的发展规划、年度计划，并组织实施；组织监督实施相关地方标准和规范。 </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2.负责对本区城市管理工作的业务指导、组织协调、指挥调度、专项整治和检查评价；承担城市管理、城乡环境建设的综合协调、监督考核工作；承担本区城乡环境建设管理委员会的日常工作。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3.承担本区城市容貌管理责任；组织协调落实重点地区、重点街道的景观建设和治理工作；组织协调、管理城市道路公共服务设施设置；负责市容环境综合整治工作，组织架空线入地和规范整治工作；负责管理户外广告、牌匾标识、标语、宣传品设置；负责区管城市道路路牌的设置管理和违法违规行为的监管；负责城市照明管理工作，会同规划部门编制夜景照明专项规划并组织实施，监督照明设施的维护管理。</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4.负责本区环境卫生的组织管理工作；承担生活垃圾等固体废弃物清扫、收集、贮存、运输和处置的监督管理责任；负责本区垃圾渣土消纳和消纳场所的管理工作；负责指导、管理环境卫生设施建设工作；负责垃圾分类工作，按有关规定对再生资源回收行业进行监督管理。</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5.负责本区燃气、供热、煤炭、电力、电源点的行业管理；负责加油（气）站管理的综合协调；负责新能源汽车充电站（桩）的建设和运营管理。</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6.统筹本区能源日常运行工作，承担煤、电、油、气等能源的日常运行监测、调度、协调和供应保障工作；建立健全热电气常态化联调联供机制。</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7.负责本区市政基础设施规划、统筹、协调，以及区管市政基础设施建设的行业管理；负责区管城市道路、桥梁等设施养护的监督管理；负责本区经营性停车设施和自行车设施的行业管理；承担综合协调管理本区地下管线及其检查井和井盖设施的责任；推进地下管线工程与道路工程同步实施；负责地下综合管廊规划、建设和运营的综合协调管理，制定相关政策，参与编制地下综合管廊规划，拟订年度建设计划，负责地下综合管廊运营的监督管理；承担相关市政设施建设的统筹协调工作，建立市政设施工程规划、建设、管理有效衔接机制,参与相关建设工程的联合验收。</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8.负责本区石油、天然气管道（不包括炼油、化工等企业厂区内管道）保护工作，并承担相应监管职责。</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9.按照区政府工作部门、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的行业管理和安全运行的监督管理；督促行业内重点单位建立安全管理制度和应急预案，落实安全防范措施，消除事故隐患，并在职责权限范围内负责监管；承担区城市公共设施事故应急指挥部、区电力事故应急指挥部、区扫雪铲冰指挥部的具体工作，负责组织、协调、指导、检查城市公共设施事故的预防和应对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10.负责本区市容环境卫生管理、能源日常运行管理、相关市政公用事业管理等方面科技发展和信息化建设工作；承担本区城市管理财政预算运维资金的统筹管理责任;组织开展对外交流合作。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11.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12.负责集中行使法律、法规、规章规定的应由本区区级城管执法部门行使的城市管理领域行政执法职责。负责本区相关领域重大疑难案件和跨区域案件的查处工作。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13.承办区委、区政府和上级部门交办的其他事项。</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widowControl/>
        <w:spacing w:line="560" w:lineRule="exact"/>
        <w:ind w:firstLine="640" w:firstLineChars="200"/>
      </w:pPr>
      <w:r>
        <w:rPr>
          <w:rFonts w:hint="eastAsia" w:ascii="仿宋_GB2312" w:hAnsi="宋体" w:eastAsia="仿宋_GB2312" w:cs="宋体"/>
          <w:kern w:val="0"/>
          <w:sz w:val="32"/>
          <w:szCs w:val="32"/>
          <w:lang w:eastAsia="zh-CN"/>
        </w:rPr>
        <w:t>本部门共设6个内设机构，下设1个行政单位、1个事业单位。</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总计800,733,961.39元，</w:t>
      </w:r>
      <w:r>
        <w:rPr>
          <w:rFonts w:ascii="仿宋_GB2312" w:eastAsia="仿宋_GB2312"/>
          <w:sz w:val="28"/>
          <w:szCs w:val="28"/>
        </w:rPr>
        <w:t>比上年增加</w:t>
      </w:r>
      <w:r>
        <w:rPr>
          <w:rFonts w:hint="eastAsia" w:ascii="仿宋_GB2312" w:eastAsia="仿宋_GB2312"/>
          <w:sz w:val="28"/>
          <w:szCs w:val="28"/>
          <w:lang w:val="en-US" w:eastAsia="zh-CN"/>
        </w:rPr>
        <w:t>203,764,938.89</w:t>
      </w:r>
      <w:r>
        <w:rPr>
          <w:rFonts w:hint="eastAsia" w:ascii="仿宋_GB2312" w:eastAsia="仿宋_GB2312"/>
          <w:sz w:val="28"/>
          <w:szCs w:val="28"/>
        </w:rPr>
        <w:t>元，增长</w:t>
      </w:r>
      <w:r>
        <w:rPr>
          <w:rFonts w:hint="eastAsia" w:ascii="仿宋_GB2312" w:eastAsia="仿宋_GB2312"/>
          <w:sz w:val="28"/>
          <w:szCs w:val="28"/>
          <w:lang w:val="en-US" w:eastAsia="zh-CN"/>
        </w:rPr>
        <w:t>34.1</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2025年度本年收入合计</w:t>
      </w:r>
      <w:r>
        <w:rPr>
          <w:rFonts w:hint="eastAsia" w:ascii="仿宋_GB2312" w:eastAsia="仿宋_GB2312"/>
          <w:sz w:val="28"/>
          <w:szCs w:val="28"/>
          <w:lang w:val="en-US" w:eastAsia="zh-CN"/>
        </w:rPr>
        <w:t>793,917,254.65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232,846,874.74</w:t>
      </w:r>
      <w:r>
        <w:rPr>
          <w:rFonts w:hint="eastAsia" w:ascii="仿宋_GB2312" w:eastAsia="仿宋_GB2312"/>
          <w:sz w:val="28"/>
          <w:szCs w:val="28"/>
        </w:rPr>
        <w:t>元，增长</w:t>
      </w:r>
      <w:r>
        <w:rPr>
          <w:rFonts w:hint="eastAsia" w:ascii="仿宋_GB2312" w:eastAsia="仿宋_GB2312"/>
          <w:sz w:val="28"/>
          <w:szCs w:val="28"/>
          <w:lang w:val="en-US" w:eastAsia="zh-CN"/>
        </w:rPr>
        <w:t>41.5</w:t>
      </w:r>
      <w:r>
        <w:rPr>
          <w:rFonts w:hint="eastAsia" w:ascii="仿宋_GB2312" w:eastAsia="仿宋_GB2312"/>
          <w:sz w:val="28"/>
          <w:szCs w:val="28"/>
        </w:rPr>
        <w:t>%。</w:t>
      </w:r>
    </w:p>
    <w:p>
      <w:pPr>
        <w:tabs>
          <w:tab w:val="center" w:pos="6979"/>
        </w:tabs>
        <w:spacing w:line="580" w:lineRule="exact"/>
        <w:ind w:firstLine="560" w:firstLineChars="200"/>
      </w:pPr>
      <w:r>
        <w:rPr>
          <w:rFonts w:hint="eastAsia" w:ascii="仿宋_GB2312" w:eastAsia="仿宋_GB2312"/>
          <w:sz w:val="28"/>
          <w:szCs w:val="28"/>
        </w:rPr>
        <w:t>1.财政拨款收入</w:t>
      </w:r>
      <w:r>
        <w:rPr>
          <w:rFonts w:hint="eastAsia" w:ascii="仿宋_GB2312" w:eastAsia="仿宋_GB2312"/>
          <w:sz w:val="28"/>
          <w:szCs w:val="28"/>
          <w:lang w:val="en-US" w:eastAsia="zh-CN"/>
        </w:rPr>
        <w:t>793,917,254.65</w:t>
      </w:r>
      <w:r>
        <w:rPr>
          <w:rFonts w:hint="eastAsia" w:ascii="仿宋_GB2312" w:eastAsia="仿宋_GB2312"/>
          <w:sz w:val="28"/>
          <w:szCs w:val="28"/>
        </w:rPr>
        <w:t>元，占收入合计的</w:t>
      </w:r>
      <w:r>
        <w:rPr>
          <w:rFonts w:hint="eastAsia" w:ascii="仿宋_GB2312" w:eastAsia="仿宋_GB2312"/>
          <w:sz w:val="28"/>
          <w:szCs w:val="28"/>
          <w:lang w:val="en-US" w:eastAsia="zh-CN"/>
        </w:rPr>
        <w:t>100.0</w:t>
      </w:r>
      <w:r>
        <w:rPr>
          <w:rFonts w:hint="eastAsia" w:ascii="仿宋_GB2312" w:eastAsia="仿宋_GB2312"/>
          <w:sz w:val="28"/>
          <w:szCs w:val="28"/>
          <w:lang w:eastAsia="zh-CN"/>
        </w:rPr>
        <w:t>%</w:t>
      </w:r>
      <w:r>
        <w:rPr>
          <w:rFonts w:hint="eastAsia" w:ascii="仿宋_GB2312" w:eastAsia="仿宋_GB2312"/>
          <w:sz w:val="28"/>
          <w:szCs w:val="28"/>
        </w:rPr>
        <w:t>。其中：一般公共预算财政拨款收入</w:t>
      </w:r>
      <w:r>
        <w:rPr>
          <w:rFonts w:hint="eastAsia" w:ascii="仿宋_GB2312" w:eastAsia="仿宋_GB2312"/>
          <w:sz w:val="28"/>
          <w:szCs w:val="28"/>
          <w:lang w:val="en-US" w:eastAsia="zh-CN"/>
        </w:rPr>
        <w:t>607,673,130.51</w:t>
      </w:r>
      <w:r>
        <w:rPr>
          <w:rFonts w:hint="eastAsia" w:ascii="仿宋_GB2312" w:eastAsia="仿宋_GB2312"/>
          <w:sz w:val="28"/>
          <w:szCs w:val="28"/>
        </w:rPr>
        <w:t>元，占收入合计的</w:t>
      </w:r>
      <w:r>
        <w:rPr>
          <w:rFonts w:hint="eastAsia" w:ascii="仿宋_GB2312" w:eastAsia="仿宋_GB2312"/>
          <w:sz w:val="28"/>
          <w:szCs w:val="28"/>
          <w:lang w:val="en-US" w:eastAsia="zh-CN"/>
        </w:rPr>
        <w:t>76.5</w:t>
      </w:r>
      <w:r>
        <w:rPr>
          <w:rFonts w:hint="eastAsia" w:ascii="仿宋_GB2312" w:eastAsia="仿宋_GB2312"/>
          <w:sz w:val="28"/>
          <w:szCs w:val="28"/>
        </w:rPr>
        <w:t>%；政府性基金预算财政拨款收入</w:t>
      </w:r>
      <w:r>
        <w:rPr>
          <w:rFonts w:hint="eastAsia" w:ascii="仿宋_GB2312" w:eastAsia="仿宋_GB2312"/>
          <w:sz w:val="28"/>
          <w:szCs w:val="28"/>
          <w:lang w:val="en-US" w:eastAsia="zh-CN"/>
        </w:rPr>
        <w:t>186,144,124.14</w:t>
      </w:r>
      <w:r>
        <w:rPr>
          <w:rFonts w:hint="eastAsia" w:ascii="仿宋_GB2312" w:eastAsia="仿宋_GB2312"/>
          <w:sz w:val="28"/>
          <w:szCs w:val="28"/>
        </w:rPr>
        <w:t>元，占收入合计的</w:t>
      </w:r>
      <w:r>
        <w:rPr>
          <w:rFonts w:hint="eastAsia" w:ascii="仿宋_GB2312" w:eastAsia="仿宋_GB2312"/>
          <w:sz w:val="28"/>
          <w:szCs w:val="28"/>
          <w:lang w:val="en-US" w:eastAsia="zh-CN"/>
        </w:rPr>
        <w:t>23.5</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10</w:t>
      </w:r>
      <w:r>
        <w:rPr>
          <w:rFonts w:hint="eastAsia" w:ascii="仿宋_GB2312" w:eastAsia="仿宋_GB2312"/>
          <w:sz w:val="28"/>
          <w:szCs w:val="28"/>
          <w:lang w:val="en-US" w:eastAsia="zh-CN"/>
        </w:rPr>
        <w:t>0,000.00</w:t>
      </w:r>
      <w:r>
        <w:rPr>
          <w:rFonts w:hint="eastAsia" w:ascii="仿宋_GB2312" w:eastAsia="仿宋_GB2312"/>
          <w:sz w:val="28"/>
          <w:szCs w:val="28"/>
        </w:rPr>
        <w:t>元，占收入合计的</w:t>
      </w:r>
      <w:r>
        <w:rPr>
          <w:rFonts w:hint="eastAsia" w:ascii="仿宋_GB2312" w:eastAsia="仿宋_GB2312"/>
          <w:sz w:val="28"/>
          <w:szCs w:val="28"/>
          <w:lang w:eastAsia="zh-CN"/>
        </w:rPr>
        <w:t>0.0</w:t>
      </w:r>
      <w:r>
        <w:rPr>
          <w:rFonts w:hint="eastAsia" w:ascii="仿宋_GB2312" w:eastAsia="仿宋_GB2312"/>
          <w:sz w:val="28"/>
          <w:szCs w:val="28"/>
        </w:rPr>
        <w:t>%。</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度本年支出合计793,865,520.70元，</w:t>
      </w:r>
      <w:r>
        <w:rPr>
          <w:rFonts w:ascii="仿宋_GB2312" w:eastAsia="仿宋_GB2312"/>
          <w:sz w:val="28"/>
          <w:szCs w:val="28"/>
        </w:rPr>
        <w:t>比上年增加</w:t>
      </w:r>
      <w:r>
        <w:rPr>
          <w:rFonts w:hint="eastAsia" w:ascii="仿宋_GB2312" w:eastAsia="仿宋_GB2312"/>
          <w:sz w:val="28"/>
          <w:szCs w:val="28"/>
          <w:lang w:val="en-US" w:eastAsia="zh-CN"/>
        </w:rPr>
        <w:t>203,713,204.94</w:t>
      </w:r>
      <w:r>
        <w:rPr>
          <w:rFonts w:hint="eastAsia" w:ascii="仿宋_GB2312" w:eastAsia="仿宋_GB2312"/>
          <w:sz w:val="28"/>
          <w:szCs w:val="28"/>
        </w:rPr>
        <w:t>元，增长</w:t>
      </w:r>
      <w:r>
        <w:rPr>
          <w:rFonts w:hint="eastAsia" w:ascii="仿宋_GB2312" w:eastAsia="仿宋_GB2312"/>
          <w:sz w:val="28"/>
          <w:szCs w:val="28"/>
          <w:lang w:val="en-US" w:eastAsia="zh-CN"/>
        </w:rPr>
        <w:t>34.5</w:t>
      </w:r>
      <w:r>
        <w:rPr>
          <w:rFonts w:hint="eastAsia" w:ascii="仿宋_GB2312" w:eastAsia="仿宋_GB2312"/>
          <w:sz w:val="28"/>
          <w:szCs w:val="28"/>
        </w:rPr>
        <w:t>%，其中：基本支出50,832,596.12元，占支出合计的</w:t>
      </w:r>
      <w:r>
        <w:rPr>
          <w:rFonts w:hint="eastAsia" w:ascii="仿宋_GB2312" w:eastAsia="仿宋_GB2312"/>
          <w:sz w:val="28"/>
          <w:szCs w:val="28"/>
          <w:lang w:eastAsia="zh-CN"/>
        </w:rPr>
        <w:t>6.4</w:t>
      </w:r>
      <w:r>
        <w:rPr>
          <w:rFonts w:hint="eastAsia" w:ascii="仿宋_GB2312" w:eastAsia="仿宋_GB2312"/>
          <w:sz w:val="28"/>
          <w:szCs w:val="28"/>
        </w:rPr>
        <w:t>%；项目支出743,032,924.58元，占支出合计的</w:t>
      </w:r>
      <w:r>
        <w:rPr>
          <w:rFonts w:hint="eastAsia" w:ascii="仿宋_GB2312" w:eastAsia="仿宋_GB2312"/>
          <w:sz w:val="28"/>
          <w:szCs w:val="28"/>
          <w:lang w:eastAsia="zh-CN"/>
        </w:rPr>
        <w:t>93.6</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lang w:val="en-US" w:eastAsia="zh-CN"/>
        </w:rPr>
        <w:t>.0</w:t>
      </w:r>
      <w:r>
        <w:rPr>
          <w:rFonts w:hint="eastAsia" w:ascii="仿宋_GB2312" w:eastAsia="仿宋_GB2312"/>
          <w:sz w:val="28"/>
          <w:szCs w:val="28"/>
        </w:rPr>
        <w:t>%。</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default"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sz w:val="28"/>
          <w:szCs w:val="28"/>
          <w:lang w:val="en-US" w:eastAsia="zh-CN"/>
        </w:rPr>
        <w:t>794,839,264.96</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203,797,254.49</w:t>
      </w:r>
      <w:r>
        <w:rPr>
          <w:rFonts w:hint="eastAsia" w:ascii="仿宋_GB2312" w:eastAsia="仿宋_GB2312"/>
          <w:sz w:val="28"/>
          <w:szCs w:val="28"/>
        </w:rPr>
        <w:t>元，增长</w:t>
      </w:r>
      <w:r>
        <w:rPr>
          <w:rFonts w:hint="eastAsia" w:ascii="仿宋_GB2312" w:eastAsia="仿宋_GB2312"/>
          <w:sz w:val="28"/>
          <w:szCs w:val="28"/>
          <w:lang w:val="en-US" w:eastAsia="zh-CN"/>
        </w:rPr>
        <w:t>34.5%</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度一般公共预算财政拨款支出</w:t>
      </w:r>
      <w:r>
        <w:rPr>
          <w:rFonts w:hint="eastAsia" w:ascii="仿宋_GB2312" w:eastAsia="仿宋_GB2312"/>
          <w:sz w:val="28"/>
          <w:szCs w:val="28"/>
          <w:lang w:val="en-US" w:eastAsia="zh-CN"/>
        </w:rPr>
        <w:t>607,673,130.51</w:t>
      </w:r>
      <w:r>
        <w:rPr>
          <w:rFonts w:hint="eastAsia" w:ascii="仿宋_GB2312" w:eastAsia="仿宋_GB2312"/>
          <w:sz w:val="28"/>
          <w:szCs w:val="28"/>
        </w:rPr>
        <w:t>元，主要用于以下方面（按大类）：一般公共服务支出</w:t>
      </w:r>
      <w:r>
        <w:rPr>
          <w:rFonts w:hint="eastAsia" w:ascii="仿宋_GB2312" w:eastAsia="仿宋_GB2312"/>
          <w:sz w:val="28"/>
          <w:szCs w:val="28"/>
          <w:lang w:val="en-US" w:eastAsia="zh-CN"/>
        </w:rPr>
        <w:t>5,350,846.05</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0.9</w:t>
      </w:r>
      <w:r>
        <w:rPr>
          <w:rFonts w:hint="eastAsia" w:ascii="仿宋_GB2312" w:eastAsia="仿宋_GB2312"/>
          <w:sz w:val="28"/>
          <w:szCs w:val="28"/>
        </w:rPr>
        <w:t>%；</w:t>
      </w:r>
      <w:r>
        <w:rPr>
          <w:rFonts w:hint="eastAsia" w:ascii="仿宋_GB2312" w:eastAsia="仿宋_GB2312"/>
          <w:sz w:val="28"/>
          <w:szCs w:val="28"/>
          <w:lang w:eastAsia="zh-CN"/>
        </w:rPr>
        <w:t>社会保障合就业支出</w:t>
      </w:r>
      <w:r>
        <w:rPr>
          <w:rFonts w:hint="eastAsia" w:ascii="仿宋_GB2312" w:eastAsia="仿宋_GB2312"/>
          <w:sz w:val="28"/>
          <w:szCs w:val="28"/>
          <w:lang w:val="en-US" w:eastAsia="zh-CN"/>
        </w:rPr>
        <w:t>674,529.82元，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r>
        <w:rPr>
          <w:rFonts w:hint="eastAsia" w:ascii="仿宋_GB2312" w:eastAsia="仿宋_GB2312"/>
          <w:sz w:val="28"/>
          <w:szCs w:val="28"/>
          <w:lang w:eastAsia="zh-CN"/>
        </w:rPr>
        <w:t>节能环保支出</w:t>
      </w:r>
      <w:r>
        <w:rPr>
          <w:rFonts w:hint="eastAsia" w:ascii="仿宋_GB2312" w:eastAsia="仿宋_GB2312"/>
          <w:sz w:val="28"/>
          <w:szCs w:val="28"/>
          <w:lang w:val="en-US" w:eastAsia="zh-CN"/>
        </w:rPr>
        <w:t>157,633,190.94元，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25.9</w:t>
      </w:r>
      <w:r>
        <w:rPr>
          <w:rFonts w:hint="eastAsia" w:ascii="仿宋_GB2312" w:eastAsia="仿宋_GB2312"/>
          <w:sz w:val="28"/>
          <w:szCs w:val="28"/>
        </w:rPr>
        <w:t>%</w:t>
      </w:r>
      <w:r>
        <w:rPr>
          <w:rFonts w:hint="eastAsia" w:ascii="仿宋_GB2312" w:eastAsia="仿宋_GB2312"/>
          <w:sz w:val="28"/>
          <w:szCs w:val="28"/>
          <w:lang w:eastAsia="zh-CN"/>
        </w:rPr>
        <w:t>；城乡社区支出</w:t>
      </w:r>
      <w:r>
        <w:rPr>
          <w:rFonts w:hint="eastAsia" w:ascii="仿宋_GB2312" w:eastAsia="仿宋_GB2312"/>
          <w:sz w:val="28"/>
          <w:szCs w:val="28"/>
          <w:lang w:val="en-US" w:eastAsia="zh-CN"/>
        </w:rPr>
        <w:t>427,767,941.70元，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70.4</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26,622.00元，</w:t>
      </w:r>
      <w:r>
        <w:rPr>
          <w:rFonts w:hint="eastAsia" w:ascii="仿宋_GB2312" w:eastAsia="仿宋_GB2312"/>
          <w:sz w:val="28"/>
          <w:szCs w:val="28"/>
        </w:rPr>
        <w:t xml:space="preserve"> 占本年财政拨款支出</w:t>
      </w:r>
      <w:r>
        <w:rPr>
          <w:rFonts w:hint="eastAsia" w:ascii="仿宋_GB2312" w:eastAsia="仿宋_GB2312"/>
          <w:sz w:val="28"/>
          <w:szCs w:val="28"/>
          <w:lang w:val="en-US" w:eastAsia="zh-CN"/>
        </w:rPr>
        <w:t>0.0</w:t>
      </w:r>
      <w:r>
        <w:rPr>
          <w:rFonts w:hint="eastAsia" w:ascii="仿宋_GB2312" w:eastAsia="仿宋_GB2312"/>
          <w:sz w:val="28"/>
          <w:szCs w:val="28"/>
        </w:rPr>
        <w:t>%</w:t>
      </w:r>
      <w:r>
        <w:rPr>
          <w:rFonts w:hint="eastAsia" w:ascii="仿宋_GB2312" w:eastAsia="仿宋_GB2312"/>
          <w:sz w:val="28"/>
          <w:szCs w:val="28"/>
          <w:lang w:eastAsia="zh-CN"/>
        </w:rPr>
        <w:t>；住房保障支出</w:t>
      </w:r>
      <w:r>
        <w:rPr>
          <w:rFonts w:hint="eastAsia" w:ascii="仿宋_GB2312" w:eastAsia="仿宋_GB2312"/>
          <w:sz w:val="28"/>
          <w:szCs w:val="28"/>
          <w:lang w:val="en-US" w:eastAsia="zh-CN"/>
        </w:rPr>
        <w:t>2,640,000.00元，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0.4</w:t>
      </w:r>
      <w:r>
        <w:rPr>
          <w:rFonts w:hint="eastAsia" w:ascii="仿宋_GB2312" w:eastAsia="仿宋_GB2312"/>
          <w:sz w:val="28"/>
          <w:szCs w:val="28"/>
        </w:rPr>
        <w:t>%</w:t>
      </w:r>
      <w:r>
        <w:rPr>
          <w:rFonts w:hint="eastAsia" w:ascii="仿宋_GB2312" w:eastAsia="仿宋_GB2312"/>
          <w:sz w:val="28"/>
          <w:szCs w:val="28"/>
          <w:lang w:eastAsia="zh-CN"/>
        </w:rPr>
        <w:t>；灾害防治及应急管理支出</w:t>
      </w:r>
      <w:r>
        <w:rPr>
          <w:rFonts w:hint="eastAsia" w:ascii="仿宋_GB2312" w:eastAsia="仿宋_GB2312"/>
          <w:sz w:val="28"/>
          <w:szCs w:val="28"/>
          <w:lang w:val="en-US" w:eastAsia="zh-CN"/>
        </w:rPr>
        <w:t>13,580,000.00元，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2.2</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1、“一般公共服务支出”（类）2025年度年初预算</w:t>
      </w:r>
      <w:r>
        <w:rPr>
          <w:rFonts w:hint="eastAsia" w:ascii="仿宋_GB2312" w:eastAsia="仿宋_GB2312"/>
          <w:color w:val="000000" w:themeColor="text1"/>
          <w:sz w:val="28"/>
          <w:szCs w:val="28"/>
          <w:lang w:val="en-US" w:eastAsia="zh-CN"/>
          <w14:textFill>
            <w14:solidFill>
              <w14:schemeClr w14:val="tx1"/>
            </w14:solidFill>
          </w14:textFill>
        </w:rPr>
        <w:t>5,360,000.00</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5,350,846.05</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99.8</w:t>
      </w:r>
      <w:r>
        <w:rPr>
          <w:rFonts w:hint="eastAsia" w:ascii="仿宋_GB2312" w:eastAsia="仿宋_GB2312"/>
          <w:color w:val="000000" w:themeColor="text1"/>
          <w:sz w:val="28"/>
          <w:szCs w:val="28"/>
          <w14:textFill>
            <w14:solidFill>
              <w14:schemeClr w14:val="tx1"/>
            </w14:solidFill>
          </w14:textFill>
        </w:rPr>
        <w:t>%。</w:t>
      </w:r>
    </w:p>
    <w:p>
      <w:pPr>
        <w:autoSpaceDE w:val="0"/>
        <w:autoSpaceDN w:val="0"/>
        <w:adjustRightInd w:val="0"/>
        <w:spacing w:line="580" w:lineRule="exact"/>
        <w:jc w:val="left"/>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其中：</w:t>
      </w:r>
    </w:p>
    <w:p>
      <w:pPr>
        <w:spacing w:line="58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“发展与改革事务”（款，下同）2025年度年初预算</w:t>
      </w:r>
      <w:r>
        <w:rPr>
          <w:rFonts w:hint="eastAsia" w:ascii="仿宋_GB2312" w:eastAsia="仿宋_GB2312"/>
          <w:color w:val="000000" w:themeColor="text1"/>
          <w:sz w:val="28"/>
          <w:szCs w:val="28"/>
          <w:lang w:val="en-US" w:eastAsia="zh-CN"/>
          <w14:textFill>
            <w14:solidFill>
              <w14:schemeClr w14:val="tx1"/>
            </w14:solidFill>
          </w14:textFill>
        </w:rPr>
        <w:t>5,360,000.00</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5,350,846.05</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99.8</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项目金额调减</w:t>
      </w:r>
      <w:r>
        <w:rPr>
          <w:rFonts w:hint="eastAsia" w:ascii="仿宋_GB2312" w:eastAsia="仿宋_GB2312"/>
          <w:color w:val="000000" w:themeColor="text1"/>
          <w:sz w:val="28"/>
          <w:szCs w:val="28"/>
          <w14:textFill>
            <w14:solidFill>
              <w14:schemeClr w14:val="tx1"/>
            </w14:solidFill>
          </w14:textFill>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eastAsia="zh-CN"/>
        </w:rPr>
        <w:t>社会保障合就业支出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668,146.00</w:t>
      </w:r>
      <w:r>
        <w:rPr>
          <w:rFonts w:hint="eastAsia" w:ascii="仿宋_GB2312" w:eastAsia="仿宋_GB2312"/>
          <w:sz w:val="28"/>
          <w:szCs w:val="28"/>
        </w:rPr>
        <w:t>元，2025年度决算</w:t>
      </w:r>
      <w:r>
        <w:rPr>
          <w:rFonts w:hint="eastAsia" w:ascii="仿宋_GB2312" w:eastAsia="仿宋_GB2312"/>
          <w:sz w:val="28"/>
          <w:szCs w:val="28"/>
          <w:lang w:val="en-US" w:eastAsia="zh-CN"/>
        </w:rPr>
        <w:t>674,529.82</w:t>
      </w:r>
      <w:r>
        <w:rPr>
          <w:rFonts w:hint="eastAsia" w:ascii="仿宋_GB2312" w:eastAsia="仿宋_GB2312"/>
          <w:sz w:val="28"/>
          <w:szCs w:val="28"/>
        </w:rPr>
        <w:t>元，完成年初预算的</w:t>
      </w:r>
      <w:r>
        <w:rPr>
          <w:rFonts w:hint="eastAsia" w:ascii="仿宋_GB2312" w:eastAsia="仿宋_GB2312"/>
          <w:sz w:val="28"/>
          <w:szCs w:val="28"/>
          <w:lang w:val="en-US" w:eastAsia="zh-CN"/>
        </w:rPr>
        <w:t>101.0</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“行政事业单位养老支出”（款）2025年度年初预算</w:t>
      </w:r>
      <w:r>
        <w:rPr>
          <w:rFonts w:hint="eastAsia" w:ascii="仿宋_GB2312" w:eastAsia="仿宋_GB2312"/>
          <w:sz w:val="28"/>
          <w:szCs w:val="28"/>
          <w:lang w:val="en-US" w:eastAsia="zh-CN"/>
        </w:rPr>
        <w:t>668,146.00</w:t>
      </w:r>
      <w:r>
        <w:rPr>
          <w:rFonts w:hint="eastAsia" w:ascii="仿宋_GB2312" w:eastAsia="仿宋_GB2312"/>
          <w:sz w:val="28"/>
          <w:szCs w:val="28"/>
        </w:rPr>
        <w:t>元，2025年度决算</w:t>
      </w:r>
      <w:r>
        <w:rPr>
          <w:rFonts w:hint="eastAsia" w:ascii="仿宋_GB2312" w:eastAsia="仿宋_GB2312"/>
          <w:sz w:val="28"/>
          <w:szCs w:val="28"/>
          <w:lang w:val="en-US" w:eastAsia="zh-CN"/>
        </w:rPr>
        <w:t>674,529.82</w:t>
      </w:r>
      <w:r>
        <w:rPr>
          <w:rFonts w:hint="eastAsia" w:ascii="仿宋_GB2312" w:eastAsia="仿宋_GB2312"/>
          <w:sz w:val="28"/>
          <w:szCs w:val="28"/>
        </w:rPr>
        <w:t>元，完成年初预算的</w:t>
      </w:r>
      <w:r>
        <w:rPr>
          <w:rFonts w:hint="eastAsia" w:ascii="仿宋_GB2312" w:eastAsia="仿宋_GB2312"/>
          <w:sz w:val="28"/>
          <w:szCs w:val="28"/>
          <w:lang w:val="en-US" w:eastAsia="zh-CN"/>
        </w:rPr>
        <w:t>101.0</w:t>
      </w:r>
      <w:r>
        <w:rPr>
          <w:rFonts w:hint="eastAsia" w:ascii="仿宋_GB2312" w:eastAsia="仿宋_GB2312"/>
          <w:sz w:val="28"/>
          <w:szCs w:val="28"/>
        </w:rPr>
        <w:t>%。主要原因：</w:t>
      </w:r>
      <w:r>
        <w:rPr>
          <w:rFonts w:hint="eastAsia" w:ascii="仿宋_GB2312" w:eastAsia="仿宋_GB2312"/>
          <w:sz w:val="28"/>
          <w:szCs w:val="28"/>
          <w:lang w:eastAsia="zh-CN"/>
        </w:rPr>
        <w:t>退休费调整</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eastAsia="zh-CN"/>
        </w:rPr>
        <w:t>节能环保支出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133,394,622.14</w:t>
      </w:r>
      <w:r>
        <w:rPr>
          <w:rFonts w:hint="eastAsia" w:ascii="仿宋_GB2312" w:eastAsia="仿宋_GB2312"/>
          <w:sz w:val="28"/>
          <w:szCs w:val="28"/>
        </w:rPr>
        <w:t>元，2025年度决算</w:t>
      </w:r>
      <w:r>
        <w:rPr>
          <w:rFonts w:hint="eastAsia" w:ascii="仿宋_GB2312" w:eastAsia="仿宋_GB2312"/>
          <w:sz w:val="28"/>
          <w:szCs w:val="28"/>
          <w:lang w:val="en-US" w:eastAsia="zh-CN"/>
        </w:rPr>
        <w:t>157,633,190.94</w:t>
      </w:r>
      <w:r>
        <w:rPr>
          <w:rFonts w:hint="eastAsia" w:ascii="仿宋_GB2312" w:eastAsia="仿宋_GB2312"/>
          <w:sz w:val="28"/>
          <w:szCs w:val="28"/>
        </w:rPr>
        <w:t>元，完成年初预算的</w:t>
      </w:r>
      <w:r>
        <w:rPr>
          <w:rFonts w:hint="eastAsia" w:ascii="仿宋_GB2312" w:eastAsia="仿宋_GB2312"/>
          <w:sz w:val="28"/>
          <w:szCs w:val="28"/>
          <w:lang w:val="en-US" w:eastAsia="zh-CN"/>
        </w:rPr>
        <w:t>100.95</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“环境监测与监察”（款）2025年度年初预算</w:t>
      </w:r>
      <w:r>
        <w:rPr>
          <w:rFonts w:hint="eastAsia" w:ascii="仿宋_GB2312" w:eastAsia="仿宋_GB2312"/>
          <w:sz w:val="28"/>
          <w:szCs w:val="28"/>
          <w:lang w:val="en-US" w:eastAsia="zh-CN"/>
        </w:rPr>
        <w:t>1,746,200.00</w:t>
      </w:r>
      <w:r>
        <w:rPr>
          <w:rFonts w:hint="eastAsia" w:ascii="仿宋_GB2312" w:eastAsia="仿宋_GB2312"/>
          <w:sz w:val="28"/>
          <w:szCs w:val="28"/>
        </w:rPr>
        <w:t>元，2025年度决算</w:t>
      </w:r>
      <w:r>
        <w:rPr>
          <w:rFonts w:hint="eastAsia" w:ascii="仿宋_GB2312" w:eastAsia="仿宋_GB2312"/>
          <w:sz w:val="28"/>
          <w:szCs w:val="28"/>
          <w:lang w:val="en-US" w:eastAsia="zh-CN"/>
        </w:rPr>
        <w:t>1,681,320.00</w:t>
      </w:r>
      <w:r>
        <w:rPr>
          <w:rFonts w:hint="eastAsia" w:ascii="仿宋_GB2312" w:eastAsia="仿宋_GB2312"/>
          <w:sz w:val="28"/>
          <w:szCs w:val="28"/>
        </w:rPr>
        <w:t>元，完成年初预算的</w:t>
      </w:r>
      <w:r>
        <w:rPr>
          <w:rFonts w:hint="eastAsia" w:ascii="仿宋_GB2312" w:eastAsia="仿宋_GB2312"/>
          <w:sz w:val="28"/>
          <w:szCs w:val="28"/>
          <w:lang w:val="en-US" w:eastAsia="zh-CN"/>
        </w:rPr>
        <w:t>96.3</w:t>
      </w:r>
      <w:r>
        <w:rPr>
          <w:rFonts w:hint="eastAsia" w:ascii="仿宋_GB2312" w:eastAsia="仿宋_GB2312"/>
          <w:sz w:val="28"/>
          <w:szCs w:val="28"/>
        </w:rPr>
        <w:t>%。主要原因：</w:t>
      </w:r>
      <w:r>
        <w:rPr>
          <w:rFonts w:hint="eastAsia" w:ascii="仿宋_GB2312" w:eastAsia="仿宋_GB2312"/>
          <w:sz w:val="28"/>
          <w:szCs w:val="28"/>
          <w:lang w:eastAsia="zh-CN"/>
        </w:rPr>
        <w:t>项目资金结余。</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“污染防治”（款）2025年度年初预算</w:t>
      </w:r>
      <w:r>
        <w:rPr>
          <w:rFonts w:hint="eastAsia" w:ascii="仿宋_GB2312" w:eastAsia="仿宋_GB2312"/>
          <w:sz w:val="28"/>
          <w:szCs w:val="28"/>
          <w:lang w:val="en-US" w:eastAsia="zh-CN"/>
        </w:rPr>
        <w:t>21,592,364.57</w:t>
      </w:r>
      <w:r>
        <w:rPr>
          <w:rFonts w:hint="eastAsia" w:ascii="仿宋_GB2312" w:eastAsia="仿宋_GB2312"/>
          <w:sz w:val="28"/>
          <w:szCs w:val="28"/>
        </w:rPr>
        <w:t>元，2025年度决算</w:t>
      </w:r>
      <w:r>
        <w:rPr>
          <w:rFonts w:hint="eastAsia" w:ascii="仿宋_GB2312" w:eastAsia="仿宋_GB2312"/>
          <w:sz w:val="28"/>
          <w:szCs w:val="28"/>
          <w:lang w:val="en-US" w:eastAsia="zh-CN"/>
        </w:rPr>
        <w:t>8,761,502.23</w:t>
      </w:r>
      <w:r>
        <w:rPr>
          <w:rFonts w:hint="eastAsia" w:ascii="仿宋_GB2312" w:eastAsia="仿宋_GB2312"/>
          <w:sz w:val="28"/>
          <w:szCs w:val="28"/>
        </w:rPr>
        <w:t>元，完成年初预算的</w:t>
      </w:r>
      <w:r>
        <w:rPr>
          <w:rFonts w:hint="eastAsia" w:ascii="仿宋_GB2312" w:eastAsia="仿宋_GB2312"/>
          <w:sz w:val="28"/>
          <w:szCs w:val="28"/>
          <w:lang w:val="en-US" w:eastAsia="zh-CN"/>
        </w:rPr>
        <w:t>40.6</w:t>
      </w:r>
      <w:r>
        <w:rPr>
          <w:rFonts w:hint="eastAsia" w:ascii="仿宋_GB2312" w:eastAsia="仿宋_GB2312"/>
          <w:sz w:val="28"/>
          <w:szCs w:val="28"/>
        </w:rPr>
        <w:t>%。主要原因：</w:t>
      </w:r>
      <w:r>
        <w:rPr>
          <w:rFonts w:hint="eastAsia" w:ascii="仿宋_GB2312" w:eastAsia="仿宋_GB2312"/>
          <w:sz w:val="28"/>
          <w:szCs w:val="28"/>
          <w:lang w:eastAsia="zh-CN"/>
        </w:rPr>
        <w:t>项目资金调剂减少</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“能源节约利用”（款）2025年度年初预算</w:t>
      </w:r>
      <w:r>
        <w:rPr>
          <w:rFonts w:hint="eastAsia" w:ascii="仿宋_GB2312" w:eastAsia="仿宋_GB2312"/>
          <w:sz w:val="28"/>
          <w:szCs w:val="28"/>
          <w:lang w:val="en-US" w:eastAsia="zh-CN"/>
        </w:rPr>
        <w:t>83,333,719.10</w:t>
      </w:r>
      <w:r>
        <w:rPr>
          <w:rFonts w:hint="eastAsia" w:ascii="仿宋_GB2312" w:eastAsia="仿宋_GB2312"/>
          <w:sz w:val="28"/>
          <w:szCs w:val="28"/>
        </w:rPr>
        <w:t>元，2025年度决算</w:t>
      </w:r>
      <w:r>
        <w:rPr>
          <w:rFonts w:hint="eastAsia" w:ascii="仿宋_GB2312" w:eastAsia="仿宋_GB2312"/>
          <w:sz w:val="28"/>
          <w:szCs w:val="28"/>
          <w:lang w:val="en-US" w:eastAsia="zh-CN"/>
        </w:rPr>
        <w:t>126,686,496.18</w:t>
      </w:r>
      <w:r>
        <w:rPr>
          <w:rFonts w:hint="eastAsia" w:ascii="仿宋_GB2312" w:eastAsia="仿宋_GB2312"/>
          <w:sz w:val="28"/>
          <w:szCs w:val="28"/>
        </w:rPr>
        <w:t>元，完成年初预算的</w:t>
      </w:r>
      <w:r>
        <w:rPr>
          <w:rFonts w:hint="eastAsia" w:ascii="仿宋_GB2312" w:eastAsia="仿宋_GB2312"/>
          <w:sz w:val="28"/>
          <w:szCs w:val="28"/>
          <w:lang w:val="en-US" w:eastAsia="zh-CN"/>
        </w:rPr>
        <w:t>152.0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“污染减排”（款）2025年度年初预算</w:t>
      </w:r>
      <w:r>
        <w:rPr>
          <w:rFonts w:hint="eastAsia" w:ascii="仿宋_GB2312" w:eastAsia="仿宋_GB2312"/>
          <w:sz w:val="28"/>
          <w:szCs w:val="28"/>
          <w:lang w:val="en-US" w:eastAsia="zh-CN"/>
        </w:rPr>
        <w:t>9,182,820.50</w:t>
      </w:r>
      <w:r>
        <w:rPr>
          <w:rFonts w:hint="eastAsia" w:ascii="仿宋_GB2312" w:eastAsia="仿宋_GB2312"/>
          <w:sz w:val="28"/>
          <w:szCs w:val="28"/>
        </w:rPr>
        <w:t>元，2025年度决算</w:t>
      </w:r>
      <w:r>
        <w:rPr>
          <w:rFonts w:hint="eastAsia" w:ascii="仿宋_GB2312" w:eastAsia="仿宋_GB2312"/>
          <w:sz w:val="28"/>
          <w:szCs w:val="28"/>
          <w:lang w:val="en-US" w:eastAsia="zh-CN"/>
        </w:rPr>
        <w:t>9,182,820.50</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“其他节能环保支出”（款）2025年度年初预算</w:t>
      </w:r>
      <w:r>
        <w:rPr>
          <w:rFonts w:hint="eastAsia" w:ascii="仿宋_GB2312" w:eastAsia="仿宋_GB2312"/>
          <w:sz w:val="28"/>
          <w:szCs w:val="28"/>
          <w:lang w:val="en-US" w:eastAsia="zh-CN"/>
        </w:rPr>
        <w:t>17,539,517.97</w:t>
      </w:r>
      <w:r>
        <w:rPr>
          <w:rFonts w:hint="eastAsia" w:ascii="仿宋_GB2312" w:eastAsia="仿宋_GB2312"/>
          <w:sz w:val="28"/>
          <w:szCs w:val="28"/>
        </w:rPr>
        <w:t>元，2025年度决算</w:t>
      </w:r>
      <w:r>
        <w:rPr>
          <w:rFonts w:hint="eastAsia" w:ascii="仿宋_GB2312" w:eastAsia="仿宋_GB2312"/>
          <w:sz w:val="28"/>
          <w:szCs w:val="28"/>
          <w:lang w:val="en-US" w:eastAsia="zh-CN"/>
        </w:rPr>
        <w:t>11,321,052.03</w:t>
      </w:r>
      <w:r>
        <w:rPr>
          <w:rFonts w:hint="eastAsia" w:ascii="仿宋_GB2312" w:eastAsia="仿宋_GB2312"/>
          <w:sz w:val="28"/>
          <w:szCs w:val="28"/>
        </w:rPr>
        <w:t>元，完成年初预算的</w:t>
      </w:r>
      <w:r>
        <w:rPr>
          <w:rFonts w:hint="eastAsia" w:ascii="仿宋_GB2312" w:eastAsia="仿宋_GB2312"/>
          <w:sz w:val="28"/>
          <w:szCs w:val="28"/>
          <w:lang w:val="en-US" w:eastAsia="zh-CN"/>
        </w:rPr>
        <w:t>64.6</w:t>
      </w:r>
      <w:r>
        <w:rPr>
          <w:rFonts w:hint="eastAsia" w:ascii="仿宋_GB2312" w:eastAsia="仿宋_GB2312"/>
          <w:sz w:val="28"/>
          <w:szCs w:val="28"/>
        </w:rPr>
        <w:t>%。主要原因：</w:t>
      </w:r>
      <w:r>
        <w:rPr>
          <w:rFonts w:hint="eastAsia" w:ascii="仿宋_GB2312" w:eastAsia="仿宋_GB2312"/>
          <w:sz w:val="28"/>
          <w:szCs w:val="28"/>
          <w:lang w:eastAsia="zh-CN"/>
        </w:rPr>
        <w:t>项目资金结余。</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eastAsia="zh-CN"/>
        </w:rPr>
        <w:t>城乡社区支出</w:t>
      </w:r>
      <w:r>
        <w:rPr>
          <w:rFonts w:hint="eastAsia" w:ascii="仿宋_GB2312" w:eastAsia="仿宋_GB2312"/>
          <w:sz w:val="28"/>
          <w:szCs w:val="28"/>
        </w:rPr>
        <w:t>”(类)2025年度年初预算</w:t>
      </w:r>
      <w:r>
        <w:rPr>
          <w:rFonts w:hint="eastAsia" w:ascii="仿宋_GB2312" w:eastAsia="仿宋_GB2312"/>
          <w:color w:val="000000" w:themeColor="text1"/>
          <w:sz w:val="28"/>
          <w:szCs w:val="28"/>
          <w:lang w:val="en-US" w:eastAsia="zh-CN"/>
          <w14:textFill>
            <w14:solidFill>
              <w14:schemeClr w14:val="tx1"/>
            </w14:solidFill>
          </w14:textFill>
        </w:rPr>
        <w:t>186,863,023.59</w:t>
      </w:r>
      <w:r>
        <w:rPr>
          <w:rFonts w:hint="eastAsia" w:ascii="仿宋_GB2312" w:eastAsia="仿宋_GB2312"/>
          <w:sz w:val="28"/>
          <w:szCs w:val="28"/>
        </w:rPr>
        <w:t>元，2025年度决算</w:t>
      </w:r>
      <w:r>
        <w:rPr>
          <w:rFonts w:hint="eastAsia" w:ascii="仿宋_GB2312" w:eastAsia="仿宋_GB2312"/>
          <w:sz w:val="28"/>
          <w:szCs w:val="28"/>
          <w:lang w:val="en-US" w:eastAsia="zh-CN"/>
        </w:rPr>
        <w:t>427,767,941.70</w:t>
      </w:r>
      <w:r>
        <w:rPr>
          <w:rFonts w:hint="eastAsia" w:ascii="仿宋_GB2312" w:eastAsia="仿宋_GB2312"/>
          <w:sz w:val="28"/>
          <w:szCs w:val="28"/>
        </w:rPr>
        <w:t>元，完成年初预算的</w:t>
      </w:r>
      <w:r>
        <w:rPr>
          <w:rFonts w:hint="eastAsia" w:ascii="仿宋_GB2312" w:eastAsia="仿宋_GB2312"/>
          <w:sz w:val="28"/>
          <w:szCs w:val="28"/>
          <w:lang w:val="en-US" w:eastAsia="zh-CN"/>
        </w:rPr>
        <w:t>228.9</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“城乡社区管理事务”（款）2025年度年初预算</w:t>
      </w:r>
      <w:r>
        <w:rPr>
          <w:rFonts w:hint="eastAsia" w:ascii="仿宋_GB2312" w:eastAsia="仿宋_GB2312"/>
          <w:sz w:val="28"/>
          <w:szCs w:val="28"/>
          <w:lang w:val="en-US" w:eastAsia="zh-CN"/>
        </w:rPr>
        <w:t>41,535,945.70</w:t>
      </w:r>
      <w:r>
        <w:rPr>
          <w:rFonts w:hint="eastAsia" w:ascii="仿宋_GB2312" w:eastAsia="仿宋_GB2312"/>
          <w:sz w:val="28"/>
          <w:szCs w:val="28"/>
        </w:rPr>
        <w:t>元，2025年度决算</w:t>
      </w:r>
      <w:r>
        <w:rPr>
          <w:rFonts w:hint="eastAsia" w:ascii="仿宋_GB2312" w:eastAsia="仿宋_GB2312"/>
          <w:sz w:val="28"/>
          <w:szCs w:val="28"/>
          <w:lang w:val="en-US" w:eastAsia="zh-CN"/>
        </w:rPr>
        <w:t>48,917,089.33</w:t>
      </w:r>
      <w:r>
        <w:rPr>
          <w:rFonts w:hint="eastAsia" w:ascii="仿宋_GB2312" w:eastAsia="仿宋_GB2312"/>
          <w:sz w:val="28"/>
          <w:szCs w:val="28"/>
          <w:lang w:eastAsia="zh-CN"/>
        </w:rPr>
        <w:t>元</w:t>
      </w:r>
      <w:r>
        <w:rPr>
          <w:rFonts w:hint="eastAsia" w:ascii="仿宋_GB2312" w:eastAsia="仿宋_GB2312"/>
          <w:sz w:val="28"/>
          <w:szCs w:val="28"/>
        </w:rPr>
        <w:t>，完成年初预算的</w:t>
      </w:r>
      <w:r>
        <w:rPr>
          <w:rFonts w:hint="eastAsia" w:ascii="仿宋_GB2312" w:eastAsia="仿宋_GB2312"/>
          <w:sz w:val="28"/>
          <w:szCs w:val="28"/>
          <w:lang w:val="en-US" w:eastAsia="zh-CN"/>
        </w:rPr>
        <w:t>117.8</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“城乡社区规划与管理”（款）2025年度年初预算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198,000.00</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项目增加。</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“城乡社区公共设施”（款）2025年度年初预算</w:t>
      </w:r>
      <w:r>
        <w:rPr>
          <w:rFonts w:hint="eastAsia" w:ascii="仿宋_GB2312" w:eastAsia="仿宋_GB2312"/>
          <w:sz w:val="28"/>
          <w:szCs w:val="28"/>
          <w:lang w:val="en-US" w:eastAsia="zh-CN"/>
        </w:rPr>
        <w:t>38,610,306.50</w:t>
      </w:r>
      <w:r>
        <w:rPr>
          <w:rFonts w:hint="eastAsia" w:ascii="仿宋_GB2312" w:eastAsia="仿宋_GB2312"/>
          <w:sz w:val="28"/>
          <w:szCs w:val="28"/>
        </w:rPr>
        <w:t>元，2025年度决算</w:t>
      </w:r>
      <w:r>
        <w:rPr>
          <w:rFonts w:hint="eastAsia" w:ascii="仿宋_GB2312" w:eastAsia="仿宋_GB2312"/>
          <w:sz w:val="28"/>
          <w:szCs w:val="28"/>
          <w:lang w:val="en-US" w:eastAsia="zh-CN"/>
        </w:rPr>
        <w:t>204,324,754.90</w:t>
      </w:r>
      <w:r>
        <w:rPr>
          <w:rFonts w:hint="eastAsia" w:ascii="仿宋_GB2312" w:eastAsia="仿宋_GB2312"/>
          <w:sz w:val="28"/>
          <w:szCs w:val="28"/>
        </w:rPr>
        <w:t>元，完成年初预算的</w:t>
      </w:r>
      <w:r>
        <w:rPr>
          <w:rFonts w:hint="eastAsia" w:ascii="仿宋_GB2312" w:eastAsia="仿宋_GB2312"/>
          <w:sz w:val="28"/>
          <w:szCs w:val="28"/>
          <w:lang w:val="en-US" w:eastAsia="zh-CN"/>
        </w:rPr>
        <w:t>529.2</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“城乡社区环境卫生”（款）2025年度年初预算</w:t>
      </w:r>
      <w:r>
        <w:rPr>
          <w:rFonts w:hint="eastAsia" w:ascii="仿宋_GB2312" w:eastAsia="仿宋_GB2312"/>
          <w:sz w:val="28"/>
          <w:szCs w:val="28"/>
          <w:lang w:val="en-US" w:eastAsia="zh-CN"/>
        </w:rPr>
        <w:t>105,361,588.54</w:t>
      </w:r>
      <w:r>
        <w:rPr>
          <w:rFonts w:hint="eastAsia" w:ascii="仿宋_GB2312" w:eastAsia="仿宋_GB2312"/>
          <w:sz w:val="28"/>
          <w:szCs w:val="28"/>
        </w:rPr>
        <w:t>元，2025年度决算</w:t>
      </w:r>
      <w:r>
        <w:rPr>
          <w:rFonts w:hint="eastAsia" w:ascii="仿宋_GB2312" w:eastAsia="仿宋_GB2312"/>
          <w:sz w:val="28"/>
          <w:szCs w:val="28"/>
          <w:lang w:val="en-US" w:eastAsia="zh-CN"/>
        </w:rPr>
        <w:t>164,884,245.05</w:t>
      </w:r>
      <w:r>
        <w:rPr>
          <w:rFonts w:hint="eastAsia" w:ascii="仿宋_GB2312" w:eastAsia="仿宋_GB2312"/>
          <w:sz w:val="28"/>
          <w:szCs w:val="28"/>
        </w:rPr>
        <w:t>元，完成年初预算的</w:t>
      </w:r>
      <w:r>
        <w:rPr>
          <w:rFonts w:hint="eastAsia" w:ascii="仿宋_GB2312" w:eastAsia="仿宋_GB2312"/>
          <w:sz w:val="28"/>
          <w:szCs w:val="28"/>
          <w:lang w:val="en-US" w:eastAsia="zh-CN"/>
        </w:rPr>
        <w:t>156.50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hint="eastAsia"/>
        </w:rPr>
      </w:pPr>
      <w:r>
        <w:rPr>
          <w:rFonts w:hint="eastAsia" w:ascii="仿宋_GB2312" w:eastAsia="仿宋_GB2312"/>
          <w:sz w:val="28"/>
          <w:szCs w:val="28"/>
        </w:rPr>
        <w:t>“其他城乡社区支出”（款）2025年度年初预算</w:t>
      </w:r>
      <w:r>
        <w:rPr>
          <w:rFonts w:hint="eastAsia" w:ascii="仿宋_GB2312" w:eastAsia="仿宋_GB2312"/>
          <w:sz w:val="28"/>
          <w:szCs w:val="28"/>
          <w:lang w:val="en-US" w:eastAsia="zh-CN"/>
        </w:rPr>
        <w:t>1,355,182.85</w:t>
      </w:r>
      <w:r>
        <w:rPr>
          <w:rFonts w:hint="eastAsia" w:ascii="仿宋_GB2312" w:eastAsia="仿宋_GB2312"/>
          <w:sz w:val="28"/>
          <w:szCs w:val="28"/>
        </w:rPr>
        <w:t>元，2025年度决算</w:t>
      </w:r>
      <w:r>
        <w:rPr>
          <w:rFonts w:hint="eastAsia" w:ascii="仿宋_GB2312" w:eastAsia="仿宋_GB2312"/>
          <w:sz w:val="28"/>
          <w:szCs w:val="28"/>
          <w:lang w:val="en-US" w:eastAsia="zh-CN"/>
        </w:rPr>
        <w:t>9,443,852.42</w:t>
      </w:r>
      <w:r>
        <w:rPr>
          <w:rFonts w:hint="eastAsia" w:ascii="仿宋_GB2312" w:eastAsia="仿宋_GB2312"/>
          <w:sz w:val="28"/>
          <w:szCs w:val="28"/>
        </w:rPr>
        <w:t>元，完成年初预算的</w:t>
      </w:r>
      <w:r>
        <w:rPr>
          <w:rFonts w:hint="eastAsia" w:ascii="仿宋_GB2312" w:eastAsia="仿宋_GB2312"/>
          <w:sz w:val="28"/>
          <w:szCs w:val="28"/>
          <w:lang w:val="en-US" w:eastAsia="zh-CN"/>
        </w:rPr>
        <w:t>696.86</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26,622.00</w:t>
      </w:r>
      <w:r>
        <w:rPr>
          <w:rFonts w:hint="eastAsia" w:ascii="仿宋_GB2312" w:eastAsia="仿宋_GB2312"/>
          <w:sz w:val="28"/>
          <w:szCs w:val="28"/>
        </w:rPr>
        <w:t>元，完成年初预算的</w:t>
      </w:r>
      <w:r>
        <w:rPr>
          <w:rFonts w:hint="eastAsia" w:ascii="仿宋_GB2312" w:eastAsia="仿宋_GB2312"/>
          <w:sz w:val="28"/>
          <w:szCs w:val="28"/>
          <w:lang w:val="en-US" w:eastAsia="zh-CN"/>
        </w:rPr>
        <w:t>266.0</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“制造业”（款）2025年度年初预算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元，2025年度决算算</w:t>
      </w:r>
      <w:r>
        <w:rPr>
          <w:rFonts w:hint="eastAsia" w:ascii="仿宋_GB2312" w:eastAsia="仿宋_GB2312"/>
          <w:sz w:val="28"/>
          <w:szCs w:val="28"/>
          <w:lang w:val="en-US" w:eastAsia="zh-CN"/>
        </w:rPr>
        <w:t>26,622.00</w:t>
      </w:r>
      <w:r>
        <w:rPr>
          <w:rFonts w:hint="eastAsia" w:ascii="仿宋_GB2312" w:eastAsia="仿宋_GB2312"/>
          <w:sz w:val="28"/>
          <w:szCs w:val="28"/>
        </w:rPr>
        <w:t>元，完成年初预算的</w:t>
      </w:r>
      <w:r>
        <w:rPr>
          <w:rFonts w:hint="eastAsia" w:ascii="仿宋_GB2312" w:eastAsia="仿宋_GB2312"/>
          <w:sz w:val="28"/>
          <w:szCs w:val="28"/>
          <w:lang w:val="en-US" w:eastAsia="zh-CN"/>
        </w:rPr>
        <w:t>266.0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eastAsia="zh-CN"/>
        </w:rPr>
        <w:t>住房保障支出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2,640,000.00</w:t>
      </w:r>
      <w:r>
        <w:rPr>
          <w:rFonts w:hint="eastAsia" w:ascii="仿宋_GB2312" w:eastAsia="仿宋_GB2312"/>
          <w:sz w:val="28"/>
          <w:szCs w:val="28"/>
        </w:rPr>
        <w:t>元，完成年初预算的</w:t>
      </w:r>
      <w:r>
        <w:rPr>
          <w:rFonts w:hint="eastAsia" w:ascii="仿宋_GB2312" w:eastAsia="仿宋_GB2312"/>
          <w:sz w:val="28"/>
          <w:szCs w:val="28"/>
          <w:lang w:val="en-US" w:eastAsia="zh-CN"/>
        </w:rPr>
        <w:t>264.0</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“保障性安居工程支出”（款）2025年度年初预算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2,640,000.00</w:t>
      </w:r>
      <w:r>
        <w:rPr>
          <w:rFonts w:hint="eastAsia" w:ascii="仿宋_GB2312" w:eastAsia="仿宋_GB2312"/>
          <w:sz w:val="28"/>
          <w:szCs w:val="28"/>
        </w:rPr>
        <w:t>元，完成年初预算的</w:t>
      </w:r>
      <w:r>
        <w:rPr>
          <w:rFonts w:hint="eastAsia" w:ascii="仿宋_GB2312" w:eastAsia="仿宋_GB2312"/>
          <w:sz w:val="28"/>
          <w:szCs w:val="28"/>
          <w:lang w:val="en-US" w:eastAsia="zh-CN"/>
        </w:rPr>
        <w:t>264.0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eastAsia="仿宋_GB2312"/>
          <w:sz w:val="28"/>
          <w:szCs w:val="28"/>
          <w:lang w:eastAsia="zh-CN"/>
        </w:rPr>
        <w:t>害防治及应急管理支出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13,580,000.00</w:t>
      </w:r>
      <w:r>
        <w:rPr>
          <w:rFonts w:hint="eastAsia" w:ascii="仿宋_GB2312" w:eastAsia="仿宋_GB2312"/>
          <w:sz w:val="28"/>
          <w:szCs w:val="28"/>
        </w:rPr>
        <w:t>元，2025年度决算</w:t>
      </w:r>
      <w:r>
        <w:rPr>
          <w:rFonts w:hint="eastAsia" w:ascii="仿宋_GB2312" w:eastAsia="仿宋_GB2312"/>
          <w:sz w:val="28"/>
          <w:szCs w:val="28"/>
          <w:lang w:val="en-US" w:eastAsia="zh-CN"/>
        </w:rPr>
        <w:t>13,580,000.00</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“自然灾害救灾及恢复重建支出”（款）2025年度年初预算</w:t>
      </w:r>
      <w:r>
        <w:rPr>
          <w:rFonts w:hint="eastAsia" w:ascii="仿宋_GB2312" w:eastAsia="仿宋_GB2312"/>
          <w:sz w:val="28"/>
          <w:szCs w:val="28"/>
          <w:lang w:val="en-US" w:eastAsia="zh-CN"/>
        </w:rPr>
        <w:t>13,580,000.00</w:t>
      </w:r>
      <w:r>
        <w:rPr>
          <w:rFonts w:hint="eastAsia" w:ascii="仿宋_GB2312" w:eastAsia="仿宋_GB2312"/>
          <w:sz w:val="28"/>
          <w:szCs w:val="28"/>
        </w:rPr>
        <w:t>元，2025年度决算</w:t>
      </w:r>
      <w:r>
        <w:rPr>
          <w:rFonts w:hint="eastAsia" w:ascii="仿宋_GB2312" w:eastAsia="仿宋_GB2312"/>
          <w:sz w:val="28"/>
          <w:szCs w:val="28"/>
          <w:lang w:val="en-US" w:eastAsia="zh-CN"/>
        </w:rPr>
        <w:t>13,580,000.00</w:t>
      </w:r>
      <w:r>
        <w:rPr>
          <w:rFonts w:hint="eastAsia" w:ascii="仿宋_GB2312" w:eastAsia="仿宋_GB2312"/>
          <w:sz w:val="28"/>
          <w:szCs w:val="28"/>
        </w:rPr>
        <w:t>元，完成年初预算的</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hint="eastAsia" w:ascii="仿宋_GB2312" w:eastAsia="仿宋_GB2312"/>
          <w:sz w:val="28"/>
          <w:szCs w:val="28"/>
          <w:lang w:val="en-US" w:eastAsia="zh-CN"/>
        </w:rPr>
        <w:t>186,144,124.14</w:t>
      </w:r>
      <w:r>
        <w:rPr>
          <w:rFonts w:hint="eastAsia" w:ascii="仿宋_GB2312" w:eastAsia="仿宋_GB2312"/>
          <w:sz w:val="28"/>
          <w:szCs w:val="28"/>
        </w:rPr>
        <w:t>元，主要用于以下方面（按大类）：城乡社区支出</w:t>
      </w:r>
      <w:r>
        <w:rPr>
          <w:rFonts w:hint="eastAsia" w:ascii="仿宋_GB2312" w:eastAsia="仿宋_GB2312"/>
          <w:sz w:val="28"/>
          <w:szCs w:val="28"/>
          <w:lang w:val="en-US" w:eastAsia="zh-CN"/>
        </w:rPr>
        <w:t>186,144,124.14</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rPr>
      </w:pPr>
      <w:r>
        <w:rPr>
          <w:rFonts w:hint="eastAsia" w:ascii="仿宋_GB2312" w:eastAsia="仿宋_GB2312"/>
          <w:sz w:val="28"/>
          <w:szCs w:val="28"/>
        </w:rPr>
        <w:t>1、“城乡社区支出”（类）2025年度年初预算</w:t>
      </w:r>
      <w:r>
        <w:rPr>
          <w:rFonts w:hint="eastAsia" w:ascii="仿宋_GB2312" w:eastAsia="仿宋_GB2312"/>
          <w:sz w:val="28"/>
          <w:szCs w:val="28"/>
          <w:lang w:val="en-US" w:eastAsia="zh-CN"/>
        </w:rPr>
        <w:t>147,340,000.00</w:t>
      </w:r>
      <w:r>
        <w:rPr>
          <w:rFonts w:hint="eastAsia" w:ascii="仿宋_GB2312" w:eastAsia="仿宋_GB2312"/>
          <w:sz w:val="28"/>
          <w:szCs w:val="28"/>
        </w:rPr>
        <w:t>元，2025年度决算</w:t>
      </w:r>
      <w:r>
        <w:rPr>
          <w:rFonts w:hint="eastAsia" w:ascii="仿宋_GB2312" w:eastAsia="仿宋_GB2312"/>
          <w:sz w:val="28"/>
          <w:szCs w:val="28"/>
          <w:lang w:val="en-US" w:eastAsia="zh-CN"/>
        </w:rPr>
        <w:t>186,144,124.14</w:t>
      </w:r>
      <w:r>
        <w:rPr>
          <w:rFonts w:hint="eastAsia" w:ascii="仿宋_GB2312" w:eastAsia="仿宋_GB2312"/>
          <w:sz w:val="28"/>
          <w:szCs w:val="28"/>
        </w:rPr>
        <w:t>元，完成年初预算的</w:t>
      </w:r>
      <w:r>
        <w:rPr>
          <w:rFonts w:hint="eastAsia" w:ascii="仿宋_GB2312" w:eastAsia="仿宋_GB2312"/>
          <w:sz w:val="28"/>
          <w:szCs w:val="28"/>
          <w:lang w:val="en-US" w:eastAsia="zh-CN"/>
        </w:rPr>
        <w:t>126.3</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“国有土地使用权出让收入安排的支出”（款）2025年度年初预算</w:t>
      </w:r>
      <w:r>
        <w:rPr>
          <w:rFonts w:hint="eastAsia" w:ascii="仿宋_GB2312" w:eastAsia="仿宋_GB2312"/>
          <w:sz w:val="28"/>
          <w:szCs w:val="28"/>
          <w:lang w:val="en-US" w:eastAsia="zh-CN"/>
        </w:rPr>
        <w:t>137,340,000.00</w:t>
      </w:r>
      <w:r>
        <w:rPr>
          <w:rFonts w:hint="eastAsia" w:ascii="仿宋_GB2312" w:eastAsia="仿宋_GB2312"/>
          <w:sz w:val="28"/>
          <w:szCs w:val="28"/>
        </w:rPr>
        <w:t>元，2025年度决算</w:t>
      </w:r>
      <w:r>
        <w:rPr>
          <w:rFonts w:hint="eastAsia" w:ascii="仿宋_GB2312" w:eastAsia="仿宋_GB2312"/>
          <w:sz w:val="28"/>
          <w:szCs w:val="28"/>
          <w:lang w:val="en-US" w:eastAsia="zh-CN"/>
        </w:rPr>
        <w:t>158,934,646.13</w:t>
      </w:r>
      <w:r>
        <w:rPr>
          <w:rFonts w:hint="eastAsia" w:ascii="仿宋_GB2312" w:eastAsia="仿宋_GB2312"/>
          <w:sz w:val="28"/>
          <w:szCs w:val="28"/>
          <w:lang w:eastAsia="zh-CN"/>
        </w:rPr>
        <w:t>元</w:t>
      </w:r>
      <w:r>
        <w:rPr>
          <w:rFonts w:hint="eastAsia" w:ascii="仿宋_GB2312" w:eastAsia="仿宋_GB2312"/>
          <w:sz w:val="28"/>
          <w:szCs w:val="28"/>
        </w:rPr>
        <w:t>，完成年初预算的</w:t>
      </w:r>
      <w:r>
        <w:rPr>
          <w:rFonts w:hint="eastAsia" w:ascii="仿宋_GB2312" w:eastAsia="仿宋_GB2312"/>
          <w:sz w:val="28"/>
          <w:szCs w:val="28"/>
          <w:lang w:val="en-US" w:eastAsia="zh-CN"/>
        </w:rPr>
        <w:t>115.8</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“城市基础设施配套费安排的支出”（款）2025年度年初预算</w:t>
      </w:r>
      <w:r>
        <w:rPr>
          <w:rFonts w:hint="eastAsia" w:ascii="仿宋_GB2312" w:eastAsia="仿宋_GB2312"/>
          <w:sz w:val="28"/>
          <w:szCs w:val="28"/>
          <w:lang w:val="en-US" w:eastAsia="zh-CN"/>
        </w:rPr>
        <w:t>10,000,000.00</w:t>
      </w:r>
      <w:r>
        <w:rPr>
          <w:rFonts w:hint="eastAsia" w:ascii="仿宋_GB2312" w:eastAsia="仿宋_GB2312"/>
          <w:sz w:val="28"/>
          <w:szCs w:val="28"/>
        </w:rPr>
        <w:t>元，2025年度决算</w:t>
      </w:r>
      <w:r>
        <w:rPr>
          <w:rFonts w:hint="eastAsia" w:ascii="仿宋_GB2312" w:eastAsia="仿宋_GB2312"/>
          <w:sz w:val="28"/>
          <w:szCs w:val="28"/>
          <w:lang w:val="en-US" w:eastAsia="zh-CN"/>
        </w:rPr>
        <w:t>11,809,478.01</w:t>
      </w:r>
      <w:r>
        <w:rPr>
          <w:rFonts w:hint="eastAsia" w:ascii="仿宋_GB2312" w:eastAsia="仿宋_GB2312"/>
          <w:sz w:val="28"/>
          <w:szCs w:val="28"/>
        </w:rPr>
        <w:t>元，完成年初预算的</w:t>
      </w:r>
      <w:r>
        <w:rPr>
          <w:rFonts w:hint="eastAsia" w:ascii="仿宋_GB2312" w:eastAsia="仿宋_GB2312"/>
          <w:sz w:val="28"/>
          <w:szCs w:val="28"/>
          <w:lang w:val="en-US" w:eastAsia="zh-CN"/>
        </w:rPr>
        <w:t>118.1</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“超长期特别国债安排的支出”（款）2025年度年初预算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15,400,000.00</w:t>
      </w:r>
      <w:r>
        <w:rPr>
          <w:rFonts w:hint="eastAsia" w:ascii="仿宋_GB2312" w:eastAsia="仿宋_GB2312"/>
          <w:sz w:val="28"/>
          <w:szCs w:val="28"/>
        </w:rPr>
        <w:t>元，完成年初预算的</w:t>
      </w:r>
      <w:r>
        <w:rPr>
          <w:rFonts w:hint="eastAsia" w:ascii="仿宋_GB2312" w:eastAsia="仿宋_GB2312"/>
          <w:sz w:val="28"/>
          <w:szCs w:val="28"/>
          <w:lang w:val="en-US" w:eastAsia="zh-CN"/>
        </w:rPr>
        <w:t>1540.0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w:t>
      </w:r>
      <w:r>
        <w:rPr>
          <w:rFonts w:hint="eastAsia" w:ascii="仿宋_GB2312" w:eastAsia="仿宋_GB2312"/>
          <w:sz w:val="28"/>
          <w:szCs w:val="28"/>
          <w:lang w:val="en-US" w:eastAsia="zh-CN"/>
        </w:rPr>
        <w:t>0.00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w:t>
      </w:r>
      <w:r>
        <w:rPr>
          <w:rFonts w:hint="eastAsia" w:ascii="仿宋_GB2312" w:eastAsia="仿宋_GB2312"/>
          <w:sz w:val="28"/>
          <w:szCs w:val="28"/>
          <w:lang w:val="en-US" w:eastAsia="zh-CN"/>
        </w:rPr>
        <w:t>0.00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hint="eastAsia" w:ascii="仿宋_GB2312" w:eastAsia="仿宋_GB2312"/>
          <w:sz w:val="28"/>
          <w:szCs w:val="28"/>
          <w:lang w:val="en-US" w:eastAsia="zh-CN"/>
        </w:rPr>
        <w:t>50,832,596.12</w:t>
      </w:r>
      <w:r>
        <w:rPr>
          <w:rFonts w:hint="eastAsia" w:ascii="仿宋_GB2312" w:eastAsia="仿宋_GB2312"/>
          <w:sz w:val="28"/>
          <w:szCs w:val="28"/>
        </w:rPr>
        <w:t>元，使用政府性基金财政拨款安排基本支出</w:t>
      </w:r>
      <w:r>
        <w:rPr>
          <w:rFonts w:hint="eastAsia" w:ascii="仿宋_GB2312" w:eastAsia="仿宋_GB2312"/>
          <w:sz w:val="28"/>
          <w:szCs w:val="28"/>
          <w:lang w:val="en-US" w:eastAsia="zh-CN"/>
        </w:rPr>
        <w:t>0.00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仿宋_GB2312" w:eastAsia="仿宋_GB2312"/>
          <w:b/>
          <w:sz w:val="32"/>
          <w:szCs w:val="32"/>
        </w:rPr>
      </w:pPr>
    </w:p>
    <w:p>
      <w:pPr>
        <w:autoSpaceDE w:val="0"/>
        <w:autoSpaceDN w:val="0"/>
        <w:adjustRightInd w:val="0"/>
        <w:spacing w:line="580" w:lineRule="exact"/>
        <w:rPr>
          <w:rFonts w:ascii="仿宋_GB2312" w:eastAsia="仿宋_GB2312"/>
          <w:b/>
          <w:sz w:val="32"/>
          <w:szCs w:val="32"/>
        </w:rPr>
      </w:pPr>
    </w:p>
    <w:p>
      <w:pPr>
        <w:autoSpaceDE w:val="0"/>
        <w:autoSpaceDN w:val="0"/>
        <w:adjustRightInd w:val="0"/>
        <w:spacing w:line="580" w:lineRule="exact"/>
        <w:rPr>
          <w:rFonts w:ascii="仿宋_GB2312" w:eastAsia="仿宋_GB2312"/>
          <w:b/>
          <w:sz w:val="32"/>
          <w:szCs w:val="32"/>
        </w:rPr>
      </w:pPr>
    </w:p>
    <w:p>
      <w:pPr>
        <w:autoSpaceDE w:val="0"/>
        <w:autoSpaceDN w:val="0"/>
        <w:adjustRightInd w:val="0"/>
        <w:spacing w:line="580" w:lineRule="exact"/>
        <w:rPr>
          <w:rFonts w:ascii="仿宋_GB2312" w:eastAsia="仿宋_GB2312"/>
          <w:b/>
          <w:sz w:val="32"/>
          <w:szCs w:val="32"/>
        </w:rPr>
      </w:pPr>
    </w:p>
    <w:p>
      <w:pPr>
        <w:autoSpaceDE w:val="0"/>
        <w:autoSpaceDN w:val="0"/>
        <w:adjustRightInd w:val="0"/>
        <w:spacing w:line="580" w:lineRule="exact"/>
        <w:rPr>
          <w:rFonts w:ascii="仿宋_GB2312" w:eastAsia="仿宋_GB2312"/>
          <w:b/>
          <w:sz w:val="32"/>
          <w:szCs w:val="32"/>
        </w:rPr>
      </w:pPr>
    </w:p>
    <w:p>
      <w:pPr>
        <w:autoSpaceDE w:val="0"/>
        <w:autoSpaceDN w:val="0"/>
        <w:adjustRightInd w:val="0"/>
        <w:spacing w:line="580" w:lineRule="exact"/>
        <w:rPr>
          <w:rFonts w:ascii="仿宋_GB2312" w:eastAsia="仿宋_GB2312"/>
          <w:b/>
          <w:sz w:val="32"/>
          <w:szCs w:val="32"/>
        </w:rPr>
      </w:pPr>
    </w:p>
    <w:p>
      <w:pPr>
        <w:autoSpaceDE w:val="0"/>
        <w:autoSpaceDN w:val="0"/>
        <w:adjustRightInd w:val="0"/>
        <w:spacing w:line="580" w:lineRule="exact"/>
        <w:rPr>
          <w:rFonts w:ascii="仿宋_GB2312" w:eastAsia="仿宋_GB2312"/>
          <w:b/>
          <w:sz w:val="24"/>
          <w:szCs w:val="24"/>
        </w:rPr>
      </w:pPr>
    </w:p>
    <w:p>
      <w:pPr>
        <w:autoSpaceDE w:val="0"/>
        <w:autoSpaceDN w:val="0"/>
        <w:adjustRightInd w:val="0"/>
        <w:spacing w:line="580" w:lineRule="exact"/>
        <w:rPr>
          <w:rFonts w:ascii="仿宋_GB2312" w:eastAsia="仿宋_GB2312"/>
          <w:b/>
          <w:sz w:val="10"/>
          <w:szCs w:val="10"/>
        </w:rPr>
      </w:pPr>
    </w:p>
    <w:p>
      <w:pPr>
        <w:autoSpaceDE w:val="0"/>
        <w:autoSpaceDN w:val="0"/>
        <w:adjustRightInd w:val="0"/>
        <w:spacing w:line="580" w:lineRule="exact"/>
        <w:rPr>
          <w:rFonts w:ascii="仿宋_GB2312" w:eastAsia="仿宋_GB2312"/>
          <w:b/>
          <w:sz w:val="10"/>
          <w:szCs w:val="10"/>
        </w:rPr>
      </w:pPr>
    </w:p>
    <w:p>
      <w:pPr>
        <w:autoSpaceDE w:val="0"/>
        <w:autoSpaceDN w:val="0"/>
        <w:adjustRightInd w:val="0"/>
        <w:spacing w:line="580" w:lineRule="exact"/>
        <w:rPr>
          <w:rFonts w:ascii="仿宋_GB2312" w:eastAsia="仿宋_GB2312"/>
          <w:b/>
          <w:sz w:val="10"/>
          <w:szCs w:val="10"/>
        </w:rPr>
      </w:pP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hint="eastAsia" w:ascii="仿宋_GB2312" w:eastAsia="仿宋_GB2312"/>
          <w:sz w:val="28"/>
          <w:szCs w:val="28"/>
          <w:lang w:val="en-US" w:eastAsia="zh-CN"/>
        </w:rPr>
        <w:t>163,370.04</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hint="eastAsia" w:ascii="仿宋_GB2312" w:eastAsia="仿宋_GB2312"/>
          <w:sz w:val="28"/>
          <w:szCs w:val="28"/>
          <w:lang w:val="en-US" w:eastAsia="zh-CN"/>
        </w:rPr>
        <w:t>141,680.00</w:t>
      </w:r>
      <w:r>
        <w:rPr>
          <w:rFonts w:hint="eastAsia" w:ascii="仿宋_GB2312" w:eastAsia="仿宋_GB2312"/>
          <w:sz w:val="28"/>
          <w:szCs w:val="28"/>
        </w:rPr>
        <w:t>元增加</w:t>
      </w:r>
      <w:r>
        <w:rPr>
          <w:rFonts w:hint="eastAsia" w:ascii="仿宋_GB2312" w:eastAsia="仿宋_GB2312"/>
          <w:sz w:val="28"/>
          <w:szCs w:val="28"/>
          <w:lang w:val="en-US" w:eastAsia="zh-CN"/>
        </w:rPr>
        <w:t>21,690.04</w:t>
      </w:r>
      <w:r>
        <w:rPr>
          <w:rFonts w:hint="eastAsia" w:ascii="仿宋_GB2312" w:eastAsia="仿宋_GB2312"/>
          <w:sz w:val="28"/>
          <w:szCs w:val="28"/>
        </w:rPr>
        <w:t>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73,591.01</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元增加</w:t>
      </w:r>
      <w:r>
        <w:rPr>
          <w:rFonts w:hint="eastAsia" w:ascii="仿宋_GB2312" w:eastAsia="仿宋_GB2312"/>
          <w:sz w:val="28"/>
          <w:szCs w:val="28"/>
          <w:lang w:val="en-US" w:eastAsia="zh-CN"/>
        </w:rPr>
        <w:t>73,591.01</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度因公出国（境）费用主要用于</w:t>
      </w:r>
      <w:r>
        <w:rPr>
          <w:rFonts w:hint="eastAsia" w:ascii="仿宋_GB2312" w:eastAsia="仿宋_GB2312"/>
          <w:sz w:val="28"/>
          <w:szCs w:val="28"/>
          <w:lang w:eastAsia="zh-CN"/>
        </w:rPr>
        <w:t>培训</w:t>
      </w:r>
      <w:r>
        <w:rPr>
          <w:rFonts w:hint="eastAsia" w:ascii="仿宋_GB2312" w:eastAsia="仿宋_GB2312"/>
          <w:sz w:val="28"/>
          <w:szCs w:val="28"/>
        </w:rPr>
        <w:t>等方面，</w:t>
      </w:r>
      <w:r>
        <w:rPr>
          <w:rFonts w:hint="eastAsia" w:ascii="仿宋_GB2312" w:eastAsia="仿宋_GB2312"/>
          <w:sz w:val="28"/>
          <w:szCs w:val="28"/>
          <w:lang w:eastAsia="zh-CN"/>
        </w:rPr>
        <w:t>2025年</w:t>
      </w:r>
      <w:r>
        <w:rPr>
          <w:rFonts w:hint="eastAsia" w:ascii="仿宋_GB2312" w:eastAsia="仿宋_GB2312"/>
          <w:sz w:val="28"/>
          <w:szCs w:val="28"/>
        </w:rPr>
        <w:t>度组织因公出国（境）团组</w:t>
      </w:r>
      <w:r>
        <w:rPr>
          <w:rFonts w:hint="eastAsia" w:ascii="仿宋_GB2312" w:eastAsia="仿宋_GB2312"/>
          <w:sz w:val="28"/>
          <w:szCs w:val="28"/>
          <w:lang w:eastAsia="zh-CN"/>
        </w:rPr>
        <w:t>2</w:t>
      </w:r>
      <w:r>
        <w:rPr>
          <w:rFonts w:hint="eastAsia" w:ascii="仿宋_GB2312" w:eastAsia="仿宋_GB2312"/>
          <w:sz w:val="28"/>
          <w:szCs w:val="28"/>
        </w:rPr>
        <w:t>个、</w:t>
      </w:r>
      <w:r>
        <w:rPr>
          <w:rFonts w:hint="eastAsia" w:ascii="仿宋_GB2312" w:eastAsia="仿宋_GB2312"/>
          <w:sz w:val="28"/>
          <w:szCs w:val="28"/>
          <w:lang w:eastAsia="zh-CN"/>
        </w:rPr>
        <w:t>2</w:t>
      </w:r>
      <w:r>
        <w:rPr>
          <w:rFonts w:hint="eastAsia" w:ascii="仿宋_GB2312" w:eastAsia="仿宋_GB2312"/>
          <w:sz w:val="28"/>
          <w:szCs w:val="28"/>
        </w:rPr>
        <w:t>人次，人均因公出国（境）费用</w:t>
      </w:r>
      <w:r>
        <w:rPr>
          <w:rFonts w:hint="eastAsia" w:ascii="仿宋_GB2312" w:eastAsia="仿宋_GB2312"/>
          <w:sz w:val="28"/>
          <w:szCs w:val="28"/>
          <w:lang w:val="en-US" w:eastAsia="zh-CN"/>
        </w:rPr>
        <w:t>36,795.51</w:t>
      </w:r>
      <w:r>
        <w:rPr>
          <w:rFonts w:hint="eastAsia" w:ascii="仿宋_GB2312" w:eastAsia="仿宋_GB2312"/>
          <w:sz w:val="28"/>
          <w:szCs w:val="28"/>
        </w:rPr>
        <w:t>元。</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hint="eastAsia" w:ascii="仿宋_GB2312" w:eastAsia="仿宋_GB2312"/>
          <w:sz w:val="28"/>
          <w:szCs w:val="28"/>
          <w:lang w:val="en-US" w:eastAsia="zh-CN"/>
        </w:rPr>
        <w:t>0.00</w:t>
      </w:r>
      <w:r>
        <w:rPr>
          <w:rFonts w:hint="eastAsia" w:ascii="仿宋_GB2312" w:eastAsia="仿宋_GB2312"/>
          <w:sz w:val="28"/>
          <w:szCs w:val="28"/>
        </w:rPr>
        <w:t>元，比2025年度年初预算数</w:t>
      </w:r>
      <w:r>
        <w:rPr>
          <w:rFonts w:hint="eastAsia" w:ascii="仿宋_GB2312" w:eastAsia="仿宋_GB2312"/>
          <w:sz w:val="28"/>
          <w:szCs w:val="28"/>
          <w:lang w:val="en-US" w:eastAsia="zh-CN"/>
        </w:rPr>
        <w:t>336,80.00</w:t>
      </w:r>
      <w:r>
        <w:rPr>
          <w:rFonts w:hint="eastAsia" w:ascii="仿宋_GB2312" w:eastAsia="仿宋_GB2312"/>
          <w:sz w:val="28"/>
          <w:szCs w:val="28"/>
        </w:rPr>
        <w:t>元减少</w:t>
      </w:r>
      <w:r>
        <w:rPr>
          <w:rFonts w:hint="eastAsia" w:ascii="仿宋_GB2312" w:eastAsia="仿宋_GB2312"/>
          <w:sz w:val="28"/>
          <w:szCs w:val="28"/>
          <w:lang w:val="en-US" w:eastAsia="zh-CN"/>
        </w:rPr>
        <w:t>33,680.00</w:t>
      </w:r>
      <w:r>
        <w:rPr>
          <w:rFonts w:hint="eastAsia" w:ascii="仿宋_GB2312" w:eastAsia="仿宋_GB2312"/>
          <w:sz w:val="28"/>
          <w:szCs w:val="28"/>
        </w:rPr>
        <w:t>元。主要原因：</w:t>
      </w:r>
      <w:r>
        <w:rPr>
          <w:rFonts w:hint="eastAsia" w:ascii="仿宋_GB2312" w:eastAsia="仿宋_GB2312"/>
          <w:sz w:val="28"/>
          <w:szCs w:val="28"/>
          <w:lang w:eastAsia="zh-CN"/>
        </w:rPr>
        <w:t>未发生</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hint="eastAsia" w:ascii="仿宋_GB2312" w:eastAsia="仿宋_GB2312"/>
          <w:sz w:val="28"/>
          <w:szCs w:val="28"/>
          <w:lang w:val="en-US" w:eastAsia="zh-CN"/>
        </w:rPr>
        <w:t>89,779.03</w:t>
      </w:r>
      <w:r>
        <w:rPr>
          <w:rFonts w:hint="eastAsia" w:ascii="仿宋_GB2312" w:eastAsia="仿宋_GB2312"/>
          <w:sz w:val="28"/>
          <w:szCs w:val="28"/>
        </w:rPr>
        <w:t>元，比2025年度年初预算数</w:t>
      </w:r>
      <w:r>
        <w:rPr>
          <w:rFonts w:hint="eastAsia" w:ascii="仿宋_GB2312" w:eastAsia="仿宋_GB2312"/>
          <w:sz w:val="28"/>
          <w:szCs w:val="28"/>
          <w:lang w:val="en-US" w:eastAsia="zh-CN"/>
        </w:rPr>
        <w:t>108,000.00</w:t>
      </w:r>
      <w:r>
        <w:rPr>
          <w:rFonts w:hint="eastAsia" w:ascii="仿宋_GB2312" w:eastAsia="仿宋_GB2312"/>
          <w:sz w:val="28"/>
          <w:szCs w:val="28"/>
        </w:rPr>
        <w:t>元减少</w:t>
      </w:r>
      <w:r>
        <w:rPr>
          <w:rFonts w:hint="eastAsia" w:ascii="仿宋_GB2312" w:eastAsia="仿宋_GB2312"/>
          <w:sz w:val="28"/>
          <w:szCs w:val="28"/>
          <w:lang w:val="en-US" w:eastAsia="zh-CN"/>
        </w:rPr>
        <w:t>18,220.97</w:t>
      </w:r>
      <w:r>
        <w:rPr>
          <w:rFonts w:hint="eastAsia" w:ascii="仿宋_GB2312" w:eastAsia="仿宋_GB2312"/>
          <w:sz w:val="28"/>
          <w:szCs w:val="28"/>
        </w:rPr>
        <w:t>元。其中，公务用车购置费2025年度决算数</w:t>
      </w:r>
      <w:r>
        <w:rPr>
          <w:rFonts w:hint="eastAsia" w:ascii="仿宋_GB2312" w:eastAsia="仿宋_GB2312"/>
          <w:sz w:val="28"/>
          <w:szCs w:val="28"/>
          <w:lang w:val="en-US" w:eastAsia="zh-CN"/>
        </w:rPr>
        <w:t>0.00</w:t>
      </w:r>
      <w:r>
        <w:rPr>
          <w:rFonts w:hint="eastAsia" w:ascii="仿宋_GB2312" w:eastAsia="仿宋_GB2312"/>
          <w:sz w:val="28"/>
          <w:szCs w:val="28"/>
        </w:rPr>
        <w:t>元，主要原因：</w:t>
      </w:r>
      <w:r>
        <w:rPr>
          <w:rFonts w:hint="eastAsia" w:ascii="仿宋_GB2312" w:eastAsia="仿宋_GB2312"/>
          <w:sz w:val="28"/>
          <w:szCs w:val="28"/>
          <w:lang w:eastAsia="zh-CN"/>
        </w:rPr>
        <w:t>未发生</w:t>
      </w:r>
      <w:r>
        <w:rPr>
          <w:rFonts w:hint="eastAsia" w:ascii="仿宋_GB2312" w:eastAsia="仿宋_GB2312"/>
          <w:sz w:val="28"/>
          <w:szCs w:val="28"/>
        </w:rPr>
        <w:t>，2025年度购置（更新）</w:t>
      </w:r>
      <w:r>
        <w:rPr>
          <w:rFonts w:hint="eastAsia" w:ascii="仿宋_GB2312" w:eastAsia="仿宋_GB2312"/>
          <w:sz w:val="28"/>
          <w:szCs w:val="28"/>
          <w:lang w:val="en-US" w:eastAsia="zh-CN"/>
        </w:rPr>
        <w:t>0</w:t>
      </w:r>
      <w:r>
        <w:rPr>
          <w:rFonts w:hint="eastAsia" w:ascii="仿宋_GB2312" w:eastAsia="仿宋_GB2312"/>
          <w:sz w:val="28"/>
          <w:szCs w:val="28"/>
        </w:rPr>
        <w:t>辆。公务用车运行维护费2025年度决算数</w:t>
      </w:r>
      <w:r>
        <w:rPr>
          <w:rFonts w:hint="eastAsia" w:ascii="仿宋_GB2312" w:eastAsia="仿宋_GB2312"/>
          <w:sz w:val="28"/>
          <w:szCs w:val="28"/>
          <w:lang w:val="en-US" w:eastAsia="zh-CN"/>
        </w:rPr>
        <w:t>89,779.03</w:t>
      </w:r>
      <w:r>
        <w:rPr>
          <w:rFonts w:hint="eastAsia" w:ascii="仿宋_GB2312" w:eastAsia="仿宋_GB2312"/>
          <w:sz w:val="28"/>
          <w:szCs w:val="28"/>
        </w:rPr>
        <w:t>元，主要原因：</w:t>
      </w:r>
      <w:r>
        <w:rPr>
          <w:rFonts w:hint="eastAsia" w:ascii="仿宋_GB2312" w:eastAsia="仿宋_GB2312"/>
          <w:sz w:val="28"/>
          <w:szCs w:val="28"/>
          <w:lang w:eastAsia="zh-CN"/>
        </w:rPr>
        <w:t>发生维修费</w:t>
      </w:r>
      <w:r>
        <w:rPr>
          <w:rFonts w:hint="eastAsia" w:ascii="仿宋_GB2312" w:eastAsia="仿宋_GB2312"/>
          <w:sz w:val="28"/>
          <w:szCs w:val="28"/>
        </w:rPr>
        <w:t>。2025年度公务用车保有量</w:t>
      </w:r>
      <w:r>
        <w:rPr>
          <w:rFonts w:hint="eastAsia" w:ascii="仿宋_GB2312" w:eastAsia="仿宋_GB2312"/>
          <w:sz w:val="28"/>
          <w:szCs w:val="28"/>
          <w:lang w:val="en-US" w:eastAsia="zh-CN"/>
        </w:rPr>
        <w:t>6</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w:t>
      </w:r>
      <w:r>
        <w:rPr>
          <w:rFonts w:hint="eastAsia" w:ascii="仿宋_GB2312" w:eastAsia="仿宋_GB2312"/>
          <w:sz w:val="28"/>
          <w:szCs w:val="28"/>
          <w:lang w:val="en-US" w:eastAsia="zh-CN"/>
        </w:rPr>
        <w:t>6,031,391.85</w:t>
      </w:r>
      <w:r>
        <w:rPr>
          <w:rFonts w:hint="eastAsia" w:ascii="仿宋_GB2312" w:eastAsia="仿宋_GB2312"/>
          <w:sz w:val="28"/>
          <w:szCs w:val="28"/>
        </w:rPr>
        <w:t>元，比上年增加</w:t>
      </w:r>
      <w:r>
        <w:rPr>
          <w:rFonts w:hint="eastAsia" w:ascii="仿宋_GB2312" w:eastAsia="仿宋_GB2312"/>
          <w:sz w:val="28"/>
          <w:szCs w:val="28"/>
          <w:lang w:val="en-US" w:eastAsia="zh-CN"/>
        </w:rPr>
        <w:t>247,636.95</w:t>
      </w:r>
      <w:r>
        <w:rPr>
          <w:rFonts w:hint="eastAsia" w:ascii="仿宋_GB2312" w:eastAsia="仿宋_GB2312"/>
          <w:sz w:val="28"/>
          <w:szCs w:val="28"/>
        </w:rPr>
        <w:t>元，增加原因：</w:t>
      </w:r>
      <w:r>
        <w:rPr>
          <w:rFonts w:hint="eastAsia" w:ascii="仿宋_GB2312" w:eastAsia="仿宋_GB2312"/>
          <w:color w:val="000000"/>
          <w:sz w:val="28"/>
          <w:szCs w:val="28"/>
        </w:rPr>
        <w:t>办公经费增加</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2025年度政府采购支出总额</w:t>
      </w:r>
      <w:r>
        <w:rPr>
          <w:rFonts w:hint="eastAsia" w:ascii="仿宋_GB2312" w:eastAsia="仿宋_GB2312"/>
          <w:sz w:val="28"/>
          <w:szCs w:val="28"/>
          <w:lang w:val="en-US" w:eastAsia="zh-CN"/>
        </w:rPr>
        <w:t>82,383,975.68</w:t>
      </w:r>
      <w:r>
        <w:rPr>
          <w:rFonts w:hint="eastAsia" w:ascii="仿宋_GB2312" w:eastAsia="仿宋_GB2312"/>
          <w:sz w:val="28"/>
          <w:szCs w:val="28"/>
        </w:rPr>
        <w:t>元，其中：政府采购货物支出</w:t>
      </w:r>
      <w:r>
        <w:rPr>
          <w:rFonts w:hint="eastAsia" w:ascii="仿宋_GB2312" w:eastAsia="仿宋_GB2312"/>
          <w:sz w:val="28"/>
          <w:szCs w:val="28"/>
          <w:lang w:val="en-US" w:eastAsia="zh-CN"/>
        </w:rPr>
        <w:t>4,723,726.83</w:t>
      </w:r>
      <w:r>
        <w:rPr>
          <w:rFonts w:hint="eastAsia" w:ascii="仿宋_GB2312" w:eastAsia="仿宋_GB2312"/>
          <w:sz w:val="28"/>
          <w:szCs w:val="28"/>
        </w:rPr>
        <w:t>元，政府采购工程支出</w:t>
      </w:r>
      <w:r>
        <w:rPr>
          <w:rFonts w:hint="eastAsia" w:ascii="仿宋_GB2312" w:eastAsia="仿宋_GB2312"/>
          <w:sz w:val="28"/>
          <w:szCs w:val="28"/>
          <w:lang w:val="en-US" w:eastAsia="zh-CN"/>
        </w:rPr>
        <w:t>22,576,014.47</w:t>
      </w:r>
      <w:r>
        <w:rPr>
          <w:rFonts w:hint="eastAsia" w:ascii="仿宋_GB2312" w:eastAsia="仿宋_GB2312"/>
          <w:sz w:val="28"/>
          <w:szCs w:val="28"/>
        </w:rPr>
        <w:t>元，政府采购服务支出</w:t>
      </w:r>
      <w:r>
        <w:rPr>
          <w:rFonts w:hint="eastAsia" w:ascii="仿宋_GB2312" w:eastAsia="仿宋_GB2312"/>
          <w:sz w:val="28"/>
          <w:szCs w:val="28"/>
          <w:lang w:val="en-US" w:eastAsia="zh-CN"/>
        </w:rPr>
        <w:t>55,084,234.38</w:t>
      </w:r>
      <w:r>
        <w:rPr>
          <w:rFonts w:hint="eastAsia" w:ascii="仿宋_GB2312" w:eastAsia="仿宋_GB2312"/>
          <w:sz w:val="28"/>
          <w:szCs w:val="28"/>
        </w:rPr>
        <w:t>元。授予中小企业合同金额</w:t>
      </w:r>
      <w:r>
        <w:rPr>
          <w:rFonts w:hint="eastAsia" w:ascii="仿宋_GB2312" w:eastAsia="仿宋_GB2312"/>
          <w:sz w:val="28"/>
          <w:szCs w:val="28"/>
          <w:lang w:val="en-US" w:eastAsia="zh-CN"/>
        </w:rPr>
        <w:t>77,717,511.93</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94.43</w:t>
      </w:r>
      <w:r>
        <w:rPr>
          <w:rFonts w:hint="eastAsia" w:ascii="仿宋_GB2312" w:eastAsia="仿宋_GB2312"/>
          <w:sz w:val="28"/>
          <w:szCs w:val="28"/>
        </w:rPr>
        <w:t>%，其中：授予小微企业合同金额</w:t>
      </w:r>
      <w:r>
        <w:rPr>
          <w:rFonts w:hint="eastAsia" w:ascii="仿宋_GB2312" w:eastAsia="仿宋_GB2312"/>
          <w:sz w:val="28"/>
          <w:szCs w:val="28"/>
          <w:lang w:val="en-US" w:eastAsia="zh-CN"/>
        </w:rPr>
        <w:t>50,220,748.66</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60.96</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w:t>
      </w:r>
      <w:r>
        <w:rPr>
          <w:rFonts w:hint="eastAsia" w:ascii="仿宋_GB2312" w:eastAsia="仿宋_GB2312"/>
          <w:sz w:val="28"/>
          <w:szCs w:val="28"/>
          <w:lang w:eastAsia="zh-CN"/>
        </w:rPr>
        <w:t>北京市门头沟区城市管理委员会</w:t>
      </w:r>
      <w:r>
        <w:rPr>
          <w:rFonts w:hint="eastAsia" w:ascii="仿宋_GB2312" w:eastAsia="仿宋_GB2312"/>
          <w:sz w:val="28"/>
          <w:szCs w:val="28"/>
        </w:rPr>
        <w:t>部门共有车辆</w:t>
      </w:r>
      <w:r>
        <w:rPr>
          <w:rFonts w:hint="eastAsia" w:ascii="仿宋_GB2312" w:eastAsia="仿宋_GB2312"/>
          <w:sz w:val="28"/>
          <w:szCs w:val="28"/>
          <w:lang w:val="en-US" w:eastAsia="zh-CN"/>
        </w:rPr>
        <w:t>6</w:t>
      </w:r>
      <w:r>
        <w:rPr>
          <w:rFonts w:hint="eastAsia" w:ascii="仿宋_GB2312" w:eastAsia="仿宋_GB2312"/>
          <w:sz w:val="28"/>
          <w:szCs w:val="28"/>
        </w:rPr>
        <w:t>台；单位价值1</w:t>
      </w:r>
      <w:r>
        <w:rPr>
          <w:rFonts w:hint="eastAsia" w:ascii="仿宋_GB2312" w:eastAsia="仿宋_GB2312"/>
          <w:sz w:val="28"/>
          <w:szCs w:val="28"/>
          <w:lang w:val="en-US" w:eastAsia="zh-CN"/>
        </w:rPr>
        <w:t>,</w:t>
      </w:r>
      <w:r>
        <w:rPr>
          <w:rFonts w:hint="eastAsia" w:ascii="仿宋_GB2312" w:eastAsia="仿宋_GB2312"/>
          <w:sz w:val="28"/>
          <w:szCs w:val="28"/>
        </w:rPr>
        <w:t>00</w:t>
      </w:r>
      <w:r>
        <w:rPr>
          <w:rFonts w:hint="eastAsia" w:ascii="仿宋_GB2312" w:eastAsia="仿宋_GB2312"/>
          <w:sz w:val="28"/>
          <w:szCs w:val="28"/>
          <w:lang w:val="en-US" w:eastAsia="zh-CN"/>
        </w:rPr>
        <w:t>0,000.00</w:t>
      </w:r>
      <w:r>
        <w:rPr>
          <w:rFonts w:hint="eastAsia" w:ascii="仿宋_GB2312" w:eastAsia="仿宋_GB2312"/>
          <w:sz w:val="28"/>
          <w:szCs w:val="28"/>
        </w:rPr>
        <w:t>元（含）以上的设备</w:t>
      </w:r>
      <w:r>
        <w:rPr>
          <w:rFonts w:hint="eastAsia" w:ascii="仿宋_GB2312" w:eastAsia="仿宋_GB2312"/>
          <w:sz w:val="28"/>
          <w:szCs w:val="28"/>
          <w:lang w:val="en-US" w:eastAsia="zh-CN"/>
        </w:rPr>
        <w:t>0</w:t>
      </w:r>
      <w:r>
        <w:rPr>
          <w:rFonts w:hint="eastAsia" w:ascii="仿宋_GB2312" w:eastAsia="仿宋_GB2312"/>
          <w:sz w:val="28"/>
          <w:szCs w:val="28"/>
        </w:rPr>
        <w:t>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hAnsi="宋体" w:eastAsia="仿宋_GB2312"/>
          <w:sz w:val="28"/>
          <w:szCs w:val="28"/>
        </w:rPr>
      </w:pPr>
      <w:r>
        <w:rPr>
          <w:rFonts w:hint="eastAsia" w:ascii="仿宋_GB2312" w:eastAsia="仿宋_GB2312"/>
          <w:sz w:val="28"/>
          <w:szCs w:val="28"/>
        </w:rPr>
        <w:t>3.“三公”经费：</w:t>
      </w:r>
      <w:r>
        <w:rPr>
          <w:rFonts w:hint="eastAsia" w:ascii="仿宋_GB2312" w:hAnsi="宋体" w:eastAsia="仿宋_GB2312"/>
          <w:sz w:val="28"/>
          <w:szCs w:val="28"/>
        </w:rPr>
        <w:t>是指单位通过财政拨款资金安排的因公出国（境）费、公务用车购置及运行费和公务接待费。其中，因公出国（境）费指单位公务出国（境）的国际旅费、国外城市间交通费、住宿费、伙食费、培训费、公杂费等支出；公务用车购置及运行费指单位公务用车购置支出（含车辆购置税、牌照费）及单位按规定保留的公务用车燃料费、维修费、过路过桥费、保险费、安全奖励费等支出；公务接待费指单位按规定开支的各类公务接待（含外宾接待）支出。</w:t>
      </w:r>
    </w:p>
    <w:p>
      <w:pPr>
        <w:ind w:firstLine="560" w:firstLineChars="200"/>
        <w:rPr>
          <w:rFonts w:ascii="仿宋_GB2312" w:hAnsi="宋体" w:eastAsia="仿宋_GB2312"/>
          <w:sz w:val="28"/>
          <w:szCs w:val="28"/>
        </w:rPr>
      </w:pP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机关运行经费：</w:t>
      </w:r>
      <w:r>
        <w:rPr>
          <w:rFonts w:hint="eastAsia" w:ascii="仿宋_GB2312" w:hAnsi="宋体" w:eastAsia="仿宋_GB2312"/>
          <w:sz w:val="28"/>
          <w:szCs w:val="28"/>
        </w:rPr>
        <w:t>指为</w:t>
      </w:r>
      <w:r>
        <w:rPr>
          <w:rFonts w:ascii="仿宋_GB2312" w:hAnsi="宋体" w:eastAsia="仿宋_GB2312"/>
          <w:sz w:val="28"/>
          <w:szCs w:val="28"/>
        </w:rPr>
        <w:t>保障</w:t>
      </w:r>
      <w:r>
        <w:rPr>
          <w:rFonts w:hint="eastAsia" w:ascii="仿宋_GB2312" w:hAnsi="宋体" w:eastAsia="仿宋_GB2312"/>
          <w:sz w:val="28"/>
          <w:szCs w:val="28"/>
        </w:rPr>
        <w:t>行政单位（含参照公务员法管理事业单位）运行用于</w:t>
      </w:r>
      <w:r>
        <w:rPr>
          <w:rFonts w:ascii="仿宋_GB2312" w:hAnsi="宋体" w:eastAsia="仿宋_GB2312"/>
          <w:sz w:val="28"/>
          <w:szCs w:val="28"/>
        </w:rPr>
        <w:t>购买货物和服务的各项资金</w:t>
      </w:r>
      <w:r>
        <w:rPr>
          <w:rFonts w:hint="eastAsia" w:ascii="仿宋_GB2312" w:hAnsi="宋体" w:eastAsia="仿宋_GB2312"/>
          <w:sz w:val="28"/>
          <w:szCs w:val="28"/>
        </w:rPr>
        <w:t>，包括办公及印刷费、邮电费、差旅费、会议费、福利费、日常维修费、专用材料及一般设备购置费、办公用房水电费、办公用房取暖费、办公用房物业管理费、公务用车运行维护费以及其他费用。</w:t>
      </w:r>
    </w:p>
    <w:p>
      <w:pPr>
        <w:ind w:firstLine="420" w:firstLineChars="150"/>
        <w:rPr>
          <w:rFonts w:ascii="仿宋_GB2312" w:eastAsia="仿宋_GB2312"/>
          <w:sz w:val="28"/>
          <w:szCs w:val="28"/>
        </w:rPr>
      </w:pPr>
      <w:r>
        <w:rPr>
          <w:rFonts w:hint="eastAsia" w:ascii="仿宋_GB2312" w:eastAsia="仿宋_GB2312"/>
          <w:sz w:val="28"/>
          <w:szCs w:val="28"/>
        </w:rPr>
        <w:t>5</w:t>
      </w:r>
      <w:r>
        <w:rPr>
          <w:rFonts w:ascii="仿宋_GB2312" w:eastAsia="仿宋_GB2312"/>
          <w:sz w:val="28"/>
          <w:szCs w:val="28"/>
        </w:rPr>
        <w:t>.</w:t>
      </w:r>
      <w:r>
        <w:rPr>
          <w:rFonts w:hint="eastAsia" w:ascii="仿宋_GB2312" w:eastAsia="仿宋_GB2312"/>
          <w:sz w:val="28"/>
          <w:szCs w:val="28"/>
        </w:rPr>
        <w:t>政府采购</w:t>
      </w:r>
      <w:r>
        <w:rPr>
          <w:rFonts w:ascii="仿宋_GB2312" w:eastAsia="仿宋_GB2312"/>
          <w:sz w:val="28"/>
          <w:szCs w:val="28"/>
        </w:rPr>
        <w:t>：</w:t>
      </w:r>
      <w:r>
        <w:rPr>
          <w:rFonts w:hint="eastAsia" w:ascii="仿宋_GB2312" w:eastAsia="仿宋_GB2312"/>
          <w:sz w:val="28"/>
          <w:szCs w:val="28"/>
        </w:rPr>
        <w:t>指</w:t>
      </w:r>
      <w:r>
        <w:rPr>
          <w:rFonts w:ascii="仿宋_GB2312" w:eastAsia="仿宋_GB2312"/>
          <w:sz w:val="28"/>
          <w:szCs w:val="28"/>
        </w:rPr>
        <w:t>各级国家机关、事业单位和团体组织，使用</w:t>
      </w:r>
      <w:r>
        <w:rPr>
          <w:rFonts w:hint="eastAsia" w:ascii="仿宋_GB2312" w:eastAsia="仿宋_GB2312"/>
          <w:sz w:val="28"/>
          <w:szCs w:val="28"/>
        </w:rPr>
        <w:t>财政性</w:t>
      </w:r>
      <w:r>
        <w:rPr>
          <w:rFonts w:ascii="仿宋_GB2312" w:eastAsia="仿宋_GB2312"/>
          <w:sz w:val="28"/>
          <w:szCs w:val="28"/>
        </w:rPr>
        <w:t>资金采购依法制定的集中目录以内的或者采购限额标准以上的货物、工程和服务的行为</w:t>
      </w:r>
      <w:r>
        <w:rPr>
          <w:rFonts w:hint="eastAsia" w:ascii="仿宋_GB2312" w:eastAsia="仿宋_GB2312"/>
          <w:sz w:val="28"/>
          <w:szCs w:val="28"/>
        </w:rPr>
        <w:t>，</w:t>
      </w:r>
      <w:r>
        <w:rPr>
          <w:rFonts w:ascii="仿宋_GB2312" w:eastAsia="仿宋_GB2312"/>
          <w:sz w:val="28"/>
          <w:szCs w:val="28"/>
        </w:rPr>
        <w:t>是规范财政支出管理和强化预算约束的有效措施。</w:t>
      </w:r>
    </w:p>
    <w:p>
      <w:pPr>
        <w:ind w:firstLine="420" w:firstLineChars="150"/>
        <w:rPr>
          <w:rFonts w:ascii="仿宋_GB2312" w:eastAsia="仿宋_GB2312"/>
          <w:sz w:val="28"/>
          <w:szCs w:val="28"/>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spacing w:line="520" w:lineRule="exact"/>
        <w:ind w:firstLine="420" w:firstLineChars="150"/>
        <w:rPr>
          <w:rFonts w:ascii="仿宋_GB2312" w:eastAsia="仿宋_GB2312"/>
          <w:sz w:val="28"/>
          <w:szCs w:val="28"/>
        </w:rPr>
      </w:pPr>
      <w:r>
        <w:rPr>
          <w:rFonts w:ascii="仿宋_GB2312" w:eastAsia="仿宋_GB2312"/>
          <w:sz w:val="28"/>
          <w:szCs w:val="28"/>
        </w:rPr>
        <w:t>7.执法装备采购：指为城管系统队伍配备现场执法、取证、防护等设备装备，主要有记录仪采集站、激光测距仪、手持喊话器等。</w:t>
      </w:r>
    </w:p>
    <w:p>
      <w:pPr>
        <w:rPr>
          <w:rFonts w:ascii="黑体" w:eastAsia="黑体"/>
          <w:sz w:val="30"/>
          <w:szCs w:val="30"/>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20" w:lineRule="exact"/>
        <w:ind w:firstLine="640"/>
        <w:rPr>
          <w:rFonts w:hint="eastAsia" w:ascii="仿宋_GB2312" w:eastAsia="仿宋_GB2312"/>
          <w:sz w:val="28"/>
          <w:szCs w:val="28"/>
        </w:rPr>
      </w:pPr>
      <w:bookmarkStart w:id="0" w:name="_Toc268005755"/>
      <w:bookmarkStart w:id="1" w:name="_Toc268005761"/>
      <w:bookmarkStart w:id="2" w:name="_Toc263686375"/>
      <w:r>
        <w:rPr>
          <w:rFonts w:hint="eastAsia" w:ascii="仿宋_GB2312" w:eastAsia="仿宋_GB2312"/>
          <w:sz w:val="28"/>
          <w:szCs w:val="28"/>
        </w:rPr>
        <w:t>1.部门职责情况</w:t>
      </w:r>
    </w:p>
    <w:p>
      <w:pPr>
        <w:spacing w:line="520" w:lineRule="exact"/>
        <w:ind w:firstLine="560" w:firstLineChars="200"/>
        <w:rPr>
          <w:rFonts w:hint="default" w:eastAsia="仿宋_GB2312"/>
          <w:lang w:val="en-US" w:eastAsia="zh-CN"/>
        </w:rPr>
      </w:pPr>
      <w:r>
        <w:rPr>
          <w:rFonts w:hint="eastAsia" w:ascii="仿宋_GB2312" w:eastAsia="仿宋_GB2312"/>
          <w:sz w:val="28"/>
          <w:szCs w:val="28"/>
          <w:lang w:val="en-US" w:eastAsia="zh-CN"/>
        </w:rPr>
        <w:t xml:space="preserve"> </w:t>
      </w:r>
      <w:r>
        <w:rPr>
          <w:rFonts w:hint="eastAsia" w:ascii="仿宋_GB2312" w:eastAsia="仿宋_GB2312"/>
          <w:sz w:val="28"/>
          <w:szCs w:val="32"/>
        </w:rPr>
        <w:t>彻执行国家和本市有关法律法规、战略规划和政策措施；负责对本区城市管理工作的业务指导、组织协调、指挥调度、专项整治和检查评价；承担本区城市容貌管理责任；组织协调落实重点地区、重点街道的景观建设和治理工作；负责本区环境卫生的组织管理工作；承担生活垃圾等固体废弃物清扫、收集、贮存、运输和处置的监督管理责任；负责本区垃圾渣土消纳和消纳场所的管理工作；负责本区燃气、供热、煤炭、电力、电源点的行业管理；负责加油（气）站管理的综合协调；负责新能源汽车充电站（桩）的建设和运营管理。统筹本区能源日常运行工作，承担煤、电、油、气等能源的日常运行监测、调度、协调和供应保障工作；责本区市政基础设施规划、统筹、协调，以及区管市政基础设施建设的行业管理；负责区管城市道路、桥梁等设施养护的监督管理；负责本区经营性停车设施和自行车设施的行业管理；照区政府工作部门、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的行业管理和安全运行的监督管理</w:t>
      </w:r>
      <w:r>
        <w:rPr>
          <w:rFonts w:hint="eastAsia" w:ascii="仿宋_GB2312" w:eastAsia="仿宋_GB2312"/>
          <w:sz w:val="28"/>
          <w:szCs w:val="32"/>
          <w:lang w:eastAsia="zh-CN"/>
        </w:rPr>
        <w:t>等工作。</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2.部门机构设置情况</w:t>
      </w:r>
    </w:p>
    <w:p>
      <w:pPr>
        <w:spacing w:line="520" w:lineRule="exact"/>
        <w:ind w:firstLine="640"/>
        <w:rPr>
          <w:rFonts w:hint="eastAsia" w:ascii="仿宋_GB2312" w:eastAsia="仿宋_GB2312"/>
          <w:sz w:val="28"/>
          <w:szCs w:val="28"/>
        </w:rPr>
      </w:pPr>
      <w:r>
        <w:rPr>
          <w:rFonts w:hint="eastAsia" w:ascii="仿宋_GB2312" w:eastAsia="仿宋_GB2312"/>
          <w:sz w:val="28"/>
          <w:szCs w:val="28"/>
        </w:rPr>
        <w:t>本部门共设6个内设机构，下设1个行政单位、1个事业单位。</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3.2025年主要工作任务</w:t>
      </w:r>
    </w:p>
    <w:p>
      <w:pPr>
        <w:spacing w:line="520" w:lineRule="exact"/>
        <w:ind w:firstLine="640"/>
      </w:pPr>
      <w:r>
        <w:rPr>
          <w:rFonts w:hint="eastAsia" w:ascii="仿宋_GB2312" w:eastAsia="仿宋_GB2312"/>
          <w:sz w:val="28"/>
          <w:szCs w:val="28"/>
        </w:rPr>
        <w:t>我部门资金支出主要为基本支出和项目支出。其中基本支出用于保障事业在编人员工资及水电费、办公费等日常公用经费；项目支出主要包括区政府重点工程任务目标；区域路网的完善；燃气、供暖、供电、环卫、养护等行业管理；城市运行保障；实施景观提升工程；加强城乡环境检查协调等。</w:t>
      </w:r>
    </w:p>
    <w:bookmarkEnd w:id="0"/>
    <w:p>
      <w:pPr>
        <w:spacing w:line="520" w:lineRule="exact"/>
        <w:ind w:firstLine="560" w:firstLineChars="200"/>
        <w:rPr>
          <w:rFonts w:hint="eastAsia" w:ascii="仿宋_GB2312" w:eastAsia="仿宋_GB2312"/>
          <w:sz w:val="28"/>
          <w:szCs w:val="28"/>
        </w:rPr>
      </w:pPr>
      <w:bookmarkStart w:id="3" w:name="_Toc268005759"/>
      <w:r>
        <w:rPr>
          <w:rFonts w:hint="eastAsia" w:ascii="仿宋_GB2312" w:eastAsia="仿宋_GB2312"/>
          <w:sz w:val="28"/>
          <w:szCs w:val="28"/>
          <w:lang w:val="en-US" w:eastAsia="zh-CN"/>
        </w:rPr>
        <w:t>4.</w:t>
      </w:r>
      <w:r>
        <w:rPr>
          <w:rFonts w:hint="eastAsia" w:ascii="仿宋_GB2312" w:eastAsia="仿宋_GB2312"/>
          <w:sz w:val="28"/>
          <w:szCs w:val="28"/>
        </w:rPr>
        <w:t>部门</w:t>
      </w:r>
      <w:bookmarkEnd w:id="3"/>
      <w:r>
        <w:rPr>
          <w:rFonts w:hint="eastAsia" w:ascii="仿宋_GB2312" w:eastAsia="仿宋_GB2312"/>
          <w:sz w:val="28"/>
          <w:szCs w:val="28"/>
        </w:rPr>
        <w:t>整体绩效目标设立情况</w:t>
      </w:r>
    </w:p>
    <w:p>
      <w:pPr>
        <w:pStyle w:val="2"/>
        <w:rPr>
          <w:rFonts w:hint="eastAsia"/>
        </w:rPr>
      </w:pPr>
    </w:p>
    <w:tbl>
      <w:tblPr>
        <w:tblStyle w:val="10"/>
        <w:tblW w:w="5184" w:type="pct"/>
        <w:tblInd w:w="0" w:type="dxa"/>
        <w:tblLayout w:type="fixed"/>
        <w:tblCellMar>
          <w:top w:w="0" w:type="dxa"/>
          <w:left w:w="108" w:type="dxa"/>
          <w:bottom w:w="0" w:type="dxa"/>
          <w:right w:w="108" w:type="dxa"/>
        </w:tblCellMar>
      </w:tblPr>
      <w:tblGrid>
        <w:gridCol w:w="965"/>
        <w:gridCol w:w="4870"/>
        <w:gridCol w:w="2235"/>
        <w:gridCol w:w="4363"/>
        <w:gridCol w:w="1296"/>
        <w:gridCol w:w="1601"/>
      </w:tblGrid>
      <w:tr>
        <w:tblPrEx>
          <w:tblCellMar>
            <w:top w:w="0" w:type="dxa"/>
            <w:left w:w="108" w:type="dxa"/>
            <w:bottom w:w="0" w:type="dxa"/>
            <w:right w:w="108" w:type="dxa"/>
          </w:tblCellMar>
        </w:tblPrEx>
        <w:trPr>
          <w:trHeight w:val="1076" w:hRule="atLeast"/>
        </w:trPr>
        <w:tc>
          <w:tcPr>
            <w:tcW w:w="314" w:type="pct"/>
            <w:tcBorders>
              <w:top w:val="single" w:color="auto" w:sz="4" w:space="0"/>
              <w:left w:val="single" w:color="auto" w:sz="4" w:space="0"/>
              <w:bottom w:val="single" w:color="auto" w:sz="4" w:space="0"/>
              <w:right w:val="single" w:color="auto" w:sz="4" w:space="0"/>
            </w:tcBorders>
            <w:noWrap/>
            <w:vAlign w:val="bottom"/>
          </w:tcPr>
          <w:p>
            <w:pPr>
              <w:widowControl/>
              <w:jc w:val="center"/>
              <w:rPr>
                <w:rFonts w:ascii="仿宋_GB2312" w:hAnsi="仿宋" w:eastAsia="仿宋_GB2312" w:cs="Times New Roman"/>
                <w:sz w:val="21"/>
                <w:szCs w:val="21"/>
              </w:rPr>
            </w:pPr>
            <w:r>
              <w:rPr>
                <w:rFonts w:hint="eastAsia" w:ascii="仿宋_GB2312" w:hAnsi="仿宋" w:eastAsia="仿宋_GB2312" w:cs="Times New Roman"/>
                <w:sz w:val="21"/>
                <w:szCs w:val="21"/>
              </w:rPr>
              <w:t>序号</w:t>
            </w:r>
          </w:p>
        </w:tc>
        <w:tc>
          <w:tcPr>
            <w:tcW w:w="1588" w:type="pct"/>
            <w:tcBorders>
              <w:top w:val="single" w:color="auto" w:sz="4" w:space="0"/>
              <w:left w:val="nil"/>
              <w:bottom w:val="single" w:color="auto" w:sz="4" w:space="0"/>
              <w:right w:val="single" w:color="auto" w:sz="4" w:space="0"/>
            </w:tcBorders>
            <w:noWrap/>
            <w:vAlign w:val="bottom"/>
          </w:tcPr>
          <w:p>
            <w:pPr>
              <w:widowControl/>
              <w:jc w:val="center"/>
              <w:rPr>
                <w:rFonts w:ascii="仿宋_GB2312" w:hAnsi="仿宋" w:eastAsia="仿宋_GB2312" w:cs="Times New Roman"/>
                <w:sz w:val="21"/>
                <w:szCs w:val="21"/>
              </w:rPr>
            </w:pPr>
            <w:r>
              <w:rPr>
                <w:rFonts w:hint="eastAsia" w:ascii="仿宋_GB2312" w:hAnsi="仿宋" w:eastAsia="仿宋_GB2312" w:cs="Times New Roman"/>
                <w:sz w:val="21"/>
                <w:szCs w:val="21"/>
              </w:rPr>
              <w:t>三级指标</w:t>
            </w:r>
          </w:p>
        </w:tc>
        <w:tc>
          <w:tcPr>
            <w:tcW w:w="728" w:type="pct"/>
            <w:tcBorders>
              <w:top w:val="single" w:color="auto" w:sz="4" w:space="0"/>
              <w:left w:val="nil"/>
              <w:bottom w:val="single" w:color="auto" w:sz="4" w:space="0"/>
              <w:right w:val="single" w:color="auto" w:sz="4" w:space="0"/>
            </w:tcBorders>
            <w:noWrap/>
            <w:vAlign w:val="bottom"/>
          </w:tcPr>
          <w:p>
            <w:pPr>
              <w:widowControl/>
              <w:jc w:val="center"/>
              <w:rPr>
                <w:rFonts w:ascii="仿宋_GB2312" w:hAnsi="仿宋" w:eastAsia="仿宋_GB2312" w:cs="Times New Roman"/>
                <w:sz w:val="21"/>
                <w:szCs w:val="21"/>
              </w:rPr>
            </w:pPr>
            <w:r>
              <w:rPr>
                <w:rFonts w:hint="eastAsia" w:ascii="仿宋_GB2312" w:hAnsi="仿宋" w:eastAsia="仿宋_GB2312" w:cs="Times New Roman"/>
                <w:sz w:val="21"/>
                <w:szCs w:val="21"/>
              </w:rPr>
              <w:t>指标性质</w:t>
            </w:r>
          </w:p>
        </w:tc>
        <w:tc>
          <w:tcPr>
            <w:tcW w:w="1423" w:type="pct"/>
            <w:tcBorders>
              <w:top w:val="single" w:color="auto" w:sz="4" w:space="0"/>
              <w:left w:val="nil"/>
              <w:bottom w:val="single" w:color="auto" w:sz="4" w:space="0"/>
              <w:right w:val="single" w:color="auto" w:sz="4" w:space="0"/>
            </w:tcBorders>
            <w:noWrap/>
            <w:vAlign w:val="bottom"/>
          </w:tcPr>
          <w:p>
            <w:pPr>
              <w:widowControl/>
              <w:jc w:val="center"/>
              <w:rPr>
                <w:rFonts w:ascii="仿宋_GB2312" w:hAnsi="仿宋" w:eastAsia="仿宋_GB2312" w:cs="Times New Roman"/>
                <w:sz w:val="21"/>
                <w:szCs w:val="21"/>
              </w:rPr>
            </w:pPr>
            <w:r>
              <w:rPr>
                <w:rFonts w:hint="eastAsia" w:ascii="仿宋_GB2312" w:hAnsi="仿宋" w:eastAsia="仿宋_GB2312" w:cs="Times New Roman"/>
                <w:sz w:val="21"/>
                <w:szCs w:val="21"/>
              </w:rPr>
              <w:t>指标值</w:t>
            </w:r>
          </w:p>
        </w:tc>
        <w:tc>
          <w:tcPr>
            <w:tcW w:w="422" w:type="pct"/>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1"/>
                <w:szCs w:val="21"/>
              </w:rPr>
            </w:pPr>
            <w:r>
              <w:rPr>
                <w:rFonts w:hint="eastAsia" w:ascii="仿宋_GB2312" w:hAnsi="仿宋" w:eastAsia="仿宋_GB2312" w:cs="Times New Roman"/>
                <w:sz w:val="21"/>
                <w:szCs w:val="21"/>
              </w:rPr>
              <w:t>度量单位</w:t>
            </w:r>
          </w:p>
        </w:tc>
        <w:tc>
          <w:tcPr>
            <w:tcW w:w="522" w:type="pct"/>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1"/>
                <w:szCs w:val="21"/>
              </w:rPr>
            </w:pPr>
            <w:r>
              <w:rPr>
                <w:rFonts w:hint="eastAsia" w:ascii="仿宋_GB2312" w:hAnsi="仿宋" w:eastAsia="仿宋_GB2312" w:cs="Times New Roman"/>
                <w:sz w:val="21"/>
                <w:szCs w:val="21"/>
              </w:rPr>
              <w:t>指标权重</w:t>
            </w:r>
          </w:p>
        </w:tc>
      </w:tr>
      <w:tr>
        <w:tblPrEx>
          <w:tblCellMar>
            <w:top w:w="0" w:type="dxa"/>
            <w:left w:w="108" w:type="dxa"/>
            <w:bottom w:w="0" w:type="dxa"/>
            <w:right w:w="108" w:type="dxa"/>
          </w:tblCellMar>
        </w:tblPrEx>
        <w:trPr>
          <w:trHeight w:val="275" w:hRule="atLeast"/>
        </w:trPr>
        <w:tc>
          <w:tcPr>
            <w:tcW w:w="314" w:type="pct"/>
            <w:tcBorders>
              <w:top w:val="nil"/>
              <w:left w:val="single" w:color="auto" w:sz="4" w:space="0"/>
              <w:bottom w:val="single" w:color="auto" w:sz="4" w:space="0"/>
              <w:right w:val="single" w:color="auto" w:sz="4" w:space="0"/>
            </w:tcBorders>
            <w:noWrap/>
            <w:vAlign w:val="bottom"/>
          </w:tcPr>
          <w:p>
            <w:pPr>
              <w:widowControl/>
              <w:jc w:val="center"/>
              <w:rPr>
                <w:rFonts w:ascii="仿宋_GB2312" w:hAnsi="仿宋" w:eastAsia="仿宋_GB2312" w:cs="Times New Roman"/>
                <w:sz w:val="18"/>
                <w:szCs w:val="18"/>
              </w:rPr>
            </w:pPr>
            <w:r>
              <w:rPr>
                <w:rFonts w:ascii="仿宋_GB2312" w:hAnsi="仿宋" w:eastAsia="仿宋_GB2312" w:cs="Times New Roman"/>
                <w:sz w:val="18"/>
                <w:szCs w:val="18"/>
              </w:rPr>
              <w:t>1</w:t>
            </w:r>
          </w:p>
        </w:tc>
        <w:tc>
          <w:tcPr>
            <w:tcW w:w="1588" w:type="pct"/>
            <w:tcBorders>
              <w:top w:val="nil"/>
              <w:left w:val="nil"/>
              <w:bottom w:val="single" w:color="auto" w:sz="4" w:space="0"/>
              <w:right w:val="single" w:color="auto" w:sz="4" w:space="0"/>
            </w:tcBorders>
            <w:noWrap/>
            <w:vAlign w:val="top"/>
          </w:tcPr>
          <w:p>
            <w:pPr>
              <w:widowControl/>
              <w:jc w:val="center"/>
              <w:rPr>
                <w:rFonts w:ascii="仿宋_GB2312" w:hAnsi="仿宋" w:eastAsia="仿宋_GB2312" w:cs="Times New Roman"/>
                <w:sz w:val="18"/>
                <w:szCs w:val="18"/>
              </w:rPr>
            </w:pPr>
            <w:r>
              <w:rPr>
                <w:rFonts w:hint="eastAsia" w:ascii="仿宋_GB2312" w:hAnsi="仿宋" w:eastAsia="仿宋_GB2312" w:cs="Times New Roman"/>
                <w:sz w:val="18"/>
                <w:szCs w:val="18"/>
              </w:rPr>
              <w:t>2025年12月</w:t>
            </w:r>
          </w:p>
        </w:tc>
        <w:tc>
          <w:tcPr>
            <w:tcW w:w="728" w:type="pct"/>
            <w:tcBorders>
              <w:top w:val="nil"/>
              <w:left w:val="nil"/>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w:t>
            </w:r>
          </w:p>
        </w:tc>
        <w:tc>
          <w:tcPr>
            <w:tcW w:w="1423" w:type="pct"/>
            <w:tcBorders>
              <w:top w:val="nil"/>
              <w:left w:val="nil"/>
              <w:bottom w:val="single" w:color="auto" w:sz="4" w:space="0"/>
              <w:right w:val="single" w:color="auto" w:sz="4" w:space="0"/>
            </w:tcBorders>
            <w:noWrap/>
            <w:vAlign w:val="bottom"/>
          </w:tcPr>
          <w:p>
            <w:pPr>
              <w:widowControl/>
              <w:jc w:val="center"/>
              <w:rPr>
                <w:rFonts w:ascii="仿宋_GB2312" w:hAnsi="仿宋" w:eastAsia="仿宋_GB2312" w:cs="Times New Roman"/>
                <w:sz w:val="18"/>
                <w:szCs w:val="18"/>
              </w:rPr>
            </w:pPr>
            <w:r>
              <w:rPr>
                <w:rFonts w:hint="eastAsia" w:ascii="仿宋_GB2312" w:hAnsi="仿宋" w:eastAsia="仿宋_GB2312" w:cs="Times New Roman"/>
                <w:sz w:val="18"/>
                <w:szCs w:val="18"/>
              </w:rPr>
              <w:t>2025年</w:t>
            </w:r>
          </w:p>
        </w:tc>
        <w:tc>
          <w:tcPr>
            <w:tcW w:w="422" w:type="pct"/>
            <w:tcBorders>
              <w:top w:val="nil"/>
              <w:left w:val="nil"/>
              <w:bottom w:val="single" w:color="auto" w:sz="4" w:space="0"/>
              <w:right w:val="single" w:color="auto" w:sz="4" w:space="0"/>
            </w:tcBorders>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年</w:t>
            </w:r>
          </w:p>
        </w:tc>
        <w:tc>
          <w:tcPr>
            <w:tcW w:w="522" w:type="pct"/>
            <w:tcBorders>
              <w:top w:val="nil"/>
              <w:left w:val="nil"/>
              <w:bottom w:val="single" w:color="auto" w:sz="4" w:space="0"/>
              <w:right w:val="single" w:color="auto" w:sz="4" w:space="0"/>
            </w:tcBorders>
          </w:tcPr>
          <w:p>
            <w:pPr>
              <w:widowControl/>
              <w:jc w:val="center"/>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14" w:type="pct"/>
            <w:tcBorders>
              <w:top w:val="nil"/>
              <w:left w:val="single" w:color="auto" w:sz="4" w:space="0"/>
              <w:bottom w:val="single" w:color="auto" w:sz="4" w:space="0"/>
              <w:right w:val="single" w:color="auto" w:sz="4" w:space="0"/>
            </w:tcBorders>
            <w:noWrap/>
            <w:vAlign w:val="bottom"/>
          </w:tcPr>
          <w:p>
            <w:pPr>
              <w:widowControl/>
              <w:jc w:val="center"/>
              <w:rPr>
                <w:rFonts w:ascii="仿宋_GB2312" w:hAnsi="仿宋" w:eastAsia="仿宋_GB2312" w:cs="Times New Roman"/>
                <w:sz w:val="18"/>
                <w:szCs w:val="18"/>
              </w:rPr>
            </w:pPr>
            <w:r>
              <w:rPr>
                <w:rFonts w:ascii="仿宋_GB2312" w:hAnsi="仿宋" w:eastAsia="仿宋_GB2312" w:cs="Times New Roman"/>
                <w:sz w:val="18"/>
                <w:szCs w:val="18"/>
              </w:rPr>
              <w:t>2</w:t>
            </w:r>
          </w:p>
        </w:tc>
        <w:tc>
          <w:tcPr>
            <w:tcW w:w="1588" w:type="pct"/>
            <w:tcBorders>
              <w:top w:val="nil"/>
              <w:left w:val="nil"/>
              <w:bottom w:val="single" w:color="auto" w:sz="4" w:space="0"/>
              <w:right w:val="single" w:color="auto" w:sz="4" w:space="0"/>
            </w:tcBorders>
            <w:noWrap/>
            <w:vAlign w:val="top"/>
          </w:tcPr>
          <w:p>
            <w:pPr>
              <w:widowControl/>
              <w:jc w:val="center"/>
              <w:rPr>
                <w:rFonts w:ascii="仿宋_GB2312" w:hAnsi="仿宋" w:eastAsia="仿宋_GB2312" w:cs="Times New Roman"/>
                <w:sz w:val="18"/>
                <w:szCs w:val="18"/>
              </w:rPr>
            </w:pPr>
            <w:r>
              <w:rPr>
                <w:rFonts w:hint="eastAsia" w:ascii="仿宋_GB2312" w:hAnsi="仿宋" w:eastAsia="仿宋_GB2312" w:cs="Times New Roman"/>
                <w:sz w:val="18"/>
                <w:szCs w:val="18"/>
              </w:rPr>
              <w:t>预算批复范围内</w:t>
            </w:r>
          </w:p>
        </w:tc>
        <w:tc>
          <w:tcPr>
            <w:tcW w:w="728" w:type="pct"/>
            <w:tcBorders>
              <w:top w:val="nil"/>
              <w:left w:val="nil"/>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定性</w:t>
            </w:r>
          </w:p>
        </w:tc>
        <w:tc>
          <w:tcPr>
            <w:tcW w:w="1423" w:type="pct"/>
            <w:tcBorders>
              <w:top w:val="nil"/>
              <w:left w:val="nil"/>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优</w:t>
            </w:r>
          </w:p>
        </w:tc>
        <w:tc>
          <w:tcPr>
            <w:tcW w:w="422" w:type="pct"/>
            <w:tcBorders>
              <w:top w:val="nil"/>
              <w:left w:val="nil"/>
              <w:bottom w:val="single" w:color="auto" w:sz="4" w:space="0"/>
              <w:right w:val="single" w:color="auto" w:sz="4" w:space="0"/>
            </w:tcBorders>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万</w:t>
            </w:r>
          </w:p>
        </w:tc>
        <w:tc>
          <w:tcPr>
            <w:tcW w:w="522" w:type="pct"/>
            <w:tcBorders>
              <w:top w:val="nil"/>
              <w:left w:val="nil"/>
              <w:bottom w:val="single" w:color="auto" w:sz="4" w:space="0"/>
              <w:right w:val="single" w:color="auto" w:sz="4" w:space="0"/>
            </w:tcBorders>
          </w:tcPr>
          <w:p>
            <w:pPr>
              <w:widowControl/>
              <w:jc w:val="center"/>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14" w:type="pct"/>
            <w:tcBorders>
              <w:top w:val="nil"/>
              <w:left w:val="single" w:color="auto" w:sz="4" w:space="0"/>
              <w:bottom w:val="single" w:color="auto" w:sz="4" w:space="0"/>
              <w:right w:val="single" w:color="auto" w:sz="4" w:space="0"/>
            </w:tcBorders>
            <w:noWrap/>
            <w:vAlign w:val="bottom"/>
          </w:tcPr>
          <w:p>
            <w:pPr>
              <w:widowControl/>
              <w:jc w:val="center"/>
              <w:rPr>
                <w:rFonts w:ascii="仿宋_GB2312" w:hAnsi="仿宋" w:eastAsia="仿宋_GB2312" w:cs="Times New Roman"/>
                <w:sz w:val="18"/>
                <w:szCs w:val="18"/>
              </w:rPr>
            </w:pPr>
            <w:r>
              <w:rPr>
                <w:rFonts w:ascii="仿宋_GB2312" w:hAnsi="仿宋" w:eastAsia="仿宋_GB2312" w:cs="Times New Roman"/>
                <w:sz w:val="18"/>
                <w:szCs w:val="18"/>
              </w:rPr>
              <w:t>3</w:t>
            </w:r>
          </w:p>
        </w:tc>
        <w:tc>
          <w:tcPr>
            <w:tcW w:w="1588" w:type="pct"/>
            <w:tcBorders>
              <w:top w:val="nil"/>
              <w:left w:val="nil"/>
              <w:bottom w:val="single" w:color="auto" w:sz="4" w:space="0"/>
              <w:right w:val="single" w:color="auto" w:sz="4" w:space="0"/>
            </w:tcBorders>
            <w:noWrap/>
            <w:vAlign w:val="top"/>
          </w:tcPr>
          <w:p>
            <w:pPr>
              <w:widowControl/>
              <w:jc w:val="center"/>
              <w:rPr>
                <w:rFonts w:ascii="仿宋_GB2312" w:hAnsi="仿宋" w:eastAsia="仿宋_GB2312" w:cs="Times New Roman"/>
                <w:sz w:val="18"/>
                <w:szCs w:val="18"/>
              </w:rPr>
            </w:pPr>
            <w:r>
              <w:rPr>
                <w:rFonts w:hint="eastAsia" w:ascii="仿宋_GB2312" w:hAnsi="仿宋" w:eastAsia="仿宋_GB2312" w:cs="Times New Roman"/>
                <w:sz w:val="18"/>
                <w:szCs w:val="18"/>
              </w:rPr>
              <w:t>效益指标社会效益指标提升区域环境，创造良好的生态环境</w:t>
            </w:r>
          </w:p>
        </w:tc>
        <w:tc>
          <w:tcPr>
            <w:tcW w:w="728" w:type="pct"/>
            <w:tcBorders>
              <w:top w:val="nil"/>
              <w:left w:val="nil"/>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定性</w:t>
            </w:r>
          </w:p>
        </w:tc>
        <w:tc>
          <w:tcPr>
            <w:tcW w:w="1423" w:type="pct"/>
            <w:tcBorders>
              <w:top w:val="nil"/>
              <w:left w:val="nil"/>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优</w:t>
            </w:r>
          </w:p>
        </w:tc>
        <w:tc>
          <w:tcPr>
            <w:tcW w:w="422" w:type="pct"/>
            <w:tcBorders>
              <w:top w:val="nil"/>
              <w:left w:val="nil"/>
              <w:bottom w:val="single" w:color="auto" w:sz="4" w:space="0"/>
              <w:right w:val="single" w:color="auto" w:sz="4" w:space="0"/>
            </w:tcBorders>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项</w:t>
            </w:r>
          </w:p>
        </w:tc>
        <w:tc>
          <w:tcPr>
            <w:tcW w:w="522" w:type="pct"/>
            <w:tcBorders>
              <w:top w:val="nil"/>
              <w:left w:val="nil"/>
              <w:bottom w:val="single" w:color="auto" w:sz="4" w:space="0"/>
              <w:right w:val="single" w:color="auto" w:sz="4" w:space="0"/>
            </w:tcBorders>
          </w:tcPr>
          <w:p>
            <w:pPr>
              <w:widowControl/>
              <w:jc w:val="center"/>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14" w:type="pct"/>
            <w:tcBorders>
              <w:top w:val="nil"/>
              <w:left w:val="single" w:color="auto" w:sz="4" w:space="0"/>
              <w:bottom w:val="nil"/>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val="en-US" w:eastAsia="zh-CN"/>
              </w:rPr>
              <w:t>4</w:t>
            </w:r>
          </w:p>
        </w:tc>
        <w:tc>
          <w:tcPr>
            <w:tcW w:w="1588" w:type="pct"/>
            <w:tcBorders>
              <w:top w:val="nil"/>
              <w:left w:val="nil"/>
              <w:bottom w:val="nil"/>
              <w:right w:val="single" w:color="auto" w:sz="4" w:space="0"/>
            </w:tcBorders>
            <w:noWrap/>
            <w:vAlign w:val="top"/>
          </w:tcPr>
          <w:p>
            <w:pPr>
              <w:widowControl/>
              <w:jc w:val="center"/>
              <w:rPr>
                <w:rFonts w:ascii="仿宋_GB2312" w:hAnsi="仿宋" w:eastAsia="仿宋_GB2312" w:cs="Times New Roman"/>
                <w:sz w:val="18"/>
                <w:szCs w:val="18"/>
              </w:rPr>
            </w:pPr>
            <w:r>
              <w:rPr>
                <w:rFonts w:hint="eastAsia" w:ascii="仿宋_GB2312" w:hAnsi="仿宋" w:eastAsia="仿宋_GB2312" w:cs="Times New Roman"/>
                <w:sz w:val="18"/>
                <w:szCs w:val="18"/>
              </w:rPr>
              <w:t>效益指标社会效益指标提升城市基础建设水平，满足百姓生活需求</w:t>
            </w:r>
          </w:p>
        </w:tc>
        <w:tc>
          <w:tcPr>
            <w:tcW w:w="728" w:type="pct"/>
            <w:tcBorders>
              <w:top w:val="nil"/>
              <w:left w:val="nil"/>
              <w:bottom w:val="nil"/>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定性</w:t>
            </w:r>
          </w:p>
        </w:tc>
        <w:tc>
          <w:tcPr>
            <w:tcW w:w="1423" w:type="pct"/>
            <w:tcBorders>
              <w:top w:val="nil"/>
              <w:left w:val="nil"/>
              <w:bottom w:val="nil"/>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优</w:t>
            </w:r>
          </w:p>
        </w:tc>
        <w:tc>
          <w:tcPr>
            <w:tcW w:w="422" w:type="pct"/>
            <w:tcBorders>
              <w:top w:val="nil"/>
              <w:left w:val="nil"/>
              <w:bottom w:val="nil"/>
              <w:right w:val="single" w:color="auto" w:sz="4" w:space="0"/>
            </w:tcBorders>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项</w:t>
            </w:r>
          </w:p>
        </w:tc>
        <w:tc>
          <w:tcPr>
            <w:tcW w:w="522" w:type="pct"/>
            <w:tcBorders>
              <w:top w:val="nil"/>
              <w:left w:val="nil"/>
              <w:bottom w:val="nil"/>
              <w:right w:val="single" w:color="auto" w:sz="4" w:space="0"/>
            </w:tcBorders>
          </w:tcPr>
          <w:p>
            <w:pPr>
              <w:widowControl/>
              <w:jc w:val="center"/>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14" w:type="pct"/>
            <w:tcBorders>
              <w:top w:val="nil"/>
              <w:left w:val="single" w:color="auto" w:sz="4" w:space="0"/>
              <w:bottom w:val="nil"/>
              <w:right w:val="single" w:color="auto" w:sz="4" w:space="0"/>
            </w:tcBorders>
            <w:noWrap/>
            <w:vAlign w:val="bottom"/>
          </w:tcPr>
          <w:p>
            <w:pPr>
              <w:widowControl/>
              <w:jc w:val="center"/>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5</w:t>
            </w:r>
          </w:p>
        </w:tc>
        <w:tc>
          <w:tcPr>
            <w:tcW w:w="1588" w:type="pct"/>
            <w:tcBorders>
              <w:top w:val="nil"/>
              <w:left w:val="nil"/>
              <w:bottom w:val="nil"/>
              <w:right w:val="single" w:color="auto" w:sz="4" w:space="0"/>
            </w:tcBorders>
            <w:noWrap/>
            <w:vAlign w:val="top"/>
          </w:tcPr>
          <w:p>
            <w:pPr>
              <w:widowControl/>
              <w:jc w:val="center"/>
              <w:rPr>
                <w:rFonts w:hint="eastAsia" w:ascii="仿宋_GB2312" w:hAnsi="仿宋" w:eastAsia="仿宋_GB2312" w:cs="Times New Roman"/>
                <w:sz w:val="18"/>
                <w:szCs w:val="18"/>
              </w:rPr>
            </w:pPr>
            <w:r>
              <w:rPr>
                <w:rFonts w:hint="eastAsia" w:ascii="仿宋_GB2312" w:hAnsi="仿宋" w:eastAsia="仿宋_GB2312" w:cs="Times New Roman"/>
                <w:sz w:val="18"/>
                <w:szCs w:val="18"/>
              </w:rPr>
              <w:t>效益指标可持续影响指标全力保障民生，提升行业管理水平</w:t>
            </w:r>
          </w:p>
        </w:tc>
        <w:tc>
          <w:tcPr>
            <w:tcW w:w="728" w:type="pct"/>
            <w:tcBorders>
              <w:top w:val="nil"/>
              <w:left w:val="nil"/>
              <w:bottom w:val="nil"/>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定性</w:t>
            </w:r>
          </w:p>
        </w:tc>
        <w:tc>
          <w:tcPr>
            <w:tcW w:w="1423" w:type="pct"/>
            <w:tcBorders>
              <w:top w:val="nil"/>
              <w:left w:val="nil"/>
              <w:bottom w:val="nil"/>
              <w:right w:val="single" w:color="auto" w:sz="4" w:space="0"/>
            </w:tcBorders>
            <w:noWrap/>
            <w:vAlign w:val="bottom"/>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优</w:t>
            </w:r>
          </w:p>
        </w:tc>
        <w:tc>
          <w:tcPr>
            <w:tcW w:w="422" w:type="pct"/>
            <w:tcBorders>
              <w:top w:val="nil"/>
              <w:left w:val="nil"/>
              <w:bottom w:val="nil"/>
              <w:right w:val="single" w:color="auto" w:sz="4" w:space="0"/>
            </w:tcBorders>
          </w:tcPr>
          <w:p>
            <w:pPr>
              <w:widowControl/>
              <w:jc w:val="center"/>
              <w:rPr>
                <w:rFonts w:hint="eastAsia" w:ascii="仿宋_GB2312" w:hAnsi="仿宋" w:eastAsia="仿宋_GB2312" w:cs="Times New Roman"/>
                <w:sz w:val="18"/>
                <w:szCs w:val="18"/>
                <w:lang w:eastAsia="zh-CN"/>
              </w:rPr>
            </w:pPr>
            <w:r>
              <w:rPr>
                <w:rFonts w:hint="eastAsia" w:ascii="仿宋_GB2312" w:hAnsi="仿宋" w:eastAsia="仿宋_GB2312" w:cs="Times New Roman"/>
                <w:sz w:val="18"/>
                <w:szCs w:val="18"/>
                <w:lang w:eastAsia="zh-CN"/>
              </w:rPr>
              <w:t>项</w:t>
            </w:r>
          </w:p>
        </w:tc>
        <w:tc>
          <w:tcPr>
            <w:tcW w:w="522" w:type="pct"/>
            <w:tcBorders>
              <w:top w:val="nil"/>
              <w:left w:val="nil"/>
              <w:bottom w:val="nil"/>
              <w:right w:val="single" w:color="auto" w:sz="4" w:space="0"/>
            </w:tcBorders>
          </w:tcPr>
          <w:p>
            <w:pPr>
              <w:widowControl/>
              <w:jc w:val="center"/>
              <w:rPr>
                <w:rFonts w:ascii="仿宋_GB2312" w:hAnsi="仿宋" w:eastAsia="仿宋_GB2312" w:cs="Times New Roman"/>
                <w:sz w:val="18"/>
                <w:szCs w:val="18"/>
              </w:rPr>
            </w:pPr>
          </w:p>
        </w:tc>
      </w:tr>
      <w:tr>
        <w:tblPrEx>
          <w:tblCellMar>
            <w:top w:w="0" w:type="dxa"/>
            <w:left w:w="108" w:type="dxa"/>
            <w:bottom w:w="0" w:type="dxa"/>
            <w:right w:w="108" w:type="dxa"/>
          </w:tblCellMar>
        </w:tblPrEx>
        <w:trPr>
          <w:trHeight w:val="275" w:hRule="atLeast"/>
        </w:trPr>
        <w:tc>
          <w:tcPr>
            <w:tcW w:w="314" w:type="pct"/>
            <w:tcBorders>
              <w:top w:val="nil"/>
              <w:left w:val="single" w:color="auto" w:sz="4" w:space="0"/>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6</w:t>
            </w:r>
          </w:p>
        </w:tc>
        <w:tc>
          <w:tcPr>
            <w:tcW w:w="1588" w:type="pct"/>
            <w:tcBorders>
              <w:top w:val="nil"/>
              <w:left w:val="nil"/>
              <w:bottom w:val="single" w:color="auto" w:sz="4" w:space="0"/>
              <w:right w:val="single" w:color="auto" w:sz="4" w:space="0"/>
            </w:tcBorders>
            <w:noWrap/>
            <w:vAlign w:val="top"/>
          </w:tcPr>
          <w:p>
            <w:pPr>
              <w:widowControl/>
              <w:jc w:val="center"/>
              <w:rPr>
                <w:rFonts w:hint="eastAsia" w:ascii="仿宋_GB2312" w:hAnsi="仿宋" w:eastAsia="仿宋_GB2312" w:cs="Times New Roman"/>
                <w:sz w:val="18"/>
                <w:szCs w:val="18"/>
              </w:rPr>
            </w:pPr>
            <w:r>
              <w:rPr>
                <w:rFonts w:hint="eastAsia" w:ascii="仿宋_GB2312" w:hAnsi="仿宋" w:eastAsia="仿宋_GB2312" w:cs="Times New Roman"/>
                <w:sz w:val="18"/>
                <w:szCs w:val="18"/>
              </w:rPr>
              <w:t>满意度95%以上</w:t>
            </w:r>
          </w:p>
        </w:tc>
        <w:tc>
          <w:tcPr>
            <w:tcW w:w="728" w:type="pct"/>
            <w:tcBorders>
              <w:top w:val="nil"/>
              <w:left w:val="nil"/>
              <w:bottom w:val="single" w:color="auto" w:sz="4" w:space="0"/>
              <w:right w:val="single" w:color="auto" w:sz="4" w:space="0"/>
            </w:tcBorders>
            <w:noWrap/>
            <w:vAlign w:val="bottom"/>
          </w:tcPr>
          <w:p>
            <w:pPr>
              <w:widowControl/>
              <w:jc w:val="center"/>
              <w:rPr>
                <w:rFonts w:hint="eastAsia" w:ascii="仿宋_GB2312" w:hAnsi="仿宋" w:eastAsia="仿宋_GB2312" w:cs="Times New Roman"/>
                <w:sz w:val="18"/>
                <w:szCs w:val="18"/>
              </w:rPr>
            </w:pPr>
            <w:r>
              <w:rPr>
                <w:rFonts w:hint="eastAsia" w:ascii="东文宋体" w:hAnsi="东文宋体" w:eastAsia="东文宋体" w:cs="东文宋体"/>
                <w:sz w:val="18"/>
                <w:szCs w:val="18"/>
              </w:rPr>
              <w:t>≥</w:t>
            </w:r>
          </w:p>
        </w:tc>
        <w:tc>
          <w:tcPr>
            <w:tcW w:w="1423" w:type="pct"/>
            <w:tcBorders>
              <w:top w:val="nil"/>
              <w:left w:val="nil"/>
              <w:bottom w:val="single" w:color="auto" w:sz="4" w:space="0"/>
              <w:right w:val="single" w:color="auto" w:sz="4" w:space="0"/>
            </w:tcBorders>
            <w:noWrap/>
            <w:vAlign w:val="bottom"/>
          </w:tcPr>
          <w:p>
            <w:pPr>
              <w:widowControl/>
              <w:jc w:val="center"/>
              <w:rPr>
                <w:rFonts w:hint="default"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95</w:t>
            </w:r>
          </w:p>
        </w:tc>
        <w:tc>
          <w:tcPr>
            <w:tcW w:w="422" w:type="pct"/>
            <w:tcBorders>
              <w:top w:val="nil"/>
              <w:left w:val="nil"/>
              <w:bottom w:val="single" w:color="auto" w:sz="4" w:space="0"/>
              <w:right w:val="single" w:color="auto" w:sz="4" w:space="0"/>
            </w:tcBorders>
          </w:tcPr>
          <w:p>
            <w:pPr>
              <w:widowControl/>
              <w:jc w:val="center"/>
              <w:rPr>
                <w:rFonts w:hint="eastAsia" w:ascii="仿宋_GB2312" w:hAnsi="仿宋" w:eastAsia="仿宋_GB2312" w:cs="Times New Roman"/>
                <w:sz w:val="18"/>
                <w:szCs w:val="18"/>
                <w:lang w:val="en-US" w:eastAsia="zh-CN"/>
              </w:rPr>
            </w:pPr>
            <w:r>
              <w:rPr>
                <w:rFonts w:hint="eastAsia" w:ascii="仿宋_GB2312" w:hAnsi="仿宋" w:eastAsia="仿宋_GB2312" w:cs="Times New Roman"/>
                <w:sz w:val="18"/>
                <w:szCs w:val="18"/>
                <w:lang w:val="en-US" w:eastAsia="zh-CN"/>
              </w:rPr>
              <w:t>%</w:t>
            </w:r>
          </w:p>
        </w:tc>
        <w:tc>
          <w:tcPr>
            <w:tcW w:w="522" w:type="pct"/>
            <w:tcBorders>
              <w:top w:val="nil"/>
              <w:left w:val="nil"/>
              <w:bottom w:val="single" w:color="auto" w:sz="4" w:space="0"/>
              <w:right w:val="single" w:color="auto" w:sz="4" w:space="0"/>
            </w:tcBorders>
          </w:tcPr>
          <w:p>
            <w:pPr>
              <w:widowControl/>
              <w:jc w:val="center"/>
              <w:rPr>
                <w:rFonts w:ascii="仿宋_GB2312" w:hAnsi="仿宋" w:eastAsia="仿宋_GB2312" w:cs="Times New Roman"/>
                <w:sz w:val="18"/>
                <w:szCs w:val="18"/>
              </w:rPr>
            </w:pPr>
          </w:p>
        </w:tc>
      </w:tr>
    </w:tbl>
    <w:p>
      <w:pPr>
        <w:pStyle w:val="2"/>
        <w:rPr>
          <w:rFonts w:hint="eastAsia"/>
        </w:rPr>
      </w:pPr>
    </w:p>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1"/>
      <w:r>
        <w:rPr>
          <w:rFonts w:hint="eastAsia" w:ascii="仿宋_GB2312" w:eastAsia="仿宋_GB2312"/>
          <w:sz w:val="32"/>
          <w:szCs w:val="32"/>
        </w:rPr>
        <w:t xml:space="preserve">  </w:t>
      </w:r>
    </w:p>
    <w:p>
      <w:pPr>
        <w:spacing w:line="520" w:lineRule="exact"/>
        <w:ind w:firstLine="640"/>
        <w:rPr>
          <w:rFonts w:ascii="仿宋_GB2312" w:eastAsia="仿宋_GB2312"/>
          <w:sz w:val="28"/>
          <w:szCs w:val="28"/>
        </w:rPr>
      </w:pPr>
      <w:r>
        <w:rPr>
          <w:rFonts w:ascii="仿宋_GB2312" w:eastAsia="仿宋_GB2312"/>
          <w:sz w:val="28"/>
          <w:szCs w:val="28"/>
        </w:rPr>
        <w:t>202</w:t>
      </w:r>
      <w:r>
        <w:rPr>
          <w:rFonts w:hint="eastAsia" w:ascii="仿宋_GB2312" w:eastAsia="仿宋_GB2312"/>
          <w:sz w:val="28"/>
          <w:szCs w:val="28"/>
        </w:rPr>
        <w:t>5年全年预算数</w:t>
      </w:r>
      <w:r>
        <w:rPr>
          <w:rFonts w:hint="eastAsia" w:ascii="仿宋_GB2312" w:eastAsia="仿宋_GB2312"/>
          <w:sz w:val="28"/>
          <w:szCs w:val="28"/>
          <w:lang w:val="en-US" w:eastAsia="zh-CN"/>
        </w:rPr>
        <w:t>971,049,592.90</w:t>
      </w:r>
      <w:r>
        <w:rPr>
          <w:rFonts w:hint="eastAsia" w:ascii="仿宋_GB2312" w:eastAsia="仿宋_GB2312"/>
          <w:sz w:val="28"/>
          <w:szCs w:val="28"/>
        </w:rPr>
        <w:t>元，其中：基本支出50,832,596.12元，占比</w:t>
      </w:r>
      <w:r>
        <w:rPr>
          <w:rFonts w:hint="eastAsia" w:ascii="仿宋_GB2312" w:eastAsia="仿宋_GB2312"/>
          <w:sz w:val="28"/>
          <w:szCs w:val="28"/>
          <w:lang w:val="en-US" w:eastAsia="zh-CN"/>
        </w:rPr>
        <w:t>5.2</w:t>
      </w:r>
      <w:r>
        <w:rPr>
          <w:rFonts w:ascii="仿宋_GB2312" w:eastAsia="仿宋_GB2312"/>
          <w:sz w:val="28"/>
          <w:szCs w:val="28"/>
        </w:rPr>
        <w:t>%</w:t>
      </w:r>
      <w:r>
        <w:rPr>
          <w:rFonts w:hint="eastAsia" w:ascii="仿宋_GB2312" w:eastAsia="仿宋_GB2312"/>
          <w:sz w:val="28"/>
          <w:szCs w:val="28"/>
        </w:rPr>
        <w:t>；项目支出</w:t>
      </w:r>
      <w:r>
        <w:rPr>
          <w:rFonts w:hint="eastAsia" w:ascii="仿宋_GB2312" w:eastAsia="仿宋_GB2312"/>
          <w:sz w:val="28"/>
          <w:szCs w:val="28"/>
          <w:lang w:val="en-US" w:eastAsia="zh-CN"/>
        </w:rPr>
        <w:t>920,216,996.78</w:t>
      </w:r>
      <w:r>
        <w:rPr>
          <w:rFonts w:hint="eastAsia" w:ascii="仿宋_GB2312" w:eastAsia="仿宋_GB2312"/>
          <w:sz w:val="28"/>
          <w:szCs w:val="28"/>
        </w:rPr>
        <w:t>元，占比</w:t>
      </w:r>
      <w:r>
        <w:rPr>
          <w:rFonts w:hint="eastAsia" w:ascii="仿宋_GB2312" w:eastAsia="仿宋_GB2312"/>
          <w:sz w:val="28"/>
          <w:szCs w:val="28"/>
          <w:lang w:val="en-US" w:eastAsia="zh-CN"/>
        </w:rPr>
        <w:t>94.8</w:t>
      </w:r>
      <w:r>
        <w:rPr>
          <w:rFonts w:ascii="仿宋_GB2312" w:eastAsia="仿宋_GB2312"/>
          <w:sz w:val="28"/>
          <w:szCs w:val="28"/>
        </w:rPr>
        <w:t>%</w:t>
      </w:r>
      <w:r>
        <w:rPr>
          <w:rFonts w:hint="eastAsia" w:ascii="仿宋_GB2312" w:eastAsia="仿宋_GB2312"/>
          <w:sz w:val="28"/>
          <w:szCs w:val="28"/>
        </w:rPr>
        <w:t>；其他支出</w:t>
      </w:r>
      <w:r>
        <w:rPr>
          <w:rFonts w:hint="eastAsia" w:ascii="仿宋_GB2312" w:eastAsia="仿宋_GB2312"/>
          <w:sz w:val="28"/>
          <w:szCs w:val="28"/>
          <w:lang w:val="en-US" w:eastAsia="zh-CN"/>
        </w:rPr>
        <w:t>0.00</w:t>
      </w:r>
      <w:r>
        <w:rPr>
          <w:rFonts w:hint="eastAsia" w:ascii="仿宋_GB2312" w:eastAsia="仿宋_GB2312"/>
          <w:sz w:val="28"/>
          <w:szCs w:val="28"/>
          <w:lang w:eastAsia="zh-CN"/>
        </w:rPr>
        <w:t>元</w:t>
      </w:r>
      <w:r>
        <w:rPr>
          <w:rFonts w:hint="eastAsia" w:ascii="仿宋_GB2312" w:eastAsia="仿宋_GB2312"/>
          <w:sz w:val="28"/>
          <w:szCs w:val="28"/>
        </w:rPr>
        <w:t>，占比</w:t>
      </w:r>
      <w:r>
        <w:rPr>
          <w:rFonts w:hint="eastAsia" w:ascii="仿宋_GB2312" w:eastAsia="仿宋_GB2312"/>
          <w:sz w:val="28"/>
          <w:szCs w:val="28"/>
          <w:lang w:val="en-US" w:eastAsia="zh-CN"/>
        </w:rPr>
        <w:t>0.0</w:t>
      </w:r>
      <w:r>
        <w:rPr>
          <w:rFonts w:ascii="仿宋_GB2312" w:eastAsia="仿宋_GB2312"/>
          <w:sz w:val="28"/>
          <w:szCs w:val="28"/>
        </w:rPr>
        <w:t>%</w:t>
      </w:r>
      <w:r>
        <w:rPr>
          <w:rFonts w:hint="eastAsia" w:ascii="仿宋_GB2312" w:eastAsia="仿宋_GB2312"/>
          <w:sz w:val="28"/>
          <w:szCs w:val="28"/>
        </w:rPr>
        <w:t>。</w:t>
      </w:r>
    </w:p>
    <w:p>
      <w:pPr>
        <w:spacing w:line="520" w:lineRule="exact"/>
        <w:ind w:firstLine="640"/>
        <w:rPr>
          <w:rFonts w:ascii="仿宋_GB2312" w:eastAsia="仿宋_GB2312"/>
          <w:sz w:val="28"/>
          <w:szCs w:val="28"/>
        </w:rPr>
      </w:pPr>
      <w:r>
        <w:rPr>
          <w:rFonts w:hint="eastAsia" w:ascii="仿宋_GB2312" w:eastAsia="仿宋_GB2312"/>
          <w:sz w:val="28"/>
          <w:szCs w:val="28"/>
        </w:rPr>
        <w:t>截止到</w:t>
      </w:r>
      <w:r>
        <w:rPr>
          <w:rFonts w:ascii="仿宋_GB2312" w:eastAsia="仿宋_GB2312"/>
          <w:sz w:val="28"/>
          <w:szCs w:val="28"/>
        </w:rPr>
        <w:t>202</w:t>
      </w:r>
      <w:r>
        <w:rPr>
          <w:rFonts w:hint="eastAsia" w:ascii="仿宋_GB2312" w:eastAsia="仿宋_GB2312"/>
          <w:sz w:val="28"/>
          <w:szCs w:val="28"/>
        </w:rPr>
        <w:t>5年</w:t>
      </w:r>
      <w:r>
        <w:rPr>
          <w:rFonts w:ascii="仿宋_GB2312" w:eastAsia="仿宋_GB2312"/>
          <w:sz w:val="28"/>
          <w:szCs w:val="28"/>
        </w:rPr>
        <w:t>12</w:t>
      </w:r>
      <w:r>
        <w:rPr>
          <w:rFonts w:hint="eastAsia" w:ascii="仿宋_GB2312" w:eastAsia="仿宋_GB2312"/>
          <w:sz w:val="28"/>
          <w:szCs w:val="28"/>
        </w:rPr>
        <w:t>月</w:t>
      </w:r>
      <w:r>
        <w:rPr>
          <w:rFonts w:ascii="仿宋_GB2312" w:eastAsia="仿宋_GB2312"/>
          <w:sz w:val="28"/>
          <w:szCs w:val="28"/>
        </w:rPr>
        <w:t>31</w:t>
      </w:r>
      <w:r>
        <w:rPr>
          <w:rFonts w:hint="eastAsia" w:ascii="仿宋_GB2312" w:eastAsia="仿宋_GB2312"/>
          <w:sz w:val="28"/>
          <w:szCs w:val="28"/>
        </w:rPr>
        <w:t>日，预算资金总体支出</w:t>
      </w:r>
      <w:r>
        <w:rPr>
          <w:rFonts w:hint="eastAsia" w:ascii="仿宋_GB2312" w:eastAsia="仿宋_GB2312"/>
          <w:sz w:val="28"/>
          <w:szCs w:val="28"/>
          <w:lang w:val="en-US" w:eastAsia="zh-CN"/>
        </w:rPr>
        <w:t>918,337,490.79</w:t>
      </w:r>
      <w:r>
        <w:rPr>
          <w:rFonts w:hint="eastAsia" w:ascii="仿宋_GB2312" w:eastAsia="仿宋_GB2312"/>
          <w:sz w:val="28"/>
          <w:szCs w:val="28"/>
        </w:rPr>
        <w:t>元，其中：基本支出50,832,596.12元，占比</w:t>
      </w:r>
      <w:r>
        <w:rPr>
          <w:rFonts w:hint="eastAsia" w:ascii="仿宋_GB2312" w:eastAsia="仿宋_GB2312"/>
          <w:sz w:val="28"/>
          <w:szCs w:val="28"/>
          <w:lang w:val="en-US" w:eastAsia="zh-CN"/>
        </w:rPr>
        <w:t>5.5</w:t>
      </w:r>
      <w:r>
        <w:rPr>
          <w:rFonts w:ascii="仿宋_GB2312" w:eastAsia="仿宋_GB2312"/>
          <w:sz w:val="28"/>
          <w:szCs w:val="28"/>
        </w:rPr>
        <w:t>%</w:t>
      </w:r>
      <w:r>
        <w:rPr>
          <w:rFonts w:hint="eastAsia" w:ascii="仿宋_GB2312" w:eastAsia="仿宋_GB2312"/>
          <w:sz w:val="28"/>
          <w:szCs w:val="28"/>
        </w:rPr>
        <w:t>；项目支出</w:t>
      </w:r>
      <w:r>
        <w:rPr>
          <w:rFonts w:hint="eastAsia" w:ascii="仿宋_GB2312" w:eastAsia="仿宋_GB2312"/>
          <w:sz w:val="28"/>
          <w:szCs w:val="28"/>
          <w:lang w:val="en-US" w:eastAsia="zh-CN"/>
        </w:rPr>
        <w:t>867,504,894.67</w:t>
      </w:r>
      <w:r>
        <w:rPr>
          <w:rFonts w:hint="eastAsia" w:ascii="仿宋_GB2312" w:eastAsia="仿宋_GB2312"/>
          <w:sz w:val="28"/>
          <w:szCs w:val="28"/>
        </w:rPr>
        <w:t>元，占比</w:t>
      </w:r>
      <w:r>
        <w:rPr>
          <w:rFonts w:hint="eastAsia" w:ascii="仿宋_GB2312" w:eastAsia="仿宋_GB2312"/>
          <w:sz w:val="28"/>
          <w:szCs w:val="28"/>
          <w:lang w:val="en-US" w:eastAsia="zh-CN"/>
        </w:rPr>
        <w:t>94.5</w:t>
      </w:r>
      <w:r>
        <w:rPr>
          <w:rFonts w:ascii="仿宋_GB2312" w:eastAsia="仿宋_GB2312"/>
          <w:sz w:val="28"/>
          <w:szCs w:val="28"/>
        </w:rPr>
        <w:t>%</w:t>
      </w:r>
      <w:r>
        <w:rPr>
          <w:rFonts w:hint="eastAsia" w:ascii="仿宋_GB2312" w:eastAsia="仿宋_GB2312"/>
          <w:sz w:val="28"/>
          <w:szCs w:val="28"/>
        </w:rPr>
        <w:t>；其他支出</w:t>
      </w:r>
      <w:r>
        <w:rPr>
          <w:rFonts w:hint="eastAsia" w:ascii="仿宋_GB2312" w:eastAsia="仿宋_GB2312"/>
          <w:sz w:val="28"/>
          <w:szCs w:val="28"/>
          <w:lang w:val="en-US" w:eastAsia="zh-CN"/>
        </w:rPr>
        <w:t>0.00</w:t>
      </w:r>
      <w:r>
        <w:rPr>
          <w:rFonts w:hint="eastAsia" w:ascii="仿宋_GB2312" w:eastAsia="仿宋_GB2312"/>
          <w:sz w:val="28"/>
          <w:szCs w:val="28"/>
        </w:rPr>
        <w:t>元，占比</w:t>
      </w:r>
      <w:r>
        <w:rPr>
          <w:rFonts w:hint="eastAsia" w:ascii="仿宋_GB2312" w:eastAsia="仿宋_GB2312"/>
          <w:sz w:val="28"/>
          <w:szCs w:val="28"/>
          <w:lang w:val="en-US" w:eastAsia="zh-CN"/>
        </w:rPr>
        <w:t>0.00</w:t>
      </w:r>
      <w:r>
        <w:rPr>
          <w:rFonts w:ascii="仿宋_GB2312" w:eastAsia="仿宋_GB2312"/>
          <w:sz w:val="28"/>
          <w:szCs w:val="28"/>
        </w:rPr>
        <w:t>%</w:t>
      </w:r>
      <w:r>
        <w:rPr>
          <w:rFonts w:hint="eastAsia" w:ascii="仿宋_GB2312" w:eastAsia="仿宋_GB2312"/>
          <w:sz w:val="28"/>
          <w:szCs w:val="28"/>
        </w:rPr>
        <w:t>。部门预算执行率为</w:t>
      </w:r>
      <w:r>
        <w:rPr>
          <w:rFonts w:hint="eastAsia" w:ascii="仿宋_GB2312" w:eastAsia="仿宋_GB2312"/>
          <w:sz w:val="28"/>
          <w:szCs w:val="28"/>
          <w:lang w:val="en-US" w:eastAsia="zh-CN"/>
        </w:rPr>
        <w:t>94.6</w:t>
      </w:r>
      <w:r>
        <w:rPr>
          <w:rFonts w:ascii="仿宋_GB2312" w:eastAsia="仿宋_GB2312"/>
          <w:sz w:val="28"/>
          <w:szCs w:val="28"/>
        </w:rPr>
        <w:t>%</w:t>
      </w:r>
      <w:r>
        <w:rPr>
          <w:rFonts w:hint="eastAsia" w:ascii="仿宋_GB2312" w:eastAsia="仿宋_GB2312"/>
          <w:sz w:val="28"/>
          <w:szCs w:val="28"/>
        </w:rPr>
        <w:t>。</w:t>
      </w:r>
      <w:r>
        <w:rPr>
          <w:rFonts w:ascii="仿宋_GB2312" w:eastAsia="仿宋_GB2312"/>
          <w:sz w:val="28"/>
          <w:szCs w:val="28"/>
        </w:rPr>
        <w:t xml:space="preserve">                               </w:t>
      </w:r>
    </w:p>
    <w:p>
      <w:pPr>
        <w:spacing w:line="520" w:lineRule="exact"/>
        <w:ind w:firstLine="640"/>
        <w:rPr>
          <w:rFonts w:ascii="仿宋_GB2312" w:eastAsia="仿宋_GB2312"/>
          <w:sz w:val="28"/>
          <w:szCs w:val="28"/>
        </w:rPr>
      </w:pPr>
      <w:r>
        <w:rPr>
          <w:rFonts w:ascii="仿宋_GB2312" w:eastAsia="仿宋_GB2312"/>
          <w:sz w:val="28"/>
          <w:szCs w:val="28"/>
        </w:rPr>
        <w:t>202</w:t>
      </w:r>
      <w:r>
        <w:rPr>
          <w:rFonts w:hint="eastAsia" w:ascii="仿宋_GB2312" w:eastAsia="仿宋_GB2312"/>
          <w:sz w:val="28"/>
          <w:szCs w:val="28"/>
        </w:rPr>
        <w:t>5年年末结转结余资金总额为</w:t>
      </w:r>
      <w:r>
        <w:rPr>
          <w:rFonts w:hint="eastAsia" w:ascii="仿宋_GB2312" w:eastAsia="仿宋_GB2312"/>
          <w:sz w:val="28"/>
          <w:szCs w:val="28"/>
          <w:lang w:val="en-US" w:eastAsia="zh-CN"/>
        </w:rPr>
        <w:t>52,712,102.11</w:t>
      </w:r>
      <w:r>
        <w:rPr>
          <w:rFonts w:hint="eastAsia" w:ascii="仿宋_GB2312" w:eastAsia="仿宋_GB2312"/>
          <w:sz w:val="28"/>
          <w:szCs w:val="28"/>
        </w:rPr>
        <w:t>元，全年支出预算数为</w:t>
      </w:r>
      <w:r>
        <w:rPr>
          <w:rFonts w:hint="eastAsia" w:ascii="仿宋_GB2312" w:eastAsia="仿宋_GB2312"/>
          <w:sz w:val="28"/>
          <w:szCs w:val="28"/>
          <w:lang w:val="en-US" w:eastAsia="zh-CN"/>
        </w:rPr>
        <w:t>918,337,490.79</w:t>
      </w:r>
      <w:r>
        <w:rPr>
          <w:rFonts w:hint="eastAsia" w:ascii="仿宋_GB2312" w:eastAsia="仿宋_GB2312"/>
          <w:sz w:val="28"/>
          <w:szCs w:val="28"/>
        </w:rPr>
        <w:t>元，资金结转结余率为</w:t>
      </w:r>
      <w:r>
        <w:rPr>
          <w:rFonts w:hint="eastAsia" w:ascii="仿宋_GB2312" w:eastAsia="仿宋_GB2312"/>
          <w:sz w:val="28"/>
          <w:szCs w:val="28"/>
          <w:lang w:val="en-US" w:eastAsia="zh-CN"/>
        </w:rPr>
        <w:t>5.4</w:t>
      </w:r>
      <w:r>
        <w:rPr>
          <w:rFonts w:ascii="仿宋_GB2312" w:eastAsia="仿宋_GB2312"/>
          <w:sz w:val="28"/>
          <w:szCs w:val="28"/>
        </w:rPr>
        <w:t>%</w:t>
      </w:r>
      <w:r>
        <w:rPr>
          <w:rFonts w:hint="eastAsia" w:ascii="仿宋_GB2312" w:eastAsia="仿宋_GB2312"/>
          <w:sz w:val="28"/>
          <w:szCs w:val="28"/>
        </w:rPr>
        <w:t>；</w:t>
      </w:r>
      <w:r>
        <w:rPr>
          <w:rFonts w:ascii="仿宋_GB2312" w:eastAsia="仿宋_GB2312"/>
          <w:sz w:val="28"/>
          <w:szCs w:val="28"/>
        </w:rPr>
        <w:t>202</w:t>
      </w:r>
      <w:r>
        <w:rPr>
          <w:rFonts w:hint="eastAsia" w:ascii="仿宋_GB2312" w:eastAsia="仿宋_GB2312"/>
          <w:sz w:val="28"/>
          <w:szCs w:val="28"/>
        </w:rPr>
        <w:t>4年年末结转结余资金总额为</w:t>
      </w:r>
      <w:r>
        <w:rPr>
          <w:rFonts w:hint="eastAsia" w:ascii="仿宋_GB2312" w:eastAsia="仿宋_GB2312"/>
          <w:sz w:val="28"/>
          <w:szCs w:val="28"/>
          <w:lang w:val="en-US" w:eastAsia="zh-CN"/>
        </w:rPr>
        <w:t>236,073,348.69</w:t>
      </w:r>
      <w:r>
        <w:rPr>
          <w:rFonts w:hint="eastAsia" w:ascii="仿宋_GB2312" w:eastAsia="仿宋_GB2312"/>
          <w:sz w:val="28"/>
          <w:szCs w:val="28"/>
        </w:rPr>
        <w:t>元，全年支出预算数为</w:t>
      </w:r>
      <w:r>
        <w:rPr>
          <w:rFonts w:hint="eastAsia" w:ascii="仿宋_GB2312" w:eastAsia="仿宋_GB2312"/>
          <w:sz w:val="28"/>
          <w:szCs w:val="28"/>
          <w:lang w:val="en-US" w:eastAsia="zh-CN"/>
        </w:rPr>
        <w:t>908,313,551.07</w:t>
      </w:r>
      <w:r>
        <w:rPr>
          <w:rFonts w:hint="eastAsia" w:ascii="仿宋_GB2312" w:eastAsia="仿宋_GB2312"/>
          <w:sz w:val="28"/>
          <w:szCs w:val="28"/>
        </w:rPr>
        <w:t>元，资金结转结余率为</w:t>
      </w:r>
      <w:r>
        <w:rPr>
          <w:rFonts w:hint="eastAsia" w:ascii="仿宋_GB2312" w:eastAsia="仿宋_GB2312"/>
          <w:sz w:val="28"/>
          <w:szCs w:val="28"/>
          <w:lang w:val="en-US" w:eastAsia="zh-CN"/>
        </w:rPr>
        <w:t>20.6</w:t>
      </w:r>
      <w:r>
        <w:rPr>
          <w:rFonts w:ascii="仿宋_GB2312" w:eastAsia="仿宋_GB2312"/>
          <w:sz w:val="28"/>
          <w:szCs w:val="28"/>
        </w:rPr>
        <w:t>%</w:t>
      </w:r>
      <w:r>
        <w:rPr>
          <w:rFonts w:hint="eastAsia" w:ascii="仿宋_GB2312" w:eastAsia="仿宋_GB2312"/>
          <w:sz w:val="28"/>
          <w:szCs w:val="28"/>
        </w:rPr>
        <w:t>；</w:t>
      </w:r>
      <w:r>
        <w:rPr>
          <w:rFonts w:ascii="仿宋_GB2312" w:eastAsia="仿宋_GB2312"/>
          <w:sz w:val="28"/>
          <w:szCs w:val="28"/>
        </w:rPr>
        <w:t>202</w:t>
      </w:r>
      <w:r>
        <w:rPr>
          <w:rFonts w:hint="eastAsia" w:ascii="仿宋_GB2312" w:eastAsia="仿宋_GB2312"/>
          <w:sz w:val="28"/>
          <w:szCs w:val="28"/>
        </w:rPr>
        <w:t>5年度部门结转结余率较上一年下降了</w:t>
      </w:r>
      <w:r>
        <w:rPr>
          <w:rFonts w:hint="eastAsia" w:ascii="仿宋_GB2312" w:eastAsia="仿宋_GB2312"/>
          <w:sz w:val="28"/>
          <w:szCs w:val="28"/>
          <w:lang w:val="en-US" w:eastAsia="zh-CN"/>
        </w:rPr>
        <w:t>15.2</w:t>
      </w:r>
      <w:bookmarkStart w:id="4" w:name="_GoBack"/>
      <w:bookmarkEnd w:id="4"/>
      <w:r>
        <w:rPr>
          <w:rFonts w:ascii="仿宋_GB2312" w:eastAsia="仿宋_GB2312"/>
          <w:sz w:val="28"/>
          <w:szCs w:val="28"/>
        </w:rPr>
        <w:t>%</w:t>
      </w:r>
      <w:r>
        <w:rPr>
          <w:rFonts w:hint="eastAsia" w:ascii="仿宋_GB2312" w:eastAsia="仿宋_GB2312"/>
          <w:sz w:val="28"/>
          <w:szCs w:val="28"/>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bookmarkEnd w:id="2"/>
    <w:p>
      <w:pPr>
        <w:spacing w:line="520" w:lineRule="exact"/>
        <w:ind w:firstLine="640"/>
        <w:rPr>
          <w:rFonts w:ascii="仿宋_GB2312" w:eastAsia="仿宋_GB2312"/>
          <w:sz w:val="28"/>
          <w:szCs w:val="28"/>
        </w:rPr>
      </w:pPr>
      <w:r>
        <w:rPr>
          <w:rFonts w:hint="eastAsia" w:ascii="仿宋_GB2312" w:eastAsia="仿宋_GB2312"/>
          <w:sz w:val="28"/>
          <w:szCs w:val="28"/>
        </w:rPr>
        <w:t>1.产出完成情况分析</w:t>
      </w:r>
    </w:p>
    <w:p>
      <w:pPr>
        <w:spacing w:line="520" w:lineRule="exact"/>
        <w:ind w:firstLine="640"/>
        <w:rPr>
          <w:rFonts w:hint="eastAsia" w:ascii="仿宋_GB2312" w:eastAsia="仿宋_GB2312"/>
          <w:sz w:val="28"/>
          <w:szCs w:val="28"/>
        </w:rPr>
      </w:pPr>
      <w:r>
        <w:rPr>
          <w:rFonts w:hint="eastAsia" w:ascii="仿宋_GB2312" w:eastAsia="仿宋_GB2312"/>
          <w:sz w:val="28"/>
          <w:szCs w:val="28"/>
        </w:rPr>
        <w:t>（1）产出数量</w:t>
      </w:r>
    </w:p>
    <w:tbl>
      <w:tblPr>
        <w:tblStyle w:val="10"/>
        <w:tblW w:w="9200" w:type="dxa"/>
        <w:tblInd w:w="108" w:type="dxa"/>
        <w:tblLayout w:type="autofit"/>
        <w:tblCellMar>
          <w:top w:w="0" w:type="dxa"/>
          <w:left w:w="108" w:type="dxa"/>
          <w:bottom w:w="0" w:type="dxa"/>
          <w:right w:w="108" w:type="dxa"/>
        </w:tblCellMar>
      </w:tblPr>
      <w:tblGrid>
        <w:gridCol w:w="998"/>
        <w:gridCol w:w="2045"/>
        <w:gridCol w:w="2061"/>
        <w:gridCol w:w="2061"/>
        <w:gridCol w:w="2035"/>
      </w:tblGrid>
      <w:tr>
        <w:tblPrEx>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1</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eastAsia="仿宋_GB2312"/>
                <w:sz w:val="28"/>
                <w:szCs w:val="28"/>
              </w:rPr>
            </w:pPr>
            <w:r>
              <w:rPr>
                <w:rFonts w:hint="eastAsia" w:ascii="仿宋_GB2312" w:eastAsia="仿宋_GB2312"/>
                <w:sz w:val="28"/>
                <w:szCs w:val="28"/>
              </w:rPr>
              <w:t>按照全年任务水平完工工作任务　　</w:t>
            </w:r>
          </w:p>
        </w:tc>
        <w:tc>
          <w:tcPr>
            <w:tcW w:w="2100"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10</w:t>
            </w:r>
          </w:p>
        </w:tc>
        <w:tc>
          <w:tcPr>
            <w:tcW w:w="2100" w:type="dxa"/>
            <w:tcBorders>
              <w:top w:val="nil"/>
              <w:left w:val="nil"/>
              <w:bottom w:val="single" w:color="auto" w:sz="4" w:space="0"/>
              <w:right w:val="single" w:color="auto" w:sz="4" w:space="0"/>
            </w:tcBorders>
            <w:vAlign w:val="center"/>
          </w:tcPr>
          <w:p>
            <w:pPr>
              <w:spacing w:line="520" w:lineRule="exact"/>
              <w:ind w:firstLine="280" w:firstLineChars="100"/>
              <w:rPr>
                <w:rFonts w:hint="eastAsia" w:ascii="仿宋_GB2312" w:eastAsia="仿宋_GB2312"/>
                <w:sz w:val="28"/>
                <w:szCs w:val="28"/>
              </w:rPr>
            </w:pPr>
            <w:r>
              <w:rPr>
                <w:rFonts w:hint="eastAsia" w:ascii="仿宋_GB2312" w:eastAsia="仿宋_GB2312"/>
                <w:sz w:val="28"/>
                <w:szCs w:val="28"/>
              </w:rPr>
              <w:t>　</w:t>
            </w:r>
            <w:r>
              <w:rPr>
                <w:rFonts w:hint="eastAsia" w:ascii="仿宋_GB2312" w:eastAsia="仿宋_GB2312"/>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2</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年底完成　</w:t>
            </w:r>
          </w:p>
        </w:tc>
        <w:tc>
          <w:tcPr>
            <w:tcW w:w="2100"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3</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eastAsia="仿宋_GB2312"/>
                <w:sz w:val="28"/>
                <w:szCs w:val="28"/>
              </w:rPr>
            </w:pPr>
            <w:r>
              <w:rPr>
                <w:rFonts w:hint="eastAsia" w:ascii="仿宋_GB2312" w:eastAsia="仿宋_GB2312"/>
                <w:sz w:val="28"/>
                <w:szCs w:val="28"/>
              </w:rPr>
              <w:t>格按照部门预算进行成本控制　　</w:t>
            </w:r>
          </w:p>
        </w:tc>
        <w:tc>
          <w:tcPr>
            <w:tcW w:w="2100"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spacing w:line="52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rPr>
        <w:t>产出质量</w:t>
      </w:r>
    </w:p>
    <w:p>
      <w:pPr>
        <w:spacing w:line="520" w:lineRule="exact"/>
        <w:ind w:firstLine="640"/>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市政基础设施项目的实施，有效推动了城市道路路网完善、市政基础设施承载等工作，群众生活便利、优化出行条件的保障能力不断提高。城市运行保障方面，通过加强供暖、燃气行业管理，集中供热保障范围和天然气保障范围不断扩大，降低能源使用成本，提供群众便利使用水平。持续开展的送气下乡工程，持续降低农村地区群众用气成本，推进清洁空气行动，为首都大气治理做出积极贡献。202</w:t>
      </w:r>
      <w:r>
        <w:rPr>
          <w:rFonts w:hint="eastAsia" w:ascii="仿宋_GB2312" w:eastAsia="仿宋_GB2312"/>
          <w:sz w:val="28"/>
          <w:szCs w:val="28"/>
          <w:lang w:val="en-US" w:eastAsia="zh-CN"/>
        </w:rPr>
        <w:t>5</w:t>
      </w:r>
      <w:r>
        <w:rPr>
          <w:rFonts w:hint="eastAsia" w:ascii="仿宋_GB2312" w:eastAsia="仿宋_GB2312"/>
          <w:sz w:val="28"/>
          <w:szCs w:val="28"/>
        </w:rPr>
        <w:t>年继续加强城乡环卫作业监管，加强户外广告、牌匾标识、标语、宣传品设置管理，实施景观提升工程，加强市政设施养护精细化管理，及时修复城市道路及附属设施、路灯及景观照亮设施出现病害、破损，不断打造群众方便、安全的出行环境，提高环境效益产生。</w:t>
      </w:r>
    </w:p>
    <w:p>
      <w:pPr>
        <w:spacing w:line="520" w:lineRule="exact"/>
        <w:ind w:firstLine="64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产出进度</w:t>
      </w:r>
    </w:p>
    <w:p>
      <w:pPr>
        <w:spacing w:line="520" w:lineRule="exact"/>
        <w:ind w:firstLine="640"/>
        <w:rPr>
          <w:rFonts w:hint="eastAsia" w:ascii="仿宋_GB2312" w:eastAsia="仿宋_GB2312"/>
          <w:sz w:val="28"/>
          <w:szCs w:val="28"/>
        </w:rPr>
      </w:pPr>
      <w:r>
        <w:rPr>
          <w:rFonts w:hint="eastAsia" w:ascii="仿宋_GB2312" w:eastAsia="仿宋_GB2312"/>
          <w:sz w:val="28"/>
          <w:szCs w:val="28"/>
        </w:rPr>
        <w:t>均为202</w:t>
      </w:r>
      <w:r>
        <w:rPr>
          <w:rFonts w:hint="eastAsia" w:ascii="仿宋_GB2312" w:eastAsia="仿宋_GB2312"/>
          <w:sz w:val="28"/>
          <w:szCs w:val="28"/>
          <w:lang w:val="en-US" w:eastAsia="zh-CN"/>
        </w:rPr>
        <w:t>5</w:t>
      </w:r>
      <w:r>
        <w:rPr>
          <w:rFonts w:hint="eastAsia" w:ascii="仿宋_GB2312" w:eastAsia="仿宋_GB2312"/>
          <w:sz w:val="28"/>
          <w:szCs w:val="28"/>
        </w:rPr>
        <w:t>年1月1日至202</w:t>
      </w:r>
      <w:r>
        <w:rPr>
          <w:rFonts w:hint="eastAsia" w:ascii="仿宋_GB2312" w:eastAsia="仿宋_GB2312"/>
          <w:sz w:val="28"/>
          <w:szCs w:val="28"/>
          <w:lang w:val="en-US" w:eastAsia="zh-CN"/>
        </w:rPr>
        <w:t>5</w:t>
      </w:r>
      <w:r>
        <w:rPr>
          <w:rFonts w:hint="eastAsia" w:ascii="仿宋_GB2312" w:eastAsia="仿宋_GB2312"/>
          <w:sz w:val="28"/>
          <w:szCs w:val="28"/>
        </w:rPr>
        <w:t>年12月31</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4.产出成本</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预算资金总体支出918,337,490.79元，其中：基本支出</w:t>
      </w:r>
      <w:r>
        <w:rPr>
          <w:rFonts w:hint="eastAsia" w:ascii="仿宋_GB2312" w:eastAsia="仿宋_GB2312"/>
          <w:sz w:val="28"/>
          <w:szCs w:val="28"/>
        </w:rPr>
        <w:t>50,832,596.12</w:t>
      </w:r>
      <w:r>
        <w:rPr>
          <w:rFonts w:hint="eastAsia" w:ascii="仿宋_GB2312" w:eastAsia="仿宋_GB2312"/>
          <w:sz w:val="28"/>
          <w:szCs w:val="28"/>
          <w:lang w:val="en-US" w:eastAsia="zh-CN"/>
        </w:rPr>
        <w:t xml:space="preserve">元，占比5.5%；项目支出867,504,894.67元，占比94.5%；其他支出0.00元，占比0.00%。部门预算执行率为94.6%。   </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 2.效果实现情况分析</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（1）经济效益</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加强基础设施建设，提升城市整体建设水平、创造良好的营商环境、促进地区经济发展。</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（2）社会效益</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促进地方经济发展，提升城市居住质量、创造良好的生态环境。</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（3）环境效益</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提升区域环境水平。</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（4）可持续影响</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因地制宜改善区域环境，切实提高政府绩效、让人民群众真正满意。</w:t>
      </w:r>
    </w:p>
    <w:p>
      <w:pPr>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（5）服务对象满意度</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群众满意度达到95%。</w:t>
      </w:r>
    </w:p>
    <w:p>
      <w:pPr>
        <w:spacing w:line="520" w:lineRule="exact"/>
        <w:ind w:firstLine="640"/>
        <w:rPr>
          <w:rFonts w:ascii="楷体_GB2312" w:eastAsia="楷体_GB2312"/>
          <w:b/>
          <w:sz w:val="28"/>
          <w:szCs w:val="28"/>
        </w:rPr>
      </w:pPr>
      <w:r>
        <w:rPr>
          <w:rFonts w:hint="eastAsia" w:ascii="楷体_GB2312" w:eastAsia="楷体_GB2312"/>
          <w:b/>
          <w:sz w:val="28"/>
          <w:szCs w:val="28"/>
        </w:rPr>
        <w:t>（四）预算管理情况分析</w:t>
      </w:r>
    </w:p>
    <w:p>
      <w:pPr>
        <w:spacing w:line="520" w:lineRule="exact"/>
        <w:ind w:firstLine="640"/>
        <w:rPr>
          <w:rFonts w:hint="eastAsia" w:ascii="仿宋_GB2312" w:eastAsia="仿宋_GB2312"/>
          <w:sz w:val="28"/>
          <w:szCs w:val="28"/>
        </w:rPr>
      </w:pPr>
      <w:r>
        <w:rPr>
          <w:rFonts w:hint="eastAsia" w:ascii="仿宋_GB2312" w:eastAsia="仿宋_GB2312"/>
          <w:sz w:val="28"/>
          <w:szCs w:val="28"/>
        </w:rPr>
        <w:t>1.财务管理</w:t>
      </w:r>
    </w:p>
    <w:p>
      <w:pPr>
        <w:spacing w:line="520" w:lineRule="exact"/>
        <w:ind w:firstLine="640"/>
        <w:rPr>
          <w:rFonts w:hint="eastAsia" w:ascii="仿宋_GB2312" w:eastAsia="仿宋_GB2312"/>
          <w:sz w:val="28"/>
          <w:szCs w:val="28"/>
          <w:lang w:val="en-US" w:eastAsia="zh-CN"/>
        </w:rPr>
      </w:pPr>
      <w:r>
        <w:rPr>
          <w:rFonts w:hint="eastAsia" w:ascii="仿宋_GB2312" w:eastAsia="仿宋_GB2312"/>
          <w:sz w:val="28"/>
          <w:szCs w:val="28"/>
          <w:lang w:val="en-US" w:eastAsia="zh-CN"/>
        </w:rPr>
        <w:t>为切实规范资金管理，保障资金安全、高效运行，发挥资金使用效益，严格执行本单位各项管理制度，包括《三重一大制度实施办法》、《重大行政决策程序规定实施细则》、《资金支出管理办法》、《财务管理制度》、《大额资金的管理使用及监督办法》、《基本建设资金监督管理办法》、《专项资金监督管理办法》、《固定资产管理制度》、《进一步加强“三公”经费管理的规定》、《公务接待管理制度》等，同时认真落实会计工作职责和有关制度要求。</w:t>
      </w:r>
    </w:p>
    <w:p>
      <w:pPr>
        <w:numPr>
          <w:ilvl w:val="0"/>
          <w:numId w:val="1"/>
        </w:num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资产管理</w:t>
      </w:r>
    </w:p>
    <w:p>
      <w:pPr>
        <w:spacing w:line="520" w:lineRule="exact"/>
        <w:ind w:firstLine="640"/>
        <w:rPr>
          <w:color w:val="000000" w:themeColor="text1"/>
          <w14:textFill>
            <w14:solidFill>
              <w14:schemeClr w14:val="tx1"/>
            </w14:solidFill>
          </w14:textFill>
        </w:rPr>
      </w:pPr>
      <w:r>
        <w:rPr>
          <w:rFonts w:hint="eastAsia" w:ascii="仿宋_GB2312" w:eastAsia="仿宋_GB2312"/>
          <w:color w:val="000000" w:themeColor="text1"/>
          <w:sz w:val="28"/>
          <w:szCs w:val="28"/>
          <w:lang w:val="en-US" w:eastAsia="zh-CN"/>
          <w14:textFill>
            <w14:solidFill>
              <w14:schemeClr w14:val="tx1"/>
            </w14:solidFill>
          </w14:textFill>
        </w:rPr>
        <w:t>截至2025年底，我单位固定资产原值61,437,788.92元，累计折旧33,757,089.38元，净值27,680,699.54元；在建工程2,087,529,242.77元；公共基础设施9,016,080,589.24元。</w:t>
      </w:r>
    </w:p>
    <w:p>
      <w:pPr>
        <w:spacing w:line="520" w:lineRule="exact"/>
        <w:ind w:firstLine="640"/>
        <w:rPr>
          <w:rFonts w:ascii="仿宋_GB2312" w:eastAsia="仿宋_GB2312"/>
          <w:sz w:val="28"/>
          <w:szCs w:val="28"/>
        </w:rPr>
      </w:pPr>
      <w:r>
        <w:rPr>
          <w:rFonts w:hint="eastAsia" w:ascii="仿宋_GB2312" w:eastAsia="仿宋_GB2312"/>
          <w:sz w:val="28"/>
          <w:szCs w:val="28"/>
        </w:rPr>
        <w:t>3.绩效管理</w:t>
      </w:r>
    </w:p>
    <w:p>
      <w:pPr>
        <w:spacing w:line="520" w:lineRule="exact"/>
        <w:ind w:firstLine="640"/>
        <w:rPr>
          <w:rFonts w:hint="eastAsia" w:ascii="仿宋_GB2312" w:eastAsia="仿宋_GB2312"/>
          <w:sz w:val="28"/>
          <w:szCs w:val="28"/>
        </w:rPr>
      </w:pPr>
      <w:r>
        <w:rPr>
          <w:rFonts w:hint="eastAsia" w:ascii="仿宋_GB2312" w:eastAsia="仿宋_GB2312"/>
          <w:sz w:val="28"/>
          <w:szCs w:val="28"/>
        </w:rPr>
        <w:t>（1）预算绩效管理制度情况</w:t>
      </w:r>
    </w:p>
    <w:p>
      <w:pPr>
        <w:pStyle w:val="3"/>
        <w:spacing w:beforeLines="0" w:afterLines="0" w:line="560" w:lineRule="exact"/>
      </w:pPr>
      <w:r>
        <w:rPr>
          <w:rFonts w:hint="eastAsia" w:ascii="仿宋_GB2312" w:hAnsi="Calibri" w:eastAsia="仿宋_GB2312" w:cs="Times New Roman"/>
          <w:kern w:val="2"/>
          <w:sz w:val="28"/>
          <w:szCs w:val="28"/>
          <w:lang w:val="en-US" w:eastAsia="zh-CN" w:bidi="ar-SA"/>
        </w:rPr>
        <w:t>按照区财政局的工作要求，本单位积极开展全过程预算绩效管理工作，绩效管理组织机构设置、绩效目标填报及绩效跟踪情况等，及时向财政部门报告我局部门整体绩效目标和项目支出绩效目标半年和全年完成情况，说明绩效目标的完成进度、存在问题、整改措施。</w:t>
      </w:r>
    </w:p>
    <w:p>
      <w:pPr>
        <w:numPr>
          <w:ilvl w:val="0"/>
          <w:numId w:val="2"/>
        </w:numPr>
        <w:spacing w:line="520" w:lineRule="exact"/>
        <w:ind w:firstLine="640"/>
        <w:rPr>
          <w:rFonts w:hint="eastAsia" w:ascii="仿宋_GB2312" w:eastAsia="仿宋_GB2312"/>
          <w:sz w:val="28"/>
          <w:szCs w:val="28"/>
        </w:rPr>
      </w:pPr>
      <w:r>
        <w:rPr>
          <w:rFonts w:hint="eastAsia" w:ascii="仿宋_GB2312" w:eastAsia="仿宋_GB2312"/>
          <w:sz w:val="28"/>
          <w:szCs w:val="28"/>
        </w:rPr>
        <w:t>绩效目标管理情况</w:t>
      </w:r>
    </w:p>
    <w:p>
      <w:pPr>
        <w:spacing w:line="520" w:lineRule="exact"/>
        <w:ind w:firstLine="640"/>
        <w:rPr>
          <w:rFonts w:ascii="仿宋_GB2312" w:eastAsia="仿宋_GB2312"/>
          <w:sz w:val="28"/>
          <w:szCs w:val="28"/>
        </w:rPr>
      </w:pPr>
      <w:r>
        <w:rPr>
          <w:rFonts w:ascii="仿宋_GB2312" w:eastAsia="仿宋_GB2312"/>
          <w:sz w:val="28"/>
          <w:szCs w:val="28"/>
        </w:rPr>
        <w:t>202</w:t>
      </w:r>
      <w:r>
        <w:rPr>
          <w:rFonts w:hint="eastAsia" w:ascii="仿宋_GB2312" w:eastAsia="仿宋_GB2312"/>
          <w:sz w:val="28"/>
          <w:szCs w:val="28"/>
        </w:rPr>
        <w:t>5年部门预算项目</w:t>
      </w:r>
      <w:r>
        <w:rPr>
          <w:rFonts w:hint="eastAsia" w:ascii="仿宋_GB2312" w:eastAsia="仿宋_GB2312"/>
          <w:sz w:val="28"/>
          <w:szCs w:val="28"/>
          <w:lang w:val="en-US" w:eastAsia="zh-CN"/>
        </w:rPr>
        <w:t>57</w:t>
      </w:r>
      <w:r>
        <w:rPr>
          <w:rFonts w:hint="eastAsia" w:ascii="仿宋_GB2312" w:eastAsia="仿宋_GB2312"/>
          <w:sz w:val="28"/>
          <w:szCs w:val="28"/>
        </w:rPr>
        <w:t>个，部门预算公开绩效目标的预算项目</w:t>
      </w:r>
      <w:r>
        <w:rPr>
          <w:rFonts w:hint="eastAsia" w:ascii="仿宋_GB2312" w:eastAsia="仿宋_GB2312"/>
          <w:sz w:val="28"/>
          <w:szCs w:val="28"/>
          <w:lang w:val="en-US" w:eastAsia="zh-CN"/>
        </w:rPr>
        <w:t>57</w:t>
      </w:r>
      <w:r>
        <w:rPr>
          <w:rFonts w:hint="eastAsia" w:ascii="仿宋_GB2312" w:eastAsia="仿宋_GB2312"/>
          <w:sz w:val="28"/>
          <w:szCs w:val="28"/>
        </w:rPr>
        <w:t>个，占本部门全部预算项目的</w:t>
      </w:r>
      <w:r>
        <w:rPr>
          <w:rFonts w:hint="eastAsia" w:ascii="仿宋_GB2312" w:eastAsia="仿宋_GB2312"/>
          <w:sz w:val="28"/>
          <w:szCs w:val="28"/>
          <w:lang w:val="en-US" w:eastAsia="zh-CN"/>
        </w:rPr>
        <w:t>100</w:t>
      </w:r>
      <w:r>
        <w:rPr>
          <w:rFonts w:ascii="仿宋_GB2312" w:eastAsia="仿宋_GB2312"/>
          <w:sz w:val="28"/>
          <w:szCs w:val="28"/>
        </w:rPr>
        <w:t>%</w:t>
      </w:r>
      <w:r>
        <w:rPr>
          <w:rFonts w:hint="eastAsia" w:ascii="仿宋_GB2312" w:eastAsia="仿宋_GB2312"/>
          <w:sz w:val="28"/>
          <w:szCs w:val="28"/>
        </w:rPr>
        <w:t>。</w:t>
      </w:r>
    </w:p>
    <w:p>
      <w:pPr>
        <w:spacing w:line="520" w:lineRule="exact"/>
        <w:ind w:firstLine="640"/>
        <w:rPr>
          <w:rFonts w:ascii="仿宋_GB2312" w:eastAsia="仿宋_GB2312"/>
          <w:sz w:val="28"/>
          <w:szCs w:val="28"/>
        </w:rPr>
      </w:pPr>
      <w:r>
        <w:rPr>
          <w:rFonts w:hint="eastAsia" w:ascii="仿宋_GB2312" w:eastAsia="仿宋_GB2312"/>
          <w:sz w:val="28"/>
          <w:szCs w:val="28"/>
        </w:rPr>
        <w:t>（3）绩效运行监控情况</w:t>
      </w:r>
    </w:p>
    <w:p>
      <w:pPr>
        <w:spacing w:line="520" w:lineRule="exact"/>
        <w:ind w:firstLine="640"/>
        <w:rPr>
          <w:rFonts w:hint="eastAsia" w:ascii="仿宋_GB2312" w:eastAsia="仿宋_GB2312"/>
          <w:sz w:val="28"/>
          <w:szCs w:val="28"/>
        </w:rPr>
      </w:pPr>
      <w:r>
        <w:rPr>
          <w:rFonts w:hint="eastAsia" w:ascii="仿宋_GB2312" w:eastAsia="仿宋_GB2312"/>
          <w:sz w:val="28"/>
          <w:szCs w:val="28"/>
        </w:rPr>
        <w:t>2025年对本部门及所属单位</w:t>
      </w:r>
      <w:r>
        <w:rPr>
          <w:rFonts w:hint="eastAsia" w:ascii="仿宋_GB2312" w:eastAsia="仿宋_GB2312"/>
          <w:sz w:val="28"/>
          <w:szCs w:val="28"/>
          <w:lang w:val="en-US" w:eastAsia="zh-CN"/>
        </w:rPr>
        <w:t>57</w:t>
      </w:r>
      <w:r>
        <w:rPr>
          <w:rFonts w:hint="eastAsia" w:ascii="仿宋_GB2312" w:eastAsia="仿宋_GB2312"/>
          <w:sz w:val="28"/>
          <w:szCs w:val="28"/>
        </w:rPr>
        <w:t>个预算项目进行绩效运行监控，占部门项目总数的</w:t>
      </w:r>
      <w:r>
        <w:rPr>
          <w:rFonts w:hint="eastAsia" w:ascii="仿宋_GB2312" w:eastAsia="仿宋_GB2312"/>
          <w:sz w:val="28"/>
          <w:szCs w:val="28"/>
          <w:lang w:val="en-US" w:eastAsia="zh-CN"/>
        </w:rPr>
        <w:t>100</w:t>
      </w:r>
      <w:r>
        <w:rPr>
          <w:rFonts w:hint="eastAsia" w:ascii="仿宋_GB2312" w:eastAsia="仿宋_GB2312"/>
          <w:sz w:val="28"/>
          <w:szCs w:val="28"/>
        </w:rPr>
        <w:t>%，涉及资金</w:t>
      </w:r>
      <w:r>
        <w:rPr>
          <w:rFonts w:hint="eastAsia" w:ascii="仿宋_GB2312" w:eastAsia="仿宋_GB2312"/>
          <w:sz w:val="28"/>
          <w:szCs w:val="28"/>
          <w:lang w:val="en-US" w:eastAsia="zh-CN"/>
        </w:rPr>
        <w:t>201,428,365.17</w:t>
      </w:r>
      <w:r>
        <w:rPr>
          <w:rFonts w:hint="eastAsia" w:ascii="仿宋_GB2312" w:eastAsia="仿宋_GB2312"/>
          <w:sz w:val="28"/>
          <w:szCs w:val="28"/>
        </w:rPr>
        <w:t>元。</w:t>
      </w:r>
    </w:p>
    <w:p>
      <w:pPr>
        <w:spacing w:line="520" w:lineRule="exact"/>
        <w:ind w:firstLine="640"/>
        <w:rPr>
          <w:rFonts w:ascii="仿宋_GB2312" w:eastAsia="仿宋_GB2312"/>
          <w:sz w:val="28"/>
          <w:szCs w:val="28"/>
        </w:rPr>
      </w:pPr>
      <w:r>
        <w:rPr>
          <w:rFonts w:hint="eastAsia" w:ascii="仿宋_GB2312" w:eastAsia="仿宋_GB2312"/>
          <w:sz w:val="28"/>
          <w:szCs w:val="28"/>
        </w:rPr>
        <w:t>（4）绩效自评情况</w:t>
      </w:r>
    </w:p>
    <w:p>
      <w:pPr>
        <w:spacing w:line="520" w:lineRule="exact"/>
        <w:ind w:firstLine="640" w:firstLineChars="200"/>
        <w:rPr>
          <w:rFonts w:hint="eastAsia" w:ascii="仿宋_GB2312" w:eastAsia="仿宋_GB2312"/>
          <w:sz w:val="28"/>
          <w:szCs w:val="28"/>
        </w:rPr>
      </w:pPr>
      <w:r>
        <w:rPr>
          <w:rFonts w:ascii="仿宋_GB2312" w:hAnsi="微软雅黑" w:eastAsia="仿宋_GB2312" w:cs="微软雅黑"/>
          <w:color w:val="404040"/>
          <w:sz w:val="32"/>
          <w:szCs w:val="32"/>
          <w:shd w:val="clear" w:color="auto" w:fill="FFFFFF"/>
        </w:rPr>
        <w:t>2</w:t>
      </w:r>
      <w:r>
        <w:rPr>
          <w:rFonts w:hint="eastAsia" w:ascii="仿宋_GB2312" w:eastAsia="仿宋_GB2312"/>
          <w:sz w:val="28"/>
          <w:szCs w:val="28"/>
        </w:rPr>
        <w:t>025年对本部门及所属单位202</w:t>
      </w:r>
      <w:r>
        <w:rPr>
          <w:rFonts w:hint="eastAsia" w:ascii="仿宋_GB2312" w:eastAsia="仿宋_GB2312"/>
          <w:sz w:val="28"/>
          <w:szCs w:val="28"/>
          <w:lang w:val="en-US" w:eastAsia="zh-CN"/>
        </w:rPr>
        <w:t>5</w:t>
      </w:r>
      <w:r>
        <w:rPr>
          <w:rFonts w:hint="eastAsia" w:ascii="仿宋_GB2312" w:eastAsia="仿宋_GB2312"/>
          <w:sz w:val="28"/>
          <w:szCs w:val="28"/>
        </w:rPr>
        <w:t>年项目支出实施了绩效自评，评价项目</w:t>
      </w:r>
      <w:r>
        <w:rPr>
          <w:rFonts w:hint="eastAsia" w:ascii="仿宋_GB2312" w:eastAsia="仿宋_GB2312"/>
          <w:sz w:val="28"/>
          <w:szCs w:val="28"/>
          <w:lang w:val="en-US" w:eastAsia="zh-CN"/>
        </w:rPr>
        <w:t>57</w:t>
      </w:r>
      <w:r>
        <w:rPr>
          <w:rFonts w:hint="eastAsia" w:ascii="仿宋_GB2312" w:eastAsia="仿宋_GB2312"/>
          <w:sz w:val="28"/>
          <w:szCs w:val="28"/>
        </w:rPr>
        <w:t>个，涉及金额</w:t>
      </w:r>
      <w:r>
        <w:rPr>
          <w:rFonts w:hint="eastAsia" w:ascii="仿宋_GB2312" w:eastAsia="仿宋_GB2312"/>
          <w:sz w:val="28"/>
          <w:szCs w:val="28"/>
          <w:lang w:val="en-US" w:eastAsia="zh-CN"/>
        </w:rPr>
        <w:t>201,428,365.17</w:t>
      </w:r>
      <w:r>
        <w:rPr>
          <w:rFonts w:hint="eastAsia" w:ascii="仿宋_GB2312" w:eastAsia="仿宋_GB2312"/>
          <w:sz w:val="28"/>
          <w:szCs w:val="28"/>
        </w:rPr>
        <w:t>元。</w:t>
      </w:r>
    </w:p>
    <w:p>
      <w:pPr>
        <w:spacing w:line="520" w:lineRule="exact"/>
        <w:ind w:firstLine="640"/>
        <w:rPr>
          <w:rFonts w:ascii="楷体_GB2312" w:eastAsia="楷体_GB2312"/>
          <w:b/>
          <w:sz w:val="28"/>
          <w:szCs w:val="28"/>
        </w:rPr>
      </w:pPr>
      <w:r>
        <w:rPr>
          <w:rFonts w:hint="eastAsia" w:ascii="楷体_GB2312" w:eastAsia="楷体_GB2312"/>
          <w:b/>
          <w:sz w:val="28"/>
          <w:szCs w:val="28"/>
        </w:rPr>
        <w:t>（五）总体评价结论</w:t>
      </w:r>
    </w:p>
    <w:p>
      <w:pPr>
        <w:spacing w:line="520" w:lineRule="exact"/>
        <w:ind w:firstLine="640"/>
        <w:rPr>
          <w:rFonts w:ascii="仿宋_GB2312" w:eastAsia="仿宋_GB2312"/>
          <w:sz w:val="28"/>
          <w:szCs w:val="28"/>
        </w:rPr>
      </w:pPr>
      <w:r>
        <w:rPr>
          <w:rFonts w:hint="eastAsia" w:ascii="仿宋_GB2312" w:eastAsia="仿宋_GB2312"/>
          <w:sz w:val="28"/>
          <w:szCs w:val="28"/>
        </w:rPr>
        <w:t>1.评价得分情况</w:t>
      </w:r>
    </w:p>
    <w:p>
      <w:pPr>
        <w:spacing w:line="520" w:lineRule="exact"/>
        <w:ind w:firstLine="640"/>
        <w:rPr>
          <w:rFonts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98.92</w:t>
      </w:r>
      <w:r>
        <w:rPr>
          <w:rFonts w:hint="eastAsia" w:ascii="仿宋_GB2312" w:eastAsia="仿宋_GB2312"/>
          <w:sz w:val="28"/>
          <w:szCs w:val="28"/>
        </w:rPr>
        <w:t>分</w:t>
      </w:r>
    </w:p>
    <w:p>
      <w:pPr>
        <w:spacing w:line="520" w:lineRule="exact"/>
        <w:ind w:firstLine="640"/>
        <w:rPr>
          <w:rFonts w:hint="eastAsia" w:ascii="仿宋_GB2312" w:eastAsia="仿宋_GB2312"/>
          <w:sz w:val="28"/>
          <w:szCs w:val="28"/>
          <w:lang w:eastAsia="zh-CN"/>
        </w:rPr>
      </w:pPr>
      <w:r>
        <w:rPr>
          <w:rFonts w:hint="eastAsia" w:ascii="仿宋_GB2312" w:eastAsia="仿宋_GB2312"/>
          <w:sz w:val="28"/>
          <w:szCs w:val="28"/>
        </w:rPr>
        <w:t>绩效自评等级：</w:t>
      </w:r>
      <w:r>
        <w:rPr>
          <w:rFonts w:hint="eastAsia" w:ascii="仿宋_GB2312" w:eastAsia="仿宋_GB2312"/>
          <w:sz w:val="28"/>
          <w:szCs w:val="28"/>
          <w:lang w:eastAsia="zh-CN"/>
        </w:rPr>
        <w:t>优秀</w:t>
      </w:r>
    </w:p>
    <w:p>
      <w:pPr>
        <w:spacing w:line="520" w:lineRule="exact"/>
        <w:ind w:firstLine="640"/>
        <w:rPr>
          <w:rFonts w:ascii="仿宋_GB2312" w:eastAsia="仿宋_GB2312"/>
          <w:sz w:val="28"/>
          <w:szCs w:val="28"/>
        </w:rPr>
      </w:pPr>
      <w:r>
        <w:rPr>
          <w:rFonts w:hint="eastAsia" w:ascii="仿宋_GB2312" w:eastAsia="仿宋_GB2312"/>
          <w:sz w:val="28"/>
          <w:szCs w:val="28"/>
        </w:rPr>
        <w:t>2.存在的问题及原因分析</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加快推进项目进度</w:t>
      </w:r>
    </w:p>
    <w:p>
      <w:pPr>
        <w:spacing w:line="520" w:lineRule="exact"/>
        <w:ind w:firstLine="640"/>
        <w:rPr>
          <w:rFonts w:ascii="仿宋_GB2312" w:eastAsia="仿宋_GB2312"/>
          <w:sz w:val="28"/>
          <w:szCs w:val="28"/>
        </w:rPr>
      </w:pPr>
      <w:r>
        <w:rPr>
          <w:rFonts w:hint="eastAsia" w:ascii="仿宋_GB2312" w:eastAsia="仿宋_GB2312"/>
          <w:sz w:val="28"/>
          <w:szCs w:val="28"/>
        </w:rPr>
        <w:t>3.改进措施</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加快推动项目前期手续、按照全年任务目标推进工程进度，切实提高资金使用效率，切实提高政府资金绩效。</w:t>
      </w:r>
    </w:p>
    <w:p>
      <w:pPr>
        <w:spacing w:line="520" w:lineRule="exact"/>
        <w:ind w:firstLine="640"/>
        <w:rPr>
          <w:rFonts w:ascii="黑体" w:hAnsi="黑体" w:eastAsia="黑体"/>
          <w:sz w:val="28"/>
          <w:szCs w:val="28"/>
        </w:rPr>
      </w:pPr>
      <w:r>
        <w:rPr>
          <w:rFonts w:hint="eastAsia" w:ascii="黑体" w:hAnsi="黑体" w:eastAsia="黑体"/>
          <w:sz w:val="28"/>
          <w:szCs w:val="28"/>
        </w:rPr>
        <w:t>二、项目支出绩效自评情况</w:t>
      </w:r>
    </w:p>
    <w:p>
      <w:pPr>
        <w:spacing w:line="520" w:lineRule="exact"/>
        <w:ind w:firstLine="708" w:firstLineChars="253"/>
        <w:rPr>
          <w:rFonts w:ascii="楷体_GB2312" w:hAnsi="仿宋" w:eastAsia="楷体_GB2312"/>
          <w:b/>
          <w:sz w:val="28"/>
          <w:szCs w:val="28"/>
        </w:rPr>
      </w:pPr>
      <w:r>
        <w:rPr>
          <w:rFonts w:hint="eastAsia" w:ascii="楷体_GB2312" w:hAnsi="仿宋" w:eastAsia="楷体_GB2312"/>
          <w:b/>
          <w:sz w:val="28"/>
          <w:szCs w:val="28"/>
        </w:rPr>
        <w:t>（一）绩效自评开展总体情况</w:t>
      </w:r>
    </w:p>
    <w:p>
      <w:pPr>
        <w:spacing w:line="520" w:lineRule="exact"/>
        <w:ind w:firstLine="560" w:firstLineChars="200"/>
        <w:outlineLvl w:val="0"/>
        <w:rPr>
          <w:rFonts w:hint="eastAsia" w:ascii="仿宋_GB2312" w:eastAsia="仿宋_GB2312"/>
          <w:sz w:val="28"/>
          <w:szCs w:val="28"/>
        </w:rPr>
      </w:pPr>
      <w:r>
        <w:rPr>
          <w:rFonts w:hint="eastAsia" w:ascii="仿宋_GB2312" w:eastAsia="仿宋_GB2312"/>
          <w:sz w:val="28"/>
          <w:szCs w:val="28"/>
        </w:rPr>
        <w:t>2025年度区财政批复项目支出预算项目159个，涉及金额803</w:t>
      </w:r>
      <w:r>
        <w:rPr>
          <w:rFonts w:hint="eastAsia" w:ascii="仿宋_GB2312" w:eastAsia="仿宋_GB2312"/>
          <w:sz w:val="28"/>
          <w:szCs w:val="28"/>
          <w:lang w:val="en-US" w:eastAsia="zh-CN"/>
        </w:rPr>
        <w:t>,</w:t>
      </w:r>
      <w:r>
        <w:rPr>
          <w:rFonts w:hint="eastAsia" w:ascii="仿宋_GB2312" w:eastAsia="仿宋_GB2312"/>
          <w:sz w:val="28"/>
          <w:szCs w:val="28"/>
        </w:rPr>
        <w:t>87</w:t>
      </w:r>
      <w:r>
        <w:rPr>
          <w:rFonts w:hint="eastAsia" w:ascii="仿宋_GB2312" w:eastAsia="仿宋_GB2312"/>
          <w:sz w:val="28"/>
          <w:szCs w:val="28"/>
          <w:lang w:val="en-US" w:eastAsia="zh-CN"/>
        </w:rPr>
        <w:t>9,815.00</w:t>
      </w:r>
      <w:r>
        <w:rPr>
          <w:rFonts w:hint="eastAsia" w:ascii="仿宋_GB2312" w:eastAsia="仿宋_GB2312"/>
          <w:sz w:val="28"/>
          <w:szCs w:val="28"/>
        </w:rPr>
        <w:t>元。本次实施绩效自评项目159个，涉及金额803</w:t>
      </w:r>
      <w:r>
        <w:rPr>
          <w:rFonts w:hint="eastAsia" w:ascii="仿宋_GB2312" w:eastAsia="仿宋_GB2312"/>
          <w:sz w:val="28"/>
          <w:szCs w:val="28"/>
          <w:lang w:val="en-US" w:eastAsia="zh-CN"/>
        </w:rPr>
        <w:t>,</w:t>
      </w:r>
      <w:r>
        <w:rPr>
          <w:rFonts w:hint="eastAsia" w:ascii="仿宋_GB2312" w:eastAsia="仿宋_GB2312"/>
          <w:sz w:val="28"/>
          <w:szCs w:val="28"/>
        </w:rPr>
        <w:t>87</w:t>
      </w:r>
      <w:r>
        <w:rPr>
          <w:rFonts w:hint="eastAsia" w:ascii="仿宋_GB2312" w:eastAsia="仿宋_GB2312"/>
          <w:sz w:val="28"/>
          <w:szCs w:val="28"/>
          <w:lang w:val="en-US" w:eastAsia="zh-CN"/>
        </w:rPr>
        <w:t>9,815.00</w:t>
      </w:r>
      <w:r>
        <w:rPr>
          <w:rFonts w:hint="eastAsia" w:ascii="仿宋_GB2312" w:eastAsia="仿宋_GB2312"/>
          <w:sz w:val="28"/>
          <w:szCs w:val="28"/>
        </w:rPr>
        <w:t>元。评价得分在90分（含90分）以上的158个，评价得分在80-90分（含80分）的0个，评价得分在60-80分（含60分）的0个，评价得分在60分以下的1个。</w:t>
      </w:r>
    </w:p>
    <w:p>
      <w:pPr>
        <w:spacing w:line="520" w:lineRule="exact"/>
        <w:ind w:firstLine="708" w:firstLineChars="253"/>
        <w:rPr>
          <w:rFonts w:ascii="楷体_GB2312" w:hAnsi="仿宋" w:eastAsia="楷体_GB2312"/>
          <w:b/>
          <w:sz w:val="28"/>
          <w:szCs w:val="28"/>
        </w:rPr>
      </w:pPr>
      <w:r>
        <w:rPr>
          <w:rFonts w:hint="eastAsia" w:ascii="楷体_GB2312" w:hAnsi="仿宋" w:eastAsia="楷体_GB2312"/>
          <w:b/>
          <w:sz w:val="28"/>
          <w:szCs w:val="28"/>
        </w:rPr>
        <w:t>（二）重点支出项目绩效自评报告</w:t>
      </w:r>
    </w:p>
    <w:p>
      <w:pPr>
        <w:spacing w:line="520" w:lineRule="exact"/>
        <w:ind w:firstLine="560" w:firstLineChars="200"/>
        <w:outlineLvl w:val="0"/>
        <w:rPr>
          <w:rFonts w:ascii="仿宋_GB2312" w:eastAsia="仿宋_GB2312"/>
          <w:sz w:val="28"/>
          <w:szCs w:val="28"/>
        </w:rPr>
      </w:pPr>
      <w:r>
        <w:rPr>
          <w:rFonts w:hint="eastAsia" w:ascii="仿宋_GB2312" w:eastAsia="仿宋_GB2312"/>
          <w:sz w:val="28"/>
          <w:szCs w:val="28"/>
        </w:rPr>
        <w:t>请参考《关于开展2025年度项目支出绩效自评工作的通知》（门财绩效[2026]72号）要求，将本部门撰写的《重点</w:t>
      </w:r>
      <w:r>
        <w:rPr>
          <w:rFonts w:ascii="仿宋_GB2312" w:eastAsia="仿宋_GB2312"/>
          <w:sz w:val="28"/>
          <w:szCs w:val="28"/>
        </w:rPr>
        <w:t>支出</w:t>
      </w:r>
      <w:r>
        <w:rPr>
          <w:rFonts w:hint="eastAsia" w:ascii="仿宋_GB2312" w:eastAsia="仿宋_GB2312"/>
          <w:sz w:val="28"/>
          <w:szCs w:val="28"/>
        </w:rPr>
        <w:t>项目绩效自评报告》电子版汇总到1个文件夹中，作为部门决算草案的附件1，并随决算全部公开。</w:t>
      </w:r>
    </w:p>
    <w:p>
      <w:pPr>
        <w:spacing w:line="520" w:lineRule="exact"/>
        <w:ind w:firstLine="640"/>
        <w:rPr>
          <w:rFonts w:ascii="楷体_GB2312" w:hAnsi="仿宋" w:eastAsia="楷体_GB2312"/>
          <w:b/>
          <w:sz w:val="28"/>
          <w:szCs w:val="28"/>
        </w:rPr>
      </w:pPr>
      <w:r>
        <w:rPr>
          <w:rFonts w:hint="eastAsia" w:ascii="楷体_GB2312" w:hAnsi="仿宋" w:eastAsia="楷体_GB2312"/>
          <w:b/>
          <w:sz w:val="28"/>
          <w:szCs w:val="28"/>
        </w:rPr>
        <w:t>（三）项目支出绩效自评表</w:t>
      </w:r>
    </w:p>
    <w:p>
      <w:pPr>
        <w:spacing w:line="520" w:lineRule="exact"/>
        <w:ind w:firstLine="560" w:firstLineChars="200"/>
        <w:outlineLvl w:val="0"/>
        <w:rPr>
          <w:rFonts w:ascii="仿宋_GB2312" w:eastAsia="仿宋_GB2312"/>
          <w:sz w:val="28"/>
          <w:szCs w:val="28"/>
        </w:rPr>
      </w:pPr>
      <w:r>
        <w:rPr>
          <w:rFonts w:hint="eastAsia" w:ascii="仿宋_GB2312" w:eastAsia="仿宋_GB2312"/>
          <w:sz w:val="28"/>
          <w:szCs w:val="28"/>
        </w:rPr>
        <w:t>请参考《关于开展2025年度项目支出绩效自评工作的通知》（门财绩效[2026]72号）要求，将本部门本单位填报的《项目支出绩效自评表》电子版汇总到1个文件夹中，作为部门决算草案的附件2，并随决算全部公开。</w:t>
      </w:r>
    </w:p>
    <w:p>
      <w:pPr>
        <w:spacing w:line="520" w:lineRule="exact"/>
        <w:ind w:firstLine="560" w:firstLineChars="200"/>
        <w:outlineLvl w:val="0"/>
        <w:rPr>
          <w:rFonts w:ascii="仿宋_GB2312" w:eastAsia="仿宋_GB2312"/>
          <w:b/>
          <w:sz w:val="28"/>
          <w:szCs w:val="28"/>
        </w:rPr>
      </w:pPr>
      <w:r>
        <w:rPr>
          <w:rFonts w:hint="eastAsia" w:ascii="仿宋_GB2312" w:eastAsia="仿宋_GB2312"/>
          <w:b/>
          <w:sz w:val="28"/>
          <w:szCs w:val="28"/>
        </w:rPr>
        <w:t>（注：一级预算部门“一、二”均公开；二级预算单位仅公开“二（三）”。）</w:t>
      </w:r>
    </w:p>
    <w:p>
      <w:pPr>
        <w:spacing w:line="520" w:lineRule="exact"/>
        <w:ind w:firstLine="700" w:firstLineChars="250"/>
        <w:rPr>
          <w:rFonts w:ascii="仿宋_GB2312" w:eastAsia="仿宋_GB2312"/>
          <w:sz w:val="28"/>
          <w:szCs w:val="28"/>
        </w:rPr>
      </w:pPr>
      <w:r>
        <w:rPr>
          <w:rFonts w:hint="eastAsia" w:ascii="仿宋_GB2312" w:eastAsia="仿宋_GB2312"/>
          <w:sz w:val="28"/>
          <w:szCs w:val="28"/>
        </w:rPr>
        <w:t>附件：1.重点</w:t>
      </w:r>
      <w:r>
        <w:rPr>
          <w:rFonts w:ascii="仿宋_GB2312" w:eastAsia="仿宋_GB2312"/>
          <w:sz w:val="28"/>
          <w:szCs w:val="28"/>
        </w:rPr>
        <w:t>支出</w:t>
      </w:r>
      <w:r>
        <w:rPr>
          <w:rFonts w:hint="eastAsia" w:ascii="仿宋_GB2312" w:eastAsia="仿宋_GB2312"/>
          <w:sz w:val="28"/>
          <w:szCs w:val="28"/>
        </w:rPr>
        <w:t>项目绩效自评报告</w:t>
      </w:r>
    </w:p>
    <w:p>
      <w:pPr>
        <w:spacing w:line="520" w:lineRule="exact"/>
        <w:ind w:firstLine="1540" w:firstLineChars="550"/>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rPr>
        <w:t>项目支出绩效自评表</w:t>
      </w:r>
    </w:p>
    <w:p>
      <w:pPr>
        <w:rPr>
          <w:rFonts w:ascii="仿宋_GB2312" w:eastAsia="仿宋_GB2312"/>
          <w:sz w:val="28"/>
          <w:szCs w:val="28"/>
        </w:rPr>
      </w:pPr>
    </w:p>
    <w:p>
      <w:pPr>
        <w:tabs>
          <w:tab w:val="center" w:pos="6979"/>
        </w:tabs>
        <w:spacing w:before="156" w:beforeLines="50" w:after="156" w:afterLines="50"/>
        <w:jc w:val="center"/>
        <w:rPr>
          <w:rFonts w:ascii="仿宋_GB2312" w:eastAsia="仿宋_GB2312"/>
          <w:sz w:val="28"/>
          <w:szCs w:val="28"/>
        </w:rPr>
      </w:pPr>
    </w:p>
    <w:p>
      <w:pPr>
        <w:spacing w:line="580" w:lineRule="exact"/>
        <w:ind w:firstLine="1760" w:firstLineChars="550"/>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altName w:val="方正仿宋_GBK"/>
    <w:panose1 w:val="02010609060101010101"/>
    <w:charset w:val="86"/>
    <w:family w:val="modern"/>
    <w:pitch w:val="default"/>
    <w:sig w:usb0="00000000" w:usb1="00000000" w:usb2="00000016" w:usb3="00000000" w:csb0="00040001" w:csb1="00000000"/>
  </w:font>
  <w:font w:name="Droid Sans">
    <w:altName w:val="华文仿宋"/>
    <w:panose1 w:val="00000000000000000000"/>
    <w:charset w:val="00"/>
    <w:family w:val="auto"/>
    <w:pitch w:val="default"/>
    <w:sig w:usb0="00000000" w:usb1="00000000" w:usb2="00000000"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altName w:val="方正楷体_GBK"/>
    <w:panose1 w:val="02010609030101010101"/>
    <w:charset w:val="86"/>
    <w:family w:val="modern"/>
    <w:pitch w:val="default"/>
    <w:sig w:usb0="00000000" w:usb1="00000000" w:usb2="00000010" w:usb3="00000000" w:csb0="00040000" w:csb1="00000000"/>
  </w:font>
  <w:font w:name="东文宋体">
    <w:altName w:val="方正书宋_GBK"/>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E6283"/>
    <w:multiLevelType w:val="singleLevel"/>
    <w:tmpl w:val="B7FE6283"/>
    <w:lvl w:ilvl="0" w:tentative="0">
      <w:start w:val="2"/>
      <w:numFmt w:val="decimal"/>
      <w:lvlText w:val="%1."/>
      <w:lvlJc w:val="left"/>
      <w:pPr>
        <w:tabs>
          <w:tab w:val="left" w:pos="312"/>
        </w:tabs>
      </w:pPr>
    </w:lvl>
  </w:abstractNum>
  <w:abstractNum w:abstractNumId="1">
    <w:nsid w:val="FF9C4883"/>
    <w:multiLevelType w:val="singleLevel"/>
    <w:tmpl w:val="FF9C4883"/>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3E5D46A"/>
    <w:rsid w:val="04C3537C"/>
    <w:rsid w:val="079004AC"/>
    <w:rsid w:val="09FF8127"/>
    <w:rsid w:val="0BA148CA"/>
    <w:rsid w:val="0C1165C4"/>
    <w:rsid w:val="0D6D544B"/>
    <w:rsid w:val="0DD136FE"/>
    <w:rsid w:val="0F5D944B"/>
    <w:rsid w:val="0F8E2C57"/>
    <w:rsid w:val="1059665E"/>
    <w:rsid w:val="10AC13BA"/>
    <w:rsid w:val="11980797"/>
    <w:rsid w:val="145A6C1B"/>
    <w:rsid w:val="14B73493"/>
    <w:rsid w:val="167A2FF9"/>
    <w:rsid w:val="17DE3601"/>
    <w:rsid w:val="17E05399"/>
    <w:rsid w:val="17EFD82C"/>
    <w:rsid w:val="18581C69"/>
    <w:rsid w:val="186D28E5"/>
    <w:rsid w:val="1AEC0734"/>
    <w:rsid w:val="1B793F70"/>
    <w:rsid w:val="1C203C3A"/>
    <w:rsid w:val="1DEF20B0"/>
    <w:rsid w:val="1FBE9EA6"/>
    <w:rsid w:val="214243FA"/>
    <w:rsid w:val="21AD613C"/>
    <w:rsid w:val="22467189"/>
    <w:rsid w:val="257A14F5"/>
    <w:rsid w:val="27196C26"/>
    <w:rsid w:val="29EF086F"/>
    <w:rsid w:val="2A014A0F"/>
    <w:rsid w:val="2EFF596E"/>
    <w:rsid w:val="2EFFE297"/>
    <w:rsid w:val="2FBFE897"/>
    <w:rsid w:val="2FFE9258"/>
    <w:rsid w:val="301437CA"/>
    <w:rsid w:val="3037D79E"/>
    <w:rsid w:val="307D8B56"/>
    <w:rsid w:val="32791381"/>
    <w:rsid w:val="32EFFDA6"/>
    <w:rsid w:val="349D1F0A"/>
    <w:rsid w:val="34DD0473"/>
    <w:rsid w:val="357E0826"/>
    <w:rsid w:val="375ED3C2"/>
    <w:rsid w:val="37FF5BD8"/>
    <w:rsid w:val="38068B44"/>
    <w:rsid w:val="393BCD66"/>
    <w:rsid w:val="39DFEA99"/>
    <w:rsid w:val="39F7AB29"/>
    <w:rsid w:val="3B5FE14D"/>
    <w:rsid w:val="3BBD0482"/>
    <w:rsid w:val="3BEF928A"/>
    <w:rsid w:val="3C181CA7"/>
    <w:rsid w:val="3C684897"/>
    <w:rsid w:val="3D7BA9FC"/>
    <w:rsid w:val="3DF3AA71"/>
    <w:rsid w:val="3DFB86EE"/>
    <w:rsid w:val="3DFF6FBE"/>
    <w:rsid w:val="3F7BA51A"/>
    <w:rsid w:val="3FEC4B99"/>
    <w:rsid w:val="3FFC94DC"/>
    <w:rsid w:val="41C6204F"/>
    <w:rsid w:val="426FC04E"/>
    <w:rsid w:val="433E495C"/>
    <w:rsid w:val="44FD3FDE"/>
    <w:rsid w:val="45BBE9D2"/>
    <w:rsid w:val="489F2FD7"/>
    <w:rsid w:val="4AC27CB3"/>
    <w:rsid w:val="4BF360FA"/>
    <w:rsid w:val="4BF72BEF"/>
    <w:rsid w:val="4BFF157E"/>
    <w:rsid w:val="4D79DD91"/>
    <w:rsid w:val="4DBF3592"/>
    <w:rsid w:val="4DF3A707"/>
    <w:rsid w:val="4EF36116"/>
    <w:rsid w:val="4F38ABAE"/>
    <w:rsid w:val="4F7FE47A"/>
    <w:rsid w:val="4FA90297"/>
    <w:rsid w:val="4FBF9B7F"/>
    <w:rsid w:val="4FC41A43"/>
    <w:rsid w:val="4FD7EA23"/>
    <w:rsid w:val="51DB3C59"/>
    <w:rsid w:val="550C0952"/>
    <w:rsid w:val="55762E42"/>
    <w:rsid w:val="55FBAB65"/>
    <w:rsid w:val="57A7B272"/>
    <w:rsid w:val="58470068"/>
    <w:rsid w:val="58747CAC"/>
    <w:rsid w:val="5A1720F9"/>
    <w:rsid w:val="5AEB6C1E"/>
    <w:rsid w:val="5AF6B510"/>
    <w:rsid w:val="5B9C37C2"/>
    <w:rsid w:val="5BA7C654"/>
    <w:rsid w:val="5D958D15"/>
    <w:rsid w:val="5EAFA65E"/>
    <w:rsid w:val="5F879FF8"/>
    <w:rsid w:val="5FB39C2E"/>
    <w:rsid w:val="5FDF4D7E"/>
    <w:rsid w:val="5FDFF725"/>
    <w:rsid w:val="5FF64BEA"/>
    <w:rsid w:val="5FFA1B13"/>
    <w:rsid w:val="60A54109"/>
    <w:rsid w:val="61D01CDF"/>
    <w:rsid w:val="64C0607C"/>
    <w:rsid w:val="65756C86"/>
    <w:rsid w:val="66E6705D"/>
    <w:rsid w:val="674D385B"/>
    <w:rsid w:val="676F09E1"/>
    <w:rsid w:val="67FD3210"/>
    <w:rsid w:val="696F6443"/>
    <w:rsid w:val="69FD761C"/>
    <w:rsid w:val="6A43389A"/>
    <w:rsid w:val="6A7FE0FC"/>
    <w:rsid w:val="6ABFE306"/>
    <w:rsid w:val="6ADF8C9C"/>
    <w:rsid w:val="6BE7AC67"/>
    <w:rsid w:val="6D37B618"/>
    <w:rsid w:val="6D4DC467"/>
    <w:rsid w:val="6DEB7662"/>
    <w:rsid w:val="6E7F730E"/>
    <w:rsid w:val="6F6FF4D2"/>
    <w:rsid w:val="6F93F75D"/>
    <w:rsid w:val="6F9D4675"/>
    <w:rsid w:val="6FAD2C5C"/>
    <w:rsid w:val="6FED58E0"/>
    <w:rsid w:val="71793A80"/>
    <w:rsid w:val="7357290B"/>
    <w:rsid w:val="73FD4C6A"/>
    <w:rsid w:val="73FF9A5C"/>
    <w:rsid w:val="74F77A7F"/>
    <w:rsid w:val="75B7E763"/>
    <w:rsid w:val="75EF392D"/>
    <w:rsid w:val="766FF00F"/>
    <w:rsid w:val="767BD1D9"/>
    <w:rsid w:val="76F7E2F5"/>
    <w:rsid w:val="76FF051E"/>
    <w:rsid w:val="777A5D9A"/>
    <w:rsid w:val="77DF0226"/>
    <w:rsid w:val="77EE74D4"/>
    <w:rsid w:val="77FC83DB"/>
    <w:rsid w:val="77FDFDA7"/>
    <w:rsid w:val="785BE0B6"/>
    <w:rsid w:val="793F2522"/>
    <w:rsid w:val="798524E4"/>
    <w:rsid w:val="7A5F7925"/>
    <w:rsid w:val="7A7F1C49"/>
    <w:rsid w:val="7B5B7AE6"/>
    <w:rsid w:val="7B5F2B9C"/>
    <w:rsid w:val="7B77DC31"/>
    <w:rsid w:val="7B7B6628"/>
    <w:rsid w:val="7BA7071E"/>
    <w:rsid w:val="7BDF6DA8"/>
    <w:rsid w:val="7BDF7589"/>
    <w:rsid w:val="7C7EDC1A"/>
    <w:rsid w:val="7CCED98D"/>
    <w:rsid w:val="7CDFC00C"/>
    <w:rsid w:val="7D08410F"/>
    <w:rsid w:val="7D2759BE"/>
    <w:rsid w:val="7D70E4CC"/>
    <w:rsid w:val="7DB71314"/>
    <w:rsid w:val="7DB96DED"/>
    <w:rsid w:val="7DD3AD81"/>
    <w:rsid w:val="7DD719C7"/>
    <w:rsid w:val="7DFFAF8C"/>
    <w:rsid w:val="7E7201F2"/>
    <w:rsid w:val="7E7D9E2F"/>
    <w:rsid w:val="7EFE397E"/>
    <w:rsid w:val="7F37E322"/>
    <w:rsid w:val="7F7D9298"/>
    <w:rsid w:val="7F7FE70F"/>
    <w:rsid w:val="7F8B8BEB"/>
    <w:rsid w:val="7F974AAE"/>
    <w:rsid w:val="7F9FE803"/>
    <w:rsid w:val="7FD7BB17"/>
    <w:rsid w:val="7FF523E3"/>
    <w:rsid w:val="7FF91D95"/>
    <w:rsid w:val="7FFB1C39"/>
    <w:rsid w:val="7FFB6C7A"/>
    <w:rsid w:val="7FFBF7A0"/>
    <w:rsid w:val="7FFC97F5"/>
    <w:rsid w:val="7FFD4E71"/>
    <w:rsid w:val="7FFD544F"/>
    <w:rsid w:val="7FFD9EC4"/>
    <w:rsid w:val="7FFF46E1"/>
    <w:rsid w:val="7FFF772F"/>
    <w:rsid w:val="8FF3911F"/>
    <w:rsid w:val="9337C15A"/>
    <w:rsid w:val="95F35EF6"/>
    <w:rsid w:val="97B60573"/>
    <w:rsid w:val="9BAF004F"/>
    <w:rsid w:val="9BFFD860"/>
    <w:rsid w:val="9DF55AE4"/>
    <w:rsid w:val="9E77A578"/>
    <w:rsid w:val="9FFFA322"/>
    <w:rsid w:val="A175B4D9"/>
    <w:rsid w:val="A4FEF53D"/>
    <w:rsid w:val="AC5F73DE"/>
    <w:rsid w:val="AE3B07A9"/>
    <w:rsid w:val="AEDA4D3D"/>
    <w:rsid w:val="AEE6BB99"/>
    <w:rsid w:val="AFCF58FC"/>
    <w:rsid w:val="AFDE4792"/>
    <w:rsid w:val="B0FBB150"/>
    <w:rsid w:val="B23F6197"/>
    <w:rsid w:val="B31F7DCB"/>
    <w:rsid w:val="B3798195"/>
    <w:rsid w:val="B4FEE1C1"/>
    <w:rsid w:val="B5DDD2C8"/>
    <w:rsid w:val="B9DFABD9"/>
    <w:rsid w:val="B9EFBD31"/>
    <w:rsid w:val="BACD2B27"/>
    <w:rsid w:val="BB7FB24B"/>
    <w:rsid w:val="BBB5F48F"/>
    <w:rsid w:val="BC0D83FC"/>
    <w:rsid w:val="BCFD5793"/>
    <w:rsid w:val="BDD4F6C7"/>
    <w:rsid w:val="BDFF01FD"/>
    <w:rsid w:val="BF3BDEFB"/>
    <w:rsid w:val="BF4F162B"/>
    <w:rsid w:val="BF5E7A4E"/>
    <w:rsid w:val="BF77E044"/>
    <w:rsid w:val="BFAE1F7E"/>
    <w:rsid w:val="BFDDCB48"/>
    <w:rsid w:val="BFDE94E8"/>
    <w:rsid w:val="BFE581A8"/>
    <w:rsid w:val="BFFF922B"/>
    <w:rsid w:val="C75F6086"/>
    <w:rsid w:val="C7BFF5DA"/>
    <w:rsid w:val="C7F7ED2D"/>
    <w:rsid w:val="CBFAC76C"/>
    <w:rsid w:val="CED75E7A"/>
    <w:rsid w:val="CEF5F103"/>
    <w:rsid w:val="CFAF273E"/>
    <w:rsid w:val="CFAF854E"/>
    <w:rsid w:val="CFFCAC92"/>
    <w:rsid w:val="D377402A"/>
    <w:rsid w:val="D3D7B1D4"/>
    <w:rsid w:val="D4DF9B42"/>
    <w:rsid w:val="D772004F"/>
    <w:rsid w:val="D7FFEB9E"/>
    <w:rsid w:val="D8D7928E"/>
    <w:rsid w:val="D8FE3136"/>
    <w:rsid w:val="D94F3D8D"/>
    <w:rsid w:val="D97D76C6"/>
    <w:rsid w:val="D9FF9C4D"/>
    <w:rsid w:val="DACFC514"/>
    <w:rsid w:val="DBFE7D8F"/>
    <w:rsid w:val="DC69C406"/>
    <w:rsid w:val="DD77BE7C"/>
    <w:rsid w:val="DDDE60B7"/>
    <w:rsid w:val="DE9F6A22"/>
    <w:rsid w:val="DEA3D4B6"/>
    <w:rsid w:val="DF4FCE6A"/>
    <w:rsid w:val="DFB52FC3"/>
    <w:rsid w:val="DFDF5007"/>
    <w:rsid w:val="DFF97C97"/>
    <w:rsid w:val="DFFFFAA3"/>
    <w:rsid w:val="E4FED278"/>
    <w:rsid w:val="E57B1C61"/>
    <w:rsid w:val="E6CF8CA3"/>
    <w:rsid w:val="E7EE9148"/>
    <w:rsid w:val="E7FB21E3"/>
    <w:rsid w:val="E7FFACF9"/>
    <w:rsid w:val="EAFF5F96"/>
    <w:rsid w:val="EB6F64DD"/>
    <w:rsid w:val="EDAA365C"/>
    <w:rsid w:val="EDADFC12"/>
    <w:rsid w:val="EDBF2F7F"/>
    <w:rsid w:val="EDD7748F"/>
    <w:rsid w:val="EDF7D694"/>
    <w:rsid w:val="EE7E70D6"/>
    <w:rsid w:val="EF4DCB7B"/>
    <w:rsid w:val="EFBF2FFB"/>
    <w:rsid w:val="EFDDA931"/>
    <w:rsid w:val="EFFE7E40"/>
    <w:rsid w:val="EFFF76EB"/>
    <w:rsid w:val="F0FEE326"/>
    <w:rsid w:val="F2FD229B"/>
    <w:rsid w:val="F37D5351"/>
    <w:rsid w:val="F37DBA46"/>
    <w:rsid w:val="F3B734BB"/>
    <w:rsid w:val="F3FFFD95"/>
    <w:rsid w:val="F75FF12A"/>
    <w:rsid w:val="F77E1AA1"/>
    <w:rsid w:val="F77FA611"/>
    <w:rsid w:val="F7F709E9"/>
    <w:rsid w:val="F7FAEB5B"/>
    <w:rsid w:val="F7FF3690"/>
    <w:rsid w:val="F8E7B0A1"/>
    <w:rsid w:val="F9BD3900"/>
    <w:rsid w:val="FBDF8153"/>
    <w:rsid w:val="FBF5EFDA"/>
    <w:rsid w:val="FBF7C293"/>
    <w:rsid w:val="FC79789E"/>
    <w:rsid w:val="FC8B9876"/>
    <w:rsid w:val="FD7BF3FB"/>
    <w:rsid w:val="FD7C9BA3"/>
    <w:rsid w:val="FD7E1AB6"/>
    <w:rsid w:val="FDBF9687"/>
    <w:rsid w:val="FDBFEB2E"/>
    <w:rsid w:val="FDFEC697"/>
    <w:rsid w:val="FE376D6E"/>
    <w:rsid w:val="FE3B29C5"/>
    <w:rsid w:val="FE77A7C7"/>
    <w:rsid w:val="FEBF4CDB"/>
    <w:rsid w:val="FED344BC"/>
    <w:rsid w:val="FEDFF218"/>
    <w:rsid w:val="FEDFFFFF"/>
    <w:rsid w:val="FEEE4CBB"/>
    <w:rsid w:val="FEFA1090"/>
    <w:rsid w:val="FF3EF12A"/>
    <w:rsid w:val="FF5FAA34"/>
    <w:rsid w:val="FF5FDA88"/>
    <w:rsid w:val="FF759F37"/>
    <w:rsid w:val="FF7F3663"/>
    <w:rsid w:val="FF7F4EE1"/>
    <w:rsid w:val="FFCCD0E6"/>
    <w:rsid w:val="FFDEAAD8"/>
    <w:rsid w:val="FFE9B672"/>
    <w:rsid w:val="FFEF17A1"/>
    <w:rsid w:val="FFF7B52C"/>
    <w:rsid w:val="FFFE11D3"/>
    <w:rsid w:val="FFFF3294"/>
    <w:rsid w:val="FFFFD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Sheet1!$B$1</c:f>
              <c:strCache>
                <c:ptCount val="1"/>
                <c:pt idx="0">
                  <c:v>收入</c:v>
                </c:pt>
              </c:strCache>
            </c:strRef>
          </c:tx>
          <c:explosion val="0"/>
          <c:dPt>
            <c:idx val="0"/>
            <c:bubble3D val="false"/>
          </c:dPt>
          <c:dPt>
            <c:idx val="1"/>
            <c:bubble3D val="false"/>
          </c:dPt>
          <c:dPt>
            <c:idx val="2"/>
            <c:bubble3D val="false"/>
          </c:dPt>
          <c:dPt>
            <c:idx val="3"/>
            <c:bubble3D val="false"/>
          </c:dPt>
          <c:dPt>
            <c:idx val="4"/>
            <c:bubble3D val="false"/>
          </c:dPt>
          <c:dPt>
            <c:idx val="5"/>
            <c:bubble3D val="false"/>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79381.73</c:v>
                </c:pt>
                <c:pt idx="1">
                  <c:v>0</c:v>
                </c:pt>
                <c:pt idx="2">
                  <c:v>0</c:v>
                </c:pt>
                <c:pt idx="3">
                  <c:v>0</c:v>
                </c:pt>
                <c:pt idx="4">
                  <c:v>0</c:v>
                </c:pt>
                <c:pt idx="5">
                  <c:v>10</c:v>
                </c:pt>
              </c:numCache>
            </c:numRef>
          </c:val>
        </c:ser>
        <c:dLbls>
          <c:showLegendKey val="false"/>
          <c:showVal val="true"/>
          <c:showCatName val="false"/>
          <c:showSerName val="false"/>
          <c:showPercent val="fals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Sheet0!$B$1</c:f>
              <c:strCache>
                <c:ptCount val="1"/>
                <c:pt idx="0">
                  <c:v>支出</c:v>
                </c:pt>
              </c:strCache>
            </c:strRef>
          </c:tx>
          <c:explosion val="0"/>
          <c:dPt>
            <c:idx val="0"/>
            <c:bubble3D val="false"/>
            <c:spPr>
              <a:solidFill>
                <a:srgbClr val="4F81BD"/>
              </a:solidFill>
              <a:ln w="19050">
                <a:solidFill>
                  <a:srgbClr val="FFFFFF"/>
                </a:solidFill>
              </a:ln>
              <a:effectLst/>
            </c:spPr>
          </c:dPt>
          <c:dPt>
            <c:idx val="1"/>
            <c:bubble3D val="false"/>
            <c:spPr>
              <a:solidFill>
                <a:srgbClr val="C0504D"/>
              </a:solidFill>
              <a:ln w="19050">
                <a:solidFill>
                  <a:srgbClr val="FFFFFF"/>
                </a:solidFill>
              </a:ln>
              <a:effectLst/>
            </c:spPr>
          </c:dPt>
          <c:dPt>
            <c:idx val="2"/>
            <c:bubble3D val="false"/>
            <c:spPr>
              <a:solidFill>
                <a:srgbClr val="9BBB59"/>
              </a:solidFill>
              <a:ln w="19050">
                <a:solidFill>
                  <a:srgbClr val="FFFFFF"/>
                </a:solidFill>
              </a:ln>
              <a:effectLst/>
            </c:spPr>
          </c:dPt>
          <c:dPt>
            <c:idx val="3"/>
            <c:bubble3D val="false"/>
            <c:spPr>
              <a:solidFill>
                <a:srgbClr val="8064A2"/>
              </a:solidFill>
              <a:ln w="19050">
                <a:solidFill>
                  <a:srgbClr val="FFFFFF"/>
                </a:solidFill>
              </a:ln>
              <a:effectLst/>
            </c:spPr>
          </c:dPt>
          <c:dPt>
            <c:idx val="4"/>
            <c:bubble3D val="false"/>
            <c:spPr>
              <a:solidFill>
                <a:srgbClr val="4BACC6"/>
              </a:solidFill>
              <a:ln w="19050">
                <a:solidFill>
                  <a:srgbClr val="FFFFFF"/>
                </a:solidFill>
              </a:ln>
              <a:effectLst/>
            </c:spPr>
          </c:dPt>
          <c:dLbls>
            <c:dLbl>
              <c:idx val="2"/>
              <c:layout>
                <c:manualLayout>
                  <c:x val="-0.03900372940115"/>
                  <c:y val="0.0328271436107878"/>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dLbl>
              <c:idx val="4"/>
              <c:layout>
                <c:manualLayout>
                  <c:x val="0.0389887693586102"/>
                  <c:y val="0.0105112295100623"/>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5083.26</c:v>
                </c:pt>
                <c:pt idx="1">
                  <c:v>74303.29</c:v>
                </c:pt>
                <c:pt idx="2">
                  <c:v>0</c:v>
                </c:pt>
                <c:pt idx="3">
                  <c:v>0</c:v>
                </c:pt>
                <c:pt idx="4">
                  <c:v>0</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egendEntry>
        <c:idx val="0"/>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
    <c:plotVisOnly val="true"/>
    <c:dispBlanksAs val="gap"/>
    <c:showDLblsOverMax val="false"/>
  </c:chart>
  <c:spPr>
    <a:ln w="9525" cap="flat" cmpd="sng" algn="ctr">
      <a:solidFill>
        <a:srgbClr val="D9D9D9">
          <a:lumMod val="15000"/>
          <a:lumOff val="85000"/>
        </a:srgbClr>
      </a:solidFill>
      <a:prstDash val="solid"/>
      <a:round/>
    </a:ln>
    <a:effectLst/>
  </c:spPr>
  <c:txPr>
    <a:bodyPr/>
    <a:lstStyle/>
    <a:p>
      <a:pPr>
        <a:defRPr lang="zh-CN"/>
      </a:pPr>
    </a:p>
  </c:txPr>
  <c:externalData r:id="rId1">
    <c:autoUpdate val="false"/>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41</TotalTime>
  <ScaleCrop>false</ScaleCrop>
  <LinksUpToDate>false</LinksUpToDate>
  <CharactersWithSpaces>6191</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2017-07-13T07:16:00Z</dcterms:created>
  <dc:creator>常程</dc:creator>
  <cp:lastModifiedBy>QILIN</cp:lastModifiedBy>
  <cp:lastPrinted>2020-08-09T03:39:00Z</cp:lastPrinted>
  <dcterms:modified xsi:type="dcterms:W3CDTF">2026-08-18T16:27:24Z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