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keepLines/>
        <w:spacing w:line="312" w:lineRule="auto"/>
        <w:outlineLvl w:val="1"/>
        <w:rPr>
          <w:rFonts w:cs="Times New Roman" w:asciiTheme="majorEastAsia" w:hAnsiTheme="majorEastAsia" w:eastAsiaTheme="majorEastAsia"/>
          <w:b/>
          <w:bCs/>
          <w:sz w:val="28"/>
          <w:szCs w:val="28"/>
        </w:rPr>
      </w:pPr>
      <w:r>
        <w:rPr>
          <w:rFonts w:hint="eastAsia" w:cs="Times New Roman" w:asciiTheme="majorEastAsia" w:hAnsiTheme="majorEastAsia" w:eastAsiaTheme="majorEastAsia"/>
          <w:b/>
          <w:bCs/>
          <w:sz w:val="28"/>
          <w:szCs w:val="28"/>
        </w:rPr>
        <w:t>附件2</w:t>
      </w:r>
    </w:p>
    <w:p>
      <w:pPr>
        <w:widowControl/>
        <w:spacing w:line="560" w:lineRule="exact"/>
        <w:ind w:firstLine="716" w:firstLineChars="200"/>
        <w:jc w:val="center"/>
        <w:rPr>
          <w:rFonts w:ascii="宋体" w:hAnsi="宋体" w:eastAsia="宋体" w:cs="宋体"/>
          <w:b/>
          <w:sz w:val="36"/>
          <w:szCs w:val="36"/>
        </w:rPr>
      </w:pPr>
      <w:r>
        <w:rPr>
          <w:rFonts w:hint="eastAsia" w:ascii="宋体" w:hAnsi="宋体" w:eastAsia="宋体" w:cs="宋体"/>
          <w:b/>
          <w:sz w:val="36"/>
          <w:szCs w:val="36"/>
          <w:lang w:eastAsia="zh-CN"/>
        </w:rPr>
        <w:t>门头沟区城市管理委员会</w:t>
      </w:r>
      <w:r>
        <w:rPr>
          <w:rFonts w:hint="eastAsia" w:ascii="宋体" w:hAnsi="宋体" w:eastAsia="宋体" w:cs="宋体"/>
          <w:b/>
          <w:sz w:val="36"/>
          <w:szCs w:val="36"/>
        </w:rPr>
        <w:t>部门</w:t>
      </w:r>
      <w:r>
        <w:rPr>
          <w:rFonts w:ascii="宋体" w:hAnsi="宋体" w:eastAsia="宋体" w:cs="宋体"/>
          <w:b/>
          <w:sz w:val="36"/>
          <w:szCs w:val="36"/>
        </w:rPr>
        <w:t>202</w:t>
      </w:r>
      <w:r>
        <w:rPr>
          <w:rFonts w:hint="eastAsia" w:ascii="宋体" w:hAnsi="宋体" w:eastAsia="宋体" w:cs="宋体"/>
          <w:b/>
          <w:sz w:val="36"/>
          <w:szCs w:val="36"/>
        </w:rPr>
        <w:t>5年度部门整体支出绩效自评报告</w:t>
      </w:r>
    </w:p>
    <w:p>
      <w:pPr>
        <w:widowControl/>
        <w:spacing w:line="560" w:lineRule="exact"/>
        <w:ind w:firstLine="636" w:firstLineChars="200"/>
        <w:rPr>
          <w:rFonts w:ascii="黑体" w:hAnsi="黑体" w:eastAsia="黑体" w:cs="宋体"/>
          <w:sz w:val="32"/>
          <w:szCs w:val="32"/>
        </w:rPr>
      </w:pPr>
    </w:p>
    <w:p>
      <w:pPr>
        <w:widowControl/>
        <w:adjustRightInd w:val="0"/>
        <w:snapToGrid w:val="0"/>
        <w:spacing w:line="520" w:lineRule="exact"/>
        <w:ind w:firstLine="636" w:firstLineChars="200"/>
        <w:rPr>
          <w:rFonts w:ascii="黑体" w:hAnsi="黑体" w:eastAsia="黑体" w:cs="Times New Roman"/>
          <w:sz w:val="32"/>
          <w:szCs w:val="32"/>
        </w:rPr>
      </w:pPr>
      <w:r>
        <w:rPr>
          <w:rFonts w:hint="eastAsia" w:ascii="黑体" w:hAnsi="黑体" w:eastAsia="黑体" w:cs="宋体"/>
          <w:sz w:val="32"/>
          <w:szCs w:val="32"/>
        </w:rPr>
        <w:t>一、部门概况</w:t>
      </w:r>
    </w:p>
    <w:p>
      <w:pPr>
        <w:adjustRightInd w:val="0"/>
        <w:snapToGrid w:val="0"/>
        <w:spacing w:line="520" w:lineRule="exact"/>
        <w:ind w:firstLine="636" w:firstLineChars="200"/>
        <w:rPr>
          <w:rFonts w:ascii="楷体_GB2312" w:hAnsi="仿宋" w:eastAsia="楷体_GB2312" w:cs="Times New Roman"/>
          <w:b/>
          <w:sz w:val="32"/>
          <w:szCs w:val="32"/>
        </w:rPr>
      </w:pPr>
      <w:bookmarkStart w:id="0" w:name="_Toc268005755"/>
      <w:r>
        <w:rPr>
          <w:rFonts w:hint="eastAsia" w:ascii="楷体_GB2312" w:hAnsi="仿宋" w:eastAsia="楷体_GB2312" w:cs="Times New Roman"/>
          <w:b/>
          <w:sz w:val="32"/>
          <w:szCs w:val="32"/>
        </w:rPr>
        <w:t>（一）部门职责情况</w:t>
      </w:r>
    </w:p>
    <w:p>
      <w:pPr>
        <w:adjustRightInd w:val="0"/>
        <w:snapToGrid w:val="0"/>
        <w:spacing w:line="520" w:lineRule="exact"/>
        <w:ind w:firstLine="636" w:firstLineChars="200"/>
        <w:rPr>
          <w:rFonts w:hint="eastAsia" w:ascii="仿宋_GB2312" w:hAnsi="仿宋" w:eastAsia="仿宋_GB2312" w:cs="Times New Roman"/>
          <w:sz w:val="32"/>
          <w:szCs w:val="32"/>
        </w:rPr>
      </w:pPr>
      <w:r>
        <w:rPr>
          <w:rFonts w:hint="eastAsia" w:ascii="仿宋_GB2312" w:hAnsi="仿宋" w:eastAsia="仿宋_GB2312" w:cs="Times New Roman"/>
          <w:sz w:val="32"/>
          <w:szCs w:val="32"/>
        </w:rPr>
        <w:t xml:space="preserve">1.贯彻执行国家和本市有关法律法规、战略规划和政策措施；组织监督实施本市关于城市管理和城乡环境建设综合协调、市容环境卫生管理、能源日常运行管理、相关市政公用事业管理等方面的地方性法规、政府规章，拟订城市管理等方面的发展规划、年度计划，并组织实施；组织监督实施相关地方标准和规范。 </w:t>
      </w:r>
    </w:p>
    <w:p>
      <w:pPr>
        <w:adjustRightInd w:val="0"/>
        <w:snapToGrid w:val="0"/>
        <w:spacing w:line="520" w:lineRule="exact"/>
        <w:ind w:firstLine="636" w:firstLineChars="200"/>
        <w:rPr>
          <w:rFonts w:hint="eastAsia" w:ascii="仿宋_GB2312" w:hAnsi="仿宋" w:eastAsia="仿宋_GB2312" w:cs="Times New Roman"/>
          <w:sz w:val="32"/>
          <w:szCs w:val="32"/>
        </w:rPr>
      </w:pPr>
      <w:r>
        <w:rPr>
          <w:rFonts w:hint="eastAsia" w:ascii="仿宋_GB2312" w:hAnsi="仿宋" w:eastAsia="仿宋_GB2312" w:cs="Times New Roman"/>
          <w:sz w:val="32"/>
          <w:szCs w:val="32"/>
        </w:rPr>
        <w:t>2.负责对本区城市管理工作的业务指导、组织协调、指挥调度、专项整治和检查评价；承担城市管理、城乡环境建设的综合协调、监督考核工作；承担本区城乡环境建设管理委员会的日常工作。</w:t>
      </w:r>
    </w:p>
    <w:p>
      <w:pPr>
        <w:adjustRightInd w:val="0"/>
        <w:snapToGrid w:val="0"/>
        <w:spacing w:line="520" w:lineRule="exact"/>
        <w:ind w:firstLine="636" w:firstLineChars="200"/>
        <w:rPr>
          <w:rFonts w:hint="eastAsia" w:ascii="仿宋_GB2312" w:hAnsi="仿宋" w:eastAsia="仿宋_GB2312" w:cs="Times New Roman"/>
          <w:sz w:val="32"/>
          <w:szCs w:val="32"/>
        </w:rPr>
      </w:pPr>
      <w:r>
        <w:rPr>
          <w:rFonts w:hint="eastAsia" w:ascii="仿宋_GB2312" w:hAnsi="仿宋" w:eastAsia="仿宋_GB2312" w:cs="Times New Roman"/>
          <w:sz w:val="32"/>
          <w:szCs w:val="32"/>
        </w:rPr>
        <w:t>3.承担本区城市容貌管理责任；组织协调落实重点地区、重点街道的景观建设和治理工作；组织协调、管理城市道路公共服务设施设置；负责市容环境综合整治工作，组织架空线入地和规范整治工作；负责管理户外广告、牌匾标识、标语、宣传品设置；负责区管城市道路路牌的设置管理和违法违规行为的监管；负责城市照明管理工作，会同规划部门编制夜景照明专项规划并组织实施，监督照明设施的维护管理。</w:t>
      </w:r>
    </w:p>
    <w:p>
      <w:pPr>
        <w:adjustRightInd w:val="0"/>
        <w:snapToGrid w:val="0"/>
        <w:spacing w:line="520" w:lineRule="exact"/>
        <w:ind w:firstLine="636" w:firstLineChars="200"/>
        <w:rPr>
          <w:rFonts w:hint="eastAsia" w:ascii="仿宋_GB2312" w:hAnsi="仿宋" w:eastAsia="仿宋_GB2312" w:cs="Times New Roman"/>
          <w:sz w:val="32"/>
          <w:szCs w:val="32"/>
        </w:rPr>
      </w:pPr>
      <w:r>
        <w:rPr>
          <w:rFonts w:hint="eastAsia" w:ascii="仿宋_GB2312" w:hAnsi="仿宋" w:eastAsia="仿宋_GB2312" w:cs="Times New Roman"/>
          <w:sz w:val="32"/>
          <w:szCs w:val="32"/>
        </w:rPr>
        <w:t>4.负责本区环境卫生的组织管理工作；承担生活垃圾等固体废弃物清扫、收集、贮存、运输和处置的监督管理责任；负责本区垃圾渣土消纳和消纳场所的管理工作；负责指导、管理环境卫生设施建设工作；负责垃圾分类工作，按有关规定对再生资源回收行业进行监督管理。</w:t>
      </w:r>
    </w:p>
    <w:p>
      <w:pPr>
        <w:adjustRightInd w:val="0"/>
        <w:snapToGrid w:val="0"/>
        <w:spacing w:line="520" w:lineRule="exact"/>
        <w:ind w:firstLine="636" w:firstLineChars="200"/>
        <w:rPr>
          <w:rFonts w:hint="eastAsia" w:ascii="仿宋_GB2312" w:hAnsi="仿宋" w:eastAsia="仿宋_GB2312" w:cs="Times New Roman"/>
          <w:sz w:val="32"/>
          <w:szCs w:val="32"/>
        </w:rPr>
      </w:pPr>
      <w:r>
        <w:rPr>
          <w:rFonts w:hint="eastAsia" w:ascii="仿宋_GB2312" w:hAnsi="仿宋" w:eastAsia="仿宋_GB2312" w:cs="Times New Roman"/>
          <w:sz w:val="32"/>
          <w:szCs w:val="32"/>
        </w:rPr>
        <w:t>5.负责本区燃气、供热、煤炭、电力、电源点的行业管理；负责加油（气）站管理的综合协调；负责新能源汽车充电站（桩）的建设和运营管理。</w:t>
      </w:r>
    </w:p>
    <w:p>
      <w:pPr>
        <w:adjustRightInd w:val="0"/>
        <w:snapToGrid w:val="0"/>
        <w:spacing w:line="520" w:lineRule="exact"/>
        <w:ind w:firstLine="636" w:firstLineChars="200"/>
        <w:rPr>
          <w:rFonts w:hint="eastAsia" w:ascii="仿宋_GB2312" w:hAnsi="仿宋" w:eastAsia="仿宋_GB2312" w:cs="Times New Roman"/>
          <w:sz w:val="32"/>
          <w:szCs w:val="32"/>
        </w:rPr>
      </w:pPr>
      <w:r>
        <w:rPr>
          <w:rFonts w:hint="eastAsia" w:ascii="仿宋_GB2312" w:hAnsi="仿宋" w:eastAsia="仿宋_GB2312" w:cs="Times New Roman"/>
          <w:sz w:val="32"/>
          <w:szCs w:val="32"/>
        </w:rPr>
        <w:t>6.统筹本区能源日常运行工作，承担煤、电、油、气等能源的日常运行监测、调度、协调和供应保障工作；建立健全热电气常态化联调联供机制。</w:t>
      </w:r>
    </w:p>
    <w:p>
      <w:pPr>
        <w:adjustRightInd w:val="0"/>
        <w:snapToGrid w:val="0"/>
        <w:spacing w:line="520" w:lineRule="exact"/>
        <w:ind w:firstLine="636" w:firstLineChars="200"/>
        <w:rPr>
          <w:rFonts w:hint="eastAsia" w:ascii="仿宋_GB2312" w:hAnsi="仿宋" w:eastAsia="仿宋_GB2312" w:cs="Times New Roman"/>
          <w:sz w:val="32"/>
          <w:szCs w:val="32"/>
        </w:rPr>
      </w:pPr>
      <w:r>
        <w:rPr>
          <w:rFonts w:hint="eastAsia" w:ascii="仿宋_GB2312" w:hAnsi="仿宋" w:eastAsia="仿宋_GB2312" w:cs="Times New Roman"/>
          <w:sz w:val="32"/>
          <w:szCs w:val="32"/>
        </w:rPr>
        <w:t>7.负责本区市政基础设施规划、统筹、协调，以及区管市政基础设施建设的行业管理；负责区管城市道路、桥梁等设施养护的监督管理；负责本区经营性停车设施和自行车设施的行业管理；承担综合协调管理本区地下管线及其检查井和井盖设施的责任；推进地下管线工程与道路工程同步实施；负责地下综合管廊规划、建设和运营的综合协调管理，制定相关政策，参与编制地下综合管廊规划，拟订年度建设计划，负责地下综合管廊运营的监督管理；承担相关市政设施建设的统筹协调工作，建立市政设施工程规划、建设、管理有效衔接机制,参与相关建设工程的联合验收。</w:t>
      </w:r>
    </w:p>
    <w:p>
      <w:pPr>
        <w:adjustRightInd w:val="0"/>
        <w:snapToGrid w:val="0"/>
        <w:spacing w:line="520" w:lineRule="exact"/>
        <w:ind w:firstLine="636" w:firstLineChars="200"/>
        <w:rPr>
          <w:rFonts w:hint="eastAsia" w:ascii="仿宋_GB2312" w:hAnsi="仿宋" w:eastAsia="仿宋_GB2312" w:cs="Times New Roman"/>
          <w:sz w:val="32"/>
          <w:szCs w:val="32"/>
        </w:rPr>
      </w:pPr>
      <w:r>
        <w:rPr>
          <w:rFonts w:hint="eastAsia" w:ascii="仿宋_GB2312" w:hAnsi="仿宋" w:eastAsia="仿宋_GB2312" w:cs="Times New Roman"/>
          <w:sz w:val="32"/>
          <w:szCs w:val="32"/>
        </w:rPr>
        <w:t>8.负责本区石油、天然气管道（不包括炼油、化工等企业厂区内管道）保护工作，并承担相应监管职责。</w:t>
      </w:r>
    </w:p>
    <w:p>
      <w:pPr>
        <w:adjustRightInd w:val="0"/>
        <w:snapToGrid w:val="0"/>
        <w:spacing w:line="520" w:lineRule="exact"/>
        <w:ind w:firstLine="636" w:firstLineChars="200"/>
        <w:rPr>
          <w:rFonts w:hint="eastAsia" w:ascii="仿宋_GB2312" w:hAnsi="仿宋" w:eastAsia="仿宋_GB2312" w:cs="Times New Roman"/>
          <w:sz w:val="32"/>
          <w:szCs w:val="32"/>
        </w:rPr>
      </w:pPr>
      <w:r>
        <w:rPr>
          <w:rFonts w:hint="eastAsia" w:ascii="仿宋_GB2312" w:hAnsi="仿宋" w:eastAsia="仿宋_GB2312" w:cs="Times New Roman"/>
          <w:sz w:val="32"/>
          <w:szCs w:val="32"/>
        </w:rPr>
        <w:t>9.按照区政府工作部门、属地镇街（园区）安全生产监管（管理）职责的分工，承担相应的安全监管责任；承担本区市容环境卫生、燃气、供热、电力、电源点、煤炭、区管道路、桥梁、市政管线及附属设施、地下综合管廊、再生资源回收、加气（电）站、户外广告设施、城市照明设施等方面的安全监管或管理责任；负责市政基础设施安全方面的行业管理和安全运行的监督管理；督促行业内重点单位建立安全管理制度和应急预案，落实安全防范措施，消除事故隐患，并在职责权限范围内负责监管；承担区城市公共设施事故应急指挥部、区电力事故应急指挥部、区扫雪铲冰指挥部的具体工作，负责组织、协调、指导、检查城市公共设施事故的预防和应对工作。</w:t>
      </w:r>
    </w:p>
    <w:p>
      <w:pPr>
        <w:adjustRightInd w:val="0"/>
        <w:snapToGrid w:val="0"/>
        <w:spacing w:line="520" w:lineRule="exact"/>
        <w:ind w:firstLine="636" w:firstLineChars="200"/>
        <w:rPr>
          <w:rFonts w:hint="eastAsia" w:ascii="仿宋_GB2312" w:hAnsi="仿宋" w:eastAsia="仿宋_GB2312" w:cs="Times New Roman"/>
          <w:sz w:val="32"/>
          <w:szCs w:val="32"/>
        </w:rPr>
      </w:pPr>
      <w:r>
        <w:rPr>
          <w:rFonts w:hint="eastAsia" w:ascii="仿宋_GB2312" w:hAnsi="仿宋" w:eastAsia="仿宋_GB2312" w:cs="Times New Roman"/>
          <w:sz w:val="32"/>
          <w:szCs w:val="32"/>
        </w:rPr>
        <w:t>10.负责本区市容环境卫生管理、能源日常运行管理、相关市政公用事业管理等方面科技发展和信息化建设工作；承担本区城市管理财政预算运维资金的统筹管理责任;组织开展对外交流合作。</w:t>
      </w:r>
    </w:p>
    <w:p>
      <w:pPr>
        <w:adjustRightInd w:val="0"/>
        <w:snapToGrid w:val="0"/>
        <w:spacing w:line="520" w:lineRule="exact"/>
        <w:ind w:firstLine="636" w:firstLineChars="200"/>
        <w:rPr>
          <w:rFonts w:hint="eastAsia" w:ascii="仿宋_GB2312" w:hAnsi="仿宋" w:eastAsia="仿宋_GB2312" w:cs="Times New Roman"/>
          <w:sz w:val="32"/>
          <w:szCs w:val="32"/>
        </w:rPr>
      </w:pPr>
      <w:r>
        <w:rPr>
          <w:rFonts w:hint="eastAsia" w:ascii="仿宋_GB2312" w:hAnsi="仿宋" w:eastAsia="仿宋_GB2312" w:cs="Times New Roman"/>
          <w:sz w:val="32"/>
          <w:szCs w:val="32"/>
        </w:rPr>
        <w:t>11.贯彻落实国家及北京市关于城市管理方面的法律、法规、规章及政策，依法开展城市环境综合治理和维护城市管理秩序相关工作。研究提出完善本区城市管理综合行政执法体制的意见和建议。负责制定本区城市管理综合行政执法工作计划、专项治理方案并组织实施。</w:t>
      </w:r>
    </w:p>
    <w:p>
      <w:pPr>
        <w:adjustRightInd w:val="0"/>
        <w:snapToGrid w:val="0"/>
        <w:spacing w:line="520" w:lineRule="exact"/>
        <w:ind w:firstLine="636" w:firstLineChars="200"/>
        <w:rPr>
          <w:rFonts w:hint="eastAsia" w:ascii="仿宋_GB2312" w:hAnsi="仿宋" w:eastAsia="仿宋_GB2312" w:cs="Times New Roman"/>
          <w:sz w:val="32"/>
          <w:szCs w:val="32"/>
        </w:rPr>
      </w:pPr>
      <w:r>
        <w:rPr>
          <w:rFonts w:hint="eastAsia" w:ascii="仿宋_GB2312" w:hAnsi="仿宋" w:eastAsia="仿宋_GB2312" w:cs="Times New Roman"/>
          <w:sz w:val="32"/>
          <w:szCs w:val="32"/>
        </w:rPr>
        <w:t>12.负责集中行使法律、法规、规章规定的应由本区区级城管执法部门行使的城市管理领域行政执法职责。负责本区相关领域重大疑难案件和跨区域案件的查处工作。</w:t>
      </w:r>
    </w:p>
    <w:p>
      <w:pPr>
        <w:adjustRightInd w:val="0"/>
        <w:snapToGrid w:val="0"/>
        <w:spacing w:line="520" w:lineRule="exact"/>
        <w:ind w:firstLine="636" w:firstLineChars="200"/>
        <w:rPr>
          <w:rFonts w:ascii="仿宋_GB2312" w:hAnsi="仿宋" w:eastAsia="仿宋_GB2312" w:cs="Times New Roman"/>
          <w:sz w:val="32"/>
          <w:szCs w:val="32"/>
        </w:rPr>
      </w:pPr>
      <w:r>
        <w:rPr>
          <w:rFonts w:hint="eastAsia" w:ascii="仿宋_GB2312" w:hAnsi="仿宋" w:eastAsia="仿宋_GB2312" w:cs="Times New Roman"/>
          <w:sz w:val="32"/>
          <w:szCs w:val="32"/>
        </w:rPr>
        <w:t>13.承办区委、区政府和上级部门交办的其他事项。</w:t>
      </w:r>
    </w:p>
    <w:p>
      <w:pPr>
        <w:adjustRightInd w:val="0"/>
        <w:snapToGrid w:val="0"/>
        <w:spacing w:line="520" w:lineRule="exact"/>
        <w:ind w:firstLine="636" w:firstLineChars="200"/>
        <w:rPr>
          <w:rFonts w:ascii="楷体_GB2312" w:hAnsi="仿宋" w:eastAsia="楷体_GB2312" w:cs="Times New Roman"/>
          <w:b/>
          <w:sz w:val="32"/>
          <w:szCs w:val="32"/>
        </w:rPr>
      </w:pPr>
      <w:r>
        <w:rPr>
          <w:rFonts w:hint="eastAsia" w:ascii="楷体_GB2312" w:hAnsi="仿宋" w:eastAsia="楷体_GB2312" w:cs="Times New Roman"/>
          <w:b/>
          <w:sz w:val="32"/>
          <w:szCs w:val="32"/>
        </w:rPr>
        <w:t>（二）部门机构设置情况</w:t>
      </w:r>
    </w:p>
    <w:p>
      <w:pPr>
        <w:adjustRightInd w:val="0"/>
        <w:snapToGrid w:val="0"/>
        <w:spacing w:line="520" w:lineRule="exact"/>
        <w:ind w:firstLine="636" w:firstLineChars="200"/>
        <w:rPr>
          <w:rFonts w:hint="eastAsia" w:ascii="仿宋_GB2312" w:hAnsi="仿宋" w:eastAsia="仿宋_GB2312" w:cs="Times New Roman"/>
          <w:sz w:val="32"/>
          <w:szCs w:val="32"/>
        </w:rPr>
      </w:pPr>
      <w:r>
        <w:rPr>
          <w:rFonts w:hint="eastAsia" w:ascii="仿宋_GB2312" w:hAnsi="仿宋" w:eastAsia="仿宋_GB2312" w:cs="Times New Roman"/>
          <w:sz w:val="32"/>
          <w:szCs w:val="32"/>
        </w:rPr>
        <w:t>本部门共设6个内设机构，下设1个行政单位、1个事业单位。</w:t>
      </w:r>
    </w:p>
    <w:p>
      <w:pPr>
        <w:adjustRightInd w:val="0"/>
        <w:snapToGrid w:val="0"/>
        <w:spacing w:line="520" w:lineRule="exact"/>
        <w:ind w:firstLine="636" w:firstLineChars="200"/>
        <w:rPr>
          <w:rFonts w:ascii="楷体_GB2312" w:hAnsi="仿宋" w:eastAsia="楷体_GB2312" w:cs="Times New Roman"/>
          <w:b/>
          <w:sz w:val="32"/>
          <w:szCs w:val="32"/>
        </w:rPr>
      </w:pPr>
      <w:r>
        <w:rPr>
          <w:rFonts w:hint="eastAsia" w:ascii="楷体_GB2312" w:hAnsi="仿宋" w:eastAsia="楷体_GB2312" w:cs="Times New Roman"/>
          <w:b/>
          <w:sz w:val="32"/>
          <w:szCs w:val="32"/>
        </w:rPr>
        <w:t>（三）</w:t>
      </w:r>
      <w:r>
        <w:rPr>
          <w:rFonts w:ascii="楷体_GB2312" w:hAnsi="仿宋" w:eastAsia="楷体_GB2312" w:cs="Times New Roman"/>
          <w:b/>
          <w:sz w:val="32"/>
          <w:szCs w:val="32"/>
        </w:rPr>
        <w:t>202</w:t>
      </w:r>
      <w:r>
        <w:rPr>
          <w:rFonts w:hint="eastAsia" w:ascii="楷体_GB2312" w:hAnsi="仿宋" w:eastAsia="楷体_GB2312" w:cs="Times New Roman"/>
          <w:b/>
          <w:sz w:val="32"/>
          <w:szCs w:val="32"/>
        </w:rPr>
        <w:t>5年主要工作任务</w:t>
      </w:r>
    </w:p>
    <w:bookmarkEnd w:id="0"/>
    <w:p>
      <w:pPr>
        <w:adjustRightInd w:val="0"/>
        <w:snapToGrid w:val="0"/>
        <w:spacing w:line="520" w:lineRule="exact"/>
        <w:ind w:firstLine="636" w:firstLineChars="200"/>
        <w:rPr>
          <w:rFonts w:hint="eastAsia" w:ascii="仿宋_GB2312" w:hAnsi="仿宋" w:eastAsia="仿宋_GB2312" w:cs="Times New Roman"/>
          <w:sz w:val="32"/>
          <w:szCs w:val="32"/>
        </w:rPr>
      </w:pPr>
      <w:bookmarkStart w:id="1" w:name="_Toc268005759"/>
      <w:bookmarkStart w:id="2" w:name="_Toc263686375"/>
      <w:r>
        <w:rPr>
          <w:rFonts w:hint="eastAsia" w:ascii="仿宋_GB2312" w:hAnsi="仿宋" w:eastAsia="仿宋_GB2312" w:cs="Times New Roman"/>
          <w:sz w:val="32"/>
          <w:szCs w:val="32"/>
        </w:rPr>
        <w:t>我单位资金支出主要为基本支出和项目支出。其中基本支出用于保障事业在编人员工资及水电费、办公费等日常公用经费；项目支出主要包括区政府重点工程任务目标；区域路网的完善；燃气、供暖、供电、环卫、养护等行业管理；城市运行保障；实施景观提升工程；加强城乡环境检查协调等。</w:t>
      </w:r>
    </w:p>
    <w:p>
      <w:pPr>
        <w:adjustRightInd w:val="0"/>
        <w:snapToGrid w:val="0"/>
        <w:spacing w:line="520" w:lineRule="exact"/>
        <w:ind w:firstLine="636" w:firstLineChars="200"/>
        <w:rPr>
          <w:rFonts w:ascii="楷体_GB2312" w:hAnsi="仿宋" w:eastAsia="楷体_GB2312" w:cs="Times New Roman"/>
          <w:b/>
          <w:sz w:val="32"/>
          <w:szCs w:val="32"/>
        </w:rPr>
      </w:pPr>
      <w:r>
        <w:rPr>
          <w:rFonts w:hint="eastAsia" w:ascii="楷体_GB2312" w:hAnsi="仿宋" w:eastAsia="楷体_GB2312" w:cs="Times New Roman"/>
          <w:b/>
          <w:sz w:val="32"/>
          <w:szCs w:val="32"/>
        </w:rPr>
        <w:t>（四）部门</w:t>
      </w:r>
      <w:bookmarkEnd w:id="1"/>
      <w:r>
        <w:rPr>
          <w:rFonts w:hint="eastAsia" w:ascii="楷体_GB2312" w:hAnsi="仿宋" w:eastAsia="楷体_GB2312" w:cs="Times New Roman"/>
          <w:b/>
          <w:sz w:val="32"/>
          <w:szCs w:val="32"/>
        </w:rPr>
        <w:t>整体绩效目标设立情况</w:t>
      </w:r>
    </w:p>
    <w:tbl>
      <w:tblPr>
        <w:tblStyle w:val="5"/>
        <w:tblW w:w="5000" w:type="pct"/>
        <w:tblInd w:w="0" w:type="dxa"/>
        <w:tblLayout w:type="fixed"/>
        <w:tblCellMar>
          <w:top w:w="0" w:type="dxa"/>
          <w:left w:w="108" w:type="dxa"/>
          <w:bottom w:w="0" w:type="dxa"/>
          <w:right w:w="108" w:type="dxa"/>
        </w:tblCellMar>
      </w:tblPr>
      <w:tblGrid>
        <w:gridCol w:w="603"/>
        <w:gridCol w:w="3044"/>
        <w:gridCol w:w="3015"/>
        <w:gridCol w:w="1110"/>
        <w:gridCol w:w="810"/>
        <w:gridCol w:w="661"/>
      </w:tblGrid>
      <w:tr>
        <w:tblPrEx>
          <w:tblCellMar>
            <w:top w:w="0" w:type="dxa"/>
            <w:left w:w="108" w:type="dxa"/>
            <w:bottom w:w="0" w:type="dxa"/>
            <w:right w:w="108" w:type="dxa"/>
          </w:tblCellMar>
        </w:tblPrEx>
        <w:trPr>
          <w:trHeight w:val="275" w:hRule="atLeast"/>
        </w:trPr>
        <w:tc>
          <w:tcPr>
            <w:tcW w:w="326" w:type="pct"/>
            <w:tcBorders>
              <w:top w:val="single" w:color="auto" w:sz="4" w:space="0"/>
              <w:left w:val="single" w:color="auto" w:sz="4" w:space="0"/>
              <w:bottom w:val="single" w:color="auto" w:sz="4" w:space="0"/>
              <w:right w:val="single" w:color="auto" w:sz="4" w:space="0"/>
            </w:tcBorders>
            <w:noWrap/>
            <w:vAlign w:val="bottom"/>
          </w:tcPr>
          <w:p>
            <w:pPr>
              <w:widowControl/>
              <w:jc w:val="center"/>
              <w:rPr>
                <w:rFonts w:ascii="仿宋_GB2312" w:hAnsi="仿宋" w:eastAsia="仿宋_GB2312" w:cs="Times New Roman"/>
                <w:sz w:val="28"/>
                <w:szCs w:val="28"/>
              </w:rPr>
            </w:pPr>
            <w:r>
              <w:rPr>
                <w:rFonts w:hint="eastAsia" w:ascii="仿宋_GB2312" w:hAnsi="仿宋" w:eastAsia="仿宋_GB2312" w:cs="Times New Roman"/>
                <w:sz w:val="28"/>
                <w:szCs w:val="28"/>
              </w:rPr>
              <w:t>序号</w:t>
            </w:r>
          </w:p>
        </w:tc>
        <w:tc>
          <w:tcPr>
            <w:tcW w:w="1646" w:type="pct"/>
            <w:tcBorders>
              <w:top w:val="single" w:color="auto" w:sz="4" w:space="0"/>
              <w:left w:val="nil"/>
              <w:bottom w:val="single" w:color="auto" w:sz="4" w:space="0"/>
              <w:right w:val="single" w:color="auto" w:sz="4" w:space="0"/>
            </w:tcBorders>
            <w:noWrap/>
            <w:vAlign w:val="bottom"/>
          </w:tcPr>
          <w:p>
            <w:pPr>
              <w:widowControl/>
              <w:jc w:val="center"/>
              <w:rPr>
                <w:rFonts w:ascii="仿宋_GB2312" w:hAnsi="仿宋" w:eastAsia="仿宋_GB2312" w:cs="Times New Roman"/>
                <w:sz w:val="28"/>
                <w:szCs w:val="28"/>
              </w:rPr>
            </w:pPr>
            <w:r>
              <w:rPr>
                <w:rFonts w:hint="eastAsia" w:ascii="仿宋_GB2312" w:hAnsi="仿宋" w:eastAsia="仿宋_GB2312" w:cs="Times New Roman"/>
                <w:sz w:val="28"/>
                <w:szCs w:val="28"/>
              </w:rPr>
              <w:t>三级指标</w:t>
            </w:r>
          </w:p>
        </w:tc>
        <w:tc>
          <w:tcPr>
            <w:tcW w:w="1630" w:type="pct"/>
            <w:tcBorders>
              <w:top w:val="single" w:color="auto" w:sz="4" w:space="0"/>
              <w:left w:val="nil"/>
              <w:bottom w:val="single" w:color="auto" w:sz="4" w:space="0"/>
              <w:right w:val="single" w:color="auto" w:sz="4" w:space="0"/>
            </w:tcBorders>
            <w:noWrap/>
            <w:vAlign w:val="bottom"/>
          </w:tcPr>
          <w:p>
            <w:pPr>
              <w:widowControl/>
              <w:jc w:val="center"/>
              <w:rPr>
                <w:rFonts w:ascii="仿宋_GB2312" w:hAnsi="仿宋" w:eastAsia="仿宋_GB2312" w:cs="Times New Roman"/>
                <w:sz w:val="28"/>
                <w:szCs w:val="28"/>
              </w:rPr>
            </w:pPr>
            <w:r>
              <w:rPr>
                <w:rFonts w:hint="eastAsia" w:ascii="仿宋_GB2312" w:hAnsi="仿宋" w:eastAsia="仿宋_GB2312" w:cs="Times New Roman"/>
                <w:sz w:val="28"/>
                <w:szCs w:val="28"/>
              </w:rPr>
              <w:t>指标性质</w:t>
            </w:r>
          </w:p>
        </w:tc>
        <w:tc>
          <w:tcPr>
            <w:tcW w:w="600" w:type="pct"/>
            <w:tcBorders>
              <w:top w:val="single" w:color="auto" w:sz="4" w:space="0"/>
              <w:left w:val="nil"/>
              <w:bottom w:val="single" w:color="auto" w:sz="4" w:space="0"/>
              <w:right w:val="single" w:color="auto" w:sz="4" w:space="0"/>
            </w:tcBorders>
            <w:noWrap/>
            <w:vAlign w:val="bottom"/>
          </w:tcPr>
          <w:p>
            <w:pPr>
              <w:widowControl/>
              <w:jc w:val="center"/>
              <w:rPr>
                <w:rFonts w:ascii="仿宋_GB2312" w:hAnsi="仿宋" w:eastAsia="仿宋_GB2312" w:cs="Times New Roman"/>
                <w:sz w:val="28"/>
                <w:szCs w:val="28"/>
              </w:rPr>
            </w:pPr>
            <w:r>
              <w:rPr>
                <w:rFonts w:hint="eastAsia" w:ascii="仿宋_GB2312" w:hAnsi="仿宋" w:eastAsia="仿宋_GB2312" w:cs="Times New Roman"/>
                <w:sz w:val="28"/>
                <w:szCs w:val="28"/>
              </w:rPr>
              <w:t>指标值</w:t>
            </w:r>
          </w:p>
        </w:tc>
        <w:tc>
          <w:tcPr>
            <w:tcW w:w="438" w:type="pct"/>
            <w:tcBorders>
              <w:top w:val="single" w:color="auto" w:sz="4" w:space="0"/>
              <w:left w:val="nil"/>
              <w:bottom w:val="single" w:color="auto" w:sz="4" w:space="0"/>
              <w:right w:val="single" w:color="auto" w:sz="4" w:space="0"/>
            </w:tcBorders>
          </w:tcPr>
          <w:p>
            <w:pPr>
              <w:widowControl/>
              <w:jc w:val="center"/>
              <w:rPr>
                <w:rFonts w:ascii="仿宋_GB2312" w:hAnsi="仿宋" w:eastAsia="仿宋_GB2312" w:cs="Times New Roman"/>
                <w:sz w:val="28"/>
                <w:szCs w:val="28"/>
              </w:rPr>
            </w:pPr>
            <w:r>
              <w:rPr>
                <w:rFonts w:hint="eastAsia" w:ascii="仿宋_GB2312" w:hAnsi="仿宋" w:eastAsia="仿宋_GB2312" w:cs="Times New Roman"/>
                <w:sz w:val="28"/>
                <w:szCs w:val="28"/>
              </w:rPr>
              <w:t>度量单位</w:t>
            </w:r>
          </w:p>
        </w:tc>
        <w:tc>
          <w:tcPr>
            <w:tcW w:w="357" w:type="pct"/>
            <w:tcBorders>
              <w:top w:val="single" w:color="auto" w:sz="4" w:space="0"/>
              <w:left w:val="nil"/>
              <w:bottom w:val="single" w:color="auto" w:sz="4" w:space="0"/>
              <w:right w:val="single" w:color="auto" w:sz="4" w:space="0"/>
            </w:tcBorders>
          </w:tcPr>
          <w:p>
            <w:pPr>
              <w:widowControl/>
              <w:jc w:val="center"/>
              <w:rPr>
                <w:rFonts w:ascii="仿宋_GB2312" w:hAnsi="仿宋" w:eastAsia="仿宋_GB2312" w:cs="Times New Roman"/>
                <w:sz w:val="28"/>
                <w:szCs w:val="28"/>
              </w:rPr>
            </w:pPr>
            <w:r>
              <w:rPr>
                <w:rFonts w:hint="eastAsia" w:ascii="仿宋_GB2312" w:hAnsi="仿宋" w:eastAsia="仿宋_GB2312" w:cs="Times New Roman"/>
                <w:sz w:val="28"/>
                <w:szCs w:val="28"/>
              </w:rPr>
              <w:t>指标权重</w:t>
            </w:r>
          </w:p>
        </w:tc>
      </w:tr>
      <w:tr>
        <w:tblPrEx>
          <w:tblCellMar>
            <w:top w:w="0" w:type="dxa"/>
            <w:left w:w="108" w:type="dxa"/>
            <w:bottom w:w="0" w:type="dxa"/>
            <w:right w:w="108" w:type="dxa"/>
          </w:tblCellMar>
        </w:tblPrEx>
        <w:trPr>
          <w:trHeight w:val="275" w:hRule="atLeast"/>
        </w:trPr>
        <w:tc>
          <w:tcPr>
            <w:tcW w:w="326" w:type="pct"/>
            <w:tcBorders>
              <w:top w:val="nil"/>
              <w:left w:val="single" w:color="auto" w:sz="4" w:space="0"/>
              <w:bottom w:val="single" w:color="auto" w:sz="4" w:space="0"/>
              <w:right w:val="single" w:color="auto" w:sz="4" w:space="0"/>
            </w:tcBorders>
            <w:noWrap/>
            <w:vAlign w:val="bottom"/>
          </w:tcPr>
          <w:p>
            <w:pPr>
              <w:widowControl/>
              <w:jc w:val="left"/>
              <w:rPr>
                <w:rFonts w:ascii="仿宋_GB2312" w:hAnsi="仿宋" w:eastAsia="仿宋_GB2312" w:cs="Times New Roman"/>
                <w:sz w:val="18"/>
                <w:szCs w:val="18"/>
              </w:rPr>
            </w:pPr>
            <w:r>
              <w:rPr>
                <w:rFonts w:hint="eastAsia" w:ascii="仿宋_GB2312" w:hAnsi="仿宋" w:eastAsia="仿宋_GB2312" w:cs="Times New Roman"/>
                <w:sz w:val="18"/>
                <w:szCs w:val="18"/>
              </w:rPr>
              <w:t>　</w:t>
            </w:r>
            <w:r>
              <w:rPr>
                <w:rFonts w:ascii="仿宋_GB2312" w:hAnsi="仿宋" w:eastAsia="仿宋_GB2312" w:cs="Times New Roman"/>
                <w:sz w:val="18"/>
                <w:szCs w:val="18"/>
              </w:rPr>
              <w:t>1</w:t>
            </w:r>
          </w:p>
        </w:tc>
        <w:tc>
          <w:tcPr>
            <w:tcW w:w="1646" w:type="pct"/>
            <w:tcBorders>
              <w:top w:val="nil"/>
              <w:left w:val="nil"/>
              <w:bottom w:val="single" w:color="auto" w:sz="4" w:space="0"/>
              <w:right w:val="single" w:color="auto" w:sz="4" w:space="0"/>
            </w:tcBorders>
            <w:noWrap/>
            <w:vAlign w:val="top"/>
          </w:tcPr>
          <w:p>
            <w:pPr>
              <w:widowControl/>
              <w:jc w:val="both"/>
              <w:rPr>
                <w:rFonts w:ascii="仿宋_GB2312" w:hAnsi="仿宋" w:eastAsia="仿宋_GB2312" w:cs="Times New Roman"/>
                <w:sz w:val="18"/>
                <w:szCs w:val="18"/>
              </w:rPr>
            </w:pPr>
            <w:r>
              <w:rPr>
                <w:rFonts w:hint="eastAsia" w:ascii="仿宋_GB2312" w:hAnsi="仿宋" w:eastAsia="仿宋_GB2312" w:cs="Times New Roman"/>
                <w:sz w:val="18"/>
                <w:szCs w:val="18"/>
              </w:rPr>
              <w:t>　2025年12月</w:t>
            </w:r>
          </w:p>
        </w:tc>
        <w:tc>
          <w:tcPr>
            <w:tcW w:w="1630" w:type="pct"/>
            <w:tcBorders>
              <w:top w:val="nil"/>
              <w:left w:val="nil"/>
              <w:bottom w:val="single" w:color="auto" w:sz="4" w:space="0"/>
              <w:right w:val="single" w:color="auto" w:sz="4" w:space="0"/>
            </w:tcBorders>
            <w:noWrap/>
            <w:vAlign w:val="bottom"/>
          </w:tcPr>
          <w:p>
            <w:pPr>
              <w:widowControl/>
              <w:jc w:val="left"/>
              <w:rPr>
                <w:rFonts w:hint="eastAsia" w:ascii="仿宋_GB2312" w:hAnsi="仿宋" w:eastAsia="仿宋_GB2312" w:cs="Times New Roman"/>
                <w:sz w:val="18"/>
                <w:szCs w:val="18"/>
                <w:lang w:val="en-US" w:eastAsia="zh-CN"/>
              </w:rPr>
            </w:pPr>
            <w:r>
              <w:rPr>
                <w:rFonts w:hint="eastAsia" w:ascii="仿宋_GB2312" w:hAnsi="仿宋" w:eastAsia="仿宋_GB2312" w:cs="Times New Roman"/>
                <w:sz w:val="18"/>
                <w:szCs w:val="18"/>
              </w:rPr>
              <w:t>　</w:t>
            </w:r>
            <w:r>
              <w:rPr>
                <w:rFonts w:hint="eastAsia" w:ascii="仿宋_GB2312" w:hAnsi="仿宋" w:eastAsia="仿宋_GB2312" w:cs="Times New Roman"/>
                <w:sz w:val="18"/>
                <w:szCs w:val="18"/>
                <w:lang w:val="en-US" w:eastAsia="zh-CN"/>
              </w:rPr>
              <w:t>=</w:t>
            </w:r>
          </w:p>
        </w:tc>
        <w:tc>
          <w:tcPr>
            <w:tcW w:w="600" w:type="pct"/>
            <w:tcBorders>
              <w:top w:val="nil"/>
              <w:left w:val="nil"/>
              <w:bottom w:val="single" w:color="auto" w:sz="4" w:space="0"/>
              <w:right w:val="single" w:color="auto" w:sz="4" w:space="0"/>
            </w:tcBorders>
            <w:noWrap/>
            <w:vAlign w:val="bottom"/>
          </w:tcPr>
          <w:p>
            <w:pPr>
              <w:widowControl/>
              <w:jc w:val="left"/>
              <w:rPr>
                <w:rFonts w:ascii="仿宋_GB2312" w:hAnsi="仿宋" w:eastAsia="仿宋_GB2312" w:cs="Times New Roman"/>
                <w:sz w:val="18"/>
                <w:szCs w:val="18"/>
              </w:rPr>
            </w:pPr>
            <w:r>
              <w:rPr>
                <w:rFonts w:hint="eastAsia" w:ascii="仿宋_GB2312" w:hAnsi="仿宋" w:eastAsia="仿宋_GB2312" w:cs="Times New Roman"/>
                <w:sz w:val="18"/>
                <w:szCs w:val="18"/>
              </w:rPr>
              <w:t>　2025年</w:t>
            </w:r>
          </w:p>
        </w:tc>
        <w:tc>
          <w:tcPr>
            <w:tcW w:w="438" w:type="pct"/>
            <w:tcBorders>
              <w:top w:val="nil"/>
              <w:left w:val="nil"/>
              <w:bottom w:val="single" w:color="auto" w:sz="4" w:space="0"/>
              <w:right w:val="single" w:color="auto" w:sz="4" w:space="0"/>
            </w:tcBorders>
          </w:tcPr>
          <w:p>
            <w:pPr>
              <w:widowControl/>
              <w:jc w:val="left"/>
              <w:rPr>
                <w:rFonts w:hint="eastAsia" w:ascii="仿宋_GB2312" w:hAnsi="仿宋" w:eastAsia="仿宋_GB2312" w:cs="Times New Roman"/>
                <w:sz w:val="18"/>
                <w:szCs w:val="18"/>
                <w:lang w:eastAsia="zh-CN"/>
              </w:rPr>
            </w:pPr>
            <w:r>
              <w:rPr>
                <w:rFonts w:hint="eastAsia" w:ascii="仿宋_GB2312" w:hAnsi="仿宋" w:eastAsia="仿宋_GB2312" w:cs="Times New Roman"/>
                <w:sz w:val="18"/>
                <w:szCs w:val="18"/>
                <w:lang w:eastAsia="zh-CN"/>
              </w:rPr>
              <w:t>年</w:t>
            </w:r>
          </w:p>
        </w:tc>
        <w:tc>
          <w:tcPr>
            <w:tcW w:w="357" w:type="pct"/>
            <w:tcBorders>
              <w:top w:val="nil"/>
              <w:left w:val="nil"/>
              <w:bottom w:val="single" w:color="auto" w:sz="4" w:space="0"/>
              <w:right w:val="single" w:color="auto" w:sz="4" w:space="0"/>
            </w:tcBorders>
          </w:tcPr>
          <w:p>
            <w:pPr>
              <w:widowControl/>
              <w:jc w:val="left"/>
              <w:rPr>
                <w:rFonts w:ascii="仿宋_GB2312" w:hAnsi="仿宋" w:eastAsia="仿宋_GB2312" w:cs="Times New Roman"/>
                <w:sz w:val="18"/>
                <w:szCs w:val="18"/>
              </w:rPr>
            </w:pPr>
          </w:p>
        </w:tc>
      </w:tr>
      <w:tr>
        <w:tblPrEx>
          <w:tblCellMar>
            <w:top w:w="0" w:type="dxa"/>
            <w:left w:w="108" w:type="dxa"/>
            <w:bottom w:w="0" w:type="dxa"/>
            <w:right w:w="108" w:type="dxa"/>
          </w:tblCellMar>
        </w:tblPrEx>
        <w:trPr>
          <w:trHeight w:val="275" w:hRule="atLeast"/>
        </w:trPr>
        <w:tc>
          <w:tcPr>
            <w:tcW w:w="326" w:type="pct"/>
            <w:tcBorders>
              <w:top w:val="nil"/>
              <w:left w:val="single" w:color="auto" w:sz="4" w:space="0"/>
              <w:bottom w:val="single" w:color="auto" w:sz="4" w:space="0"/>
              <w:right w:val="single" w:color="auto" w:sz="4" w:space="0"/>
            </w:tcBorders>
            <w:noWrap/>
            <w:vAlign w:val="bottom"/>
          </w:tcPr>
          <w:p>
            <w:pPr>
              <w:widowControl/>
              <w:jc w:val="left"/>
              <w:rPr>
                <w:rFonts w:ascii="仿宋_GB2312" w:hAnsi="仿宋" w:eastAsia="仿宋_GB2312" w:cs="Times New Roman"/>
                <w:sz w:val="18"/>
                <w:szCs w:val="18"/>
              </w:rPr>
            </w:pPr>
            <w:r>
              <w:rPr>
                <w:rFonts w:hint="eastAsia" w:ascii="仿宋_GB2312" w:hAnsi="仿宋" w:eastAsia="仿宋_GB2312" w:cs="Times New Roman"/>
                <w:sz w:val="18"/>
                <w:szCs w:val="18"/>
              </w:rPr>
              <w:t>　</w:t>
            </w:r>
            <w:r>
              <w:rPr>
                <w:rFonts w:ascii="仿宋_GB2312" w:hAnsi="仿宋" w:eastAsia="仿宋_GB2312" w:cs="Times New Roman"/>
                <w:sz w:val="18"/>
                <w:szCs w:val="18"/>
              </w:rPr>
              <w:t>2</w:t>
            </w:r>
          </w:p>
        </w:tc>
        <w:tc>
          <w:tcPr>
            <w:tcW w:w="1646" w:type="pct"/>
            <w:tcBorders>
              <w:top w:val="nil"/>
              <w:left w:val="nil"/>
              <w:bottom w:val="single" w:color="auto" w:sz="4" w:space="0"/>
              <w:right w:val="single" w:color="auto" w:sz="4" w:space="0"/>
            </w:tcBorders>
            <w:noWrap/>
            <w:vAlign w:val="top"/>
          </w:tcPr>
          <w:p>
            <w:pPr>
              <w:widowControl/>
              <w:jc w:val="both"/>
              <w:rPr>
                <w:rFonts w:ascii="仿宋_GB2312" w:hAnsi="仿宋" w:eastAsia="仿宋_GB2312" w:cs="Times New Roman"/>
                <w:sz w:val="18"/>
                <w:szCs w:val="18"/>
              </w:rPr>
            </w:pPr>
            <w:r>
              <w:rPr>
                <w:rFonts w:hint="eastAsia" w:ascii="仿宋_GB2312" w:hAnsi="仿宋" w:eastAsia="仿宋_GB2312" w:cs="Times New Roman"/>
                <w:sz w:val="18"/>
                <w:szCs w:val="18"/>
              </w:rPr>
              <w:t>　预算批复范围内</w:t>
            </w:r>
          </w:p>
        </w:tc>
        <w:tc>
          <w:tcPr>
            <w:tcW w:w="1630" w:type="pct"/>
            <w:tcBorders>
              <w:top w:val="nil"/>
              <w:left w:val="nil"/>
              <w:bottom w:val="single" w:color="auto" w:sz="4" w:space="0"/>
              <w:right w:val="single" w:color="auto" w:sz="4" w:space="0"/>
            </w:tcBorders>
            <w:noWrap/>
            <w:vAlign w:val="bottom"/>
          </w:tcPr>
          <w:p>
            <w:pPr>
              <w:widowControl/>
              <w:jc w:val="left"/>
              <w:rPr>
                <w:rFonts w:hint="eastAsia" w:ascii="仿宋_GB2312" w:hAnsi="仿宋" w:eastAsia="仿宋_GB2312" w:cs="Times New Roman"/>
                <w:sz w:val="18"/>
                <w:szCs w:val="18"/>
                <w:lang w:eastAsia="zh-CN"/>
              </w:rPr>
            </w:pPr>
            <w:r>
              <w:rPr>
                <w:rFonts w:hint="eastAsia" w:ascii="仿宋_GB2312" w:hAnsi="仿宋" w:eastAsia="仿宋_GB2312" w:cs="Times New Roman"/>
                <w:sz w:val="18"/>
                <w:szCs w:val="18"/>
                <w:lang w:eastAsia="zh-CN"/>
              </w:rPr>
              <w:t>定性</w:t>
            </w:r>
          </w:p>
        </w:tc>
        <w:tc>
          <w:tcPr>
            <w:tcW w:w="600" w:type="pct"/>
            <w:tcBorders>
              <w:top w:val="nil"/>
              <w:left w:val="nil"/>
              <w:bottom w:val="single" w:color="auto" w:sz="4" w:space="0"/>
              <w:right w:val="single" w:color="auto" w:sz="4" w:space="0"/>
            </w:tcBorders>
            <w:noWrap/>
            <w:vAlign w:val="bottom"/>
          </w:tcPr>
          <w:p>
            <w:pPr>
              <w:widowControl/>
              <w:jc w:val="left"/>
              <w:rPr>
                <w:rFonts w:hint="eastAsia" w:ascii="仿宋_GB2312" w:hAnsi="仿宋" w:eastAsia="仿宋_GB2312" w:cs="Times New Roman"/>
                <w:sz w:val="18"/>
                <w:szCs w:val="18"/>
                <w:lang w:eastAsia="zh-CN"/>
              </w:rPr>
            </w:pPr>
            <w:r>
              <w:rPr>
                <w:rFonts w:hint="eastAsia" w:ascii="仿宋_GB2312" w:hAnsi="仿宋" w:eastAsia="仿宋_GB2312" w:cs="Times New Roman"/>
                <w:sz w:val="18"/>
                <w:szCs w:val="18"/>
              </w:rPr>
              <w:t>　</w:t>
            </w:r>
            <w:r>
              <w:rPr>
                <w:rFonts w:hint="eastAsia" w:ascii="仿宋_GB2312" w:hAnsi="仿宋" w:eastAsia="仿宋_GB2312" w:cs="Times New Roman"/>
                <w:sz w:val="18"/>
                <w:szCs w:val="18"/>
                <w:lang w:eastAsia="zh-CN"/>
              </w:rPr>
              <w:t>优</w:t>
            </w:r>
          </w:p>
        </w:tc>
        <w:tc>
          <w:tcPr>
            <w:tcW w:w="438" w:type="pct"/>
            <w:tcBorders>
              <w:top w:val="nil"/>
              <w:left w:val="nil"/>
              <w:bottom w:val="single" w:color="auto" w:sz="4" w:space="0"/>
              <w:right w:val="single" w:color="auto" w:sz="4" w:space="0"/>
            </w:tcBorders>
          </w:tcPr>
          <w:p>
            <w:pPr>
              <w:widowControl/>
              <w:jc w:val="left"/>
              <w:rPr>
                <w:rFonts w:hint="eastAsia" w:ascii="仿宋_GB2312" w:hAnsi="仿宋" w:eastAsia="仿宋_GB2312" w:cs="Times New Roman"/>
                <w:sz w:val="18"/>
                <w:szCs w:val="18"/>
                <w:lang w:eastAsia="zh-CN"/>
              </w:rPr>
            </w:pPr>
            <w:r>
              <w:rPr>
                <w:rFonts w:hint="eastAsia" w:ascii="仿宋_GB2312" w:hAnsi="仿宋" w:eastAsia="仿宋_GB2312" w:cs="Times New Roman"/>
                <w:sz w:val="18"/>
                <w:szCs w:val="18"/>
                <w:lang w:eastAsia="zh-CN"/>
              </w:rPr>
              <w:t>万</w:t>
            </w:r>
          </w:p>
        </w:tc>
        <w:tc>
          <w:tcPr>
            <w:tcW w:w="357" w:type="pct"/>
            <w:tcBorders>
              <w:top w:val="nil"/>
              <w:left w:val="nil"/>
              <w:bottom w:val="single" w:color="auto" w:sz="4" w:space="0"/>
              <w:right w:val="single" w:color="auto" w:sz="4" w:space="0"/>
            </w:tcBorders>
          </w:tcPr>
          <w:p>
            <w:pPr>
              <w:widowControl/>
              <w:jc w:val="left"/>
              <w:rPr>
                <w:rFonts w:ascii="仿宋_GB2312" w:hAnsi="仿宋" w:eastAsia="仿宋_GB2312" w:cs="Times New Roman"/>
                <w:sz w:val="18"/>
                <w:szCs w:val="18"/>
              </w:rPr>
            </w:pPr>
          </w:p>
        </w:tc>
      </w:tr>
      <w:tr>
        <w:tblPrEx>
          <w:tblCellMar>
            <w:top w:w="0" w:type="dxa"/>
            <w:left w:w="108" w:type="dxa"/>
            <w:bottom w:w="0" w:type="dxa"/>
            <w:right w:w="108" w:type="dxa"/>
          </w:tblCellMar>
        </w:tblPrEx>
        <w:trPr>
          <w:trHeight w:val="275" w:hRule="atLeast"/>
        </w:trPr>
        <w:tc>
          <w:tcPr>
            <w:tcW w:w="326" w:type="pct"/>
            <w:tcBorders>
              <w:top w:val="nil"/>
              <w:left w:val="single" w:color="auto" w:sz="4" w:space="0"/>
              <w:bottom w:val="single" w:color="auto" w:sz="4" w:space="0"/>
              <w:right w:val="single" w:color="auto" w:sz="4" w:space="0"/>
            </w:tcBorders>
            <w:noWrap/>
            <w:vAlign w:val="bottom"/>
          </w:tcPr>
          <w:p>
            <w:pPr>
              <w:widowControl/>
              <w:jc w:val="left"/>
              <w:rPr>
                <w:rFonts w:ascii="仿宋_GB2312" w:hAnsi="仿宋" w:eastAsia="仿宋_GB2312" w:cs="Times New Roman"/>
                <w:sz w:val="18"/>
                <w:szCs w:val="18"/>
              </w:rPr>
            </w:pPr>
            <w:r>
              <w:rPr>
                <w:rFonts w:hint="eastAsia" w:ascii="仿宋_GB2312" w:hAnsi="仿宋" w:eastAsia="仿宋_GB2312" w:cs="Times New Roman"/>
                <w:sz w:val="18"/>
                <w:szCs w:val="18"/>
              </w:rPr>
              <w:t>　</w:t>
            </w:r>
            <w:r>
              <w:rPr>
                <w:rFonts w:ascii="仿宋_GB2312" w:hAnsi="仿宋" w:eastAsia="仿宋_GB2312" w:cs="Times New Roman"/>
                <w:sz w:val="18"/>
                <w:szCs w:val="18"/>
              </w:rPr>
              <w:t>3</w:t>
            </w:r>
          </w:p>
        </w:tc>
        <w:tc>
          <w:tcPr>
            <w:tcW w:w="1646" w:type="pct"/>
            <w:tcBorders>
              <w:top w:val="nil"/>
              <w:left w:val="nil"/>
              <w:bottom w:val="single" w:color="auto" w:sz="4" w:space="0"/>
              <w:right w:val="single" w:color="auto" w:sz="4" w:space="0"/>
            </w:tcBorders>
            <w:noWrap/>
            <w:vAlign w:val="top"/>
          </w:tcPr>
          <w:p>
            <w:pPr>
              <w:widowControl/>
              <w:jc w:val="both"/>
              <w:rPr>
                <w:rFonts w:ascii="仿宋_GB2312" w:hAnsi="仿宋" w:eastAsia="仿宋_GB2312" w:cs="Times New Roman"/>
                <w:sz w:val="18"/>
                <w:szCs w:val="18"/>
              </w:rPr>
            </w:pPr>
            <w:r>
              <w:rPr>
                <w:rFonts w:hint="eastAsia" w:ascii="仿宋_GB2312" w:hAnsi="仿宋" w:eastAsia="仿宋_GB2312" w:cs="Times New Roman"/>
                <w:sz w:val="18"/>
                <w:szCs w:val="18"/>
              </w:rPr>
              <w:t>　效益指标社会效益指标提升区域环境，创造良好的生态环境</w:t>
            </w:r>
          </w:p>
        </w:tc>
        <w:tc>
          <w:tcPr>
            <w:tcW w:w="1630" w:type="pct"/>
            <w:tcBorders>
              <w:top w:val="nil"/>
              <w:left w:val="nil"/>
              <w:bottom w:val="single" w:color="auto" w:sz="4" w:space="0"/>
              <w:right w:val="single" w:color="auto" w:sz="4" w:space="0"/>
            </w:tcBorders>
            <w:noWrap/>
            <w:vAlign w:val="bottom"/>
          </w:tcPr>
          <w:p>
            <w:pPr>
              <w:widowControl/>
              <w:jc w:val="left"/>
              <w:rPr>
                <w:rFonts w:hint="eastAsia" w:ascii="仿宋_GB2312" w:hAnsi="仿宋" w:eastAsia="仿宋_GB2312" w:cs="Times New Roman"/>
                <w:sz w:val="18"/>
                <w:szCs w:val="18"/>
                <w:lang w:eastAsia="zh-CN"/>
              </w:rPr>
            </w:pPr>
            <w:r>
              <w:rPr>
                <w:rFonts w:hint="eastAsia" w:ascii="仿宋_GB2312" w:hAnsi="仿宋" w:eastAsia="仿宋_GB2312" w:cs="Times New Roman"/>
                <w:sz w:val="18"/>
                <w:szCs w:val="18"/>
              </w:rPr>
              <w:t>　</w:t>
            </w:r>
            <w:r>
              <w:rPr>
                <w:rFonts w:hint="eastAsia" w:ascii="仿宋_GB2312" w:hAnsi="仿宋" w:eastAsia="仿宋_GB2312" w:cs="Times New Roman"/>
                <w:sz w:val="18"/>
                <w:szCs w:val="18"/>
                <w:lang w:eastAsia="zh-CN"/>
              </w:rPr>
              <w:t>定性</w:t>
            </w:r>
          </w:p>
        </w:tc>
        <w:tc>
          <w:tcPr>
            <w:tcW w:w="600" w:type="pct"/>
            <w:tcBorders>
              <w:top w:val="nil"/>
              <w:left w:val="nil"/>
              <w:bottom w:val="single" w:color="auto" w:sz="4" w:space="0"/>
              <w:right w:val="single" w:color="auto" w:sz="4" w:space="0"/>
            </w:tcBorders>
            <w:noWrap/>
            <w:vAlign w:val="bottom"/>
          </w:tcPr>
          <w:p>
            <w:pPr>
              <w:widowControl/>
              <w:jc w:val="left"/>
              <w:rPr>
                <w:rFonts w:hint="eastAsia" w:ascii="仿宋_GB2312" w:hAnsi="仿宋" w:eastAsia="仿宋_GB2312" w:cs="Times New Roman"/>
                <w:sz w:val="18"/>
                <w:szCs w:val="18"/>
                <w:lang w:eastAsia="zh-CN"/>
              </w:rPr>
            </w:pPr>
            <w:r>
              <w:rPr>
                <w:rFonts w:hint="eastAsia" w:ascii="仿宋_GB2312" w:hAnsi="仿宋" w:eastAsia="仿宋_GB2312" w:cs="Times New Roman"/>
                <w:sz w:val="18"/>
                <w:szCs w:val="18"/>
              </w:rPr>
              <w:t>　</w:t>
            </w:r>
            <w:r>
              <w:rPr>
                <w:rFonts w:hint="eastAsia" w:ascii="仿宋_GB2312" w:hAnsi="仿宋" w:eastAsia="仿宋_GB2312" w:cs="Times New Roman"/>
                <w:sz w:val="18"/>
                <w:szCs w:val="18"/>
                <w:lang w:eastAsia="zh-CN"/>
              </w:rPr>
              <w:t>优</w:t>
            </w:r>
          </w:p>
        </w:tc>
        <w:tc>
          <w:tcPr>
            <w:tcW w:w="438" w:type="pct"/>
            <w:tcBorders>
              <w:top w:val="nil"/>
              <w:left w:val="nil"/>
              <w:bottom w:val="single" w:color="auto" w:sz="4" w:space="0"/>
              <w:right w:val="single" w:color="auto" w:sz="4" w:space="0"/>
            </w:tcBorders>
          </w:tcPr>
          <w:p>
            <w:pPr>
              <w:widowControl/>
              <w:jc w:val="left"/>
              <w:rPr>
                <w:rFonts w:hint="eastAsia" w:ascii="仿宋_GB2312" w:hAnsi="仿宋" w:eastAsia="仿宋_GB2312" w:cs="Times New Roman"/>
                <w:sz w:val="18"/>
                <w:szCs w:val="18"/>
                <w:lang w:eastAsia="zh-CN"/>
              </w:rPr>
            </w:pPr>
            <w:r>
              <w:rPr>
                <w:rFonts w:hint="eastAsia" w:ascii="仿宋_GB2312" w:hAnsi="仿宋" w:eastAsia="仿宋_GB2312" w:cs="Times New Roman"/>
                <w:sz w:val="18"/>
                <w:szCs w:val="18"/>
                <w:lang w:eastAsia="zh-CN"/>
              </w:rPr>
              <w:t>项</w:t>
            </w:r>
          </w:p>
        </w:tc>
        <w:tc>
          <w:tcPr>
            <w:tcW w:w="357" w:type="pct"/>
            <w:tcBorders>
              <w:top w:val="nil"/>
              <w:left w:val="nil"/>
              <w:bottom w:val="single" w:color="auto" w:sz="4" w:space="0"/>
              <w:right w:val="single" w:color="auto" w:sz="4" w:space="0"/>
            </w:tcBorders>
          </w:tcPr>
          <w:p>
            <w:pPr>
              <w:widowControl/>
              <w:jc w:val="left"/>
              <w:rPr>
                <w:rFonts w:ascii="仿宋_GB2312" w:hAnsi="仿宋" w:eastAsia="仿宋_GB2312" w:cs="Times New Roman"/>
                <w:sz w:val="18"/>
                <w:szCs w:val="18"/>
              </w:rPr>
            </w:pPr>
          </w:p>
        </w:tc>
      </w:tr>
      <w:tr>
        <w:tblPrEx>
          <w:tblCellMar>
            <w:top w:w="0" w:type="dxa"/>
            <w:left w:w="108" w:type="dxa"/>
            <w:bottom w:w="0" w:type="dxa"/>
            <w:right w:w="108" w:type="dxa"/>
          </w:tblCellMar>
        </w:tblPrEx>
        <w:trPr>
          <w:trHeight w:val="275" w:hRule="atLeast"/>
        </w:trPr>
        <w:tc>
          <w:tcPr>
            <w:tcW w:w="326" w:type="pct"/>
            <w:tcBorders>
              <w:top w:val="nil"/>
              <w:left w:val="single" w:color="auto" w:sz="4" w:space="0"/>
              <w:bottom w:val="nil"/>
              <w:right w:val="single" w:color="auto" w:sz="4" w:space="0"/>
            </w:tcBorders>
            <w:noWrap/>
            <w:vAlign w:val="bottom"/>
          </w:tcPr>
          <w:p>
            <w:pPr>
              <w:widowControl/>
              <w:jc w:val="left"/>
              <w:rPr>
                <w:rFonts w:hint="eastAsia" w:ascii="仿宋_GB2312" w:hAnsi="仿宋" w:eastAsia="仿宋_GB2312" w:cs="Times New Roman"/>
                <w:sz w:val="18"/>
                <w:szCs w:val="18"/>
                <w:lang w:eastAsia="zh-CN"/>
              </w:rPr>
            </w:pPr>
            <w:r>
              <w:rPr>
                <w:rFonts w:hint="eastAsia" w:ascii="仿宋_GB2312" w:hAnsi="仿宋" w:eastAsia="仿宋_GB2312" w:cs="Times New Roman"/>
                <w:sz w:val="18"/>
                <w:szCs w:val="18"/>
                <w:lang w:val="en-US" w:eastAsia="zh-CN"/>
              </w:rPr>
              <w:t>4</w:t>
            </w:r>
          </w:p>
        </w:tc>
        <w:tc>
          <w:tcPr>
            <w:tcW w:w="1646" w:type="pct"/>
            <w:tcBorders>
              <w:top w:val="nil"/>
              <w:left w:val="nil"/>
              <w:bottom w:val="nil"/>
              <w:right w:val="single" w:color="auto" w:sz="4" w:space="0"/>
            </w:tcBorders>
            <w:noWrap/>
            <w:vAlign w:val="top"/>
          </w:tcPr>
          <w:p>
            <w:pPr>
              <w:widowControl/>
              <w:jc w:val="both"/>
              <w:rPr>
                <w:rFonts w:ascii="仿宋_GB2312" w:hAnsi="仿宋" w:eastAsia="仿宋_GB2312" w:cs="Times New Roman"/>
                <w:sz w:val="18"/>
                <w:szCs w:val="18"/>
              </w:rPr>
            </w:pPr>
            <w:r>
              <w:rPr>
                <w:rFonts w:hint="eastAsia" w:ascii="仿宋_GB2312" w:hAnsi="仿宋" w:eastAsia="仿宋_GB2312" w:cs="Times New Roman"/>
                <w:sz w:val="18"/>
                <w:szCs w:val="18"/>
              </w:rPr>
              <w:t>　效益指标社会效益指标提升城市基础建设水平，满足百姓生活需求</w:t>
            </w:r>
          </w:p>
        </w:tc>
        <w:tc>
          <w:tcPr>
            <w:tcW w:w="1630" w:type="pct"/>
            <w:tcBorders>
              <w:top w:val="nil"/>
              <w:left w:val="nil"/>
              <w:bottom w:val="nil"/>
              <w:right w:val="single" w:color="auto" w:sz="4" w:space="0"/>
            </w:tcBorders>
            <w:noWrap/>
            <w:vAlign w:val="bottom"/>
          </w:tcPr>
          <w:p>
            <w:pPr>
              <w:widowControl/>
              <w:jc w:val="left"/>
              <w:rPr>
                <w:rFonts w:hint="eastAsia" w:ascii="仿宋_GB2312" w:hAnsi="仿宋" w:eastAsia="仿宋_GB2312" w:cs="Times New Roman"/>
                <w:sz w:val="18"/>
                <w:szCs w:val="18"/>
                <w:lang w:eastAsia="zh-CN"/>
              </w:rPr>
            </w:pPr>
            <w:r>
              <w:rPr>
                <w:rFonts w:hint="eastAsia" w:ascii="仿宋_GB2312" w:hAnsi="仿宋" w:eastAsia="仿宋_GB2312" w:cs="Times New Roman"/>
                <w:sz w:val="18"/>
                <w:szCs w:val="18"/>
              </w:rPr>
              <w:t>　</w:t>
            </w:r>
            <w:r>
              <w:rPr>
                <w:rFonts w:hint="eastAsia" w:ascii="仿宋_GB2312" w:hAnsi="仿宋" w:eastAsia="仿宋_GB2312" w:cs="Times New Roman"/>
                <w:sz w:val="18"/>
                <w:szCs w:val="18"/>
                <w:lang w:eastAsia="zh-CN"/>
              </w:rPr>
              <w:t>定性</w:t>
            </w:r>
          </w:p>
        </w:tc>
        <w:tc>
          <w:tcPr>
            <w:tcW w:w="600" w:type="pct"/>
            <w:tcBorders>
              <w:top w:val="nil"/>
              <w:left w:val="nil"/>
              <w:bottom w:val="nil"/>
              <w:right w:val="single" w:color="auto" w:sz="4" w:space="0"/>
            </w:tcBorders>
            <w:noWrap/>
            <w:vAlign w:val="bottom"/>
          </w:tcPr>
          <w:p>
            <w:pPr>
              <w:widowControl/>
              <w:jc w:val="left"/>
              <w:rPr>
                <w:rFonts w:hint="eastAsia" w:ascii="仿宋_GB2312" w:hAnsi="仿宋" w:eastAsia="仿宋_GB2312" w:cs="Times New Roman"/>
                <w:sz w:val="18"/>
                <w:szCs w:val="18"/>
                <w:lang w:eastAsia="zh-CN"/>
              </w:rPr>
            </w:pPr>
            <w:r>
              <w:rPr>
                <w:rFonts w:hint="eastAsia" w:ascii="仿宋_GB2312" w:hAnsi="仿宋" w:eastAsia="仿宋_GB2312" w:cs="Times New Roman"/>
                <w:sz w:val="18"/>
                <w:szCs w:val="18"/>
              </w:rPr>
              <w:t>　</w:t>
            </w:r>
            <w:r>
              <w:rPr>
                <w:rFonts w:hint="eastAsia" w:ascii="仿宋_GB2312" w:hAnsi="仿宋" w:eastAsia="仿宋_GB2312" w:cs="Times New Roman"/>
                <w:sz w:val="18"/>
                <w:szCs w:val="18"/>
                <w:lang w:eastAsia="zh-CN"/>
              </w:rPr>
              <w:t>优</w:t>
            </w:r>
          </w:p>
        </w:tc>
        <w:tc>
          <w:tcPr>
            <w:tcW w:w="438" w:type="pct"/>
            <w:tcBorders>
              <w:top w:val="nil"/>
              <w:left w:val="nil"/>
              <w:bottom w:val="nil"/>
              <w:right w:val="single" w:color="auto" w:sz="4" w:space="0"/>
            </w:tcBorders>
          </w:tcPr>
          <w:p>
            <w:pPr>
              <w:widowControl/>
              <w:jc w:val="left"/>
              <w:rPr>
                <w:rFonts w:hint="eastAsia" w:ascii="仿宋_GB2312" w:hAnsi="仿宋" w:eastAsia="仿宋_GB2312" w:cs="Times New Roman"/>
                <w:sz w:val="18"/>
                <w:szCs w:val="18"/>
                <w:lang w:eastAsia="zh-CN"/>
              </w:rPr>
            </w:pPr>
            <w:r>
              <w:rPr>
                <w:rFonts w:hint="eastAsia" w:ascii="仿宋_GB2312" w:hAnsi="仿宋" w:eastAsia="仿宋_GB2312" w:cs="Times New Roman"/>
                <w:sz w:val="18"/>
                <w:szCs w:val="18"/>
                <w:lang w:eastAsia="zh-CN"/>
              </w:rPr>
              <w:t>项</w:t>
            </w:r>
          </w:p>
        </w:tc>
        <w:tc>
          <w:tcPr>
            <w:tcW w:w="357" w:type="pct"/>
            <w:tcBorders>
              <w:top w:val="nil"/>
              <w:left w:val="nil"/>
              <w:bottom w:val="nil"/>
              <w:right w:val="single" w:color="auto" w:sz="4" w:space="0"/>
            </w:tcBorders>
          </w:tcPr>
          <w:p>
            <w:pPr>
              <w:widowControl/>
              <w:jc w:val="left"/>
              <w:rPr>
                <w:rFonts w:ascii="仿宋_GB2312" w:hAnsi="仿宋" w:eastAsia="仿宋_GB2312" w:cs="Times New Roman"/>
                <w:sz w:val="18"/>
                <w:szCs w:val="18"/>
              </w:rPr>
            </w:pPr>
          </w:p>
        </w:tc>
      </w:tr>
      <w:tr>
        <w:tblPrEx>
          <w:tblCellMar>
            <w:top w:w="0" w:type="dxa"/>
            <w:left w:w="108" w:type="dxa"/>
            <w:bottom w:w="0" w:type="dxa"/>
            <w:right w:w="108" w:type="dxa"/>
          </w:tblCellMar>
        </w:tblPrEx>
        <w:trPr>
          <w:trHeight w:val="275" w:hRule="atLeast"/>
        </w:trPr>
        <w:tc>
          <w:tcPr>
            <w:tcW w:w="326" w:type="pct"/>
            <w:tcBorders>
              <w:top w:val="nil"/>
              <w:left w:val="single" w:color="auto" w:sz="4" w:space="0"/>
              <w:bottom w:val="nil"/>
              <w:right w:val="single" w:color="auto" w:sz="4" w:space="0"/>
            </w:tcBorders>
            <w:noWrap/>
            <w:vAlign w:val="bottom"/>
          </w:tcPr>
          <w:p>
            <w:pPr>
              <w:widowControl/>
              <w:jc w:val="left"/>
              <w:rPr>
                <w:rFonts w:hint="eastAsia" w:ascii="仿宋_GB2312" w:hAnsi="仿宋" w:eastAsia="仿宋_GB2312" w:cs="Times New Roman"/>
                <w:sz w:val="18"/>
                <w:szCs w:val="18"/>
                <w:lang w:val="en-US" w:eastAsia="zh-CN"/>
              </w:rPr>
            </w:pPr>
            <w:r>
              <w:rPr>
                <w:rFonts w:hint="eastAsia" w:ascii="仿宋_GB2312" w:hAnsi="仿宋" w:eastAsia="仿宋_GB2312" w:cs="Times New Roman"/>
                <w:sz w:val="18"/>
                <w:szCs w:val="18"/>
                <w:lang w:val="en-US" w:eastAsia="zh-CN"/>
              </w:rPr>
              <w:t>5</w:t>
            </w:r>
          </w:p>
        </w:tc>
        <w:tc>
          <w:tcPr>
            <w:tcW w:w="1646" w:type="pct"/>
            <w:tcBorders>
              <w:top w:val="nil"/>
              <w:left w:val="nil"/>
              <w:bottom w:val="nil"/>
              <w:right w:val="single" w:color="auto" w:sz="4" w:space="0"/>
            </w:tcBorders>
            <w:noWrap/>
            <w:vAlign w:val="top"/>
          </w:tcPr>
          <w:p>
            <w:pPr>
              <w:widowControl/>
              <w:jc w:val="both"/>
              <w:rPr>
                <w:rFonts w:hint="eastAsia" w:ascii="仿宋_GB2312" w:hAnsi="仿宋" w:eastAsia="仿宋_GB2312" w:cs="Times New Roman"/>
                <w:sz w:val="18"/>
                <w:szCs w:val="18"/>
              </w:rPr>
            </w:pPr>
            <w:r>
              <w:rPr>
                <w:rFonts w:hint="eastAsia" w:ascii="仿宋_GB2312" w:hAnsi="仿宋" w:eastAsia="仿宋_GB2312" w:cs="Times New Roman"/>
                <w:sz w:val="18"/>
                <w:szCs w:val="18"/>
              </w:rPr>
              <w:t>效益指标可持续影响指标全力保障民生，提升行业管理水平</w:t>
            </w:r>
          </w:p>
        </w:tc>
        <w:tc>
          <w:tcPr>
            <w:tcW w:w="1630" w:type="pct"/>
            <w:tcBorders>
              <w:top w:val="nil"/>
              <w:left w:val="nil"/>
              <w:bottom w:val="nil"/>
              <w:right w:val="single" w:color="auto" w:sz="4" w:space="0"/>
            </w:tcBorders>
            <w:noWrap/>
            <w:vAlign w:val="bottom"/>
          </w:tcPr>
          <w:p>
            <w:pPr>
              <w:widowControl/>
              <w:jc w:val="left"/>
              <w:rPr>
                <w:rFonts w:hint="eastAsia" w:ascii="仿宋_GB2312" w:hAnsi="仿宋" w:eastAsia="仿宋_GB2312" w:cs="Times New Roman"/>
                <w:sz w:val="18"/>
                <w:szCs w:val="18"/>
                <w:lang w:eastAsia="zh-CN"/>
              </w:rPr>
            </w:pPr>
            <w:r>
              <w:rPr>
                <w:rFonts w:hint="eastAsia" w:ascii="仿宋_GB2312" w:hAnsi="仿宋" w:eastAsia="仿宋_GB2312" w:cs="Times New Roman"/>
                <w:sz w:val="18"/>
                <w:szCs w:val="18"/>
                <w:lang w:eastAsia="zh-CN"/>
              </w:rPr>
              <w:t>定性</w:t>
            </w:r>
          </w:p>
        </w:tc>
        <w:tc>
          <w:tcPr>
            <w:tcW w:w="600" w:type="pct"/>
            <w:tcBorders>
              <w:top w:val="nil"/>
              <w:left w:val="nil"/>
              <w:bottom w:val="nil"/>
              <w:right w:val="single" w:color="auto" w:sz="4" w:space="0"/>
            </w:tcBorders>
            <w:noWrap/>
            <w:vAlign w:val="bottom"/>
          </w:tcPr>
          <w:p>
            <w:pPr>
              <w:widowControl/>
              <w:jc w:val="left"/>
              <w:rPr>
                <w:rFonts w:hint="eastAsia" w:ascii="仿宋_GB2312" w:hAnsi="仿宋" w:eastAsia="仿宋_GB2312" w:cs="Times New Roman"/>
                <w:sz w:val="18"/>
                <w:szCs w:val="18"/>
                <w:lang w:eastAsia="zh-CN"/>
              </w:rPr>
            </w:pPr>
            <w:r>
              <w:rPr>
                <w:rFonts w:hint="eastAsia" w:ascii="仿宋_GB2312" w:hAnsi="仿宋" w:eastAsia="仿宋_GB2312" w:cs="Times New Roman"/>
                <w:sz w:val="18"/>
                <w:szCs w:val="18"/>
                <w:lang w:eastAsia="zh-CN"/>
              </w:rPr>
              <w:t>优</w:t>
            </w:r>
          </w:p>
        </w:tc>
        <w:tc>
          <w:tcPr>
            <w:tcW w:w="438" w:type="pct"/>
            <w:tcBorders>
              <w:top w:val="nil"/>
              <w:left w:val="nil"/>
              <w:bottom w:val="nil"/>
              <w:right w:val="single" w:color="auto" w:sz="4" w:space="0"/>
            </w:tcBorders>
          </w:tcPr>
          <w:p>
            <w:pPr>
              <w:widowControl/>
              <w:jc w:val="left"/>
              <w:rPr>
                <w:rFonts w:hint="eastAsia" w:ascii="仿宋_GB2312" w:hAnsi="仿宋" w:eastAsia="仿宋_GB2312" w:cs="Times New Roman"/>
                <w:sz w:val="18"/>
                <w:szCs w:val="18"/>
                <w:lang w:eastAsia="zh-CN"/>
              </w:rPr>
            </w:pPr>
            <w:r>
              <w:rPr>
                <w:rFonts w:hint="eastAsia" w:ascii="仿宋_GB2312" w:hAnsi="仿宋" w:eastAsia="仿宋_GB2312" w:cs="Times New Roman"/>
                <w:sz w:val="18"/>
                <w:szCs w:val="18"/>
                <w:lang w:eastAsia="zh-CN"/>
              </w:rPr>
              <w:t>项</w:t>
            </w:r>
          </w:p>
        </w:tc>
        <w:tc>
          <w:tcPr>
            <w:tcW w:w="357" w:type="pct"/>
            <w:tcBorders>
              <w:top w:val="nil"/>
              <w:left w:val="nil"/>
              <w:bottom w:val="nil"/>
              <w:right w:val="single" w:color="auto" w:sz="4" w:space="0"/>
            </w:tcBorders>
          </w:tcPr>
          <w:p>
            <w:pPr>
              <w:widowControl/>
              <w:jc w:val="left"/>
              <w:rPr>
                <w:rFonts w:ascii="仿宋_GB2312" w:hAnsi="仿宋" w:eastAsia="仿宋_GB2312" w:cs="Times New Roman"/>
                <w:sz w:val="18"/>
                <w:szCs w:val="18"/>
              </w:rPr>
            </w:pPr>
          </w:p>
        </w:tc>
      </w:tr>
      <w:tr>
        <w:tblPrEx>
          <w:tblCellMar>
            <w:top w:w="0" w:type="dxa"/>
            <w:left w:w="108" w:type="dxa"/>
            <w:bottom w:w="0" w:type="dxa"/>
            <w:right w:w="108" w:type="dxa"/>
          </w:tblCellMar>
        </w:tblPrEx>
        <w:trPr>
          <w:trHeight w:val="275" w:hRule="atLeast"/>
        </w:trPr>
        <w:tc>
          <w:tcPr>
            <w:tcW w:w="326" w:type="pct"/>
            <w:tcBorders>
              <w:top w:val="nil"/>
              <w:left w:val="single" w:color="auto" w:sz="4" w:space="0"/>
              <w:bottom w:val="single" w:color="auto" w:sz="4" w:space="0"/>
              <w:right w:val="single" w:color="auto" w:sz="4" w:space="0"/>
            </w:tcBorders>
            <w:noWrap/>
            <w:vAlign w:val="bottom"/>
          </w:tcPr>
          <w:p>
            <w:pPr>
              <w:widowControl/>
              <w:jc w:val="left"/>
              <w:rPr>
                <w:rFonts w:hint="eastAsia" w:ascii="仿宋_GB2312" w:hAnsi="仿宋" w:eastAsia="仿宋_GB2312" w:cs="Times New Roman"/>
                <w:sz w:val="18"/>
                <w:szCs w:val="18"/>
                <w:lang w:val="en-US" w:eastAsia="zh-CN"/>
              </w:rPr>
            </w:pPr>
            <w:r>
              <w:rPr>
                <w:rFonts w:hint="eastAsia" w:ascii="仿宋_GB2312" w:hAnsi="仿宋" w:eastAsia="仿宋_GB2312" w:cs="Times New Roman"/>
                <w:sz w:val="18"/>
                <w:szCs w:val="18"/>
                <w:lang w:val="en-US" w:eastAsia="zh-CN"/>
              </w:rPr>
              <w:t>6</w:t>
            </w:r>
          </w:p>
        </w:tc>
        <w:tc>
          <w:tcPr>
            <w:tcW w:w="1646" w:type="pct"/>
            <w:tcBorders>
              <w:top w:val="nil"/>
              <w:left w:val="nil"/>
              <w:bottom w:val="single" w:color="auto" w:sz="4" w:space="0"/>
              <w:right w:val="single" w:color="auto" w:sz="4" w:space="0"/>
            </w:tcBorders>
            <w:noWrap/>
            <w:vAlign w:val="top"/>
          </w:tcPr>
          <w:p>
            <w:pPr>
              <w:widowControl/>
              <w:jc w:val="both"/>
              <w:rPr>
                <w:rFonts w:hint="eastAsia" w:ascii="仿宋_GB2312" w:hAnsi="仿宋" w:eastAsia="仿宋_GB2312" w:cs="Times New Roman"/>
                <w:sz w:val="18"/>
                <w:szCs w:val="18"/>
              </w:rPr>
            </w:pPr>
            <w:r>
              <w:rPr>
                <w:rFonts w:hint="eastAsia" w:ascii="仿宋_GB2312" w:hAnsi="仿宋" w:eastAsia="仿宋_GB2312" w:cs="Times New Roman"/>
                <w:sz w:val="18"/>
                <w:szCs w:val="18"/>
              </w:rPr>
              <w:t>满意度95%以上</w:t>
            </w:r>
          </w:p>
        </w:tc>
        <w:tc>
          <w:tcPr>
            <w:tcW w:w="1630" w:type="pct"/>
            <w:tcBorders>
              <w:top w:val="nil"/>
              <w:left w:val="nil"/>
              <w:bottom w:val="single" w:color="auto" w:sz="4" w:space="0"/>
              <w:right w:val="single" w:color="auto" w:sz="4" w:space="0"/>
            </w:tcBorders>
            <w:noWrap/>
            <w:vAlign w:val="bottom"/>
          </w:tcPr>
          <w:p>
            <w:pPr>
              <w:widowControl/>
              <w:jc w:val="left"/>
              <w:rPr>
                <w:rFonts w:hint="eastAsia" w:ascii="仿宋_GB2312" w:hAnsi="仿宋" w:eastAsia="仿宋_GB2312" w:cs="Times New Roman"/>
                <w:sz w:val="18"/>
                <w:szCs w:val="18"/>
              </w:rPr>
            </w:pPr>
            <w:r>
              <w:rPr>
                <w:rFonts w:hint="eastAsia" w:ascii="东文宋体" w:hAnsi="东文宋体" w:eastAsia="东文宋体" w:cs="东文宋体"/>
                <w:sz w:val="18"/>
                <w:szCs w:val="18"/>
              </w:rPr>
              <w:t>≥</w:t>
            </w:r>
          </w:p>
        </w:tc>
        <w:tc>
          <w:tcPr>
            <w:tcW w:w="600" w:type="pct"/>
            <w:tcBorders>
              <w:top w:val="nil"/>
              <w:left w:val="nil"/>
              <w:bottom w:val="single" w:color="auto" w:sz="4" w:space="0"/>
              <w:right w:val="single" w:color="auto" w:sz="4" w:space="0"/>
            </w:tcBorders>
            <w:noWrap/>
            <w:vAlign w:val="bottom"/>
          </w:tcPr>
          <w:p>
            <w:pPr>
              <w:widowControl/>
              <w:jc w:val="left"/>
              <w:rPr>
                <w:rFonts w:hint="default" w:ascii="仿宋_GB2312" w:hAnsi="仿宋" w:eastAsia="仿宋_GB2312" w:cs="Times New Roman"/>
                <w:sz w:val="18"/>
                <w:szCs w:val="18"/>
                <w:lang w:val="en-US" w:eastAsia="zh-CN"/>
              </w:rPr>
            </w:pPr>
            <w:r>
              <w:rPr>
                <w:rFonts w:hint="eastAsia" w:ascii="仿宋_GB2312" w:hAnsi="仿宋" w:eastAsia="仿宋_GB2312" w:cs="Times New Roman"/>
                <w:sz w:val="18"/>
                <w:szCs w:val="18"/>
                <w:lang w:val="en-US" w:eastAsia="zh-CN"/>
              </w:rPr>
              <w:t>95</w:t>
            </w:r>
          </w:p>
        </w:tc>
        <w:tc>
          <w:tcPr>
            <w:tcW w:w="438" w:type="pct"/>
            <w:tcBorders>
              <w:top w:val="nil"/>
              <w:left w:val="nil"/>
              <w:bottom w:val="single" w:color="auto" w:sz="4" w:space="0"/>
              <w:right w:val="single" w:color="auto" w:sz="4" w:space="0"/>
            </w:tcBorders>
          </w:tcPr>
          <w:p>
            <w:pPr>
              <w:widowControl/>
              <w:jc w:val="left"/>
              <w:rPr>
                <w:rFonts w:hint="eastAsia" w:ascii="仿宋_GB2312" w:hAnsi="仿宋" w:eastAsia="仿宋_GB2312" w:cs="Times New Roman"/>
                <w:sz w:val="18"/>
                <w:szCs w:val="18"/>
                <w:lang w:val="en-US" w:eastAsia="zh-CN"/>
              </w:rPr>
            </w:pPr>
            <w:r>
              <w:rPr>
                <w:rFonts w:hint="eastAsia" w:ascii="仿宋_GB2312" w:hAnsi="仿宋" w:eastAsia="仿宋_GB2312" w:cs="Times New Roman"/>
                <w:sz w:val="18"/>
                <w:szCs w:val="18"/>
                <w:lang w:val="en-US" w:eastAsia="zh-CN"/>
              </w:rPr>
              <w:t>%</w:t>
            </w:r>
          </w:p>
        </w:tc>
        <w:tc>
          <w:tcPr>
            <w:tcW w:w="357" w:type="pct"/>
            <w:tcBorders>
              <w:top w:val="nil"/>
              <w:left w:val="nil"/>
              <w:bottom w:val="single" w:color="auto" w:sz="4" w:space="0"/>
              <w:right w:val="single" w:color="auto" w:sz="4" w:space="0"/>
            </w:tcBorders>
          </w:tcPr>
          <w:p>
            <w:pPr>
              <w:widowControl/>
              <w:jc w:val="left"/>
              <w:rPr>
                <w:rFonts w:ascii="仿宋_GB2312" w:hAnsi="仿宋" w:eastAsia="仿宋_GB2312" w:cs="Times New Roman"/>
                <w:sz w:val="18"/>
                <w:szCs w:val="18"/>
              </w:rPr>
            </w:pPr>
          </w:p>
        </w:tc>
      </w:tr>
    </w:tbl>
    <w:p>
      <w:pPr>
        <w:widowControl/>
        <w:adjustRightInd w:val="0"/>
        <w:snapToGrid w:val="0"/>
        <w:spacing w:line="520" w:lineRule="exact"/>
        <w:ind w:firstLine="636" w:firstLineChars="200"/>
        <w:rPr>
          <w:rFonts w:ascii="黑体" w:hAnsi="黑体" w:eastAsia="黑体" w:cs="宋体"/>
          <w:sz w:val="32"/>
          <w:szCs w:val="32"/>
        </w:rPr>
      </w:pPr>
      <w:bookmarkStart w:id="3" w:name="_Toc268005761"/>
      <w:r>
        <w:rPr>
          <w:rFonts w:hint="eastAsia" w:ascii="黑体" w:hAnsi="黑体" w:eastAsia="黑体" w:cs="宋体"/>
          <w:sz w:val="32"/>
          <w:szCs w:val="32"/>
        </w:rPr>
        <w:t>二、当年预算执行情况</w:t>
      </w:r>
    </w:p>
    <w:p>
      <w:pPr>
        <w:spacing w:line="520" w:lineRule="exact"/>
        <w:ind w:firstLine="636" w:firstLineChars="200"/>
        <w:rPr>
          <w:rFonts w:ascii="仿宋_GB2312" w:hAnsi="仿宋" w:eastAsia="仿宋_GB2312" w:cs="Times New Roman"/>
          <w:sz w:val="32"/>
          <w:szCs w:val="32"/>
        </w:rPr>
      </w:pPr>
      <w:r>
        <w:rPr>
          <w:rFonts w:ascii="仿宋_GB2312" w:hAnsi="仿宋" w:eastAsia="仿宋_GB2312" w:cs="Times New Roman"/>
          <w:sz w:val="32"/>
          <w:szCs w:val="32"/>
        </w:rPr>
        <w:t>202</w:t>
      </w:r>
      <w:r>
        <w:rPr>
          <w:rFonts w:hint="eastAsia" w:ascii="仿宋_GB2312" w:hAnsi="仿宋" w:eastAsia="仿宋_GB2312" w:cs="Times New Roman"/>
          <w:sz w:val="32"/>
          <w:szCs w:val="32"/>
        </w:rPr>
        <w:t>5年全年预算数97104.96万元，其中：基本支出5083.26万元，占比</w:t>
      </w:r>
      <w:r>
        <w:rPr>
          <w:rFonts w:hint="eastAsia" w:ascii="仿宋_GB2312" w:hAnsi="仿宋" w:eastAsia="仿宋_GB2312" w:cs="Times New Roman"/>
          <w:sz w:val="32"/>
          <w:szCs w:val="32"/>
          <w:lang w:val="en-US" w:eastAsia="zh-CN"/>
        </w:rPr>
        <w:t>5.2</w:t>
      </w:r>
      <w:r>
        <w:rPr>
          <w:rFonts w:ascii="仿宋_GB2312" w:hAnsi="仿宋" w:eastAsia="仿宋_GB2312" w:cs="Times New Roman"/>
          <w:sz w:val="32"/>
          <w:szCs w:val="32"/>
        </w:rPr>
        <w:t>%</w:t>
      </w:r>
      <w:r>
        <w:rPr>
          <w:rFonts w:hint="eastAsia" w:ascii="仿宋_GB2312" w:hAnsi="仿宋" w:eastAsia="仿宋_GB2312" w:cs="Times New Roman"/>
          <w:sz w:val="32"/>
          <w:szCs w:val="32"/>
        </w:rPr>
        <w:t>；项目支出92021.7</w:t>
      </w:r>
      <w:r>
        <w:rPr>
          <w:rFonts w:hint="eastAsia" w:ascii="仿宋_GB2312" w:hAnsi="仿宋" w:eastAsia="仿宋_GB2312" w:cs="Times New Roman"/>
          <w:sz w:val="32"/>
          <w:szCs w:val="32"/>
          <w:lang w:val="en-US" w:eastAsia="zh-CN"/>
        </w:rPr>
        <w:t>0</w:t>
      </w:r>
      <w:r>
        <w:rPr>
          <w:rFonts w:hint="eastAsia" w:ascii="仿宋_GB2312" w:hAnsi="仿宋" w:eastAsia="仿宋_GB2312" w:cs="Times New Roman"/>
          <w:sz w:val="32"/>
          <w:szCs w:val="32"/>
        </w:rPr>
        <w:t>万元，占比</w:t>
      </w:r>
      <w:r>
        <w:rPr>
          <w:rFonts w:hint="eastAsia" w:ascii="仿宋_GB2312" w:hAnsi="仿宋" w:eastAsia="仿宋_GB2312" w:cs="Times New Roman"/>
          <w:sz w:val="32"/>
          <w:szCs w:val="32"/>
          <w:lang w:val="en-US" w:eastAsia="zh-CN"/>
        </w:rPr>
        <w:t>94.8</w:t>
      </w:r>
      <w:r>
        <w:rPr>
          <w:rFonts w:ascii="仿宋_GB2312" w:hAnsi="仿宋" w:eastAsia="仿宋_GB2312" w:cs="Times New Roman"/>
          <w:sz w:val="32"/>
          <w:szCs w:val="32"/>
        </w:rPr>
        <w:t>%</w:t>
      </w:r>
      <w:r>
        <w:rPr>
          <w:rFonts w:hint="eastAsia" w:ascii="仿宋_GB2312" w:hAnsi="仿宋" w:eastAsia="仿宋_GB2312" w:cs="Times New Roman"/>
          <w:sz w:val="32"/>
          <w:szCs w:val="32"/>
        </w:rPr>
        <w:t>；其他支出</w:t>
      </w:r>
      <w:r>
        <w:rPr>
          <w:rFonts w:hint="eastAsia" w:ascii="仿宋_GB2312" w:hAnsi="仿宋" w:eastAsia="仿宋_GB2312" w:cs="Times New Roman"/>
          <w:sz w:val="32"/>
          <w:szCs w:val="32"/>
          <w:lang w:val="en-US" w:eastAsia="zh-CN"/>
        </w:rPr>
        <w:t>0.00</w:t>
      </w:r>
      <w:r>
        <w:rPr>
          <w:rFonts w:hint="eastAsia" w:ascii="仿宋_GB2312" w:hAnsi="仿宋" w:eastAsia="仿宋_GB2312" w:cs="Times New Roman"/>
          <w:sz w:val="32"/>
          <w:szCs w:val="32"/>
        </w:rPr>
        <w:t>万元，占比</w:t>
      </w:r>
      <w:r>
        <w:rPr>
          <w:rFonts w:hint="eastAsia" w:ascii="仿宋_GB2312" w:hAnsi="仿宋" w:eastAsia="仿宋_GB2312" w:cs="Times New Roman"/>
          <w:sz w:val="32"/>
          <w:szCs w:val="32"/>
          <w:lang w:val="en-US" w:eastAsia="zh-CN"/>
        </w:rPr>
        <w:t>0.0</w:t>
      </w:r>
      <w:r>
        <w:rPr>
          <w:rFonts w:ascii="仿宋_GB2312" w:hAnsi="仿宋" w:eastAsia="仿宋_GB2312" w:cs="Times New Roman"/>
          <w:sz w:val="32"/>
          <w:szCs w:val="32"/>
        </w:rPr>
        <w:t>%</w:t>
      </w:r>
      <w:r>
        <w:rPr>
          <w:rFonts w:hint="eastAsia" w:ascii="仿宋_GB2312" w:hAnsi="仿宋" w:eastAsia="仿宋_GB2312" w:cs="Times New Roman"/>
          <w:sz w:val="32"/>
          <w:szCs w:val="32"/>
        </w:rPr>
        <w:t>。</w:t>
      </w:r>
    </w:p>
    <w:p>
      <w:pPr>
        <w:spacing w:line="520" w:lineRule="exact"/>
        <w:ind w:firstLine="636" w:firstLineChars="200"/>
        <w:rPr>
          <w:rFonts w:ascii="仿宋_GB2312" w:hAnsi="仿宋" w:eastAsia="仿宋_GB2312" w:cs="Times New Roman"/>
          <w:sz w:val="32"/>
          <w:szCs w:val="32"/>
        </w:rPr>
      </w:pPr>
      <w:r>
        <w:rPr>
          <w:rFonts w:hint="eastAsia" w:ascii="仿宋_GB2312" w:hAnsi="仿宋" w:eastAsia="仿宋_GB2312" w:cs="Times New Roman"/>
          <w:sz w:val="32"/>
          <w:szCs w:val="32"/>
        </w:rPr>
        <w:t>截止到</w:t>
      </w:r>
      <w:r>
        <w:rPr>
          <w:rFonts w:ascii="仿宋_GB2312" w:hAnsi="仿宋" w:eastAsia="仿宋_GB2312" w:cs="Times New Roman"/>
          <w:sz w:val="32"/>
          <w:szCs w:val="32"/>
        </w:rPr>
        <w:t>202</w:t>
      </w:r>
      <w:r>
        <w:rPr>
          <w:rFonts w:hint="eastAsia" w:ascii="仿宋_GB2312" w:hAnsi="仿宋" w:eastAsia="仿宋_GB2312" w:cs="Times New Roman"/>
          <w:sz w:val="32"/>
          <w:szCs w:val="32"/>
        </w:rPr>
        <w:t>5年</w:t>
      </w:r>
      <w:r>
        <w:rPr>
          <w:rFonts w:ascii="仿宋_GB2312" w:hAnsi="仿宋" w:eastAsia="仿宋_GB2312" w:cs="Times New Roman"/>
          <w:sz w:val="32"/>
          <w:szCs w:val="32"/>
        </w:rPr>
        <w:t>12</w:t>
      </w:r>
      <w:r>
        <w:rPr>
          <w:rFonts w:hint="eastAsia" w:ascii="仿宋_GB2312" w:hAnsi="仿宋" w:eastAsia="仿宋_GB2312" w:cs="Times New Roman"/>
          <w:sz w:val="32"/>
          <w:szCs w:val="32"/>
        </w:rPr>
        <w:t>月</w:t>
      </w:r>
      <w:r>
        <w:rPr>
          <w:rFonts w:ascii="仿宋_GB2312" w:hAnsi="仿宋" w:eastAsia="仿宋_GB2312" w:cs="Times New Roman"/>
          <w:sz w:val="32"/>
          <w:szCs w:val="32"/>
        </w:rPr>
        <w:t>31</w:t>
      </w:r>
      <w:r>
        <w:rPr>
          <w:rFonts w:hint="eastAsia" w:ascii="仿宋_GB2312" w:hAnsi="仿宋" w:eastAsia="仿宋_GB2312" w:cs="Times New Roman"/>
          <w:sz w:val="32"/>
          <w:szCs w:val="32"/>
        </w:rPr>
        <w:t>日，预算资金总体支出</w:t>
      </w:r>
      <w:r>
        <w:rPr>
          <w:rFonts w:hint="eastAsia" w:ascii="仿宋_GB2312" w:hAnsi="仿宋" w:eastAsia="仿宋_GB2312" w:cs="Times New Roman"/>
          <w:sz w:val="32"/>
          <w:szCs w:val="32"/>
          <w:lang w:val="en-US" w:eastAsia="zh-CN"/>
        </w:rPr>
        <w:t>91833.75</w:t>
      </w:r>
      <w:r>
        <w:rPr>
          <w:rFonts w:hint="eastAsia" w:ascii="仿宋_GB2312" w:hAnsi="仿宋" w:eastAsia="仿宋_GB2312" w:cs="Times New Roman"/>
          <w:sz w:val="32"/>
          <w:szCs w:val="32"/>
        </w:rPr>
        <w:t>万元，其中：基本支出</w:t>
      </w:r>
      <w:r>
        <w:rPr>
          <w:rFonts w:hint="eastAsia" w:ascii="仿宋_GB2312" w:hAnsi="仿宋" w:eastAsia="仿宋_GB2312" w:cs="Times New Roman"/>
          <w:sz w:val="32"/>
          <w:szCs w:val="32"/>
          <w:lang w:val="en-US" w:eastAsia="zh-CN"/>
        </w:rPr>
        <w:t>5083.26</w:t>
      </w:r>
      <w:r>
        <w:rPr>
          <w:rFonts w:hint="eastAsia" w:ascii="仿宋_GB2312" w:hAnsi="仿宋" w:eastAsia="仿宋_GB2312" w:cs="Times New Roman"/>
          <w:sz w:val="32"/>
          <w:szCs w:val="32"/>
        </w:rPr>
        <w:t>万元，占比</w:t>
      </w:r>
      <w:r>
        <w:rPr>
          <w:rFonts w:hint="eastAsia" w:ascii="仿宋_GB2312" w:hAnsi="仿宋" w:eastAsia="仿宋_GB2312" w:cs="Times New Roman"/>
          <w:sz w:val="32"/>
          <w:szCs w:val="32"/>
          <w:lang w:val="en-US" w:eastAsia="zh-CN"/>
        </w:rPr>
        <w:t>5.5</w:t>
      </w:r>
      <w:r>
        <w:rPr>
          <w:rFonts w:ascii="仿宋_GB2312" w:hAnsi="仿宋" w:eastAsia="仿宋_GB2312" w:cs="Times New Roman"/>
          <w:sz w:val="32"/>
          <w:szCs w:val="32"/>
        </w:rPr>
        <w:t>%</w:t>
      </w:r>
      <w:r>
        <w:rPr>
          <w:rFonts w:hint="eastAsia" w:ascii="仿宋_GB2312" w:hAnsi="仿宋" w:eastAsia="仿宋_GB2312" w:cs="Times New Roman"/>
          <w:sz w:val="32"/>
          <w:szCs w:val="32"/>
        </w:rPr>
        <w:t>；项目支出</w:t>
      </w:r>
      <w:r>
        <w:rPr>
          <w:rFonts w:hint="eastAsia" w:ascii="仿宋_GB2312" w:hAnsi="仿宋" w:eastAsia="仿宋_GB2312" w:cs="Times New Roman"/>
          <w:sz w:val="32"/>
          <w:szCs w:val="32"/>
          <w:lang w:val="en-US" w:eastAsia="zh-CN"/>
        </w:rPr>
        <w:t>86750.49</w:t>
      </w:r>
      <w:r>
        <w:rPr>
          <w:rFonts w:hint="eastAsia" w:ascii="仿宋_GB2312" w:hAnsi="仿宋" w:eastAsia="仿宋_GB2312" w:cs="Times New Roman"/>
          <w:sz w:val="32"/>
          <w:szCs w:val="32"/>
        </w:rPr>
        <w:t>万元，占比</w:t>
      </w:r>
      <w:r>
        <w:rPr>
          <w:rFonts w:hint="eastAsia" w:ascii="仿宋_GB2312" w:hAnsi="仿宋" w:eastAsia="仿宋_GB2312" w:cs="Times New Roman"/>
          <w:sz w:val="32"/>
          <w:szCs w:val="32"/>
          <w:lang w:val="en-US" w:eastAsia="zh-CN"/>
        </w:rPr>
        <w:t>94.5</w:t>
      </w:r>
      <w:r>
        <w:rPr>
          <w:rFonts w:ascii="仿宋_GB2312" w:hAnsi="仿宋" w:eastAsia="仿宋_GB2312" w:cs="Times New Roman"/>
          <w:sz w:val="32"/>
          <w:szCs w:val="32"/>
        </w:rPr>
        <w:t>%</w:t>
      </w:r>
      <w:r>
        <w:rPr>
          <w:rFonts w:hint="eastAsia" w:ascii="仿宋_GB2312" w:hAnsi="仿宋" w:eastAsia="仿宋_GB2312" w:cs="Times New Roman"/>
          <w:sz w:val="32"/>
          <w:szCs w:val="32"/>
        </w:rPr>
        <w:t>；其他支出</w:t>
      </w:r>
      <w:r>
        <w:rPr>
          <w:rFonts w:hint="eastAsia" w:ascii="仿宋_GB2312" w:hAnsi="仿宋" w:eastAsia="仿宋_GB2312" w:cs="Times New Roman"/>
          <w:sz w:val="32"/>
          <w:szCs w:val="32"/>
          <w:lang w:val="en-US" w:eastAsia="zh-CN"/>
        </w:rPr>
        <w:t>0.00</w:t>
      </w:r>
      <w:r>
        <w:rPr>
          <w:rFonts w:hint="eastAsia" w:ascii="仿宋_GB2312" w:hAnsi="仿宋" w:eastAsia="仿宋_GB2312" w:cs="Times New Roman"/>
          <w:sz w:val="32"/>
          <w:szCs w:val="32"/>
        </w:rPr>
        <w:t>万元，占比</w:t>
      </w:r>
      <w:r>
        <w:rPr>
          <w:rFonts w:hint="eastAsia" w:ascii="仿宋_GB2312" w:hAnsi="仿宋" w:eastAsia="仿宋_GB2312" w:cs="Times New Roman"/>
          <w:sz w:val="32"/>
          <w:szCs w:val="32"/>
          <w:lang w:val="en-US" w:eastAsia="zh-CN"/>
        </w:rPr>
        <w:t>0.00</w:t>
      </w:r>
      <w:r>
        <w:rPr>
          <w:rFonts w:ascii="仿宋_GB2312" w:hAnsi="仿宋" w:eastAsia="仿宋_GB2312" w:cs="Times New Roman"/>
          <w:sz w:val="32"/>
          <w:szCs w:val="32"/>
        </w:rPr>
        <w:t>%</w:t>
      </w:r>
      <w:r>
        <w:rPr>
          <w:rFonts w:hint="eastAsia" w:ascii="仿宋_GB2312" w:hAnsi="仿宋" w:eastAsia="仿宋_GB2312" w:cs="Times New Roman"/>
          <w:sz w:val="32"/>
          <w:szCs w:val="32"/>
        </w:rPr>
        <w:t>。部门预算执行率为</w:t>
      </w:r>
      <w:r>
        <w:rPr>
          <w:rFonts w:hint="eastAsia" w:ascii="仿宋_GB2312" w:hAnsi="仿宋" w:eastAsia="仿宋_GB2312" w:cs="Times New Roman"/>
          <w:sz w:val="32"/>
          <w:szCs w:val="32"/>
          <w:lang w:val="en-US" w:eastAsia="zh-CN"/>
        </w:rPr>
        <w:t>94.6</w:t>
      </w:r>
      <w:r>
        <w:rPr>
          <w:rFonts w:ascii="仿宋_GB2312" w:hAnsi="仿宋" w:eastAsia="仿宋_GB2312" w:cs="Times New Roman"/>
          <w:sz w:val="32"/>
          <w:szCs w:val="32"/>
        </w:rPr>
        <w:t>%</w:t>
      </w:r>
      <w:r>
        <w:rPr>
          <w:rFonts w:hint="eastAsia" w:ascii="仿宋_GB2312" w:hAnsi="仿宋" w:eastAsia="仿宋_GB2312" w:cs="Times New Roman"/>
          <w:sz w:val="32"/>
          <w:szCs w:val="32"/>
        </w:rPr>
        <w:t>。</w:t>
      </w:r>
      <w:r>
        <w:rPr>
          <w:rFonts w:ascii="仿宋_GB2312" w:hAnsi="仿宋" w:eastAsia="仿宋_GB2312" w:cs="Times New Roman"/>
          <w:sz w:val="32"/>
          <w:szCs w:val="32"/>
        </w:rPr>
        <w:t xml:space="preserve">                               </w:t>
      </w:r>
    </w:p>
    <w:bookmarkEnd w:id="3"/>
    <w:p>
      <w:pPr>
        <w:spacing w:line="520" w:lineRule="exact"/>
        <w:ind w:firstLine="636" w:firstLineChars="200"/>
        <w:rPr>
          <w:rFonts w:ascii="仿宋_GB2312" w:hAnsi="Times New Roman" w:eastAsia="仿宋_GB2312" w:cs="Times New Roman"/>
          <w:sz w:val="32"/>
          <w:szCs w:val="32"/>
        </w:rPr>
      </w:pPr>
      <w:r>
        <w:rPr>
          <w:rFonts w:ascii="仿宋_GB2312" w:hAnsi="仿宋" w:eastAsia="仿宋_GB2312" w:cs="Times New Roman"/>
          <w:sz w:val="32"/>
          <w:szCs w:val="32"/>
        </w:rPr>
        <w:t>202</w:t>
      </w:r>
      <w:r>
        <w:rPr>
          <w:rFonts w:hint="eastAsia" w:ascii="仿宋_GB2312" w:hAnsi="仿宋" w:eastAsia="仿宋_GB2312" w:cs="Times New Roman"/>
          <w:sz w:val="32"/>
          <w:szCs w:val="32"/>
        </w:rPr>
        <w:t>5年年末结转结余资金总额为</w:t>
      </w:r>
      <w:r>
        <w:rPr>
          <w:rFonts w:hint="eastAsia" w:ascii="仿宋_GB2312" w:hAnsi="Times New Roman" w:eastAsia="仿宋_GB2312" w:cs="Times New Roman"/>
          <w:sz w:val="32"/>
          <w:szCs w:val="32"/>
          <w:lang w:val="en-US" w:eastAsia="zh-CN"/>
        </w:rPr>
        <w:t>5271.21</w:t>
      </w:r>
      <w:r>
        <w:rPr>
          <w:rFonts w:hint="eastAsia" w:ascii="仿宋_GB2312" w:hAnsi="Times New Roman" w:eastAsia="仿宋_GB2312" w:cs="Times New Roman"/>
          <w:sz w:val="32"/>
          <w:szCs w:val="32"/>
        </w:rPr>
        <w:t>万元，全年支出预算数为</w:t>
      </w:r>
      <w:r>
        <w:rPr>
          <w:rFonts w:hint="eastAsia" w:ascii="仿宋_GB2312" w:hAnsi="仿宋" w:eastAsia="仿宋_GB2312" w:cs="Times New Roman"/>
          <w:sz w:val="32"/>
          <w:szCs w:val="32"/>
          <w:lang w:val="en-US" w:eastAsia="zh-CN"/>
        </w:rPr>
        <w:t>91833.75</w:t>
      </w:r>
      <w:r>
        <w:rPr>
          <w:rFonts w:hint="eastAsia" w:ascii="仿宋_GB2312" w:hAnsi="Times New Roman" w:eastAsia="仿宋_GB2312" w:cs="Times New Roman"/>
          <w:sz w:val="32"/>
          <w:szCs w:val="32"/>
        </w:rPr>
        <w:t>万元，资金结转结余率为</w:t>
      </w:r>
      <w:r>
        <w:rPr>
          <w:rFonts w:hint="eastAsia" w:ascii="仿宋_GB2312" w:hAnsi="Times New Roman" w:eastAsia="仿宋_GB2312" w:cs="Times New Roman"/>
          <w:sz w:val="32"/>
          <w:szCs w:val="32"/>
          <w:lang w:val="en-US" w:eastAsia="zh-CN"/>
        </w:rPr>
        <w:t>5.4</w:t>
      </w:r>
      <w:r>
        <w:rPr>
          <w:rFonts w:ascii="仿宋_GB2312" w:hAnsi="Times New Roman" w:eastAsia="仿宋_GB2312" w:cs="Times New Roman"/>
          <w:sz w:val="32"/>
          <w:szCs w:val="32"/>
        </w:rPr>
        <w:t>%</w:t>
      </w:r>
      <w:r>
        <w:rPr>
          <w:rFonts w:hint="eastAsia" w:ascii="仿宋_GB2312" w:hAnsi="Times New Roman" w:eastAsia="仿宋_GB2312" w:cs="Times New Roman"/>
          <w:sz w:val="32"/>
          <w:szCs w:val="32"/>
        </w:rPr>
        <w:t>；</w:t>
      </w:r>
      <w:r>
        <w:rPr>
          <w:rFonts w:ascii="仿宋_GB2312" w:hAnsi="仿宋" w:eastAsia="仿宋_GB2312" w:cs="Times New Roman"/>
          <w:sz w:val="32"/>
          <w:szCs w:val="32"/>
        </w:rPr>
        <w:t>202</w:t>
      </w:r>
      <w:r>
        <w:rPr>
          <w:rFonts w:hint="eastAsia" w:ascii="仿宋_GB2312" w:hAnsi="仿宋" w:eastAsia="仿宋_GB2312" w:cs="Times New Roman"/>
          <w:sz w:val="32"/>
          <w:szCs w:val="32"/>
        </w:rPr>
        <w:t>4年年末结转结余资金总额为</w:t>
      </w:r>
      <w:r>
        <w:rPr>
          <w:rFonts w:hint="eastAsia" w:ascii="仿宋_GB2312" w:hAnsi="Times New Roman" w:eastAsia="仿宋_GB2312" w:cs="Times New Roman"/>
          <w:sz w:val="32"/>
          <w:szCs w:val="32"/>
          <w:lang w:val="en-US" w:eastAsia="zh-CN"/>
        </w:rPr>
        <w:t>31237.34</w:t>
      </w:r>
      <w:r>
        <w:rPr>
          <w:rFonts w:hint="eastAsia" w:ascii="仿宋_GB2312" w:hAnsi="Times New Roman" w:eastAsia="仿宋_GB2312" w:cs="Times New Roman"/>
          <w:sz w:val="32"/>
          <w:szCs w:val="32"/>
        </w:rPr>
        <w:t>万元，全年支出预算数为</w:t>
      </w:r>
      <w:r>
        <w:rPr>
          <w:rFonts w:hint="eastAsia" w:ascii="仿宋_GB2312" w:hAnsi="仿宋" w:eastAsia="仿宋_GB2312" w:cs="Times New Roman"/>
          <w:sz w:val="32"/>
          <w:szCs w:val="32"/>
          <w:lang w:val="en-US" w:eastAsia="zh-CN"/>
        </w:rPr>
        <w:t>90831.37</w:t>
      </w:r>
      <w:r>
        <w:rPr>
          <w:rFonts w:hint="eastAsia" w:ascii="仿宋_GB2312" w:hAnsi="Times New Roman" w:eastAsia="仿宋_GB2312" w:cs="Times New Roman"/>
          <w:sz w:val="32"/>
          <w:szCs w:val="32"/>
        </w:rPr>
        <w:t>万元，资金结转结余率为</w:t>
      </w:r>
      <w:r>
        <w:rPr>
          <w:rFonts w:hint="eastAsia" w:ascii="仿宋_GB2312" w:hAnsi="Times New Roman" w:eastAsia="仿宋_GB2312" w:cs="Times New Roman"/>
          <w:sz w:val="32"/>
          <w:szCs w:val="32"/>
          <w:lang w:val="en-US" w:eastAsia="zh-CN"/>
        </w:rPr>
        <w:t>26</w:t>
      </w:r>
      <w:r>
        <w:rPr>
          <w:rFonts w:ascii="仿宋_GB2312" w:hAnsi="Times New Roman" w:eastAsia="仿宋_GB2312" w:cs="Times New Roman"/>
          <w:sz w:val="32"/>
          <w:szCs w:val="32"/>
        </w:rPr>
        <w:t>%</w:t>
      </w:r>
      <w:r>
        <w:rPr>
          <w:rFonts w:hint="eastAsia" w:ascii="仿宋_GB2312" w:hAnsi="Times New Roman" w:eastAsia="仿宋_GB2312" w:cs="Times New Roman"/>
          <w:sz w:val="32"/>
          <w:szCs w:val="32"/>
        </w:rPr>
        <w:t>；</w:t>
      </w:r>
      <w:r>
        <w:rPr>
          <w:rFonts w:ascii="仿宋_GB2312" w:hAnsi="Times New Roman" w:eastAsia="仿宋_GB2312" w:cs="Times New Roman"/>
          <w:sz w:val="32"/>
          <w:szCs w:val="32"/>
        </w:rPr>
        <w:t>202</w:t>
      </w:r>
      <w:r>
        <w:rPr>
          <w:rFonts w:hint="eastAsia" w:ascii="仿宋_GB2312" w:hAnsi="Times New Roman" w:eastAsia="仿宋_GB2312" w:cs="Times New Roman"/>
          <w:sz w:val="32"/>
          <w:szCs w:val="32"/>
        </w:rPr>
        <w:t>5年度部门结转结余率较上一年下降了</w:t>
      </w:r>
      <w:r>
        <w:rPr>
          <w:rFonts w:hint="eastAsia" w:ascii="仿宋_GB2312" w:hAnsi="Times New Roman" w:eastAsia="仿宋_GB2312" w:cs="Times New Roman"/>
          <w:sz w:val="32"/>
          <w:szCs w:val="32"/>
          <w:lang w:val="en-US" w:eastAsia="zh-CN"/>
        </w:rPr>
        <w:t>20.6</w:t>
      </w:r>
      <w:r>
        <w:rPr>
          <w:rFonts w:ascii="仿宋_GB2312" w:hAnsi="Times New Roman" w:eastAsia="仿宋_GB2312" w:cs="Times New Roman"/>
          <w:sz w:val="32"/>
          <w:szCs w:val="32"/>
        </w:rPr>
        <w:t>%</w:t>
      </w:r>
      <w:r>
        <w:rPr>
          <w:rFonts w:hint="eastAsia" w:ascii="仿宋_GB2312" w:hAnsi="Times New Roman" w:eastAsia="仿宋_GB2312" w:cs="Times New Roman"/>
          <w:sz w:val="32"/>
          <w:szCs w:val="32"/>
        </w:rPr>
        <w:t>。</w:t>
      </w:r>
    </w:p>
    <w:p>
      <w:pPr>
        <w:spacing w:line="520" w:lineRule="exact"/>
        <w:ind w:firstLine="636" w:firstLineChars="200"/>
        <w:rPr>
          <w:rFonts w:ascii="黑体" w:hAnsi="黑体" w:eastAsia="黑体" w:cs="Times New Roman"/>
          <w:sz w:val="32"/>
          <w:szCs w:val="32"/>
        </w:rPr>
      </w:pPr>
      <w:r>
        <w:rPr>
          <w:rFonts w:hint="eastAsia" w:ascii="黑体" w:hAnsi="黑体" w:eastAsia="黑体" w:cs="Times New Roman"/>
          <w:sz w:val="32"/>
          <w:szCs w:val="32"/>
        </w:rPr>
        <w:t>三、整体绩效目标实现情况</w:t>
      </w:r>
    </w:p>
    <w:p>
      <w:pPr>
        <w:spacing w:line="520" w:lineRule="exact"/>
        <w:ind w:firstLine="636" w:firstLineChars="200"/>
        <w:rPr>
          <w:rFonts w:ascii="楷体_GB2312" w:hAnsi="Times New Roman" w:eastAsia="楷体_GB2312" w:cs="Times New Roman"/>
          <w:sz w:val="32"/>
          <w:szCs w:val="32"/>
        </w:rPr>
      </w:pPr>
      <w:r>
        <w:rPr>
          <w:rFonts w:hint="eastAsia" w:ascii="楷体_GB2312" w:hAnsi="Times New Roman" w:eastAsia="楷体_GB2312" w:cs="Times New Roman"/>
          <w:sz w:val="32"/>
          <w:szCs w:val="32"/>
        </w:rPr>
        <w:t>（一）产出完成情况分析</w:t>
      </w:r>
    </w:p>
    <w:p>
      <w:pPr>
        <w:spacing w:line="520" w:lineRule="exact"/>
        <w:ind w:firstLine="636" w:firstLineChars="200"/>
        <w:rPr>
          <w:rFonts w:ascii="仿宋_GB2312" w:hAnsi="Times New Roman" w:eastAsia="仿宋_GB2312" w:cs="Times New Roman"/>
          <w:sz w:val="32"/>
          <w:szCs w:val="32"/>
        </w:rPr>
      </w:pPr>
      <w:r>
        <w:rPr>
          <w:rFonts w:ascii="仿宋_GB2312" w:hAnsi="Times New Roman" w:eastAsia="仿宋_GB2312" w:cs="Times New Roman"/>
          <w:sz w:val="32"/>
          <w:szCs w:val="32"/>
        </w:rPr>
        <w:t>1.</w:t>
      </w:r>
      <w:r>
        <w:rPr>
          <w:rFonts w:hint="eastAsia" w:ascii="仿宋_GB2312" w:hAnsi="Times New Roman" w:eastAsia="仿宋_GB2312" w:cs="Times New Roman"/>
          <w:sz w:val="32"/>
          <w:szCs w:val="32"/>
        </w:rPr>
        <w:t>产出数量</w:t>
      </w:r>
    </w:p>
    <w:tbl>
      <w:tblPr>
        <w:tblStyle w:val="5"/>
        <w:tblW w:w="9200" w:type="dxa"/>
        <w:tblInd w:w="108" w:type="dxa"/>
        <w:tblLayout w:type="autofit"/>
        <w:tblCellMar>
          <w:top w:w="0" w:type="dxa"/>
          <w:left w:w="108" w:type="dxa"/>
          <w:bottom w:w="0" w:type="dxa"/>
          <w:right w:w="108" w:type="dxa"/>
        </w:tblCellMar>
      </w:tblPr>
      <w:tblGrid>
        <w:gridCol w:w="800"/>
        <w:gridCol w:w="2100"/>
        <w:gridCol w:w="2100"/>
        <w:gridCol w:w="2100"/>
        <w:gridCol w:w="2100"/>
      </w:tblGrid>
      <w:tr>
        <w:tblPrEx>
          <w:tblCellMar>
            <w:top w:w="0" w:type="dxa"/>
            <w:left w:w="108" w:type="dxa"/>
            <w:bottom w:w="0" w:type="dxa"/>
            <w:right w:w="108" w:type="dxa"/>
          </w:tblCellMar>
        </w:tblPrEx>
        <w:trPr>
          <w:trHeight w:val="510" w:hRule="atLeast"/>
        </w:trPr>
        <w:tc>
          <w:tcPr>
            <w:tcW w:w="800" w:type="dxa"/>
            <w:tcBorders>
              <w:top w:val="single" w:color="auto" w:sz="4" w:space="0"/>
              <w:left w:val="single" w:color="auto" w:sz="4" w:space="0"/>
              <w:bottom w:val="single" w:color="auto" w:sz="4" w:space="0"/>
              <w:right w:val="single" w:color="auto" w:sz="4" w:space="0"/>
            </w:tcBorders>
            <w:vAlign w:val="center"/>
          </w:tcPr>
          <w:p>
            <w:pPr>
              <w:widowControl/>
              <w:spacing w:line="520" w:lineRule="exact"/>
              <w:jc w:val="center"/>
              <w:rPr>
                <w:rFonts w:ascii="仿宋_GB2312" w:hAnsi="宋体" w:eastAsia="仿宋_GB2312" w:cs="宋体"/>
                <w:color w:val="000000"/>
                <w:kern w:val="0"/>
                <w:sz w:val="28"/>
                <w:szCs w:val="28"/>
              </w:rPr>
            </w:pPr>
            <w:r>
              <w:rPr>
                <w:rFonts w:hint="eastAsia" w:ascii="仿宋_GB2312" w:hAnsi="宋体" w:eastAsia="仿宋_GB2312" w:cs="宋体"/>
                <w:color w:val="000000"/>
                <w:kern w:val="0"/>
                <w:sz w:val="28"/>
                <w:szCs w:val="28"/>
              </w:rPr>
              <w:t>序号</w:t>
            </w:r>
          </w:p>
        </w:tc>
        <w:tc>
          <w:tcPr>
            <w:tcW w:w="2100" w:type="dxa"/>
            <w:tcBorders>
              <w:top w:val="single" w:color="auto" w:sz="4" w:space="0"/>
              <w:left w:val="nil"/>
              <w:bottom w:val="single" w:color="auto" w:sz="4" w:space="0"/>
              <w:right w:val="single" w:color="auto" w:sz="4" w:space="0"/>
            </w:tcBorders>
            <w:vAlign w:val="center"/>
          </w:tcPr>
          <w:p>
            <w:pPr>
              <w:widowControl/>
              <w:spacing w:line="520" w:lineRule="exact"/>
              <w:jc w:val="center"/>
              <w:rPr>
                <w:rFonts w:ascii="仿宋_GB2312" w:hAnsi="宋体" w:eastAsia="仿宋_GB2312" w:cs="宋体"/>
                <w:color w:val="000000"/>
                <w:kern w:val="0"/>
                <w:sz w:val="28"/>
                <w:szCs w:val="28"/>
              </w:rPr>
            </w:pPr>
            <w:r>
              <w:rPr>
                <w:rFonts w:hint="eastAsia" w:ascii="仿宋_GB2312" w:hAnsi="宋体" w:eastAsia="仿宋_GB2312" w:cs="宋体"/>
                <w:color w:val="000000"/>
                <w:kern w:val="0"/>
                <w:sz w:val="28"/>
                <w:szCs w:val="28"/>
              </w:rPr>
              <w:t>三级指标</w:t>
            </w:r>
          </w:p>
        </w:tc>
        <w:tc>
          <w:tcPr>
            <w:tcW w:w="2100" w:type="dxa"/>
            <w:tcBorders>
              <w:top w:val="single" w:color="auto" w:sz="4" w:space="0"/>
              <w:left w:val="nil"/>
              <w:bottom w:val="single" w:color="auto" w:sz="4" w:space="0"/>
              <w:right w:val="single" w:color="auto" w:sz="4" w:space="0"/>
            </w:tcBorders>
            <w:vAlign w:val="center"/>
          </w:tcPr>
          <w:p>
            <w:pPr>
              <w:widowControl/>
              <w:spacing w:line="520" w:lineRule="exact"/>
              <w:jc w:val="center"/>
              <w:rPr>
                <w:rFonts w:ascii="仿宋_GB2312" w:hAnsi="宋体" w:eastAsia="仿宋_GB2312" w:cs="宋体"/>
                <w:color w:val="000000"/>
                <w:kern w:val="0"/>
                <w:sz w:val="28"/>
                <w:szCs w:val="28"/>
              </w:rPr>
            </w:pPr>
            <w:r>
              <w:rPr>
                <w:rFonts w:hint="eastAsia" w:ascii="仿宋_GB2312" w:hAnsi="宋体" w:eastAsia="仿宋_GB2312" w:cs="宋体"/>
                <w:color w:val="000000"/>
                <w:kern w:val="0"/>
                <w:sz w:val="28"/>
                <w:szCs w:val="28"/>
              </w:rPr>
              <w:t>计划值</w:t>
            </w:r>
          </w:p>
        </w:tc>
        <w:tc>
          <w:tcPr>
            <w:tcW w:w="2100" w:type="dxa"/>
            <w:tcBorders>
              <w:top w:val="single" w:color="auto" w:sz="4" w:space="0"/>
              <w:left w:val="nil"/>
              <w:bottom w:val="single" w:color="auto" w:sz="4" w:space="0"/>
              <w:right w:val="single" w:color="auto" w:sz="4" w:space="0"/>
            </w:tcBorders>
            <w:vAlign w:val="center"/>
          </w:tcPr>
          <w:p>
            <w:pPr>
              <w:widowControl/>
              <w:spacing w:line="520" w:lineRule="exact"/>
              <w:jc w:val="center"/>
              <w:rPr>
                <w:rFonts w:ascii="仿宋_GB2312" w:hAnsi="宋体" w:eastAsia="仿宋_GB2312" w:cs="宋体"/>
                <w:color w:val="000000"/>
                <w:kern w:val="0"/>
                <w:sz w:val="28"/>
                <w:szCs w:val="28"/>
              </w:rPr>
            </w:pPr>
            <w:r>
              <w:rPr>
                <w:rFonts w:hint="eastAsia" w:ascii="仿宋_GB2312" w:hAnsi="宋体" w:eastAsia="仿宋_GB2312" w:cs="宋体"/>
                <w:color w:val="000000"/>
                <w:kern w:val="0"/>
                <w:sz w:val="28"/>
                <w:szCs w:val="28"/>
              </w:rPr>
              <w:t>完成值</w:t>
            </w:r>
          </w:p>
        </w:tc>
        <w:tc>
          <w:tcPr>
            <w:tcW w:w="2100" w:type="dxa"/>
            <w:tcBorders>
              <w:top w:val="single" w:color="auto" w:sz="4" w:space="0"/>
              <w:left w:val="nil"/>
              <w:bottom w:val="single" w:color="auto" w:sz="4" w:space="0"/>
              <w:right w:val="single" w:color="auto" w:sz="4" w:space="0"/>
            </w:tcBorders>
            <w:vAlign w:val="center"/>
          </w:tcPr>
          <w:p>
            <w:pPr>
              <w:widowControl/>
              <w:spacing w:line="520" w:lineRule="exact"/>
              <w:jc w:val="center"/>
              <w:rPr>
                <w:rFonts w:ascii="仿宋_GB2312" w:hAnsi="宋体" w:eastAsia="仿宋_GB2312" w:cs="宋体"/>
                <w:color w:val="000000"/>
                <w:kern w:val="0"/>
                <w:sz w:val="28"/>
                <w:szCs w:val="28"/>
              </w:rPr>
            </w:pPr>
            <w:r>
              <w:rPr>
                <w:rFonts w:hint="eastAsia" w:ascii="仿宋_GB2312" w:hAnsi="宋体" w:eastAsia="仿宋_GB2312" w:cs="宋体"/>
                <w:color w:val="000000"/>
                <w:kern w:val="0"/>
                <w:sz w:val="28"/>
                <w:szCs w:val="28"/>
              </w:rPr>
              <w:t>偏差原因</w:t>
            </w:r>
          </w:p>
        </w:tc>
      </w:tr>
      <w:tr>
        <w:tblPrEx>
          <w:tblCellMar>
            <w:top w:w="0" w:type="dxa"/>
            <w:left w:w="108" w:type="dxa"/>
            <w:bottom w:w="0" w:type="dxa"/>
            <w:right w:w="108" w:type="dxa"/>
          </w:tblCellMar>
        </w:tblPrEx>
        <w:trPr>
          <w:trHeight w:val="510" w:hRule="atLeast"/>
        </w:trPr>
        <w:tc>
          <w:tcPr>
            <w:tcW w:w="800" w:type="dxa"/>
            <w:tcBorders>
              <w:top w:val="nil"/>
              <w:left w:val="single" w:color="auto" w:sz="4" w:space="0"/>
              <w:bottom w:val="single" w:color="auto" w:sz="4" w:space="0"/>
              <w:right w:val="single" w:color="auto" w:sz="4" w:space="0"/>
            </w:tcBorders>
            <w:vAlign w:val="center"/>
          </w:tcPr>
          <w:p>
            <w:pPr>
              <w:widowControl/>
              <w:spacing w:line="520" w:lineRule="exact"/>
              <w:jc w:val="center"/>
              <w:rPr>
                <w:rFonts w:ascii="仿宋_GB2312" w:hAnsi="宋体" w:eastAsia="仿宋_GB2312" w:cs="宋体"/>
                <w:color w:val="000000"/>
                <w:kern w:val="0"/>
                <w:sz w:val="28"/>
                <w:szCs w:val="28"/>
              </w:rPr>
            </w:pPr>
            <w:r>
              <w:rPr>
                <w:rFonts w:ascii="仿宋_GB2312" w:hAnsi="宋体" w:eastAsia="仿宋_GB2312" w:cs="宋体"/>
                <w:color w:val="000000"/>
                <w:kern w:val="0"/>
                <w:sz w:val="28"/>
                <w:szCs w:val="28"/>
              </w:rPr>
              <w:t>1</w:t>
            </w:r>
          </w:p>
        </w:tc>
        <w:tc>
          <w:tcPr>
            <w:tcW w:w="2100" w:type="dxa"/>
            <w:tcBorders>
              <w:top w:val="nil"/>
              <w:left w:val="nil"/>
              <w:bottom w:val="single" w:color="auto" w:sz="4" w:space="0"/>
              <w:right w:val="single" w:color="auto" w:sz="4" w:space="0"/>
            </w:tcBorders>
            <w:vAlign w:val="center"/>
          </w:tcPr>
          <w:p>
            <w:pPr>
              <w:spacing w:line="520" w:lineRule="exact"/>
              <w:rPr>
                <w:rFonts w:hint="eastAsia" w:ascii="仿宋_GB2312" w:hAnsi="仿宋" w:eastAsia="仿宋_GB2312" w:cs="Times New Roman"/>
                <w:sz w:val="32"/>
                <w:szCs w:val="32"/>
              </w:rPr>
            </w:pPr>
            <w:r>
              <w:rPr>
                <w:rFonts w:hint="eastAsia" w:ascii="仿宋_GB2312" w:hAnsi="仿宋" w:eastAsia="仿宋_GB2312" w:cs="Times New Roman"/>
                <w:sz w:val="32"/>
                <w:szCs w:val="32"/>
              </w:rPr>
              <w:t>按照全年任务水平完工工作任务　　</w:t>
            </w:r>
          </w:p>
        </w:tc>
        <w:tc>
          <w:tcPr>
            <w:tcW w:w="2100" w:type="dxa"/>
            <w:tcBorders>
              <w:top w:val="nil"/>
              <w:left w:val="nil"/>
              <w:bottom w:val="single" w:color="auto" w:sz="4" w:space="0"/>
              <w:right w:val="single" w:color="auto" w:sz="4" w:space="0"/>
            </w:tcBorders>
            <w:vAlign w:val="center"/>
          </w:tcPr>
          <w:p>
            <w:pPr>
              <w:widowControl/>
              <w:spacing w:line="520" w:lineRule="exact"/>
              <w:jc w:val="center"/>
              <w:rPr>
                <w:rFonts w:ascii="仿宋_GB2312" w:hAnsi="宋体" w:eastAsia="仿宋_GB2312" w:cs="宋体"/>
                <w:color w:val="000000"/>
                <w:kern w:val="0"/>
                <w:sz w:val="28"/>
                <w:szCs w:val="28"/>
              </w:rPr>
            </w:pPr>
            <w:r>
              <w:rPr>
                <w:rFonts w:hint="eastAsia" w:ascii="仿宋_GB2312" w:hAnsi="宋体" w:eastAsia="仿宋_GB2312" w:cs="宋体"/>
                <w:color w:val="000000"/>
                <w:kern w:val="0"/>
                <w:sz w:val="28"/>
                <w:szCs w:val="28"/>
                <w:lang w:val="en-US" w:eastAsia="zh-CN"/>
              </w:rPr>
              <w:t>10</w:t>
            </w:r>
          </w:p>
        </w:tc>
        <w:tc>
          <w:tcPr>
            <w:tcW w:w="2100" w:type="dxa"/>
            <w:tcBorders>
              <w:top w:val="nil"/>
              <w:left w:val="nil"/>
              <w:bottom w:val="single" w:color="auto" w:sz="4" w:space="0"/>
              <w:right w:val="single" w:color="auto" w:sz="4" w:space="0"/>
            </w:tcBorders>
            <w:vAlign w:val="center"/>
          </w:tcPr>
          <w:p>
            <w:pPr>
              <w:widowControl/>
              <w:spacing w:line="520" w:lineRule="exact"/>
              <w:ind w:firstLine="556" w:firstLineChars="200"/>
              <w:jc w:val="both"/>
              <w:rPr>
                <w:rFonts w:ascii="仿宋_GB2312" w:hAnsi="宋体" w:eastAsia="仿宋_GB2312" w:cs="宋体"/>
                <w:color w:val="000000"/>
                <w:kern w:val="0"/>
                <w:sz w:val="28"/>
                <w:szCs w:val="28"/>
              </w:rPr>
            </w:pPr>
            <w:r>
              <w:rPr>
                <w:rFonts w:hint="eastAsia" w:ascii="仿宋_GB2312" w:hAnsi="宋体" w:eastAsia="仿宋_GB2312" w:cs="宋体"/>
                <w:color w:val="000000"/>
                <w:kern w:val="0"/>
                <w:sz w:val="28"/>
                <w:szCs w:val="28"/>
              </w:rPr>
              <w:t>　</w:t>
            </w:r>
            <w:bookmarkStart w:id="4" w:name="_GoBack"/>
            <w:bookmarkEnd w:id="4"/>
            <w:r>
              <w:rPr>
                <w:rFonts w:hint="eastAsia" w:ascii="仿宋_GB2312" w:hAnsi="宋体" w:eastAsia="仿宋_GB2312" w:cs="宋体"/>
                <w:color w:val="000000"/>
                <w:kern w:val="0"/>
                <w:sz w:val="28"/>
                <w:szCs w:val="28"/>
                <w:lang w:val="en-US" w:eastAsia="zh-CN"/>
              </w:rPr>
              <w:t>10</w:t>
            </w:r>
          </w:p>
        </w:tc>
        <w:tc>
          <w:tcPr>
            <w:tcW w:w="2100" w:type="dxa"/>
            <w:tcBorders>
              <w:top w:val="nil"/>
              <w:left w:val="nil"/>
              <w:bottom w:val="single" w:color="auto" w:sz="4" w:space="0"/>
              <w:right w:val="single" w:color="auto" w:sz="4" w:space="0"/>
            </w:tcBorders>
            <w:vAlign w:val="center"/>
          </w:tcPr>
          <w:p>
            <w:pPr>
              <w:widowControl/>
              <w:spacing w:line="520" w:lineRule="exact"/>
              <w:jc w:val="center"/>
              <w:rPr>
                <w:rFonts w:ascii="仿宋_GB2312" w:hAnsi="宋体" w:eastAsia="仿宋_GB2312" w:cs="宋体"/>
                <w:color w:val="000000"/>
                <w:kern w:val="0"/>
                <w:sz w:val="28"/>
                <w:szCs w:val="28"/>
              </w:rPr>
            </w:pPr>
            <w:r>
              <w:rPr>
                <w:rFonts w:hint="eastAsia" w:ascii="仿宋_GB2312" w:hAnsi="宋体" w:eastAsia="仿宋_GB2312" w:cs="宋体"/>
                <w:color w:val="000000"/>
                <w:kern w:val="0"/>
                <w:sz w:val="28"/>
                <w:szCs w:val="28"/>
              </w:rPr>
              <w:t>　</w:t>
            </w:r>
          </w:p>
        </w:tc>
      </w:tr>
      <w:tr>
        <w:tblPrEx>
          <w:tblCellMar>
            <w:top w:w="0" w:type="dxa"/>
            <w:left w:w="108" w:type="dxa"/>
            <w:bottom w:w="0" w:type="dxa"/>
            <w:right w:w="108" w:type="dxa"/>
          </w:tblCellMar>
        </w:tblPrEx>
        <w:trPr>
          <w:trHeight w:val="510" w:hRule="atLeast"/>
        </w:trPr>
        <w:tc>
          <w:tcPr>
            <w:tcW w:w="800" w:type="dxa"/>
            <w:tcBorders>
              <w:top w:val="nil"/>
              <w:left w:val="single" w:color="auto" w:sz="4" w:space="0"/>
              <w:bottom w:val="single" w:color="auto" w:sz="4" w:space="0"/>
              <w:right w:val="single" w:color="auto" w:sz="4" w:space="0"/>
            </w:tcBorders>
            <w:vAlign w:val="center"/>
          </w:tcPr>
          <w:p>
            <w:pPr>
              <w:widowControl/>
              <w:spacing w:line="520" w:lineRule="exact"/>
              <w:jc w:val="center"/>
              <w:rPr>
                <w:rFonts w:ascii="仿宋_GB2312" w:hAnsi="宋体" w:eastAsia="仿宋_GB2312" w:cs="宋体"/>
                <w:color w:val="000000"/>
                <w:kern w:val="0"/>
                <w:sz w:val="28"/>
                <w:szCs w:val="28"/>
              </w:rPr>
            </w:pPr>
            <w:r>
              <w:rPr>
                <w:rFonts w:ascii="仿宋_GB2312" w:hAnsi="宋体" w:eastAsia="仿宋_GB2312" w:cs="宋体"/>
                <w:color w:val="000000"/>
                <w:kern w:val="0"/>
                <w:sz w:val="28"/>
                <w:szCs w:val="28"/>
              </w:rPr>
              <w:t>2</w:t>
            </w:r>
          </w:p>
        </w:tc>
        <w:tc>
          <w:tcPr>
            <w:tcW w:w="2100" w:type="dxa"/>
            <w:tcBorders>
              <w:top w:val="nil"/>
              <w:left w:val="nil"/>
              <w:bottom w:val="single" w:color="auto" w:sz="4" w:space="0"/>
              <w:right w:val="single" w:color="auto" w:sz="4" w:space="0"/>
            </w:tcBorders>
            <w:vAlign w:val="center"/>
          </w:tcPr>
          <w:p>
            <w:pPr>
              <w:spacing w:line="520" w:lineRule="exact"/>
              <w:rPr>
                <w:rFonts w:hint="eastAsia" w:ascii="仿宋_GB2312" w:hAnsi="仿宋" w:eastAsia="仿宋_GB2312" w:cs="Times New Roman"/>
                <w:sz w:val="32"/>
                <w:szCs w:val="32"/>
              </w:rPr>
            </w:pPr>
            <w:r>
              <w:rPr>
                <w:rFonts w:hint="eastAsia" w:ascii="仿宋_GB2312" w:hAnsi="仿宋" w:eastAsia="仿宋_GB2312" w:cs="Times New Roman"/>
                <w:sz w:val="32"/>
                <w:szCs w:val="32"/>
              </w:rPr>
              <w:t>202</w:t>
            </w:r>
            <w:r>
              <w:rPr>
                <w:rFonts w:hint="eastAsia" w:ascii="仿宋_GB2312" w:hAnsi="仿宋" w:eastAsia="仿宋_GB2312" w:cs="Times New Roman"/>
                <w:sz w:val="32"/>
                <w:szCs w:val="32"/>
                <w:lang w:val="en-US" w:eastAsia="zh-CN"/>
              </w:rPr>
              <w:t>5</w:t>
            </w:r>
            <w:r>
              <w:rPr>
                <w:rFonts w:hint="eastAsia" w:ascii="仿宋_GB2312" w:hAnsi="仿宋" w:eastAsia="仿宋_GB2312" w:cs="Times New Roman"/>
                <w:sz w:val="32"/>
                <w:szCs w:val="32"/>
              </w:rPr>
              <w:t>年底完成　</w:t>
            </w:r>
          </w:p>
        </w:tc>
        <w:tc>
          <w:tcPr>
            <w:tcW w:w="2100" w:type="dxa"/>
            <w:tcBorders>
              <w:top w:val="nil"/>
              <w:left w:val="nil"/>
              <w:bottom w:val="single" w:color="auto" w:sz="4" w:space="0"/>
              <w:right w:val="single" w:color="auto" w:sz="4" w:space="0"/>
            </w:tcBorders>
            <w:vAlign w:val="center"/>
          </w:tcPr>
          <w:p>
            <w:pPr>
              <w:widowControl/>
              <w:spacing w:line="520" w:lineRule="exact"/>
              <w:jc w:val="center"/>
              <w:rPr>
                <w:rFonts w:ascii="仿宋_GB2312" w:hAnsi="宋体" w:eastAsia="仿宋_GB2312" w:cs="宋体"/>
                <w:color w:val="000000"/>
                <w:kern w:val="0"/>
                <w:sz w:val="28"/>
                <w:szCs w:val="28"/>
              </w:rPr>
            </w:pPr>
            <w:r>
              <w:rPr>
                <w:rFonts w:hint="eastAsia" w:ascii="仿宋_GB2312" w:hAnsi="宋体" w:eastAsia="仿宋_GB2312" w:cs="宋体"/>
                <w:color w:val="000000"/>
                <w:kern w:val="0"/>
                <w:sz w:val="28"/>
                <w:szCs w:val="28"/>
                <w:lang w:val="en-US" w:eastAsia="zh-CN"/>
              </w:rPr>
              <w:t>10</w:t>
            </w:r>
            <w:r>
              <w:rPr>
                <w:rFonts w:hint="eastAsia" w:ascii="仿宋_GB2312" w:hAnsi="宋体" w:eastAsia="仿宋_GB2312" w:cs="宋体"/>
                <w:color w:val="000000"/>
                <w:kern w:val="0"/>
                <w:sz w:val="28"/>
                <w:szCs w:val="28"/>
              </w:rPr>
              <w:t>　</w:t>
            </w:r>
          </w:p>
        </w:tc>
        <w:tc>
          <w:tcPr>
            <w:tcW w:w="2100" w:type="dxa"/>
            <w:tcBorders>
              <w:top w:val="nil"/>
              <w:left w:val="nil"/>
              <w:bottom w:val="single" w:color="auto" w:sz="4" w:space="0"/>
              <w:right w:val="single" w:color="auto" w:sz="4" w:space="0"/>
            </w:tcBorders>
            <w:vAlign w:val="center"/>
          </w:tcPr>
          <w:p>
            <w:pPr>
              <w:widowControl/>
              <w:spacing w:line="520" w:lineRule="exact"/>
              <w:jc w:val="center"/>
              <w:rPr>
                <w:rFonts w:ascii="仿宋_GB2312" w:hAnsi="宋体" w:eastAsia="仿宋_GB2312" w:cs="宋体"/>
                <w:color w:val="000000"/>
                <w:kern w:val="0"/>
                <w:sz w:val="28"/>
                <w:szCs w:val="28"/>
              </w:rPr>
            </w:pPr>
            <w:r>
              <w:rPr>
                <w:rFonts w:hint="eastAsia" w:ascii="仿宋_GB2312" w:hAnsi="宋体" w:eastAsia="仿宋_GB2312" w:cs="宋体"/>
                <w:color w:val="000000"/>
                <w:kern w:val="0"/>
                <w:sz w:val="28"/>
                <w:szCs w:val="28"/>
                <w:lang w:val="en-US" w:eastAsia="zh-CN"/>
              </w:rPr>
              <w:t>10</w:t>
            </w:r>
            <w:r>
              <w:rPr>
                <w:rFonts w:hint="eastAsia" w:ascii="仿宋_GB2312" w:hAnsi="宋体" w:eastAsia="仿宋_GB2312" w:cs="宋体"/>
                <w:color w:val="000000"/>
                <w:kern w:val="0"/>
                <w:sz w:val="28"/>
                <w:szCs w:val="28"/>
              </w:rPr>
              <w:t>　</w:t>
            </w:r>
          </w:p>
        </w:tc>
        <w:tc>
          <w:tcPr>
            <w:tcW w:w="2100" w:type="dxa"/>
            <w:tcBorders>
              <w:top w:val="nil"/>
              <w:left w:val="nil"/>
              <w:bottom w:val="single" w:color="auto" w:sz="4" w:space="0"/>
              <w:right w:val="single" w:color="auto" w:sz="4" w:space="0"/>
            </w:tcBorders>
            <w:vAlign w:val="center"/>
          </w:tcPr>
          <w:p>
            <w:pPr>
              <w:widowControl/>
              <w:spacing w:line="520" w:lineRule="exact"/>
              <w:jc w:val="center"/>
              <w:rPr>
                <w:rFonts w:ascii="仿宋_GB2312" w:hAnsi="宋体" w:eastAsia="仿宋_GB2312" w:cs="宋体"/>
                <w:color w:val="000000"/>
                <w:kern w:val="0"/>
                <w:sz w:val="28"/>
                <w:szCs w:val="28"/>
              </w:rPr>
            </w:pPr>
            <w:r>
              <w:rPr>
                <w:rFonts w:hint="eastAsia" w:ascii="仿宋_GB2312" w:hAnsi="宋体" w:eastAsia="仿宋_GB2312" w:cs="宋体"/>
                <w:color w:val="000000"/>
                <w:kern w:val="0"/>
                <w:sz w:val="28"/>
                <w:szCs w:val="28"/>
              </w:rPr>
              <w:t>　</w:t>
            </w:r>
          </w:p>
        </w:tc>
      </w:tr>
      <w:tr>
        <w:tblPrEx>
          <w:tblCellMar>
            <w:top w:w="0" w:type="dxa"/>
            <w:left w:w="108" w:type="dxa"/>
            <w:bottom w:w="0" w:type="dxa"/>
            <w:right w:w="108" w:type="dxa"/>
          </w:tblCellMar>
        </w:tblPrEx>
        <w:trPr>
          <w:trHeight w:val="510" w:hRule="atLeast"/>
        </w:trPr>
        <w:tc>
          <w:tcPr>
            <w:tcW w:w="800" w:type="dxa"/>
            <w:tcBorders>
              <w:top w:val="nil"/>
              <w:left w:val="single" w:color="auto" w:sz="4" w:space="0"/>
              <w:bottom w:val="single" w:color="auto" w:sz="4" w:space="0"/>
              <w:right w:val="single" w:color="auto" w:sz="4" w:space="0"/>
            </w:tcBorders>
            <w:vAlign w:val="center"/>
          </w:tcPr>
          <w:p>
            <w:pPr>
              <w:widowControl/>
              <w:spacing w:line="520" w:lineRule="exact"/>
              <w:jc w:val="center"/>
              <w:rPr>
                <w:rFonts w:ascii="仿宋_GB2312" w:hAnsi="宋体" w:eastAsia="仿宋_GB2312" w:cs="宋体"/>
                <w:color w:val="000000"/>
                <w:kern w:val="0"/>
                <w:sz w:val="28"/>
                <w:szCs w:val="28"/>
              </w:rPr>
            </w:pPr>
            <w:r>
              <w:rPr>
                <w:rFonts w:ascii="仿宋_GB2312" w:hAnsi="宋体" w:eastAsia="仿宋_GB2312" w:cs="宋体"/>
                <w:color w:val="000000"/>
                <w:kern w:val="0"/>
                <w:sz w:val="28"/>
                <w:szCs w:val="28"/>
              </w:rPr>
              <w:t>3</w:t>
            </w:r>
          </w:p>
        </w:tc>
        <w:tc>
          <w:tcPr>
            <w:tcW w:w="2100" w:type="dxa"/>
            <w:tcBorders>
              <w:top w:val="nil"/>
              <w:left w:val="nil"/>
              <w:bottom w:val="single" w:color="auto" w:sz="4" w:space="0"/>
              <w:right w:val="single" w:color="auto" w:sz="4" w:space="0"/>
            </w:tcBorders>
            <w:vAlign w:val="center"/>
          </w:tcPr>
          <w:p>
            <w:pPr>
              <w:widowControl/>
              <w:spacing w:line="520" w:lineRule="exact"/>
              <w:jc w:val="both"/>
              <w:rPr>
                <w:rFonts w:ascii="仿宋_GB2312" w:hAnsi="宋体" w:eastAsia="仿宋_GB2312" w:cs="宋体"/>
                <w:color w:val="000000"/>
                <w:kern w:val="0"/>
                <w:sz w:val="28"/>
                <w:szCs w:val="28"/>
              </w:rPr>
            </w:pPr>
            <w:r>
              <w:rPr>
                <w:rFonts w:hint="eastAsia" w:ascii="仿宋_GB2312" w:hAnsi="仿宋" w:eastAsia="仿宋_GB2312" w:cs="Times New Roman"/>
                <w:sz w:val="32"/>
                <w:szCs w:val="32"/>
              </w:rPr>
              <w:t>格按照部门预算进行成本控制　　</w:t>
            </w:r>
          </w:p>
        </w:tc>
        <w:tc>
          <w:tcPr>
            <w:tcW w:w="2100" w:type="dxa"/>
            <w:tcBorders>
              <w:top w:val="nil"/>
              <w:left w:val="nil"/>
              <w:bottom w:val="single" w:color="auto" w:sz="4" w:space="0"/>
              <w:right w:val="single" w:color="auto" w:sz="4" w:space="0"/>
            </w:tcBorders>
            <w:vAlign w:val="center"/>
          </w:tcPr>
          <w:p>
            <w:pPr>
              <w:widowControl/>
              <w:spacing w:line="520" w:lineRule="exact"/>
              <w:jc w:val="center"/>
              <w:rPr>
                <w:rFonts w:ascii="仿宋_GB2312" w:hAnsi="宋体" w:eastAsia="仿宋_GB2312" w:cs="宋体"/>
                <w:color w:val="000000"/>
                <w:kern w:val="0"/>
                <w:sz w:val="28"/>
                <w:szCs w:val="28"/>
              </w:rPr>
            </w:pPr>
            <w:r>
              <w:rPr>
                <w:rFonts w:hint="eastAsia" w:ascii="仿宋_GB2312" w:hAnsi="宋体" w:eastAsia="仿宋_GB2312" w:cs="宋体"/>
                <w:color w:val="000000"/>
                <w:kern w:val="0"/>
                <w:sz w:val="28"/>
                <w:szCs w:val="28"/>
                <w:lang w:val="en-US" w:eastAsia="zh-CN"/>
              </w:rPr>
              <w:t>10</w:t>
            </w:r>
            <w:r>
              <w:rPr>
                <w:rFonts w:hint="eastAsia" w:ascii="仿宋_GB2312" w:hAnsi="宋体" w:eastAsia="仿宋_GB2312" w:cs="宋体"/>
                <w:color w:val="000000"/>
                <w:kern w:val="0"/>
                <w:sz w:val="28"/>
                <w:szCs w:val="28"/>
              </w:rPr>
              <w:t>　</w:t>
            </w:r>
          </w:p>
        </w:tc>
        <w:tc>
          <w:tcPr>
            <w:tcW w:w="2100" w:type="dxa"/>
            <w:tcBorders>
              <w:top w:val="nil"/>
              <w:left w:val="nil"/>
              <w:bottom w:val="single" w:color="auto" w:sz="4" w:space="0"/>
              <w:right w:val="single" w:color="auto" w:sz="4" w:space="0"/>
            </w:tcBorders>
            <w:vAlign w:val="center"/>
          </w:tcPr>
          <w:p>
            <w:pPr>
              <w:widowControl/>
              <w:spacing w:line="520" w:lineRule="exact"/>
              <w:jc w:val="center"/>
              <w:rPr>
                <w:rFonts w:ascii="仿宋_GB2312" w:hAnsi="宋体" w:eastAsia="仿宋_GB2312" w:cs="宋体"/>
                <w:color w:val="000000"/>
                <w:kern w:val="0"/>
                <w:sz w:val="28"/>
                <w:szCs w:val="28"/>
              </w:rPr>
            </w:pPr>
            <w:r>
              <w:rPr>
                <w:rFonts w:hint="eastAsia" w:ascii="仿宋_GB2312" w:hAnsi="宋体" w:eastAsia="仿宋_GB2312" w:cs="宋体"/>
                <w:color w:val="000000"/>
                <w:kern w:val="0"/>
                <w:sz w:val="28"/>
                <w:szCs w:val="28"/>
                <w:lang w:val="en-US" w:eastAsia="zh-CN"/>
              </w:rPr>
              <w:t>10</w:t>
            </w:r>
            <w:r>
              <w:rPr>
                <w:rFonts w:hint="eastAsia" w:ascii="仿宋_GB2312" w:hAnsi="宋体" w:eastAsia="仿宋_GB2312" w:cs="宋体"/>
                <w:color w:val="000000"/>
                <w:kern w:val="0"/>
                <w:sz w:val="28"/>
                <w:szCs w:val="28"/>
              </w:rPr>
              <w:t>　</w:t>
            </w:r>
          </w:p>
        </w:tc>
        <w:tc>
          <w:tcPr>
            <w:tcW w:w="2100" w:type="dxa"/>
            <w:tcBorders>
              <w:top w:val="nil"/>
              <w:left w:val="nil"/>
              <w:bottom w:val="single" w:color="auto" w:sz="4" w:space="0"/>
              <w:right w:val="single" w:color="auto" w:sz="4" w:space="0"/>
            </w:tcBorders>
            <w:vAlign w:val="center"/>
          </w:tcPr>
          <w:p>
            <w:pPr>
              <w:widowControl/>
              <w:spacing w:line="520" w:lineRule="exact"/>
              <w:jc w:val="center"/>
              <w:rPr>
                <w:rFonts w:ascii="仿宋_GB2312" w:hAnsi="宋体" w:eastAsia="仿宋_GB2312" w:cs="宋体"/>
                <w:color w:val="000000"/>
                <w:kern w:val="0"/>
                <w:sz w:val="28"/>
                <w:szCs w:val="28"/>
              </w:rPr>
            </w:pPr>
            <w:r>
              <w:rPr>
                <w:rFonts w:hint="eastAsia" w:ascii="仿宋_GB2312" w:hAnsi="宋体" w:eastAsia="仿宋_GB2312" w:cs="宋体"/>
                <w:color w:val="000000"/>
                <w:kern w:val="0"/>
                <w:sz w:val="28"/>
                <w:szCs w:val="28"/>
              </w:rPr>
              <w:t>　</w:t>
            </w:r>
          </w:p>
        </w:tc>
      </w:tr>
    </w:tbl>
    <w:p>
      <w:pPr>
        <w:spacing w:line="520" w:lineRule="exact"/>
        <w:ind w:firstLine="636" w:firstLineChars="200"/>
        <w:rPr>
          <w:rFonts w:hint="eastAsia" w:ascii="仿宋_GB2312" w:hAnsi="Times New Roman" w:eastAsia="仿宋_GB2312" w:cs="Times New Roman"/>
          <w:sz w:val="32"/>
          <w:szCs w:val="32"/>
        </w:rPr>
      </w:pPr>
      <w:r>
        <w:rPr>
          <w:rFonts w:hint="eastAsia" w:ascii="仿宋_GB2312" w:hAnsi="Times New Roman" w:eastAsia="仿宋_GB2312" w:cs="Times New Roman"/>
          <w:sz w:val="32"/>
          <w:szCs w:val="32"/>
          <w:lang w:val="en-US" w:eastAsia="zh-CN"/>
        </w:rPr>
        <w:t>2.</w:t>
      </w:r>
      <w:r>
        <w:rPr>
          <w:rFonts w:hint="eastAsia" w:ascii="仿宋_GB2312" w:hAnsi="Times New Roman" w:eastAsia="仿宋_GB2312" w:cs="Times New Roman"/>
          <w:sz w:val="32"/>
          <w:szCs w:val="32"/>
        </w:rPr>
        <w:t>产出质量</w:t>
      </w:r>
    </w:p>
    <w:p>
      <w:pPr>
        <w:numPr>
          <w:ilvl w:val="0"/>
          <w:numId w:val="0"/>
        </w:numPr>
        <w:spacing w:beforeLines="0" w:afterLines="0" w:line="520" w:lineRule="exact"/>
        <w:ind w:firstLine="636"/>
        <w:rPr>
          <w:rFonts w:hint="eastAsia" w:ascii="仿宋_GB2312" w:hAnsi="仿宋" w:eastAsia="仿宋_GB2312" w:cs="Times New Roman"/>
          <w:sz w:val="32"/>
          <w:szCs w:val="32"/>
        </w:rPr>
      </w:pPr>
      <w:r>
        <w:rPr>
          <w:rFonts w:hint="eastAsia" w:ascii="仿宋_GB2312" w:hAnsi="仿宋" w:eastAsia="仿宋_GB2312" w:cs="Times New Roman"/>
          <w:sz w:val="32"/>
          <w:szCs w:val="32"/>
        </w:rPr>
        <w:t>202</w:t>
      </w:r>
      <w:r>
        <w:rPr>
          <w:rFonts w:hint="eastAsia" w:ascii="仿宋_GB2312" w:hAnsi="仿宋" w:eastAsia="仿宋_GB2312" w:cs="Times New Roman"/>
          <w:sz w:val="32"/>
          <w:szCs w:val="32"/>
          <w:lang w:val="en-US" w:eastAsia="zh-CN"/>
        </w:rPr>
        <w:t>5</w:t>
      </w:r>
      <w:r>
        <w:rPr>
          <w:rFonts w:hint="eastAsia" w:ascii="仿宋_GB2312" w:hAnsi="仿宋" w:eastAsia="仿宋_GB2312" w:cs="Times New Roman"/>
          <w:sz w:val="32"/>
          <w:szCs w:val="32"/>
        </w:rPr>
        <w:t>年市政基础设施项目的实施，有效推动了城市道路路网完善、市政基础设施承载等工作，群众生活便利、优化出行条件的保障能力不断提高。城市运行保障方面，通过加强供暖、燃气行业管理，集中供热保障范围和天然气保障范围不断扩大，降低能源使用成本，提供群众便利使用水平。持续开展的送气下乡工程，持续降低农村地区群众用气成本，推进清洁空气行动，为首都大气治理做出积极贡献。202</w:t>
      </w:r>
      <w:r>
        <w:rPr>
          <w:rFonts w:hint="eastAsia" w:ascii="仿宋_GB2312" w:hAnsi="仿宋" w:eastAsia="仿宋_GB2312" w:cs="Times New Roman"/>
          <w:sz w:val="32"/>
          <w:szCs w:val="32"/>
          <w:lang w:val="en-US" w:eastAsia="zh-CN"/>
        </w:rPr>
        <w:t>5</w:t>
      </w:r>
      <w:r>
        <w:rPr>
          <w:rFonts w:hint="eastAsia" w:ascii="仿宋_GB2312" w:hAnsi="仿宋" w:eastAsia="仿宋_GB2312" w:cs="Times New Roman"/>
          <w:sz w:val="32"/>
          <w:szCs w:val="32"/>
        </w:rPr>
        <w:t>年继续加强城乡环卫作业监管，加强户外广告、牌匾标识、标语、宣传品设置管理，实施景观提升工程，加强市政设施养护精细化管理，及时修复城市道路及附属设施、路灯及景观照亮设施出现病害、破损，不断打造群众方便、安全的出行环境，提高环境效益产生。</w:t>
      </w:r>
    </w:p>
    <w:p>
      <w:pPr>
        <w:numPr>
          <w:ilvl w:val="0"/>
          <w:numId w:val="0"/>
        </w:numPr>
        <w:spacing w:line="520" w:lineRule="exact"/>
        <w:ind w:firstLine="636" w:firstLineChars="200"/>
        <w:rPr>
          <w:rFonts w:hint="eastAsia" w:ascii="仿宋_GB2312" w:hAnsi="仿宋" w:eastAsia="仿宋_GB2312" w:cs="Times New Roman"/>
          <w:sz w:val="32"/>
          <w:szCs w:val="32"/>
        </w:rPr>
      </w:pPr>
      <w:r>
        <w:rPr>
          <w:rFonts w:hint="eastAsia" w:ascii="仿宋_GB2312" w:hAnsi="仿宋" w:eastAsia="仿宋_GB2312" w:cs="Times New Roman"/>
          <w:sz w:val="32"/>
          <w:szCs w:val="32"/>
          <w:lang w:val="en-US" w:eastAsia="zh-CN"/>
        </w:rPr>
        <w:t>3.</w:t>
      </w:r>
      <w:r>
        <w:rPr>
          <w:rFonts w:hint="eastAsia" w:ascii="仿宋_GB2312" w:hAnsi="仿宋" w:eastAsia="仿宋_GB2312" w:cs="Times New Roman"/>
          <w:sz w:val="32"/>
          <w:szCs w:val="32"/>
        </w:rPr>
        <w:t>产出进度</w:t>
      </w:r>
    </w:p>
    <w:p>
      <w:pPr>
        <w:numPr>
          <w:ilvl w:val="0"/>
          <w:numId w:val="0"/>
        </w:numPr>
        <w:spacing w:line="520" w:lineRule="exact"/>
        <w:ind w:firstLine="636" w:firstLineChars="200"/>
        <w:rPr>
          <w:rFonts w:hint="eastAsia" w:ascii="仿宋_GB2312" w:hAnsi="仿宋" w:eastAsia="仿宋_GB2312" w:cs="Times New Roman"/>
          <w:sz w:val="32"/>
          <w:szCs w:val="32"/>
        </w:rPr>
      </w:pPr>
      <w:r>
        <w:rPr>
          <w:rFonts w:hint="eastAsia" w:ascii="仿宋_GB2312" w:hAnsi="仿宋" w:eastAsia="仿宋_GB2312" w:cs="Times New Roman"/>
          <w:sz w:val="32"/>
          <w:szCs w:val="32"/>
        </w:rPr>
        <w:t>均为202</w:t>
      </w:r>
      <w:r>
        <w:rPr>
          <w:rFonts w:hint="eastAsia" w:ascii="仿宋_GB2312" w:hAnsi="仿宋" w:eastAsia="仿宋_GB2312" w:cs="Times New Roman"/>
          <w:sz w:val="32"/>
          <w:szCs w:val="32"/>
          <w:lang w:val="en-US" w:eastAsia="zh-CN"/>
        </w:rPr>
        <w:t>4</w:t>
      </w:r>
      <w:r>
        <w:rPr>
          <w:rFonts w:hint="eastAsia" w:ascii="仿宋_GB2312" w:hAnsi="仿宋" w:eastAsia="仿宋_GB2312" w:cs="Times New Roman"/>
          <w:sz w:val="32"/>
          <w:szCs w:val="32"/>
        </w:rPr>
        <w:t>年1月1日至202</w:t>
      </w:r>
      <w:r>
        <w:rPr>
          <w:rFonts w:hint="eastAsia" w:ascii="仿宋_GB2312" w:hAnsi="仿宋" w:eastAsia="仿宋_GB2312" w:cs="Times New Roman"/>
          <w:sz w:val="32"/>
          <w:szCs w:val="32"/>
          <w:lang w:val="en-US" w:eastAsia="zh-CN"/>
        </w:rPr>
        <w:t>4</w:t>
      </w:r>
      <w:r>
        <w:rPr>
          <w:rFonts w:hint="eastAsia" w:ascii="仿宋_GB2312" w:hAnsi="仿宋" w:eastAsia="仿宋_GB2312" w:cs="Times New Roman"/>
          <w:sz w:val="32"/>
          <w:szCs w:val="32"/>
        </w:rPr>
        <w:t>年12月31</w:t>
      </w:r>
    </w:p>
    <w:p>
      <w:pPr>
        <w:numPr>
          <w:ilvl w:val="0"/>
          <w:numId w:val="0"/>
        </w:numPr>
        <w:spacing w:line="520" w:lineRule="exact"/>
        <w:ind w:firstLine="636" w:firstLineChars="200"/>
        <w:rPr>
          <w:rFonts w:hint="eastAsia" w:ascii="仿宋_GB2312" w:hAnsi="仿宋" w:eastAsia="仿宋_GB2312" w:cs="Times New Roman"/>
          <w:sz w:val="32"/>
          <w:szCs w:val="32"/>
        </w:rPr>
      </w:pPr>
      <w:r>
        <w:rPr>
          <w:rFonts w:hint="eastAsia" w:ascii="仿宋_GB2312" w:hAnsi="仿宋" w:eastAsia="仿宋_GB2312" w:cs="Times New Roman"/>
          <w:sz w:val="32"/>
          <w:szCs w:val="32"/>
          <w:lang w:val="en-US" w:eastAsia="zh-CN"/>
        </w:rPr>
        <w:t>4.</w:t>
      </w:r>
      <w:r>
        <w:rPr>
          <w:rFonts w:hint="eastAsia" w:ascii="仿宋_GB2312" w:hAnsi="仿宋" w:eastAsia="仿宋_GB2312" w:cs="Times New Roman"/>
          <w:sz w:val="32"/>
          <w:szCs w:val="32"/>
        </w:rPr>
        <w:t>产出成本</w:t>
      </w:r>
    </w:p>
    <w:p>
      <w:pPr>
        <w:numPr>
          <w:ilvl w:val="0"/>
          <w:numId w:val="0"/>
        </w:numPr>
        <w:spacing w:line="520" w:lineRule="exact"/>
        <w:ind w:firstLine="636" w:firstLineChars="200"/>
        <w:rPr>
          <w:rFonts w:hint="eastAsia" w:ascii="仿宋_GB2312" w:hAnsi="仿宋" w:eastAsia="仿宋_GB2312" w:cs="Times New Roman"/>
          <w:sz w:val="32"/>
          <w:szCs w:val="32"/>
        </w:rPr>
      </w:pPr>
      <w:r>
        <w:rPr>
          <w:rFonts w:hint="eastAsia" w:ascii="仿宋_GB2312" w:hAnsi="仿宋" w:eastAsia="仿宋_GB2312" w:cs="Times New Roman"/>
          <w:sz w:val="32"/>
          <w:szCs w:val="32"/>
        </w:rPr>
        <w:t>预算资金总体支出</w:t>
      </w:r>
      <w:r>
        <w:rPr>
          <w:rFonts w:hint="eastAsia" w:ascii="仿宋_GB2312" w:hAnsi="仿宋" w:eastAsia="仿宋_GB2312" w:cs="Times New Roman"/>
          <w:sz w:val="32"/>
          <w:szCs w:val="32"/>
          <w:lang w:val="en-US" w:eastAsia="zh-CN"/>
        </w:rPr>
        <w:t>91833.75</w:t>
      </w:r>
      <w:r>
        <w:rPr>
          <w:rFonts w:hint="eastAsia" w:ascii="仿宋_GB2312" w:hAnsi="仿宋" w:eastAsia="仿宋_GB2312" w:cs="Times New Roman"/>
          <w:sz w:val="32"/>
          <w:szCs w:val="32"/>
        </w:rPr>
        <w:t>万元，其中：基本支出</w:t>
      </w:r>
      <w:r>
        <w:rPr>
          <w:rFonts w:hint="eastAsia" w:ascii="仿宋_GB2312" w:hAnsi="仿宋" w:eastAsia="仿宋_GB2312" w:cs="Times New Roman"/>
          <w:sz w:val="32"/>
          <w:szCs w:val="32"/>
          <w:lang w:val="en-US" w:eastAsia="zh-CN"/>
        </w:rPr>
        <w:t>5083.26</w:t>
      </w:r>
      <w:r>
        <w:rPr>
          <w:rFonts w:hint="eastAsia" w:ascii="仿宋_GB2312" w:hAnsi="仿宋" w:eastAsia="仿宋_GB2312" w:cs="Times New Roman"/>
          <w:sz w:val="32"/>
          <w:szCs w:val="32"/>
        </w:rPr>
        <w:t>万元，占比</w:t>
      </w:r>
      <w:r>
        <w:rPr>
          <w:rFonts w:hint="eastAsia" w:ascii="仿宋_GB2312" w:hAnsi="仿宋" w:eastAsia="仿宋_GB2312" w:cs="Times New Roman"/>
          <w:sz w:val="32"/>
          <w:szCs w:val="32"/>
          <w:lang w:val="en-US" w:eastAsia="zh-CN"/>
        </w:rPr>
        <w:t>5.5</w:t>
      </w:r>
      <w:r>
        <w:rPr>
          <w:rFonts w:ascii="仿宋_GB2312" w:hAnsi="仿宋" w:eastAsia="仿宋_GB2312" w:cs="Times New Roman"/>
          <w:sz w:val="32"/>
          <w:szCs w:val="32"/>
        </w:rPr>
        <w:t>%</w:t>
      </w:r>
      <w:r>
        <w:rPr>
          <w:rFonts w:hint="eastAsia" w:ascii="仿宋_GB2312" w:hAnsi="仿宋" w:eastAsia="仿宋_GB2312" w:cs="Times New Roman"/>
          <w:sz w:val="32"/>
          <w:szCs w:val="32"/>
        </w:rPr>
        <w:t>；项目支出</w:t>
      </w:r>
      <w:r>
        <w:rPr>
          <w:rFonts w:hint="eastAsia" w:ascii="仿宋_GB2312" w:hAnsi="仿宋" w:eastAsia="仿宋_GB2312" w:cs="Times New Roman"/>
          <w:sz w:val="32"/>
          <w:szCs w:val="32"/>
          <w:lang w:val="en-US" w:eastAsia="zh-CN"/>
        </w:rPr>
        <w:t>86750.49</w:t>
      </w:r>
      <w:r>
        <w:rPr>
          <w:rFonts w:hint="eastAsia" w:ascii="仿宋_GB2312" w:hAnsi="仿宋" w:eastAsia="仿宋_GB2312" w:cs="Times New Roman"/>
          <w:sz w:val="32"/>
          <w:szCs w:val="32"/>
        </w:rPr>
        <w:t>万元，占比</w:t>
      </w:r>
      <w:r>
        <w:rPr>
          <w:rFonts w:hint="eastAsia" w:ascii="仿宋_GB2312" w:hAnsi="仿宋" w:eastAsia="仿宋_GB2312" w:cs="Times New Roman"/>
          <w:sz w:val="32"/>
          <w:szCs w:val="32"/>
          <w:lang w:val="en-US" w:eastAsia="zh-CN"/>
        </w:rPr>
        <w:t>94.5</w:t>
      </w:r>
      <w:r>
        <w:rPr>
          <w:rFonts w:ascii="仿宋_GB2312" w:hAnsi="仿宋" w:eastAsia="仿宋_GB2312" w:cs="Times New Roman"/>
          <w:sz w:val="32"/>
          <w:szCs w:val="32"/>
        </w:rPr>
        <w:t>%</w:t>
      </w:r>
      <w:r>
        <w:rPr>
          <w:rFonts w:hint="eastAsia" w:ascii="仿宋_GB2312" w:hAnsi="仿宋" w:eastAsia="仿宋_GB2312" w:cs="Times New Roman"/>
          <w:sz w:val="32"/>
          <w:szCs w:val="32"/>
        </w:rPr>
        <w:t>；其他支出</w:t>
      </w:r>
      <w:r>
        <w:rPr>
          <w:rFonts w:hint="eastAsia" w:ascii="仿宋_GB2312" w:hAnsi="仿宋" w:eastAsia="仿宋_GB2312" w:cs="Times New Roman"/>
          <w:sz w:val="32"/>
          <w:szCs w:val="32"/>
          <w:lang w:val="en-US" w:eastAsia="zh-CN"/>
        </w:rPr>
        <w:t>0.00</w:t>
      </w:r>
      <w:r>
        <w:rPr>
          <w:rFonts w:hint="eastAsia" w:ascii="仿宋_GB2312" w:hAnsi="仿宋" w:eastAsia="仿宋_GB2312" w:cs="Times New Roman"/>
          <w:sz w:val="32"/>
          <w:szCs w:val="32"/>
        </w:rPr>
        <w:t>万元，占比</w:t>
      </w:r>
      <w:r>
        <w:rPr>
          <w:rFonts w:hint="eastAsia" w:ascii="仿宋_GB2312" w:hAnsi="仿宋" w:eastAsia="仿宋_GB2312" w:cs="Times New Roman"/>
          <w:sz w:val="32"/>
          <w:szCs w:val="32"/>
          <w:lang w:val="en-US" w:eastAsia="zh-CN"/>
        </w:rPr>
        <w:t>0.00</w:t>
      </w:r>
      <w:r>
        <w:rPr>
          <w:rFonts w:ascii="仿宋_GB2312" w:hAnsi="仿宋" w:eastAsia="仿宋_GB2312" w:cs="Times New Roman"/>
          <w:sz w:val="32"/>
          <w:szCs w:val="32"/>
        </w:rPr>
        <w:t>%</w:t>
      </w:r>
      <w:r>
        <w:rPr>
          <w:rFonts w:hint="eastAsia" w:ascii="仿宋_GB2312" w:hAnsi="仿宋" w:eastAsia="仿宋_GB2312" w:cs="Times New Roman"/>
          <w:sz w:val="32"/>
          <w:szCs w:val="32"/>
        </w:rPr>
        <w:t>。部门预算执行率为</w:t>
      </w:r>
      <w:r>
        <w:rPr>
          <w:rFonts w:hint="eastAsia" w:ascii="仿宋_GB2312" w:hAnsi="仿宋" w:eastAsia="仿宋_GB2312" w:cs="Times New Roman"/>
          <w:sz w:val="32"/>
          <w:szCs w:val="32"/>
          <w:lang w:val="en-US" w:eastAsia="zh-CN"/>
        </w:rPr>
        <w:t>94.6</w:t>
      </w:r>
      <w:r>
        <w:rPr>
          <w:rFonts w:ascii="仿宋_GB2312" w:hAnsi="仿宋" w:eastAsia="仿宋_GB2312" w:cs="Times New Roman"/>
          <w:sz w:val="32"/>
          <w:szCs w:val="32"/>
        </w:rPr>
        <w:t>%</w:t>
      </w:r>
      <w:r>
        <w:rPr>
          <w:rFonts w:hint="eastAsia" w:ascii="仿宋_GB2312" w:hAnsi="仿宋" w:eastAsia="仿宋_GB2312" w:cs="Times New Roman"/>
          <w:sz w:val="32"/>
          <w:szCs w:val="32"/>
        </w:rPr>
        <w:t>。</w:t>
      </w:r>
      <w:r>
        <w:rPr>
          <w:rFonts w:ascii="仿宋_GB2312" w:hAnsi="仿宋" w:eastAsia="仿宋_GB2312" w:cs="Times New Roman"/>
          <w:sz w:val="32"/>
          <w:szCs w:val="32"/>
        </w:rPr>
        <w:t xml:space="preserve">                                                           </w:t>
      </w:r>
    </w:p>
    <w:p>
      <w:pPr>
        <w:spacing w:line="520" w:lineRule="exact"/>
        <w:ind w:firstLine="636" w:firstLineChars="200"/>
        <w:rPr>
          <w:rFonts w:ascii="楷体_GB2312" w:hAnsi="Times New Roman" w:eastAsia="楷体_GB2312" w:cs="Times New Roman"/>
          <w:sz w:val="32"/>
          <w:szCs w:val="32"/>
        </w:rPr>
      </w:pPr>
      <w:r>
        <w:rPr>
          <w:rFonts w:hint="eastAsia" w:ascii="楷体_GB2312" w:hAnsi="Times New Roman" w:eastAsia="楷体_GB2312" w:cs="Times New Roman"/>
          <w:sz w:val="32"/>
          <w:szCs w:val="32"/>
        </w:rPr>
        <w:t>（二）效果实现情况分析</w:t>
      </w:r>
    </w:p>
    <w:p>
      <w:pPr>
        <w:spacing w:line="520" w:lineRule="exact"/>
        <w:ind w:firstLine="636" w:firstLineChars="200"/>
        <w:rPr>
          <w:rFonts w:hint="eastAsia" w:ascii="仿宋_GB2312" w:hAnsi="仿宋" w:eastAsia="仿宋_GB2312" w:cs="Times New Roman"/>
          <w:sz w:val="32"/>
          <w:szCs w:val="32"/>
          <w:lang w:val="en-US" w:eastAsia="zh-CN"/>
        </w:rPr>
      </w:pPr>
      <w:r>
        <w:rPr>
          <w:rFonts w:hint="eastAsia" w:ascii="仿宋_GB2312" w:hAnsi="仿宋" w:eastAsia="仿宋_GB2312" w:cs="Times New Roman"/>
          <w:sz w:val="32"/>
          <w:szCs w:val="32"/>
          <w:lang w:val="en-US" w:eastAsia="zh-CN"/>
        </w:rPr>
        <w:t>1.经济效益:加强基础设施建设，提升城市整体建设水平、创造良好的营商环境、促进地区经济发展。</w:t>
      </w:r>
    </w:p>
    <w:p>
      <w:pPr>
        <w:spacing w:line="520" w:lineRule="exact"/>
        <w:ind w:firstLine="636" w:firstLineChars="200"/>
        <w:rPr>
          <w:rFonts w:hint="eastAsia" w:ascii="仿宋_GB2312" w:hAnsi="仿宋" w:eastAsia="仿宋_GB2312" w:cs="Times New Roman"/>
          <w:sz w:val="32"/>
          <w:szCs w:val="32"/>
          <w:lang w:val="en-US" w:eastAsia="zh-CN"/>
        </w:rPr>
      </w:pPr>
      <w:r>
        <w:rPr>
          <w:rFonts w:hint="eastAsia" w:ascii="仿宋_GB2312" w:hAnsi="仿宋" w:eastAsia="仿宋_GB2312" w:cs="Times New Roman"/>
          <w:sz w:val="32"/>
          <w:szCs w:val="32"/>
          <w:lang w:val="en-US" w:eastAsia="zh-CN"/>
        </w:rPr>
        <w:t>2.社会效益:促进地方经济发展，提升城市居住质量、创造良好的生态环境。</w:t>
      </w:r>
    </w:p>
    <w:p>
      <w:pPr>
        <w:spacing w:line="520" w:lineRule="exact"/>
        <w:ind w:firstLine="636" w:firstLineChars="200"/>
        <w:rPr>
          <w:rFonts w:hint="eastAsia" w:ascii="仿宋_GB2312" w:hAnsi="仿宋" w:eastAsia="仿宋_GB2312" w:cs="Times New Roman"/>
          <w:sz w:val="32"/>
          <w:szCs w:val="32"/>
          <w:lang w:val="en-US" w:eastAsia="zh-CN"/>
        </w:rPr>
      </w:pPr>
      <w:r>
        <w:rPr>
          <w:rFonts w:hint="eastAsia" w:ascii="仿宋_GB2312" w:hAnsi="仿宋" w:eastAsia="仿宋_GB2312" w:cs="Times New Roman"/>
          <w:sz w:val="32"/>
          <w:szCs w:val="32"/>
          <w:lang w:val="en-US" w:eastAsia="zh-CN"/>
        </w:rPr>
        <w:t>3.环境效益：提升区域环境水平。</w:t>
      </w:r>
    </w:p>
    <w:p>
      <w:pPr>
        <w:spacing w:line="520" w:lineRule="exact"/>
        <w:ind w:firstLine="636" w:firstLineChars="200"/>
        <w:rPr>
          <w:rFonts w:hint="eastAsia" w:ascii="仿宋_GB2312" w:hAnsi="仿宋" w:eastAsia="仿宋_GB2312" w:cs="Times New Roman"/>
          <w:sz w:val="32"/>
          <w:szCs w:val="32"/>
          <w:lang w:val="en-US" w:eastAsia="zh-CN"/>
        </w:rPr>
      </w:pPr>
      <w:r>
        <w:rPr>
          <w:rFonts w:hint="eastAsia" w:ascii="仿宋_GB2312" w:hAnsi="仿宋" w:eastAsia="仿宋_GB2312" w:cs="Times New Roman"/>
          <w:sz w:val="32"/>
          <w:szCs w:val="32"/>
          <w:lang w:val="en-US" w:eastAsia="zh-CN"/>
        </w:rPr>
        <w:t>4.可持续影响:因地制宜改善区域环境，切实提高政府绩效、让人民群众真正满意。</w:t>
      </w:r>
    </w:p>
    <w:p>
      <w:pPr>
        <w:spacing w:line="520" w:lineRule="exact"/>
        <w:ind w:firstLine="636" w:firstLineChars="200"/>
        <w:rPr>
          <w:rFonts w:hint="eastAsia" w:ascii="仿宋_GB2312" w:hAnsi="仿宋" w:eastAsia="仿宋_GB2312" w:cs="Times New Roman"/>
          <w:sz w:val="32"/>
          <w:szCs w:val="32"/>
          <w:lang w:val="en-US" w:eastAsia="zh-CN"/>
        </w:rPr>
      </w:pPr>
      <w:r>
        <w:rPr>
          <w:rFonts w:hint="eastAsia" w:ascii="仿宋_GB2312" w:hAnsi="仿宋" w:eastAsia="仿宋_GB2312" w:cs="Times New Roman"/>
          <w:sz w:val="32"/>
          <w:szCs w:val="32"/>
          <w:lang w:val="en-US" w:eastAsia="zh-CN"/>
        </w:rPr>
        <w:t>5.服务对象满意度:群众满意度达到95%。</w:t>
      </w:r>
    </w:p>
    <w:p>
      <w:pPr>
        <w:spacing w:line="520" w:lineRule="exact"/>
        <w:ind w:firstLine="636" w:firstLineChars="200"/>
        <w:rPr>
          <w:rFonts w:ascii="黑体" w:hAnsi="黑体" w:eastAsia="黑体" w:cs="Times New Roman"/>
          <w:sz w:val="32"/>
          <w:szCs w:val="32"/>
        </w:rPr>
      </w:pPr>
      <w:r>
        <w:rPr>
          <w:rFonts w:hint="eastAsia" w:ascii="黑体" w:hAnsi="黑体" w:eastAsia="黑体" w:cs="Times New Roman"/>
          <w:sz w:val="32"/>
          <w:szCs w:val="32"/>
        </w:rPr>
        <w:t>四、预算管理情况分析</w:t>
      </w:r>
    </w:p>
    <w:p>
      <w:pPr>
        <w:spacing w:line="520" w:lineRule="exact"/>
        <w:ind w:firstLine="636" w:firstLineChars="200"/>
        <w:rPr>
          <w:rFonts w:ascii="楷体_GB2312" w:hAnsi="Times New Roman" w:eastAsia="楷体_GB2312" w:cs="Times New Roman"/>
          <w:sz w:val="32"/>
          <w:szCs w:val="32"/>
        </w:rPr>
      </w:pPr>
      <w:r>
        <w:rPr>
          <w:rFonts w:hint="eastAsia" w:ascii="楷体_GB2312" w:hAnsi="Times New Roman" w:eastAsia="楷体_GB2312" w:cs="Times New Roman"/>
          <w:sz w:val="32"/>
          <w:szCs w:val="32"/>
        </w:rPr>
        <w:t>（一）财务管理</w:t>
      </w:r>
    </w:p>
    <w:p>
      <w:pPr>
        <w:spacing w:line="520" w:lineRule="exact"/>
        <w:ind w:firstLine="636" w:firstLineChars="200"/>
        <w:rPr>
          <w:rFonts w:hint="eastAsia" w:ascii="仿宋_GB2312" w:hAnsi="仿宋" w:eastAsia="仿宋_GB2312" w:cs="Times New Roman"/>
          <w:sz w:val="32"/>
          <w:szCs w:val="32"/>
          <w:lang w:val="en-US" w:eastAsia="zh-CN"/>
        </w:rPr>
      </w:pPr>
      <w:r>
        <w:rPr>
          <w:rFonts w:hint="eastAsia" w:ascii="仿宋_GB2312" w:hAnsi="仿宋" w:eastAsia="仿宋_GB2312" w:cs="Times New Roman"/>
          <w:sz w:val="32"/>
          <w:szCs w:val="32"/>
          <w:lang w:val="en-US" w:eastAsia="zh-CN"/>
        </w:rPr>
        <w:t>为切实规范资金管理，保障资金安全、高效运行，发挥资金使用效益，严格执行本单位各项管理制度，包括《三重一大制度实施办法》、《重大行政决策程序规定实施细则》、《资金支出管理办法》、《财务管理制度》、《大额资金的管理使用及监督办法》、《基本建设资金监督管理办法》、《专项资金监督管理办法》、《固定资产管理制度》、《进一步加强“三公”经费管理的规定》、《公务接待管理制度》等，同时认真落实会计工作职责和有关制度要求。</w:t>
      </w:r>
    </w:p>
    <w:p>
      <w:pPr>
        <w:numPr>
          <w:ilvl w:val="0"/>
          <w:numId w:val="1"/>
        </w:numPr>
        <w:spacing w:line="520" w:lineRule="exact"/>
        <w:ind w:firstLine="636" w:firstLineChars="200"/>
        <w:rPr>
          <w:rFonts w:hint="eastAsia" w:ascii="楷体_GB2312" w:hAnsi="Times New Roman" w:eastAsia="楷体_GB2312" w:cs="Times New Roman"/>
          <w:sz w:val="32"/>
          <w:szCs w:val="32"/>
        </w:rPr>
      </w:pPr>
      <w:r>
        <w:rPr>
          <w:rFonts w:hint="eastAsia" w:ascii="楷体_GB2312" w:hAnsi="Times New Roman" w:eastAsia="楷体_GB2312" w:cs="Times New Roman"/>
          <w:sz w:val="32"/>
          <w:szCs w:val="32"/>
        </w:rPr>
        <w:t>资产管理</w:t>
      </w:r>
    </w:p>
    <w:p>
      <w:pPr>
        <w:spacing w:line="520" w:lineRule="exact"/>
        <w:ind w:firstLine="636" w:firstLineChars="200"/>
        <w:rPr>
          <w:rFonts w:hint="eastAsia" w:ascii="仿宋_GB2312" w:hAnsi="仿宋" w:eastAsia="仿宋_GB2312" w:cs="Times New Roman"/>
          <w:sz w:val="32"/>
          <w:szCs w:val="32"/>
          <w:lang w:val="en-US" w:eastAsia="zh-CN"/>
        </w:rPr>
      </w:pPr>
      <w:r>
        <w:rPr>
          <w:rFonts w:hint="eastAsia" w:ascii="仿宋_GB2312" w:hAnsi="仿宋" w:eastAsia="仿宋_GB2312" w:cs="Times New Roman"/>
          <w:sz w:val="32"/>
          <w:szCs w:val="32"/>
          <w:lang w:val="en-US" w:eastAsia="zh-CN"/>
        </w:rPr>
        <w:t>截至2025年底，我单位固定资产原值2352.59万元，累计折旧856.26万元，净值1496.32万元；在建工程187894.31万元；公共基础设施901608.06万元。</w:t>
      </w:r>
    </w:p>
    <w:p>
      <w:pPr>
        <w:numPr>
          <w:ilvl w:val="0"/>
          <w:numId w:val="0"/>
        </w:numPr>
        <w:spacing w:line="520" w:lineRule="exact"/>
        <w:rPr>
          <w:rFonts w:hint="eastAsia" w:ascii="楷体_GB2312" w:hAnsi="Times New Roman" w:eastAsia="楷体_GB2312" w:cs="Times New Roman"/>
          <w:sz w:val="32"/>
          <w:szCs w:val="32"/>
        </w:rPr>
      </w:pPr>
    </w:p>
    <w:p>
      <w:pPr>
        <w:numPr>
          <w:ilvl w:val="0"/>
          <w:numId w:val="0"/>
        </w:numPr>
        <w:spacing w:line="520" w:lineRule="exact"/>
        <w:ind w:firstLine="318" w:firstLineChars="100"/>
        <w:rPr>
          <w:rFonts w:hint="eastAsia" w:ascii="楷体_GB2312" w:hAnsi="Times New Roman" w:eastAsia="楷体_GB2312" w:cs="Times New Roman"/>
          <w:sz w:val="32"/>
          <w:szCs w:val="32"/>
        </w:rPr>
      </w:pPr>
      <w:r>
        <w:rPr>
          <w:rFonts w:hint="eastAsia" w:ascii="楷体_GB2312" w:hAnsi="Times New Roman" w:eastAsia="楷体_GB2312" w:cs="Times New Roman"/>
          <w:sz w:val="32"/>
          <w:szCs w:val="32"/>
        </w:rPr>
        <w:t>（三）绩效管理</w:t>
      </w:r>
    </w:p>
    <w:p>
      <w:pPr>
        <w:spacing w:line="520" w:lineRule="exact"/>
        <w:ind w:firstLine="636" w:firstLineChars="200"/>
        <w:rPr>
          <w:rFonts w:hint="eastAsia" w:ascii="仿宋_GB2312" w:hAnsi="仿宋" w:eastAsia="仿宋_GB2312" w:cs="Times New Roman"/>
          <w:sz w:val="32"/>
          <w:szCs w:val="32"/>
        </w:rPr>
      </w:pPr>
      <w:r>
        <w:rPr>
          <w:rFonts w:ascii="仿宋_GB2312" w:hAnsi="仿宋" w:eastAsia="仿宋_GB2312" w:cs="Times New Roman"/>
          <w:sz w:val="32"/>
          <w:szCs w:val="32"/>
        </w:rPr>
        <w:t>1.</w:t>
      </w:r>
      <w:r>
        <w:rPr>
          <w:rFonts w:hint="eastAsia" w:ascii="仿宋_GB2312" w:hAnsi="仿宋" w:eastAsia="仿宋_GB2312" w:cs="Times New Roman"/>
          <w:sz w:val="32"/>
          <w:szCs w:val="32"/>
        </w:rPr>
        <w:t>预算绩效管理制度情况</w:t>
      </w:r>
    </w:p>
    <w:p>
      <w:pPr>
        <w:pStyle w:val="2"/>
        <w:spacing w:beforeLines="0" w:afterLines="0" w:line="560" w:lineRule="exact"/>
        <w:rPr>
          <w:rFonts w:hint="eastAsia" w:ascii="仿宋_GB2312" w:hAnsi="仿宋" w:eastAsia="仿宋_GB2312" w:cs="Times New Roman"/>
          <w:sz w:val="32"/>
          <w:szCs w:val="32"/>
        </w:rPr>
      </w:pPr>
      <w:r>
        <w:rPr>
          <w:rFonts w:hint="eastAsia" w:eastAsia="仿宋_GB2312"/>
          <w:color w:val="000000" w:themeColor="text1"/>
          <w:sz w:val="32"/>
          <w14:textFill>
            <w14:solidFill>
              <w14:schemeClr w14:val="tx1"/>
            </w14:solidFill>
          </w14:textFill>
        </w:rPr>
        <w:t>按照区财政局的工作要求，本单位积极开展全过程预算绩效管理工作，绩效管理组织机构设置、绩效目标填报及绩效跟踪情况等，及时向财政部门报告我局部门整体绩效目标和项目支出绩效目标半年和全年完成情况，说明绩效目标的完成进度、存在问题、整改措施。</w:t>
      </w:r>
    </w:p>
    <w:p>
      <w:pPr>
        <w:spacing w:line="520" w:lineRule="exact"/>
        <w:ind w:firstLine="636" w:firstLineChars="200"/>
        <w:rPr>
          <w:rFonts w:ascii="仿宋_GB2312" w:hAnsi="仿宋" w:eastAsia="仿宋_GB2312" w:cs="Times New Roman"/>
          <w:sz w:val="32"/>
          <w:szCs w:val="32"/>
        </w:rPr>
      </w:pPr>
      <w:r>
        <w:rPr>
          <w:rFonts w:ascii="仿宋_GB2312" w:hAnsi="仿宋" w:eastAsia="仿宋_GB2312" w:cs="Times New Roman"/>
          <w:sz w:val="32"/>
          <w:szCs w:val="32"/>
        </w:rPr>
        <w:t>2.</w:t>
      </w:r>
      <w:r>
        <w:rPr>
          <w:rFonts w:hint="eastAsia" w:ascii="仿宋_GB2312" w:hAnsi="仿宋" w:eastAsia="仿宋_GB2312" w:cs="Times New Roman"/>
          <w:sz w:val="32"/>
          <w:szCs w:val="32"/>
        </w:rPr>
        <w:t>绩效目标管理情况</w:t>
      </w:r>
    </w:p>
    <w:p>
      <w:pPr>
        <w:spacing w:line="520" w:lineRule="exact"/>
        <w:ind w:firstLine="636" w:firstLineChars="200"/>
        <w:rPr>
          <w:rFonts w:ascii="仿宋_GB2312" w:hAnsi="微软雅黑" w:eastAsia="仿宋_GB2312" w:cs="微软雅黑"/>
          <w:color w:val="404040"/>
          <w:sz w:val="32"/>
          <w:szCs w:val="32"/>
          <w:shd w:val="clear" w:color="auto" w:fill="FFFFFF"/>
        </w:rPr>
      </w:pPr>
      <w:r>
        <w:rPr>
          <w:rFonts w:ascii="仿宋_GB2312" w:hAnsi="微软雅黑" w:eastAsia="仿宋_GB2312" w:cs="微软雅黑"/>
          <w:color w:val="404040"/>
          <w:sz w:val="32"/>
          <w:szCs w:val="32"/>
          <w:shd w:val="clear" w:color="auto" w:fill="FFFFFF"/>
        </w:rPr>
        <w:t>202</w:t>
      </w:r>
      <w:r>
        <w:rPr>
          <w:rFonts w:hint="eastAsia" w:ascii="仿宋_GB2312" w:hAnsi="微软雅黑" w:eastAsia="仿宋_GB2312" w:cs="微软雅黑"/>
          <w:color w:val="404040"/>
          <w:sz w:val="32"/>
          <w:szCs w:val="32"/>
          <w:shd w:val="clear" w:color="auto" w:fill="FFFFFF"/>
        </w:rPr>
        <w:t>5年部门预算项目</w:t>
      </w:r>
      <w:r>
        <w:rPr>
          <w:rFonts w:hint="eastAsia" w:ascii="仿宋_GB2312" w:hAnsi="微软雅黑" w:eastAsia="仿宋_GB2312" w:cs="微软雅黑"/>
          <w:color w:val="404040"/>
          <w:sz w:val="32"/>
          <w:szCs w:val="32"/>
          <w:shd w:val="clear" w:color="auto" w:fill="FFFFFF"/>
          <w:lang w:val="en-US" w:eastAsia="zh-CN"/>
        </w:rPr>
        <w:t>57</w:t>
      </w:r>
      <w:r>
        <w:rPr>
          <w:rFonts w:hint="eastAsia" w:ascii="仿宋_GB2312" w:hAnsi="微软雅黑" w:eastAsia="仿宋_GB2312" w:cs="微软雅黑"/>
          <w:color w:val="404040"/>
          <w:sz w:val="32"/>
          <w:szCs w:val="32"/>
          <w:shd w:val="clear" w:color="auto" w:fill="FFFFFF"/>
        </w:rPr>
        <w:t>个，部门预算公开绩效目标的预算项目</w:t>
      </w:r>
      <w:r>
        <w:rPr>
          <w:rFonts w:hint="eastAsia" w:ascii="仿宋_GB2312" w:hAnsi="微软雅黑" w:eastAsia="仿宋_GB2312" w:cs="微软雅黑"/>
          <w:color w:val="404040"/>
          <w:sz w:val="32"/>
          <w:szCs w:val="32"/>
          <w:shd w:val="clear" w:color="auto" w:fill="FFFFFF"/>
          <w:lang w:val="en-US" w:eastAsia="zh-CN"/>
        </w:rPr>
        <w:t>57</w:t>
      </w:r>
      <w:r>
        <w:rPr>
          <w:rFonts w:hint="eastAsia" w:ascii="仿宋_GB2312" w:hAnsi="微软雅黑" w:eastAsia="仿宋_GB2312" w:cs="微软雅黑"/>
          <w:color w:val="404040"/>
          <w:sz w:val="32"/>
          <w:szCs w:val="32"/>
          <w:shd w:val="clear" w:color="auto" w:fill="FFFFFF"/>
        </w:rPr>
        <w:t>个，占本部门全部预算项目的</w:t>
      </w:r>
      <w:r>
        <w:rPr>
          <w:rFonts w:hint="eastAsia" w:ascii="仿宋_GB2312" w:hAnsi="微软雅黑" w:eastAsia="仿宋_GB2312" w:cs="微软雅黑"/>
          <w:color w:val="404040"/>
          <w:sz w:val="32"/>
          <w:szCs w:val="32"/>
          <w:shd w:val="clear" w:color="auto" w:fill="FFFFFF"/>
          <w:lang w:val="en-US" w:eastAsia="zh-CN"/>
        </w:rPr>
        <w:t>100</w:t>
      </w:r>
      <w:r>
        <w:rPr>
          <w:rFonts w:ascii="仿宋_GB2312" w:hAnsi="微软雅黑" w:eastAsia="仿宋_GB2312" w:cs="微软雅黑"/>
          <w:color w:val="404040"/>
          <w:sz w:val="32"/>
          <w:szCs w:val="32"/>
          <w:shd w:val="clear" w:color="auto" w:fill="FFFFFF"/>
        </w:rPr>
        <w:t>%</w:t>
      </w:r>
      <w:r>
        <w:rPr>
          <w:rFonts w:hint="eastAsia" w:ascii="仿宋_GB2312" w:hAnsi="微软雅黑" w:eastAsia="仿宋_GB2312" w:cs="微软雅黑"/>
          <w:color w:val="404040"/>
          <w:sz w:val="32"/>
          <w:szCs w:val="32"/>
          <w:shd w:val="clear" w:color="auto" w:fill="FFFFFF"/>
        </w:rPr>
        <w:t>。</w:t>
      </w:r>
    </w:p>
    <w:p>
      <w:pPr>
        <w:spacing w:line="520" w:lineRule="exact"/>
        <w:ind w:firstLine="636" w:firstLineChars="200"/>
        <w:rPr>
          <w:rFonts w:ascii="仿宋_GB2312" w:hAnsi="仿宋" w:eastAsia="仿宋_GB2312" w:cs="Times New Roman"/>
          <w:sz w:val="32"/>
          <w:szCs w:val="32"/>
        </w:rPr>
      </w:pPr>
      <w:r>
        <w:rPr>
          <w:rFonts w:ascii="仿宋_GB2312" w:hAnsi="仿宋" w:eastAsia="仿宋_GB2312" w:cs="Times New Roman"/>
          <w:sz w:val="32"/>
          <w:szCs w:val="32"/>
        </w:rPr>
        <w:t>3.</w:t>
      </w:r>
      <w:r>
        <w:rPr>
          <w:rFonts w:hint="eastAsia" w:ascii="仿宋_GB2312" w:hAnsi="仿宋" w:eastAsia="仿宋_GB2312" w:cs="Times New Roman"/>
          <w:sz w:val="32"/>
          <w:szCs w:val="32"/>
        </w:rPr>
        <w:t>绩效运行监控情况</w:t>
      </w:r>
    </w:p>
    <w:p>
      <w:pPr>
        <w:spacing w:line="520" w:lineRule="exact"/>
        <w:ind w:firstLine="636" w:firstLineChars="200"/>
        <w:rPr>
          <w:rFonts w:ascii="仿宋_GB2312" w:hAnsi="仿宋" w:eastAsia="仿宋_GB2312" w:cs="Times New Roman"/>
          <w:sz w:val="32"/>
          <w:szCs w:val="32"/>
        </w:rPr>
      </w:pPr>
      <w:r>
        <w:rPr>
          <w:rFonts w:ascii="仿宋_GB2312" w:hAnsi="微软雅黑" w:eastAsia="仿宋_GB2312" w:cs="微软雅黑"/>
          <w:color w:val="404040"/>
          <w:sz w:val="32"/>
          <w:szCs w:val="32"/>
          <w:shd w:val="clear" w:color="auto" w:fill="FFFFFF"/>
        </w:rPr>
        <w:t>202</w:t>
      </w:r>
      <w:r>
        <w:rPr>
          <w:rFonts w:hint="eastAsia" w:ascii="仿宋_GB2312" w:hAnsi="微软雅黑" w:eastAsia="仿宋_GB2312" w:cs="微软雅黑"/>
          <w:color w:val="404040"/>
          <w:sz w:val="32"/>
          <w:szCs w:val="32"/>
          <w:shd w:val="clear" w:color="auto" w:fill="FFFFFF"/>
        </w:rPr>
        <w:t>5</w:t>
      </w:r>
      <w:r>
        <w:rPr>
          <w:rFonts w:hint="eastAsia" w:ascii="仿宋_GB2312" w:hAnsi="仿宋" w:eastAsia="仿宋_GB2312" w:cs="Times New Roman"/>
          <w:sz w:val="32"/>
          <w:szCs w:val="32"/>
        </w:rPr>
        <w:t>年对</w:t>
      </w:r>
      <w:r>
        <w:rPr>
          <w:rFonts w:hint="eastAsia" w:ascii="仿宋_GB2312" w:hAnsi="Times New Roman" w:eastAsia="仿宋_GB2312" w:cs="Times New Roman"/>
          <w:sz w:val="32"/>
          <w:szCs w:val="32"/>
        </w:rPr>
        <w:t>本部门及所属单位</w:t>
      </w:r>
      <w:r>
        <w:rPr>
          <w:rFonts w:hint="eastAsia" w:ascii="仿宋_GB2312" w:hAnsi="仿宋" w:eastAsia="仿宋_GB2312" w:cs="Times New Roman"/>
          <w:sz w:val="32"/>
          <w:szCs w:val="32"/>
          <w:lang w:val="en-US" w:eastAsia="zh-CN"/>
        </w:rPr>
        <w:t>57</w:t>
      </w:r>
      <w:r>
        <w:rPr>
          <w:rFonts w:hint="eastAsia" w:ascii="仿宋_GB2312" w:hAnsi="仿宋" w:eastAsia="仿宋_GB2312" w:cs="Times New Roman"/>
          <w:sz w:val="32"/>
          <w:szCs w:val="32"/>
        </w:rPr>
        <w:t>个预算项目进行绩效运行监控，占部门项目总数的</w:t>
      </w:r>
      <w:r>
        <w:rPr>
          <w:rFonts w:hint="eastAsia" w:ascii="仿宋_GB2312" w:hAnsi="微软雅黑" w:eastAsia="仿宋_GB2312" w:cs="微软雅黑"/>
          <w:color w:val="404040"/>
          <w:sz w:val="32"/>
          <w:szCs w:val="32"/>
          <w:shd w:val="clear" w:color="auto" w:fill="FFFFFF"/>
          <w:lang w:val="en-US" w:eastAsia="zh-CN"/>
        </w:rPr>
        <w:t>100</w:t>
      </w:r>
      <w:r>
        <w:rPr>
          <w:rFonts w:ascii="仿宋_GB2312" w:hAnsi="微软雅黑" w:eastAsia="仿宋_GB2312" w:cs="微软雅黑"/>
          <w:color w:val="404040"/>
          <w:sz w:val="32"/>
          <w:szCs w:val="32"/>
          <w:shd w:val="clear" w:color="auto" w:fill="FFFFFF"/>
        </w:rPr>
        <w:t>%</w:t>
      </w:r>
      <w:r>
        <w:rPr>
          <w:rFonts w:hint="eastAsia" w:ascii="仿宋_GB2312" w:hAnsi="微软雅黑" w:eastAsia="仿宋_GB2312" w:cs="微软雅黑"/>
          <w:color w:val="404040"/>
          <w:sz w:val="32"/>
          <w:szCs w:val="32"/>
          <w:shd w:val="clear" w:color="auto" w:fill="FFFFFF"/>
        </w:rPr>
        <w:t>，涉及资金</w:t>
      </w:r>
      <w:r>
        <w:rPr>
          <w:rFonts w:hint="eastAsia" w:ascii="仿宋_GB2312" w:hAnsi="微软雅黑" w:eastAsia="仿宋_GB2312" w:cs="微软雅黑"/>
          <w:color w:val="404040"/>
          <w:sz w:val="32"/>
          <w:szCs w:val="32"/>
          <w:shd w:val="clear" w:color="auto" w:fill="FFFFFF"/>
          <w:lang w:val="en-US" w:eastAsia="zh-CN"/>
        </w:rPr>
        <w:t>20142.84</w:t>
      </w:r>
      <w:r>
        <w:rPr>
          <w:rFonts w:hint="eastAsia" w:ascii="仿宋_GB2312" w:hAnsi="微软雅黑" w:eastAsia="仿宋_GB2312" w:cs="微软雅黑"/>
          <w:color w:val="404040"/>
          <w:sz w:val="32"/>
          <w:szCs w:val="32"/>
          <w:shd w:val="clear" w:color="auto" w:fill="FFFFFF"/>
        </w:rPr>
        <w:t>万元。</w:t>
      </w:r>
    </w:p>
    <w:p>
      <w:pPr>
        <w:spacing w:line="520" w:lineRule="exact"/>
        <w:ind w:firstLine="636" w:firstLineChars="200"/>
        <w:rPr>
          <w:rFonts w:ascii="仿宋_GB2312" w:hAnsi="仿宋" w:eastAsia="仿宋_GB2312" w:cs="Times New Roman"/>
          <w:sz w:val="32"/>
          <w:szCs w:val="32"/>
        </w:rPr>
      </w:pPr>
      <w:r>
        <w:rPr>
          <w:rFonts w:ascii="仿宋_GB2312" w:hAnsi="仿宋" w:eastAsia="仿宋_GB2312" w:cs="Times New Roman"/>
          <w:sz w:val="32"/>
          <w:szCs w:val="32"/>
        </w:rPr>
        <w:t>4.</w:t>
      </w:r>
      <w:r>
        <w:rPr>
          <w:rFonts w:hint="eastAsia" w:ascii="仿宋_GB2312" w:hAnsi="仿宋" w:eastAsia="仿宋_GB2312" w:cs="Times New Roman"/>
          <w:sz w:val="32"/>
          <w:szCs w:val="32"/>
        </w:rPr>
        <w:t>绩效自评情况</w:t>
      </w:r>
    </w:p>
    <w:p>
      <w:pPr>
        <w:spacing w:line="520" w:lineRule="exact"/>
        <w:ind w:firstLine="636" w:firstLineChars="200"/>
        <w:rPr>
          <w:rFonts w:ascii="仿宋_GB2312" w:hAnsi="Times New Roman" w:eastAsia="仿宋_GB2312" w:cs="Times New Roman"/>
          <w:sz w:val="32"/>
          <w:szCs w:val="32"/>
        </w:rPr>
      </w:pPr>
      <w:r>
        <w:rPr>
          <w:rFonts w:ascii="仿宋_GB2312" w:hAnsi="微软雅黑" w:eastAsia="仿宋_GB2312" w:cs="微软雅黑"/>
          <w:color w:val="404040"/>
          <w:sz w:val="32"/>
          <w:szCs w:val="32"/>
          <w:shd w:val="clear" w:color="auto" w:fill="FFFFFF"/>
        </w:rPr>
        <w:t>202</w:t>
      </w:r>
      <w:r>
        <w:rPr>
          <w:rFonts w:hint="eastAsia" w:ascii="仿宋_GB2312" w:hAnsi="微软雅黑" w:eastAsia="仿宋_GB2312" w:cs="微软雅黑"/>
          <w:color w:val="404040"/>
          <w:sz w:val="32"/>
          <w:szCs w:val="32"/>
          <w:shd w:val="clear" w:color="auto" w:fill="FFFFFF"/>
        </w:rPr>
        <w:t>5</w:t>
      </w:r>
      <w:r>
        <w:rPr>
          <w:rFonts w:hint="eastAsia" w:ascii="仿宋_GB2312" w:hAnsi="仿宋" w:eastAsia="仿宋_GB2312" w:cs="Times New Roman"/>
          <w:sz w:val="32"/>
          <w:szCs w:val="32"/>
        </w:rPr>
        <w:t>年</w:t>
      </w:r>
      <w:r>
        <w:rPr>
          <w:rFonts w:hint="eastAsia" w:ascii="仿宋_GB2312" w:hAnsi="Times New Roman" w:eastAsia="仿宋_GB2312" w:cs="Times New Roman"/>
          <w:sz w:val="32"/>
          <w:szCs w:val="32"/>
        </w:rPr>
        <w:t>对本部门及所属单位</w:t>
      </w:r>
      <w:r>
        <w:rPr>
          <w:rFonts w:ascii="仿宋_GB2312" w:hAnsi="Times New Roman" w:eastAsia="仿宋_GB2312" w:cs="Times New Roman"/>
          <w:sz w:val="32"/>
          <w:szCs w:val="32"/>
        </w:rPr>
        <w:t>202</w:t>
      </w:r>
      <w:r>
        <w:rPr>
          <w:rFonts w:hint="eastAsia" w:ascii="仿宋_GB2312" w:hAnsi="Times New Roman" w:eastAsia="仿宋_GB2312" w:cs="Times New Roman"/>
          <w:sz w:val="32"/>
          <w:szCs w:val="32"/>
          <w:lang w:val="en-US" w:eastAsia="zh-CN"/>
        </w:rPr>
        <w:t>5</w:t>
      </w:r>
      <w:r>
        <w:rPr>
          <w:rFonts w:hint="eastAsia" w:ascii="仿宋_GB2312" w:hAnsi="Times New Roman" w:eastAsia="仿宋_GB2312" w:cs="Times New Roman"/>
          <w:sz w:val="32"/>
          <w:szCs w:val="32"/>
        </w:rPr>
        <w:t>年项目支出实施了绩效自评，评价项目</w:t>
      </w:r>
      <w:r>
        <w:rPr>
          <w:rFonts w:hint="eastAsia" w:ascii="仿宋_GB2312" w:hAnsi="Times New Roman" w:eastAsia="仿宋_GB2312" w:cs="Times New Roman"/>
          <w:sz w:val="32"/>
          <w:szCs w:val="32"/>
          <w:lang w:val="en-US" w:eastAsia="zh-CN"/>
        </w:rPr>
        <w:t>57</w:t>
      </w:r>
      <w:r>
        <w:rPr>
          <w:rFonts w:hint="eastAsia" w:ascii="仿宋_GB2312" w:hAnsi="Times New Roman" w:eastAsia="仿宋_GB2312" w:cs="Times New Roman"/>
          <w:sz w:val="32"/>
          <w:szCs w:val="32"/>
        </w:rPr>
        <w:t>个，涉及金额</w:t>
      </w:r>
      <w:r>
        <w:rPr>
          <w:rFonts w:hint="eastAsia" w:ascii="仿宋_GB2312" w:hAnsi="微软雅黑" w:eastAsia="仿宋_GB2312" w:cs="微软雅黑"/>
          <w:color w:val="404040"/>
          <w:sz w:val="32"/>
          <w:szCs w:val="32"/>
          <w:shd w:val="clear" w:color="auto" w:fill="FFFFFF"/>
          <w:lang w:val="en-US" w:eastAsia="zh-CN"/>
        </w:rPr>
        <w:t>20142.84</w:t>
      </w:r>
      <w:r>
        <w:rPr>
          <w:rFonts w:hint="eastAsia" w:ascii="仿宋_GB2312" w:hAnsi="Times New Roman" w:eastAsia="仿宋_GB2312" w:cs="Times New Roman"/>
          <w:sz w:val="32"/>
          <w:szCs w:val="32"/>
        </w:rPr>
        <w:t>万元。</w:t>
      </w:r>
    </w:p>
    <w:p>
      <w:pPr>
        <w:widowControl/>
        <w:spacing w:line="520" w:lineRule="exact"/>
        <w:ind w:firstLine="636" w:firstLineChars="200"/>
        <w:rPr>
          <w:rFonts w:ascii="黑体" w:hAnsi="黑体" w:eastAsia="黑体" w:cs="Times New Roman"/>
          <w:sz w:val="32"/>
          <w:szCs w:val="32"/>
        </w:rPr>
      </w:pPr>
      <w:r>
        <w:rPr>
          <w:rFonts w:hint="eastAsia" w:ascii="黑体" w:hAnsi="黑体" w:eastAsia="黑体" w:cs="宋体"/>
          <w:sz w:val="32"/>
          <w:szCs w:val="32"/>
        </w:rPr>
        <w:t>五、总体评价结论</w:t>
      </w:r>
    </w:p>
    <w:p>
      <w:pPr>
        <w:spacing w:line="520" w:lineRule="exact"/>
        <w:ind w:firstLine="636" w:firstLineChars="200"/>
        <w:rPr>
          <w:rFonts w:ascii="楷体_GB2312" w:hAnsi="仿宋" w:eastAsia="楷体_GB2312" w:cs="Times New Roman"/>
          <w:b/>
          <w:sz w:val="32"/>
          <w:szCs w:val="32"/>
        </w:rPr>
      </w:pPr>
      <w:r>
        <w:rPr>
          <w:rFonts w:hint="eastAsia" w:ascii="楷体_GB2312" w:hAnsi="仿宋" w:eastAsia="楷体_GB2312" w:cs="Times New Roman"/>
          <w:b/>
          <w:sz w:val="32"/>
          <w:szCs w:val="32"/>
        </w:rPr>
        <w:t>（一）评价得分情况</w:t>
      </w:r>
    </w:p>
    <w:p>
      <w:pPr>
        <w:widowControl/>
        <w:spacing w:line="520" w:lineRule="exact"/>
        <w:ind w:firstLine="636" w:firstLineChars="200"/>
        <w:rPr>
          <w:rFonts w:ascii="仿宋_GB2312" w:hAnsi="仿宋" w:eastAsia="仿宋_GB2312" w:cs="Times New Roman"/>
          <w:sz w:val="32"/>
          <w:szCs w:val="32"/>
        </w:rPr>
      </w:pPr>
      <w:r>
        <w:rPr>
          <w:rFonts w:hint="eastAsia" w:ascii="仿宋_GB2312" w:hAnsi="仿宋" w:eastAsia="仿宋_GB2312" w:cs="Times New Roman"/>
          <w:sz w:val="32"/>
          <w:szCs w:val="32"/>
        </w:rPr>
        <w:t>请结合《部门整体支出绩效自评表》中的得分情况填写以下内容。</w:t>
      </w:r>
    </w:p>
    <w:p>
      <w:pPr>
        <w:widowControl/>
        <w:spacing w:line="520" w:lineRule="exact"/>
        <w:ind w:firstLine="636" w:firstLineChars="200"/>
        <w:rPr>
          <w:rFonts w:ascii="仿宋_GB2312" w:hAnsi="仿宋" w:eastAsia="仿宋_GB2312" w:cs="Times New Roman"/>
          <w:sz w:val="32"/>
          <w:szCs w:val="32"/>
        </w:rPr>
      </w:pPr>
      <w:r>
        <w:rPr>
          <w:rFonts w:hint="eastAsia" w:ascii="仿宋_GB2312" w:hAnsi="仿宋" w:eastAsia="仿宋_GB2312" w:cs="Times New Roman"/>
          <w:sz w:val="32"/>
          <w:szCs w:val="32"/>
        </w:rPr>
        <w:t>绩效自评总分：</w:t>
      </w:r>
      <w:r>
        <w:rPr>
          <w:rFonts w:hint="eastAsia" w:ascii="仿宋_GB2312" w:hAnsi="仿宋" w:eastAsia="仿宋_GB2312" w:cs="Times New Roman"/>
          <w:sz w:val="32"/>
          <w:szCs w:val="32"/>
          <w:lang w:val="en-US" w:eastAsia="zh-CN"/>
        </w:rPr>
        <w:t>98.92</w:t>
      </w:r>
      <w:r>
        <w:rPr>
          <w:rFonts w:hint="eastAsia" w:ascii="仿宋_GB2312" w:hAnsi="仿宋" w:eastAsia="仿宋_GB2312" w:cs="Times New Roman"/>
          <w:sz w:val="32"/>
          <w:szCs w:val="32"/>
        </w:rPr>
        <w:t>分</w:t>
      </w:r>
    </w:p>
    <w:p>
      <w:pPr>
        <w:widowControl/>
        <w:spacing w:line="520" w:lineRule="exact"/>
        <w:ind w:firstLine="636" w:firstLineChars="200"/>
        <w:rPr>
          <w:rFonts w:ascii="仿宋_GB2312" w:hAnsi="仿宋" w:eastAsia="仿宋_GB2312" w:cs="Times New Roman"/>
          <w:sz w:val="32"/>
          <w:szCs w:val="32"/>
        </w:rPr>
      </w:pPr>
      <w:r>
        <w:rPr>
          <w:rFonts w:hint="eastAsia" w:ascii="仿宋_GB2312" w:hAnsi="仿宋" w:eastAsia="仿宋_GB2312" w:cs="Times New Roman"/>
          <w:sz w:val="32"/>
          <w:szCs w:val="32"/>
        </w:rPr>
        <w:t>绩效自评等级：</w:t>
      </w:r>
    </w:p>
    <w:p>
      <w:pPr>
        <w:widowControl/>
        <w:spacing w:line="520" w:lineRule="exact"/>
        <w:ind w:firstLine="636" w:firstLineChars="200"/>
        <w:rPr>
          <w:rFonts w:ascii="仿宋_GB2312" w:hAnsi="仿宋" w:eastAsia="仿宋_GB2312" w:cs="Times New Roman"/>
          <w:sz w:val="32"/>
          <w:szCs w:val="32"/>
        </w:rPr>
      </w:pPr>
      <w:r>
        <w:rPr>
          <w:rFonts w:hint="eastAsia" w:ascii="仿宋_GB2312" w:hAnsi="仿宋" w:eastAsia="仿宋_GB2312" w:cs="Times New Roman"/>
          <w:sz w:val="32"/>
          <w:szCs w:val="32"/>
        </w:rPr>
        <w:t>四类评价等级：优秀</w:t>
      </w:r>
    </w:p>
    <w:p>
      <w:pPr>
        <w:spacing w:line="520" w:lineRule="exact"/>
        <w:ind w:firstLine="636" w:firstLineChars="200"/>
        <w:rPr>
          <w:rFonts w:ascii="楷体_GB2312" w:hAnsi="仿宋" w:eastAsia="楷体_GB2312" w:cs="Times New Roman"/>
          <w:b/>
          <w:sz w:val="32"/>
          <w:szCs w:val="32"/>
        </w:rPr>
      </w:pPr>
      <w:r>
        <w:rPr>
          <w:rFonts w:hint="eastAsia" w:ascii="楷体_GB2312" w:hAnsi="仿宋" w:eastAsia="楷体_GB2312" w:cs="Times New Roman"/>
          <w:b/>
          <w:sz w:val="32"/>
          <w:szCs w:val="32"/>
        </w:rPr>
        <w:t>（二）存在的问题及原因分析</w:t>
      </w:r>
    </w:p>
    <w:p>
      <w:pPr>
        <w:spacing w:line="520" w:lineRule="exact"/>
        <w:ind w:firstLine="636" w:firstLineChars="200"/>
        <w:rPr>
          <w:rFonts w:hint="eastAsia" w:ascii="仿宋_GB2312" w:hAnsi="仿宋" w:eastAsia="仿宋_GB2312" w:cs="Times New Roman"/>
          <w:sz w:val="32"/>
          <w:szCs w:val="32"/>
          <w:lang w:eastAsia="zh-CN"/>
        </w:rPr>
      </w:pPr>
      <w:r>
        <w:rPr>
          <w:rFonts w:hint="eastAsia" w:ascii="仿宋_GB2312" w:hAnsi="仿宋" w:eastAsia="仿宋_GB2312" w:cs="Times New Roman"/>
          <w:sz w:val="32"/>
          <w:szCs w:val="32"/>
          <w:lang w:eastAsia="zh-CN"/>
        </w:rPr>
        <w:t>加快推进项目进度</w:t>
      </w:r>
    </w:p>
    <w:p>
      <w:pPr>
        <w:spacing w:line="520" w:lineRule="exact"/>
        <w:ind w:firstLine="636" w:firstLineChars="200"/>
        <w:rPr>
          <w:rFonts w:ascii="楷体_GB2312" w:hAnsi="仿宋" w:eastAsia="楷体_GB2312" w:cs="Times New Roman"/>
          <w:b/>
          <w:sz w:val="32"/>
          <w:szCs w:val="32"/>
        </w:rPr>
      </w:pPr>
      <w:r>
        <w:rPr>
          <w:rFonts w:hint="eastAsia" w:ascii="楷体_GB2312" w:hAnsi="仿宋" w:eastAsia="楷体_GB2312" w:cs="Times New Roman"/>
          <w:b/>
          <w:sz w:val="32"/>
          <w:szCs w:val="32"/>
        </w:rPr>
        <w:t>（三）改进措施（请对照问题，分别填写相应改进措施）</w:t>
      </w:r>
    </w:p>
    <w:bookmarkEnd w:id="2"/>
    <w:p>
      <w:pPr>
        <w:numPr>
          <w:ilvl w:val="0"/>
          <w:numId w:val="0"/>
        </w:numPr>
        <w:spacing w:beforeLines="0" w:afterLines="0" w:line="520" w:lineRule="exact"/>
        <w:ind w:firstLine="636" w:firstLineChars="200"/>
        <w:rPr>
          <w:rFonts w:hint="eastAsia" w:ascii="仿宋_GB2312" w:hAnsi="仿宋" w:eastAsia="仿宋_GB2312" w:cs="Times New Roman"/>
          <w:sz w:val="32"/>
          <w:szCs w:val="32"/>
        </w:rPr>
      </w:pPr>
      <w:r>
        <w:rPr>
          <w:rFonts w:hint="eastAsia" w:ascii="仿宋_GB2312" w:hAnsi="仿宋" w:eastAsia="仿宋_GB2312" w:cs="Times New Roman"/>
          <w:sz w:val="32"/>
          <w:szCs w:val="32"/>
        </w:rPr>
        <w:t>加快推动项目前期手续、按照全年任务目标推进工程进度，切实提高资金使用效率，切实提高政府资金绩效。</w:t>
      </w:r>
    </w:p>
    <w:p>
      <w:pPr>
        <w:spacing w:line="520" w:lineRule="exact"/>
        <w:ind w:firstLine="636" w:firstLineChars="200"/>
        <w:rPr>
          <w:rFonts w:ascii="仿宋_GB2312" w:hAnsi="仿宋" w:eastAsia="仿宋_GB2312" w:cs="Times New Roman"/>
          <w:sz w:val="32"/>
          <w:szCs w:val="32"/>
        </w:rPr>
      </w:pPr>
    </w:p>
    <w:p>
      <w:pPr>
        <w:spacing w:line="520" w:lineRule="exact"/>
        <w:ind w:firstLine="636" w:firstLineChars="200"/>
        <w:jc w:val="left"/>
        <w:rPr>
          <w:rFonts w:ascii="仿宋_GB2312" w:hAnsi="Times New Roman" w:eastAsia="仿宋_GB2312" w:cs="Times New Roman"/>
          <w:sz w:val="32"/>
          <w:szCs w:val="32"/>
        </w:rPr>
      </w:pPr>
    </w:p>
    <w:p/>
    <w:sectPr>
      <w:footerReference r:id="rId3" w:type="default"/>
      <w:pgSz w:w="11907" w:h="16840"/>
      <w:pgMar w:top="1797" w:right="1440" w:bottom="1276" w:left="1440" w:header="851" w:footer="992" w:gutter="0"/>
      <w:pgNumType w:start="1"/>
      <w:cols w:space="425" w:num="1"/>
      <w:docGrid w:type="linesAndChars" w:linePitch="606" w:charSpace="-61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altName w:val="Standard Symbols P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Standard Symbols PS"/>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楷体_GB2312">
    <w:altName w:val="方正楷体_GBK"/>
    <w:panose1 w:val="02010609030101010101"/>
    <w:charset w:val="86"/>
    <w:family w:val="modern"/>
    <w:pitch w:val="default"/>
    <w:sig w:usb0="00000000" w:usb1="00000000" w:usb2="00000010" w:usb3="00000000" w:csb0="00040000" w:csb1="00000000"/>
  </w:font>
  <w:font w:name="仿宋">
    <w:altName w:val="方正仿宋_GBK"/>
    <w:panose1 w:val="02010609060101010101"/>
    <w:charset w:val="86"/>
    <w:family w:val="modern"/>
    <w:pitch w:val="default"/>
    <w:sig w:usb0="00000000" w:usb1="00000000" w:usb2="00000016" w:usb3="00000000" w:csb0="00040001" w:csb1="00000000"/>
  </w:font>
  <w:font w:name="仿宋_GB2312">
    <w:altName w:val="方正仿宋_GBK"/>
    <w:panose1 w:val="02010609030101010101"/>
    <w:charset w:val="86"/>
    <w:family w:val="modern"/>
    <w:pitch w:val="default"/>
    <w:sig w:usb0="00000000" w:usb1="00000000" w:usb2="00000010" w:usb3="00000000" w:csb0="00040000" w:csb1="00000000"/>
  </w:font>
  <w:font w:name="东文宋体">
    <w:altName w:val="方正书宋_GBK"/>
    <w:panose1 w:val="00000000000000000000"/>
    <w:charset w:val="00"/>
    <w:family w:val="auto"/>
    <w:pitch w:val="default"/>
    <w:sig w:usb0="00000000" w:usb1="00000000" w:usb2="00000000" w:usb3="00000000" w:csb0="00000000" w:csb1="00000000"/>
  </w:font>
  <w:font w:name="微软雅黑">
    <w:altName w:val="方正黑体_GBK"/>
    <w:panose1 w:val="020B0503020204020204"/>
    <w:charset w:val="86"/>
    <w:family w:val="swiss"/>
    <w:pitch w:val="default"/>
    <w:sig w:usb0="00000000" w:usb1="00000000" w:usb2="00000016" w:usb3="00000000" w:csb0="0004001F" w:csb1="00000000"/>
  </w:font>
  <w:font w:name="方正书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方正黑体_GBK">
    <w:panose1 w:val="02000000000000000000"/>
    <w:charset w:val="86"/>
    <w:family w:val="auto"/>
    <w:pitch w:val="default"/>
    <w:sig w:usb0="00000001" w:usb1="08000000" w:usb2="00000000" w:usb3="00000000" w:csb0="00040000" w:csb1="00000000"/>
  </w:font>
  <w:font w:name="方正楷体_GBK">
    <w:panose1 w:val="02000000000000000000"/>
    <w:charset w:val="86"/>
    <w:family w:val="auto"/>
    <w:pitch w:val="default"/>
    <w:sig w:usb0="00000001" w:usb1="08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framePr w:wrap="auto" w:vAnchor="text" w:hAnchor="margin" w:xAlign="center" w:y="1"/>
      <w:ind w:firstLine="360"/>
      <w:rPr>
        <w:rStyle w:val="7"/>
      </w:rPr>
    </w:pPr>
    <w:r>
      <w:rPr>
        <w:rStyle w:val="7"/>
      </w:rPr>
      <w:fldChar w:fldCharType="begin"/>
    </w:r>
    <w:r>
      <w:rPr>
        <w:rStyle w:val="7"/>
      </w:rPr>
      <w:instrText xml:space="preserve">PAGE  </w:instrText>
    </w:r>
    <w:r>
      <w:rPr>
        <w:rStyle w:val="7"/>
      </w:rPr>
      <w:fldChar w:fldCharType="separate"/>
    </w:r>
    <w:r>
      <w:rPr>
        <w:rStyle w:val="7"/>
      </w:rPr>
      <w:t>1</w:t>
    </w:r>
    <w:r>
      <w:rPr>
        <w:rStyle w:val="7"/>
      </w:rPr>
      <w:fldChar w:fldCharType="end"/>
    </w:r>
  </w:p>
  <w:p>
    <w:pPr>
      <w:pStyle w:val="3"/>
      <w:ind w:firstLine="360"/>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FFF8010"/>
    <w:multiLevelType w:val="singleLevel"/>
    <w:tmpl w:val="5FFF8010"/>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true"/>
  <w:bordersDoNotSurroundFooter w:val="true"/>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C5969"/>
    <w:rsid w:val="0004502A"/>
    <w:rsid w:val="000C1951"/>
    <w:rsid w:val="0010736B"/>
    <w:rsid w:val="00136430"/>
    <w:rsid w:val="0015133D"/>
    <w:rsid w:val="001F1B65"/>
    <w:rsid w:val="0020720A"/>
    <w:rsid w:val="00271F9E"/>
    <w:rsid w:val="00335359"/>
    <w:rsid w:val="00385D4E"/>
    <w:rsid w:val="004841EF"/>
    <w:rsid w:val="00632E15"/>
    <w:rsid w:val="00765990"/>
    <w:rsid w:val="007C5969"/>
    <w:rsid w:val="007D50CA"/>
    <w:rsid w:val="007D514A"/>
    <w:rsid w:val="00846439"/>
    <w:rsid w:val="00861964"/>
    <w:rsid w:val="008B4180"/>
    <w:rsid w:val="008C4DEF"/>
    <w:rsid w:val="0099769B"/>
    <w:rsid w:val="00A50C4B"/>
    <w:rsid w:val="00A5549B"/>
    <w:rsid w:val="00AC3863"/>
    <w:rsid w:val="00B03E4B"/>
    <w:rsid w:val="00B12733"/>
    <w:rsid w:val="00B60F78"/>
    <w:rsid w:val="00CF6DF6"/>
    <w:rsid w:val="00D92EAA"/>
    <w:rsid w:val="00D937A9"/>
    <w:rsid w:val="00DA3A1A"/>
    <w:rsid w:val="00E26073"/>
    <w:rsid w:val="00E430E2"/>
    <w:rsid w:val="00E56FD1"/>
    <w:rsid w:val="00E62D84"/>
    <w:rsid w:val="00ED7BD7"/>
    <w:rsid w:val="00EF518F"/>
    <w:rsid w:val="00F578CA"/>
    <w:rsid w:val="00F806E1"/>
    <w:rsid w:val="03A72E13"/>
    <w:rsid w:val="08E867A2"/>
    <w:rsid w:val="1FA64ADF"/>
    <w:rsid w:val="25ED3A83"/>
    <w:rsid w:val="32E7D77E"/>
    <w:rsid w:val="37B7E049"/>
    <w:rsid w:val="3DAF0FE8"/>
    <w:rsid w:val="3E7F7995"/>
    <w:rsid w:val="57EBEC2F"/>
    <w:rsid w:val="5BF68FB7"/>
    <w:rsid w:val="5DF77F1D"/>
    <w:rsid w:val="5F377DA8"/>
    <w:rsid w:val="65BFF78E"/>
    <w:rsid w:val="68BD3A12"/>
    <w:rsid w:val="6A57C7EB"/>
    <w:rsid w:val="6FF8987E"/>
    <w:rsid w:val="787E5C79"/>
    <w:rsid w:val="7AFF9B96"/>
    <w:rsid w:val="7B2FBB4F"/>
    <w:rsid w:val="7DFF2527"/>
    <w:rsid w:val="7DFFFBC7"/>
    <w:rsid w:val="7E6D228E"/>
    <w:rsid w:val="7EA7EED1"/>
    <w:rsid w:val="7EE5B0E0"/>
    <w:rsid w:val="7EEF705A"/>
    <w:rsid w:val="7EF5C3B1"/>
    <w:rsid w:val="7FEB9CDE"/>
    <w:rsid w:val="7FF7F7B2"/>
    <w:rsid w:val="7FFA2AB5"/>
    <w:rsid w:val="7FFE8AE3"/>
    <w:rsid w:val="9B7BC6DA"/>
    <w:rsid w:val="AB3E9811"/>
    <w:rsid w:val="B5FB6635"/>
    <w:rsid w:val="B7574EE0"/>
    <w:rsid w:val="BAEC640D"/>
    <w:rsid w:val="BBDE7C7C"/>
    <w:rsid w:val="BD7B8FAB"/>
    <w:rsid w:val="BDEB5230"/>
    <w:rsid w:val="BE7F1DA0"/>
    <w:rsid w:val="BECEA106"/>
    <w:rsid w:val="BFC3BD3A"/>
    <w:rsid w:val="BFD3E7E5"/>
    <w:rsid w:val="CBFE9A58"/>
    <w:rsid w:val="CF97D072"/>
    <w:rsid w:val="CFDF1DD4"/>
    <w:rsid w:val="D3F701F2"/>
    <w:rsid w:val="D5FD9105"/>
    <w:rsid w:val="DBFDE3B5"/>
    <w:rsid w:val="DFB2E869"/>
    <w:rsid w:val="DFBA78EA"/>
    <w:rsid w:val="DFFD80B5"/>
    <w:rsid w:val="E7EFF111"/>
    <w:rsid w:val="EEDE2388"/>
    <w:rsid w:val="F7A521B2"/>
    <w:rsid w:val="F7BDD8FB"/>
    <w:rsid w:val="F9EFD7DF"/>
    <w:rsid w:val="F9F03AE2"/>
    <w:rsid w:val="FB1707D1"/>
    <w:rsid w:val="FBDF6412"/>
    <w:rsid w:val="FBEFC6C0"/>
    <w:rsid w:val="FBFF4DCD"/>
    <w:rsid w:val="FD7D663D"/>
    <w:rsid w:val="FD7F66E5"/>
    <w:rsid w:val="FDA77474"/>
    <w:rsid w:val="FDD700BC"/>
    <w:rsid w:val="FDE75A55"/>
    <w:rsid w:val="FE939767"/>
    <w:rsid w:val="FF446CC8"/>
    <w:rsid w:val="FF78DE53"/>
    <w:rsid w:val="FF7CBAA9"/>
    <w:rsid w:val="FFAE21DE"/>
    <w:rsid w:val="FFCBE743"/>
    <w:rsid w:val="FFFB025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iPriority="99" w:semiHidden="0"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Normal Indent"/>
    <w:basedOn w:val="1"/>
    <w:unhideWhenUsed/>
    <w:qFormat/>
    <w:uiPriority w:val="99"/>
    <w:pPr>
      <w:spacing w:beforeLines="0" w:afterLines="0"/>
      <w:ind w:firstLine="420"/>
    </w:pPr>
    <w:rPr>
      <w:rFonts w:hint="eastAsia" w:eastAsia="宋体"/>
      <w:sz w:val="28"/>
    </w:rPr>
  </w:style>
  <w:style w:type="paragraph" w:styleId="3">
    <w:name w:val="footer"/>
    <w:basedOn w:val="1"/>
    <w:link w:val="9"/>
    <w:unhideWhenUsed/>
    <w:qFormat/>
    <w:uiPriority w:val="99"/>
    <w:pPr>
      <w:tabs>
        <w:tab w:val="center" w:pos="4153"/>
        <w:tab w:val="right" w:pos="8306"/>
      </w:tabs>
      <w:snapToGrid w:val="0"/>
      <w:jc w:val="left"/>
    </w:pPr>
    <w:rPr>
      <w:sz w:val="18"/>
      <w:szCs w:val="18"/>
    </w:rPr>
  </w:style>
  <w:style w:type="paragraph" w:styleId="4">
    <w:name w:val="header"/>
    <w:basedOn w:val="1"/>
    <w:link w:val="8"/>
    <w:unhideWhenUsed/>
    <w:qFormat/>
    <w:uiPriority w:val="99"/>
    <w:pPr>
      <w:pBdr>
        <w:bottom w:val="single" w:color="auto" w:sz="6" w:space="1"/>
      </w:pBdr>
      <w:tabs>
        <w:tab w:val="center" w:pos="4153"/>
        <w:tab w:val="right" w:pos="8306"/>
      </w:tabs>
      <w:snapToGrid w:val="0"/>
      <w:jc w:val="center"/>
    </w:pPr>
    <w:rPr>
      <w:sz w:val="18"/>
      <w:szCs w:val="18"/>
    </w:rPr>
  </w:style>
  <w:style w:type="character" w:styleId="7">
    <w:name w:val="page number"/>
    <w:semiHidden/>
    <w:qFormat/>
    <w:uiPriority w:val="99"/>
    <w:rPr>
      <w:rFonts w:cs="Times New Roman"/>
    </w:rPr>
  </w:style>
  <w:style w:type="character" w:customStyle="1" w:styleId="8">
    <w:name w:val="页眉 Char"/>
    <w:basedOn w:val="6"/>
    <w:link w:val="4"/>
    <w:qFormat/>
    <w:uiPriority w:val="99"/>
    <w:rPr>
      <w:sz w:val="18"/>
      <w:szCs w:val="18"/>
    </w:rPr>
  </w:style>
  <w:style w:type="character" w:customStyle="1" w:styleId="9">
    <w:name w:val="页脚 Char"/>
    <w:basedOn w:val="6"/>
    <w:link w:val="3"/>
    <w:qFormat/>
    <w:uiPriority w:val="99"/>
    <w:rPr>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4</Pages>
  <Words>184</Words>
  <Characters>1052</Characters>
  <Lines>8</Lines>
  <Paragraphs>2</Paragraphs>
  <TotalTime>2</TotalTime>
  <ScaleCrop>false</ScaleCrop>
  <LinksUpToDate>false</LinksUpToDate>
  <CharactersWithSpaces>1234</CharactersWithSpaces>
  <Application>WPS Office_11.8.2.10505_F1E327BC-269C-435d-A152-05C5408002CA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2026-03-14T07:23:00Z</dcterms:created>
  <dc:creator>李菁</dc:creator>
  <cp:lastModifiedBy>QILIN</cp:lastModifiedBy>
  <dcterms:modified xsi:type="dcterms:W3CDTF">2026-03-16T15:27:52Z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2052-11.8.2.10505</vt:lpwstr>
  </property>
</Properties>
</file>