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附件</w:t>
      </w:r>
      <w:r>
        <w:rPr>
          <w:rFonts w:asciiTheme="minorEastAsia" w:hAnsiTheme="minorEastAsia" w:eastAsiaTheme="minorEastAsia"/>
          <w:b/>
          <w:sz w:val="28"/>
          <w:szCs w:val="28"/>
        </w:rPr>
        <w:t>4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：</w:t>
      </w:r>
    </w:p>
    <w:p>
      <w:pPr>
        <w:rPr>
          <w:rFonts w:asciiTheme="majorEastAsia" w:hAnsiTheme="majorEastAsia" w:eastAsiaTheme="majorEastAsia"/>
          <w:szCs w:val="21"/>
        </w:rPr>
      </w:pPr>
    </w:p>
    <w:p>
      <w:pPr>
        <w:spacing w:line="69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门头沟区城市管理委员会部门2025年度</w:t>
      </w:r>
      <w:r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  <w:t>绩效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自评工作开展情况说明</w:t>
      </w:r>
    </w:p>
    <w:p>
      <w:pPr>
        <w:suppressAutoHyphens/>
        <w:spacing w:line="560" w:lineRule="exact"/>
        <w:ind w:firstLine="420" w:firstLineChars="200"/>
        <w:rPr>
          <w:rFonts w:ascii="Calibri" w:hAnsi="Calibri"/>
        </w:rPr>
      </w:pP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一、基本情况</w:t>
      </w:r>
    </w:p>
    <w:p>
      <w:pPr>
        <w:spacing w:line="560" w:lineRule="exact"/>
        <w:ind w:firstLine="640" w:firstLineChars="200"/>
        <w:outlineLvl w:val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北京市门头沟区城市管理委员会2025年度区财政批复项目支出</w:t>
      </w:r>
      <w:r>
        <w:rPr>
          <w:rFonts w:ascii="仿宋_GB2312" w:hAnsi="宋体" w:eastAsia="仿宋_GB2312"/>
          <w:sz w:val="32"/>
          <w:szCs w:val="32"/>
        </w:rPr>
        <w:t>预算项目</w:t>
      </w:r>
      <w:r>
        <w:rPr>
          <w:rFonts w:hint="eastAsia" w:ascii="仿宋_GB2312" w:hAnsi="宋体" w:eastAsia="仿宋_GB2312"/>
          <w:sz w:val="32"/>
          <w:szCs w:val="32"/>
        </w:rPr>
        <w:t>159个，涉及金额80387.98万元。本次</w:t>
      </w:r>
      <w:r>
        <w:rPr>
          <w:rFonts w:ascii="仿宋_GB2312" w:hAnsi="宋体" w:eastAsia="仿宋_GB2312"/>
          <w:sz w:val="32"/>
          <w:szCs w:val="32"/>
        </w:rPr>
        <w:t>实施</w:t>
      </w:r>
      <w:r>
        <w:rPr>
          <w:rFonts w:hint="eastAsia" w:ascii="仿宋_GB2312" w:hAnsi="宋体" w:eastAsia="仿宋_GB2312"/>
          <w:sz w:val="32"/>
          <w:szCs w:val="32"/>
        </w:rPr>
        <w:t>绩效自评项目159个，涉及金额80387.98万元。具体项目自评</w:t>
      </w:r>
      <w:r>
        <w:rPr>
          <w:rFonts w:ascii="仿宋_GB2312" w:hAnsi="宋体" w:eastAsia="仿宋_GB2312"/>
          <w:sz w:val="32"/>
          <w:szCs w:val="32"/>
        </w:rPr>
        <w:t>情况详见《</w:t>
      </w:r>
      <w:r>
        <w:rPr>
          <w:rFonts w:hint="eastAsia" w:ascii="仿宋_GB2312" w:hAnsi="宋体" w:eastAsia="仿宋_GB2312"/>
          <w:sz w:val="32"/>
          <w:szCs w:val="32"/>
        </w:rPr>
        <w:t>20</w:t>
      </w:r>
      <w:r>
        <w:rPr>
          <w:rFonts w:ascii="仿宋_GB2312" w:hAnsi="宋体" w:eastAsia="仿宋_GB2312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5年度项目支出绩效自评结果汇总表</w:t>
      </w:r>
      <w:r>
        <w:rPr>
          <w:rFonts w:ascii="仿宋_GB2312" w:hAnsi="宋体" w:eastAsia="仿宋_GB2312"/>
          <w:sz w:val="32"/>
          <w:szCs w:val="32"/>
        </w:rPr>
        <w:t>》</w:t>
      </w:r>
      <w:r>
        <w:rPr>
          <w:rFonts w:hint="eastAsia" w:ascii="仿宋_GB2312" w:hAnsi="宋体" w:eastAsia="仿宋_GB2312"/>
          <w:sz w:val="32"/>
          <w:szCs w:val="32"/>
        </w:rPr>
        <w:t>及</w:t>
      </w:r>
      <w:r>
        <w:rPr>
          <w:rFonts w:ascii="仿宋_GB2312" w:hAnsi="宋体" w:eastAsia="仿宋_GB2312"/>
          <w:sz w:val="32"/>
          <w:szCs w:val="32"/>
        </w:rPr>
        <w:t>各项目的《</w:t>
      </w:r>
      <w:r>
        <w:rPr>
          <w:rFonts w:hint="eastAsia" w:ascii="仿宋_GB2312" w:hAnsi="宋体" w:eastAsia="仿宋_GB2312"/>
          <w:sz w:val="32"/>
          <w:szCs w:val="32"/>
        </w:rPr>
        <w:t>项目支出绩效自评表</w:t>
      </w:r>
      <w:r>
        <w:rPr>
          <w:rFonts w:ascii="仿宋_GB2312" w:hAnsi="宋体" w:eastAsia="仿宋_GB2312"/>
          <w:sz w:val="32"/>
          <w:szCs w:val="32"/>
        </w:rPr>
        <w:t>》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outlineLvl w:val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评价得分在90分（含90分）以上的158个，评价得分在</w:t>
      </w:r>
      <w:r>
        <w:rPr>
          <w:rFonts w:ascii="仿宋_GB2312" w:hAnsi="宋体" w:eastAsia="仿宋_GB2312"/>
          <w:sz w:val="32"/>
          <w:szCs w:val="32"/>
        </w:rPr>
        <w:t>80</w:t>
      </w:r>
      <w:r>
        <w:rPr>
          <w:rFonts w:hint="eastAsia" w:ascii="仿宋_GB2312" w:hAnsi="宋体" w:eastAsia="仿宋_GB2312"/>
          <w:sz w:val="32"/>
          <w:szCs w:val="32"/>
        </w:rPr>
        <w:t>-90分（含</w:t>
      </w:r>
      <w:r>
        <w:rPr>
          <w:rFonts w:ascii="仿宋_GB2312" w:hAnsi="宋体" w:eastAsia="仿宋_GB2312"/>
          <w:sz w:val="32"/>
          <w:szCs w:val="32"/>
        </w:rPr>
        <w:t>80</w:t>
      </w:r>
      <w:r>
        <w:rPr>
          <w:rFonts w:hint="eastAsia" w:ascii="仿宋_GB2312" w:hAnsi="宋体" w:eastAsia="仿宋_GB2312"/>
          <w:sz w:val="32"/>
          <w:szCs w:val="32"/>
        </w:rPr>
        <w:t>分）的0个，评价得分在60-</w:t>
      </w:r>
      <w:r>
        <w:rPr>
          <w:rFonts w:ascii="仿宋_GB2312" w:hAnsi="宋体" w:eastAsia="仿宋_GB2312"/>
          <w:sz w:val="32"/>
          <w:szCs w:val="32"/>
        </w:rPr>
        <w:t>80</w:t>
      </w:r>
      <w:r>
        <w:rPr>
          <w:rFonts w:hint="eastAsia" w:ascii="仿宋_GB2312" w:hAnsi="宋体" w:eastAsia="仿宋_GB2312"/>
          <w:sz w:val="32"/>
          <w:szCs w:val="32"/>
        </w:rPr>
        <w:t>分（含60分）的0个，评价得分在60分以下的1个。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二、项目主要存在问题及</w:t>
      </w:r>
      <w:r>
        <w:rPr>
          <w:rFonts w:ascii="CESI黑体-GB2312" w:hAnsi="CESI黑体-GB2312" w:eastAsia="CESI黑体-GB2312" w:cs="CESI黑体-GB2312"/>
          <w:sz w:val="32"/>
          <w:szCs w:val="32"/>
        </w:rPr>
        <w:t>改进措施</w:t>
      </w:r>
    </w:p>
    <w:p>
      <w:pPr>
        <w:spacing w:line="560" w:lineRule="exact"/>
        <w:ind w:firstLine="640" w:firstLineChars="200"/>
        <w:outlineLvl w:val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2025年占道经营整治任务工作资金项目</w:t>
      </w:r>
      <w:r>
        <w:rPr>
          <w:rFonts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</w:rPr>
        <w:t>该项目资金为疏整促引导资金，于2025年年底下达，当年未支出，计划于2026年进行支出。</w:t>
      </w:r>
    </w:p>
    <w:p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三、本部门绩效自评</w:t>
      </w:r>
      <w:r>
        <w:rPr>
          <w:rFonts w:ascii="CESI黑体-GB2312" w:hAnsi="CESI黑体-GB2312" w:eastAsia="CESI黑体-GB2312" w:cs="CESI黑体-GB2312"/>
          <w:sz w:val="32"/>
          <w:szCs w:val="32"/>
        </w:rPr>
        <w:t>结果应用</w:t>
      </w:r>
      <w:r>
        <w:rPr>
          <w:rFonts w:hint="eastAsia" w:ascii="CESI黑体-GB2312" w:hAnsi="CESI黑体-GB2312" w:eastAsia="CESI黑体-GB2312" w:cs="CESI黑体-GB2312"/>
          <w:sz w:val="32"/>
          <w:szCs w:val="32"/>
        </w:rPr>
        <w:t>措施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一是</w:t>
      </w:r>
      <w:r>
        <w:rPr>
          <w:rFonts w:ascii="仿宋_GB2312" w:eastAsia="仿宋_GB2312"/>
          <w:sz w:val="32"/>
          <w:szCs w:val="32"/>
        </w:rPr>
        <w:t>优化预算管理精准预算编制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根据自评结果，优化预算编制流程，重点保障高绩效项目资金需求，减少低效项目预算分配</w:t>
      </w:r>
      <w:r>
        <w:rPr>
          <w:rFonts w:hint="eastAsia" w:ascii="仿宋_GB2312" w:eastAsia="仿宋_GB2312"/>
          <w:sz w:val="32"/>
          <w:szCs w:val="32"/>
        </w:rPr>
        <w:t>；</w:t>
      </w:r>
      <w:r>
        <w:rPr>
          <w:rFonts w:ascii="仿宋_GB2312" w:eastAsia="仿宋_GB2312"/>
          <w:sz w:val="32"/>
          <w:szCs w:val="32"/>
        </w:rPr>
        <w:t>动态预算调整：建立预算执行动态监控机制，结合绩效表现，及时调整预算分配，确保资金使用效率最大化。强化成本控制：在市政工程领域，推行精细化成本管理，严格控制项目超支现象；在城管执法领域，优化执法资源配置，降低行政成本。</w:t>
      </w:r>
      <w:r>
        <w:rPr>
          <w:rFonts w:hint="eastAsia" w:ascii="仿宋_GB2312" w:eastAsia="仿宋_GB2312"/>
          <w:sz w:val="32"/>
          <w:szCs w:val="32"/>
        </w:rPr>
        <w:t>二是</w:t>
      </w:r>
      <w:r>
        <w:rPr>
          <w:rFonts w:ascii="仿宋_GB2312" w:eastAsia="仿宋_GB2312"/>
          <w:sz w:val="32"/>
          <w:szCs w:val="32"/>
        </w:rPr>
        <w:t>完善内控机制健全内控制度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针对自评中发现的预算执行和资金管理问题，完善内控制度，明确各环节责任，确保资金使用规范透明。</w:t>
      </w:r>
      <w:r>
        <w:rPr>
          <w:rFonts w:hint="eastAsia" w:ascii="仿宋_GB2312" w:eastAsia="仿宋_GB2312"/>
          <w:sz w:val="32"/>
          <w:szCs w:val="32"/>
        </w:rPr>
        <w:t>三是</w:t>
      </w:r>
      <w:r>
        <w:rPr>
          <w:rFonts w:ascii="仿宋_GB2312" w:eastAsia="仿宋_GB2312"/>
          <w:sz w:val="32"/>
          <w:szCs w:val="32"/>
        </w:rPr>
        <w:t>加强风险防控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建立预算执行风险预警机制，定期开展内控检查，防范资金使用中的潜在风险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引入第三方审计机构，对市政工程和城管执法领域的重点项目进行专项审计，确保资金使用合规高效。</w:t>
      </w:r>
      <w:r>
        <w:rPr>
          <w:rFonts w:hint="eastAsia" w:ascii="仿宋_GB2312" w:eastAsia="仿宋_GB2312"/>
          <w:sz w:val="32"/>
          <w:szCs w:val="32"/>
        </w:rPr>
        <w:t>四是</w:t>
      </w:r>
      <w:r>
        <w:rPr>
          <w:rFonts w:ascii="仿宋_GB2312" w:eastAsia="仿宋_GB2312"/>
          <w:sz w:val="32"/>
          <w:szCs w:val="32"/>
        </w:rPr>
        <w:t>健全预算绩效管理机制完善绩效指标体系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结合市政工程和城管执法领域</w:t>
      </w:r>
      <w:r>
        <w:rPr>
          <w:rFonts w:hint="eastAsia" w:ascii="仿宋_GB2312" w:eastAsia="仿宋_GB2312"/>
          <w:sz w:val="32"/>
          <w:szCs w:val="32"/>
        </w:rPr>
        <w:t>等</w:t>
      </w:r>
      <w:r>
        <w:rPr>
          <w:rFonts w:ascii="仿宋_GB2312" w:eastAsia="仿宋_GB2312"/>
          <w:sz w:val="32"/>
          <w:szCs w:val="32"/>
        </w:rPr>
        <w:t>特点，优化绩效指标设计，确保指标可量化、可考核。</w:t>
      </w:r>
      <w:r>
        <w:rPr>
          <w:rFonts w:hint="eastAsia" w:ascii="仿宋_GB2312" w:eastAsia="仿宋_GB2312"/>
          <w:sz w:val="32"/>
          <w:szCs w:val="32"/>
        </w:rPr>
        <w:t>五是</w:t>
      </w:r>
      <w:r>
        <w:rPr>
          <w:rFonts w:ascii="仿宋_GB2312" w:eastAsia="仿宋_GB2312"/>
          <w:sz w:val="32"/>
          <w:szCs w:val="32"/>
        </w:rPr>
        <w:t>加强绩效目标管理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在预算编制阶段，明确项目绩效目标，将绩效目标作为预算分配的重要依据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/>
        <w:spacing w:before="100" w:beforeAutospacing="1" w:after="100" w:afterAutospacing="1"/>
        <w:ind w:firstLine="480" w:firstLineChars="15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通过以上措施，本部门将切实落实预算绩效管理主体责任，推动预算与绩效管理深度融合，优化资源配置，提升市政工程和城管执法领域的工作效率和服务质量，确保财政资金使用效益最大化，为城市治理和公共服务提供有力保障。</w:t>
      </w: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5440" w:firstLineChars="1700"/>
        <w:rPr>
          <w:rFonts w:ascii="仿宋_GB2312" w:hAnsi="宋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F5"/>
    <w:rsid w:val="000851E1"/>
    <w:rsid w:val="000C0FEC"/>
    <w:rsid w:val="000D40C2"/>
    <w:rsid w:val="00152100"/>
    <w:rsid w:val="001553A9"/>
    <w:rsid w:val="00165A86"/>
    <w:rsid w:val="001B7E72"/>
    <w:rsid w:val="001D5572"/>
    <w:rsid w:val="001E11DD"/>
    <w:rsid w:val="00250E81"/>
    <w:rsid w:val="002806E4"/>
    <w:rsid w:val="002E62D2"/>
    <w:rsid w:val="00351B89"/>
    <w:rsid w:val="00354369"/>
    <w:rsid w:val="003F3EA8"/>
    <w:rsid w:val="003F59CF"/>
    <w:rsid w:val="003F7774"/>
    <w:rsid w:val="0045313C"/>
    <w:rsid w:val="00495B33"/>
    <w:rsid w:val="004A2516"/>
    <w:rsid w:val="005C3562"/>
    <w:rsid w:val="005C43BA"/>
    <w:rsid w:val="006235D6"/>
    <w:rsid w:val="006B6E5B"/>
    <w:rsid w:val="006D39A8"/>
    <w:rsid w:val="00703007"/>
    <w:rsid w:val="007268A1"/>
    <w:rsid w:val="00751751"/>
    <w:rsid w:val="00766F4A"/>
    <w:rsid w:val="007865A3"/>
    <w:rsid w:val="00787E8C"/>
    <w:rsid w:val="007B2371"/>
    <w:rsid w:val="008642F9"/>
    <w:rsid w:val="008876F5"/>
    <w:rsid w:val="00895574"/>
    <w:rsid w:val="008F3BFF"/>
    <w:rsid w:val="009152A2"/>
    <w:rsid w:val="00927E90"/>
    <w:rsid w:val="0096542B"/>
    <w:rsid w:val="009A06E4"/>
    <w:rsid w:val="009D10C6"/>
    <w:rsid w:val="00A1030B"/>
    <w:rsid w:val="00A129CA"/>
    <w:rsid w:val="00A45B59"/>
    <w:rsid w:val="00A97D39"/>
    <w:rsid w:val="00AF4945"/>
    <w:rsid w:val="00B05FF1"/>
    <w:rsid w:val="00B2289B"/>
    <w:rsid w:val="00B938D2"/>
    <w:rsid w:val="00BE4DD6"/>
    <w:rsid w:val="00C119DB"/>
    <w:rsid w:val="00C20524"/>
    <w:rsid w:val="00C359DB"/>
    <w:rsid w:val="00C4008A"/>
    <w:rsid w:val="00C8685D"/>
    <w:rsid w:val="00CE2737"/>
    <w:rsid w:val="00CE646A"/>
    <w:rsid w:val="00CF35E1"/>
    <w:rsid w:val="00D07A02"/>
    <w:rsid w:val="00D212C9"/>
    <w:rsid w:val="00D43007"/>
    <w:rsid w:val="00D72286"/>
    <w:rsid w:val="00D73400"/>
    <w:rsid w:val="00D843D3"/>
    <w:rsid w:val="00DE78E1"/>
    <w:rsid w:val="00E07BA8"/>
    <w:rsid w:val="00E20F52"/>
    <w:rsid w:val="00E74444"/>
    <w:rsid w:val="00E815F2"/>
    <w:rsid w:val="00EA051B"/>
    <w:rsid w:val="00EA12E7"/>
    <w:rsid w:val="00EC15DE"/>
    <w:rsid w:val="00EE66D2"/>
    <w:rsid w:val="00F255E9"/>
    <w:rsid w:val="00F30CB1"/>
    <w:rsid w:val="00F75F96"/>
    <w:rsid w:val="00FD412C"/>
    <w:rsid w:val="CF7F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</Words>
  <Characters>421</Characters>
  <Lines>3</Lines>
  <Paragraphs>1</Paragraphs>
  <TotalTime>0</TotalTime>
  <ScaleCrop>false</ScaleCrop>
  <LinksUpToDate>false</LinksUpToDate>
  <CharactersWithSpaces>493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2026-04-24T15:00:00Z</dcterms:created>
  <dc:creator>井文胜</dc:creator>
  <cp:lastModifiedBy>QILIN</cp:lastModifiedBy>
  <cp:lastPrinted>2022-01-29T16:54:00Z</cp:lastPrinted>
  <dcterms:modified xsi:type="dcterms:W3CDTF">2026-05-06T13:27:08Z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